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lang w:eastAsia="zh-CN"/>
        </w:rPr>
      </w:pPr>
      <w:bookmarkStart w:id="0" w:name="_GoBack"/>
      <w:bookmarkEnd w:id="0"/>
      <w:r>
        <w:rPr>
          <w:rFonts w:hint="eastAsia" w:ascii="方正小标宋_GBK" w:hAnsi="方正小标宋_GBK" w:eastAsia="方正小标宋_GBK" w:cs="方正小标宋_GBK"/>
          <w:color w:val="auto"/>
          <w:sz w:val="44"/>
          <w:szCs w:val="44"/>
          <w:lang w:eastAsia="zh-CN"/>
        </w:rPr>
        <w:t>鄂尔多斯市能源局202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lang w:eastAsia="zh-CN"/>
        </w:rPr>
        <w:t>年</w:t>
      </w:r>
    </w:p>
    <w:p>
      <w:pPr>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政府信息公开工作年度报告</w:t>
      </w:r>
    </w:p>
    <w:p>
      <w:pPr>
        <w:ind w:firstLine="640" w:firstLineChars="200"/>
        <w:rPr>
          <w:rFonts w:hint="eastAsia" w:ascii="仿宋_GB2312" w:hAnsi="仿宋_GB2312" w:eastAsia="仿宋_GB2312" w:cs="仿宋_GB2312"/>
          <w:color w:val="auto"/>
          <w:sz w:val="32"/>
          <w:szCs w:val="32"/>
          <w:lang w:eastAsia="zh-CN"/>
        </w:rPr>
      </w:pP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政府信息公开条例》（国务院令第711号，以下简称《条例》）和《国务院办公厅政府信息与政务公开办公室关于印发〈中华人民共和国政府信息公开工作年度报告格式〉的通知》（国办公开办函〔2021〕30号）要求，结合我局工作实际，编制本年度报告。本报告主要包括总体情况、主动公开政府信息情况、收到和处理政府信息公开申请情况、政府信息公开行政复议、行政诉讼情况、其他需要报告的事项等。本报告所列数据的统计期限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年1月1日起至2025年12月31日止。本报告电子版可在”内蒙古自治区能源局门户网站”（</w:t>
      </w:r>
      <w:r>
        <w:rPr>
          <w:rFonts w:hint="eastAsia" w:ascii="仿宋_GB2312" w:hAnsi="仿宋_GB2312" w:eastAsia="仿宋_GB2312" w:cs="仿宋_GB2312"/>
          <w:i w:val="0"/>
          <w:iCs w:val="0"/>
          <w:caps w:val="0"/>
          <w:color w:val="auto"/>
          <w:spacing w:val="0"/>
          <w:kern w:val="0"/>
          <w:sz w:val="32"/>
          <w:szCs w:val="32"/>
          <w:lang w:val="en-US" w:eastAsia="zh-CN" w:bidi="ar"/>
        </w:rPr>
        <w:t>http://nyj.ordos.gov.cn/</w:t>
      </w:r>
      <w:r>
        <w:rPr>
          <w:rFonts w:hint="eastAsia" w:ascii="仿宋_GB2312" w:hAnsi="仿宋_GB2312" w:eastAsia="仿宋_GB2312" w:cs="仿宋_GB2312"/>
          <w:color w:val="auto"/>
          <w:sz w:val="32"/>
          <w:szCs w:val="32"/>
          <w:lang w:eastAsia="zh-CN"/>
        </w:rPr>
        <w:t>）下载。如对本报告有任何疑问，请与鄂尔多斯市能源局办公室联系（电话：</w:t>
      </w:r>
      <w:r>
        <w:rPr>
          <w:rFonts w:hint="eastAsia" w:ascii="仿宋_GB2312" w:hAnsi="仿宋_GB2312" w:eastAsia="仿宋_GB2312" w:cs="仿宋_GB2312"/>
          <w:color w:val="auto"/>
          <w:sz w:val="32"/>
          <w:szCs w:val="32"/>
          <w:lang w:val="en-US" w:eastAsia="zh-CN"/>
        </w:rPr>
        <w:t>0477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8599557</w:t>
      </w:r>
      <w:r>
        <w:rPr>
          <w:rFonts w:hint="eastAsia" w:ascii="仿宋_GB2312" w:hAnsi="仿宋_GB2312" w:eastAsia="仿宋_GB2312" w:cs="仿宋_GB2312"/>
          <w:color w:val="auto"/>
          <w:sz w:val="32"/>
          <w:szCs w:val="32"/>
          <w:lang w:eastAsia="zh-CN"/>
        </w:rPr>
        <w:t>）。</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一、总体情况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鄂尔多斯市能源局坚持以公开为常态、不公开为例外，遵循公正、公平、合法、便民的原则，持续深化政府信息公开工作，不断提升政务公开标准化、规范化水平，切实保障人民群众的知情权、参与权、表达权和监督权，以高质量信息公开助力全市能源事业高质量发展。</w:t>
      </w:r>
    </w:p>
    <w:p>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（一）主动公开情况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家和自治区及市委市政府关于贯彻落实政务公开工作的部署要求，聚焦主责主业，围绕能源保供、安全生产、绿色发展、重点项目、产业政策、改革动态等社会关注重点，全年通过市能源局门户网站、政务新媒体、新闻发布会等多种渠道，累计主动公开政府信息</w:t>
      </w:r>
      <w:r>
        <w:rPr>
          <w:rFonts w:hint="eastAsia" w:ascii="仿宋_GB2312" w:hAnsi="仿宋_GB2312" w:eastAsia="仿宋_GB2312" w:cs="仿宋_GB2312"/>
          <w:color w:val="auto"/>
          <w:sz w:val="32"/>
          <w:szCs w:val="32"/>
          <w:lang w:val="en-US" w:eastAsia="zh-CN"/>
        </w:rPr>
        <w:t>1432</w:t>
      </w:r>
      <w:r>
        <w:rPr>
          <w:rFonts w:hint="eastAsia" w:ascii="仿宋_GB2312" w:hAnsi="仿宋_GB2312" w:eastAsia="仿宋_GB2312" w:cs="仿宋_GB2312"/>
          <w:color w:val="auto"/>
          <w:sz w:val="32"/>
          <w:szCs w:val="32"/>
          <w:lang w:eastAsia="zh-CN"/>
        </w:rPr>
        <w:t>余条。及时发布部门工作动态、政策文件及解读、规划计划、统计信息、财政预决算、人事信息等法定公开内容。重点加强了能源经济运行情况、重大项目核准（备案）进展、煤矿智能化建设、新能源发展、安全生产督查检查结果等领域的主动公开力度。</w:t>
      </w:r>
    </w:p>
    <w:p>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（二）依申请公开情况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全年共收到政府信息公开申请</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件，均在法定期限内予以答复。其中，予以公开</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件，无法提供</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eastAsia="zh-CN"/>
        </w:rPr>
        <w:t>件（主要原因为信息不存在），无涉及商业秘密、内部事务信息等法定不予公开内容或重复申请、问询咨询等不予处理的情形。全年未发生因政府信息公开工作被申请行政复议或提起行政诉讼的情况。处理过程均依法依规，保障了申请人的合法权益。</w:t>
      </w:r>
    </w:p>
    <w:p>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（三）政府信息管理情况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健全完善信息公开审查、发布、归档等制度，严格落实信息发布“三审”制度，确保信息内容准确、权威、及时。持续优化信息分类和发布流程，加强规范性文件等重点信息的全生命周期管理。2025年，制发行政规范性文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件，废止</w:t>
      </w:r>
      <w:r>
        <w:rPr>
          <w:rFonts w:hint="eastAsia" w:ascii="仿宋_GB2312" w:hAnsi="仿宋_GB2312" w:eastAsia="仿宋_GB2312" w:cs="仿宋_GB2312"/>
          <w:color w:val="auto"/>
          <w:sz w:val="32"/>
          <w:szCs w:val="32"/>
          <w:lang w:val="en-US" w:eastAsia="zh-CN"/>
        </w:rPr>
        <w:t>1件，现行</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件。在制定过程中，通过局门户网站公开征求社会意见，认真研究吸纳各方面意见建议，积极回应社会各方面的关切，提升制度建设的科学性、规范性。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hAnsi="楷体_GB2312" w:eastAsia="楷体_GB2312" w:cs="楷体_GB2312"/>
          <w:i w:val="0"/>
          <w:iCs w:val="0"/>
          <w:caps w:val="0"/>
          <w:color w:val="auto"/>
          <w:spacing w:val="0"/>
          <w:kern w:val="0"/>
          <w:sz w:val="32"/>
          <w:szCs w:val="32"/>
          <w:lang w:eastAsia="zh-CN" w:bidi="ar"/>
        </w:rPr>
      </w:pPr>
      <w:r>
        <w:rPr>
          <w:rFonts w:hint="default" w:ascii="楷体_GB2312" w:hAnsi="楷体_GB2312" w:eastAsia="楷体_GB2312" w:cs="楷体_GB2312"/>
          <w:i w:val="0"/>
          <w:iCs w:val="0"/>
          <w:caps w:val="0"/>
          <w:color w:val="auto"/>
          <w:spacing w:val="0"/>
          <w:kern w:val="0"/>
          <w:sz w:val="32"/>
          <w:szCs w:val="32"/>
          <w:lang w:eastAsia="zh-CN" w:bidi="ar"/>
        </w:rPr>
        <w:t>（四）政府信息公开平台建设方面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kern w:val="0"/>
          <w:sz w:val="32"/>
          <w:szCs w:val="32"/>
          <w:lang w:eastAsia="zh-CN" w:bidi="ar"/>
        </w:rPr>
      </w:pPr>
      <w:r>
        <w:rPr>
          <w:rFonts w:hint="eastAsia" w:ascii="仿宋_GB2312" w:hAnsi="仿宋_GB2312" w:eastAsia="仿宋_GB2312" w:cs="仿宋_GB2312"/>
          <w:i w:val="0"/>
          <w:iCs w:val="0"/>
          <w:caps w:val="0"/>
          <w:color w:val="auto"/>
          <w:spacing w:val="0"/>
          <w:kern w:val="0"/>
          <w:sz w:val="32"/>
          <w:szCs w:val="32"/>
          <w:lang w:eastAsia="zh-CN" w:bidi="ar"/>
        </w:rPr>
        <w:t>为全面反映我市能源经济概况，设立</w:t>
      </w:r>
      <w:r>
        <w:rPr>
          <w:rFonts w:hint="eastAsia" w:ascii="仿宋_GB2312" w:hAnsi="仿宋_GB2312" w:eastAsia="仿宋_GB2312" w:cs="仿宋_GB2312"/>
          <w:i w:val="0"/>
          <w:iCs w:val="0"/>
          <w:caps w:val="0"/>
          <w:color w:val="auto"/>
          <w:spacing w:val="0"/>
          <w:kern w:val="0"/>
          <w:sz w:val="32"/>
          <w:szCs w:val="32"/>
          <w:lang w:val="en-US" w:eastAsia="zh-CN" w:bidi="ar"/>
        </w:rPr>
        <w:t>6大</w:t>
      </w:r>
      <w:r>
        <w:rPr>
          <w:rFonts w:hint="eastAsia" w:ascii="仿宋_GB2312" w:hAnsi="仿宋_GB2312" w:eastAsia="仿宋_GB2312" w:cs="仿宋_GB2312"/>
          <w:i w:val="0"/>
          <w:iCs w:val="0"/>
          <w:caps w:val="0"/>
          <w:color w:val="auto"/>
          <w:spacing w:val="0"/>
          <w:kern w:val="0"/>
          <w:sz w:val="32"/>
          <w:szCs w:val="32"/>
          <w:lang w:eastAsia="zh-CN" w:bidi="ar"/>
        </w:rPr>
        <w:t>专栏展示单位概况、政务公开、办事指南、安全生产、互动交流、机关党建方面等重点业务数据信息。其中，在机关党建专栏开辟铸牢中华民族共同体意识主线工作阵地，及时更新相关工作进展情况。</w:t>
      </w:r>
      <w:r>
        <w:rPr>
          <w:rFonts w:hint="default" w:ascii="仿宋_GB2312" w:hAnsi="仿宋_GB2312" w:eastAsia="仿宋_GB2312" w:cs="仿宋_GB2312"/>
          <w:i w:val="0"/>
          <w:iCs w:val="0"/>
          <w:caps w:val="0"/>
          <w:color w:val="auto"/>
          <w:spacing w:val="0"/>
          <w:kern w:val="0"/>
          <w:sz w:val="32"/>
          <w:szCs w:val="32"/>
          <w:lang w:eastAsia="zh-CN" w:bidi="ar"/>
        </w:rPr>
        <w:t>优化政务公开各版块栏目内容</w:t>
      </w:r>
      <w:r>
        <w:rPr>
          <w:rFonts w:hint="eastAsia" w:ascii="仿宋_GB2312" w:hAnsi="仿宋_GB2312" w:eastAsia="仿宋_GB2312" w:cs="仿宋_GB2312"/>
          <w:i w:val="0"/>
          <w:iCs w:val="0"/>
          <w:caps w:val="0"/>
          <w:color w:val="auto"/>
          <w:spacing w:val="0"/>
          <w:kern w:val="0"/>
          <w:sz w:val="32"/>
          <w:szCs w:val="32"/>
          <w:lang w:eastAsia="zh-CN" w:bidi="ar"/>
        </w:rPr>
        <w:t>，精减冗繁栏目</w:t>
      </w:r>
      <w:r>
        <w:rPr>
          <w:rFonts w:hint="eastAsia" w:ascii="仿宋_GB2312" w:hAnsi="仿宋_GB2312" w:eastAsia="仿宋_GB2312" w:cs="仿宋_GB2312"/>
          <w:i w:val="0"/>
          <w:iCs w:val="0"/>
          <w:caps w:val="0"/>
          <w:color w:val="auto"/>
          <w:spacing w:val="0"/>
          <w:kern w:val="0"/>
          <w:sz w:val="32"/>
          <w:szCs w:val="32"/>
          <w:lang w:val="en-US" w:eastAsia="zh-CN" w:bidi="ar"/>
        </w:rPr>
        <w:t>2个</w:t>
      </w:r>
      <w:r>
        <w:rPr>
          <w:rFonts w:hint="default" w:ascii="仿宋_GB2312" w:hAnsi="仿宋_GB2312" w:eastAsia="仿宋_GB2312" w:cs="仿宋_GB2312"/>
          <w:i w:val="0"/>
          <w:iCs w:val="0"/>
          <w:caps w:val="0"/>
          <w:color w:val="auto"/>
          <w:spacing w:val="0"/>
          <w:kern w:val="0"/>
          <w:sz w:val="32"/>
          <w:szCs w:val="32"/>
          <w:lang w:eastAsia="zh-CN" w:bidi="ar"/>
        </w:rPr>
        <w:t>。按照《鄂尔多斯市行政审批和政务服务局关于进一步规范和加强政务新媒体管理工作的通知》要求，对已开设的鄂尔多斯市能源局官方网站、官方微博、微信公众号</w:t>
      </w:r>
      <w:r>
        <w:rPr>
          <w:rFonts w:hint="eastAsia" w:ascii="仿宋_GB2312" w:hAnsi="仿宋_GB2312" w:eastAsia="仿宋_GB2312" w:cs="仿宋_GB2312"/>
          <w:i w:val="0"/>
          <w:iCs w:val="0"/>
          <w:caps w:val="0"/>
          <w:color w:val="auto"/>
          <w:spacing w:val="0"/>
          <w:kern w:val="0"/>
          <w:sz w:val="32"/>
          <w:szCs w:val="32"/>
          <w:lang w:val="en-US" w:eastAsia="zh-CN" w:bidi="ar"/>
        </w:rPr>
        <w:t>进行</w:t>
      </w:r>
      <w:r>
        <w:rPr>
          <w:rFonts w:hint="default" w:ascii="仿宋_GB2312" w:hAnsi="仿宋_GB2312" w:eastAsia="仿宋_GB2312" w:cs="仿宋_GB2312"/>
          <w:i w:val="0"/>
          <w:iCs w:val="0"/>
          <w:caps w:val="0"/>
          <w:color w:val="auto"/>
          <w:spacing w:val="0"/>
          <w:kern w:val="0"/>
          <w:sz w:val="32"/>
          <w:szCs w:val="32"/>
          <w:lang w:eastAsia="zh-CN" w:bidi="ar"/>
        </w:rPr>
        <w:t>规范化管理，在全国政府网站信息报送系统、全国政务新媒体信息报送系统备案。</w:t>
      </w:r>
    </w:p>
    <w:p>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（五）监督保障情况</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    我局确定专人对门户网站可用性、信息更新、网站安全防范等有序开展自查，进一步强化监督保障，坚持每周进行读网自查3—5次，修改处理表述错误</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eastAsia="zh-CN"/>
        </w:rPr>
        <w:t>条，删除有害信息</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条，删除错误链接</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处。</w:t>
      </w:r>
    </w:p>
    <w:p>
      <w:pPr>
        <w:widowControl/>
        <w:numPr>
          <w:ilvl w:val="0"/>
          <w:numId w:val="0"/>
        </w:numPr>
        <w:spacing w:after="240" w:line="432" w:lineRule="atLeast"/>
        <w:ind w:firstLine="640" w:firstLineChars="200"/>
        <w:rPr>
          <w:rFonts w:hint="eastAsia"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rPr>
        <w:t>主动公开政府信息情况</w:t>
      </w:r>
    </w:p>
    <w:tbl>
      <w:tblPr>
        <w:tblStyle w:val="4"/>
        <w:tblpPr w:leftFromText="180" w:rightFromText="180" w:vertAnchor="text" w:horzAnchor="page" w:tblpX="2172" w:tblpY="14"/>
        <w:tblOverlap w:val="never"/>
        <w:tblW w:w="0" w:type="auto"/>
        <w:tblInd w:w="0" w:type="dxa"/>
        <w:tblLayout w:type="fixed"/>
        <w:tblCellMar>
          <w:top w:w="0" w:type="dxa"/>
          <w:left w:w="0" w:type="dxa"/>
          <w:bottom w:w="0" w:type="dxa"/>
          <w:right w:w="0" w:type="dxa"/>
        </w:tblCellMar>
      </w:tblPr>
      <w:tblGrid>
        <w:gridCol w:w="3113"/>
        <w:gridCol w:w="1875"/>
        <w:gridCol w:w="1528"/>
        <w:gridCol w:w="1624"/>
      </w:tblGrid>
      <w:tr>
        <w:tblPrEx>
          <w:tblCellMar>
            <w:top w:w="0" w:type="dxa"/>
            <w:left w:w="0" w:type="dxa"/>
            <w:bottom w:w="0" w:type="dxa"/>
            <w:right w:w="0"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第二十条第（一）项</w:t>
            </w:r>
          </w:p>
        </w:tc>
      </w:tr>
      <w:tr>
        <w:tblPrEx>
          <w:tblCellMar>
            <w:top w:w="0" w:type="dxa"/>
            <w:left w:w="0" w:type="dxa"/>
            <w:bottom w:w="0" w:type="dxa"/>
            <w:right w:w="0" w:type="dxa"/>
          </w:tblCellMar>
        </w:tblPrEx>
        <w:trPr>
          <w:trHeight w:val="882"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rPr>
              <w:t>本年</w:t>
            </w:r>
            <w:r>
              <w:rPr>
                <w:rFonts w:hint="eastAsia" w:ascii="宋体" w:hAnsi="宋体" w:cs="宋体"/>
                <w:color w:val="auto"/>
                <w:kern w:val="0"/>
                <w:sz w:val="20"/>
                <w:szCs w:val="20"/>
                <w:lang w:eastAsia="zh-CN"/>
              </w:rPr>
              <w:t>制发件数</w:t>
            </w:r>
          </w:p>
        </w:tc>
        <w:tc>
          <w:tcPr>
            <w:tcW w:w="15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rPr>
              <w:t>本年</w:t>
            </w:r>
            <w:r>
              <w:rPr>
                <w:rFonts w:hint="eastAsia" w:ascii="宋体" w:hAnsi="宋体" w:cs="宋体"/>
                <w:color w:val="auto"/>
                <w:kern w:val="0"/>
                <w:sz w:val="20"/>
                <w:szCs w:val="20"/>
                <w:lang w:eastAsia="zh-CN"/>
              </w:rPr>
              <w:t>废止件数</w:t>
            </w:r>
          </w:p>
        </w:tc>
        <w:tc>
          <w:tcPr>
            <w:tcW w:w="16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lang w:eastAsia="zh-CN"/>
              </w:rPr>
              <w:t>现行有效件数</w:t>
            </w:r>
          </w:p>
        </w:tc>
      </w:tr>
      <w:tr>
        <w:tblPrEx>
          <w:tblCellMar>
            <w:top w:w="0" w:type="dxa"/>
            <w:left w:w="0" w:type="dxa"/>
            <w:bottom w:w="0" w:type="dxa"/>
            <w:right w:w="0" w:type="dxa"/>
          </w:tblCellMar>
        </w:tblPrEx>
        <w:trPr>
          <w:trHeight w:val="523"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lang w:eastAsia="zh-CN"/>
              </w:rPr>
              <w:t>行政</w:t>
            </w:r>
            <w:r>
              <w:rPr>
                <w:rFonts w:hint="eastAsia" w:ascii="宋体" w:hAnsi="宋体" w:cs="宋体"/>
                <w:color w:val="auto"/>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ind w:firstLine="600" w:firstLineChars="3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lang w:val="en-US" w:eastAsia="zh-CN"/>
              </w:rPr>
              <w:t>0</w:t>
            </w:r>
          </w:p>
        </w:tc>
        <w:tc>
          <w:tcPr>
            <w:tcW w:w="15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0</w:t>
            </w:r>
          </w:p>
        </w:tc>
        <w:tc>
          <w:tcPr>
            <w:tcW w:w="16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宋体" w:hAnsi="宋体" w:cs="宋体"/>
                <w:color w:val="auto"/>
                <w:kern w:val="0"/>
                <w:sz w:val="24"/>
                <w:szCs w:val="24"/>
              </w:rPr>
            </w:pPr>
            <w:r>
              <w:rPr>
                <w:rFonts w:hint="default" w:ascii="宋体" w:hAnsi="宋体" w:cs="宋体"/>
                <w:color w:val="auto"/>
                <w:kern w:val="0"/>
                <w:sz w:val="20"/>
                <w:szCs w:val="20"/>
              </w:rPr>
              <w:t xml:space="preserve">       0</w:t>
            </w:r>
          </w:p>
        </w:tc>
      </w:tr>
      <w:tr>
        <w:tblPrEx>
          <w:tblCellMar>
            <w:top w:w="0" w:type="dxa"/>
            <w:left w:w="0" w:type="dxa"/>
            <w:bottom w:w="0" w:type="dxa"/>
            <w:right w:w="0" w:type="dxa"/>
          </w:tblCellMar>
        </w:tblPrEx>
        <w:trPr>
          <w:trHeight w:val="471"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lang w:eastAsia="zh-CN"/>
              </w:rPr>
              <w:t>行政</w:t>
            </w:r>
            <w:r>
              <w:rPr>
                <w:rFonts w:hint="eastAsia" w:ascii="宋体" w:hAnsi="宋体" w:cs="宋体"/>
                <w:color w:val="auto"/>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w:t>
            </w:r>
            <w:r>
              <w:rPr>
                <w:rFonts w:hint="eastAsia" w:ascii="宋体" w:hAnsi="宋体" w:cs="宋体"/>
                <w:color w:val="auto"/>
                <w:kern w:val="0"/>
                <w:sz w:val="20"/>
                <w:szCs w:val="20"/>
                <w:lang w:val="en-US" w:eastAsia="zh-CN"/>
              </w:rPr>
              <w:t xml:space="preserve"> 1</w:t>
            </w:r>
          </w:p>
        </w:tc>
        <w:tc>
          <w:tcPr>
            <w:tcW w:w="15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w:t>
            </w:r>
            <w:r>
              <w:rPr>
                <w:rFonts w:hint="eastAsia" w:ascii="宋体" w:hAnsi="宋体" w:cs="宋体"/>
                <w:color w:val="auto"/>
                <w:kern w:val="0"/>
                <w:sz w:val="20"/>
                <w:szCs w:val="20"/>
                <w:lang w:val="en-US" w:eastAsia="zh-CN"/>
              </w:rPr>
              <w:t xml:space="preserve">  1</w:t>
            </w:r>
          </w:p>
        </w:tc>
        <w:tc>
          <w:tcPr>
            <w:tcW w:w="16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w:t>
            </w:r>
            <w:r>
              <w:rPr>
                <w:rFonts w:hint="eastAsia" w:ascii="宋体" w:hAnsi="宋体" w:cs="宋体"/>
                <w:color w:val="auto"/>
                <w:kern w:val="0"/>
                <w:sz w:val="20"/>
                <w:szCs w:val="20"/>
                <w:lang w:val="en-US" w:eastAsia="zh-CN"/>
              </w:rPr>
              <w:t>2</w:t>
            </w:r>
          </w:p>
        </w:tc>
      </w:tr>
      <w:tr>
        <w:tblPrEx>
          <w:tblCellMar>
            <w:top w:w="0" w:type="dxa"/>
            <w:left w:w="0" w:type="dxa"/>
            <w:bottom w:w="0" w:type="dxa"/>
            <w:right w:w="0"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第二十条第（五）项</w:t>
            </w:r>
          </w:p>
        </w:tc>
      </w:tr>
      <w:tr>
        <w:tblPrEx>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lang w:eastAsia="zh-CN"/>
              </w:rPr>
              <w:t>本年</w:t>
            </w:r>
            <w:r>
              <w:rPr>
                <w:rFonts w:hint="eastAsia" w:ascii="宋体" w:hAnsi="宋体" w:cs="宋体"/>
                <w:color w:val="auto"/>
                <w:kern w:val="0"/>
                <w:sz w:val="20"/>
                <w:szCs w:val="20"/>
              </w:rPr>
              <w:t>处理决定数量</w:t>
            </w:r>
          </w:p>
        </w:tc>
      </w:tr>
      <w:tr>
        <w:tblPrEx>
          <w:tblCellMar>
            <w:top w:w="0" w:type="dxa"/>
            <w:left w:w="0" w:type="dxa"/>
            <w:bottom w:w="0" w:type="dxa"/>
            <w:right w:w="0" w:type="dxa"/>
          </w:tblCellMar>
        </w:tblPrEx>
        <w:trPr>
          <w:trHeight w:val="1098"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p>
            <w:pPr>
              <w:widowControl/>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w:t>
            </w:r>
            <w:r>
              <w:rPr>
                <w:rFonts w:hint="eastAsia" w:ascii="宋体" w:hAnsi="宋体" w:cs="宋体"/>
                <w:color w:val="auto"/>
                <w:kern w:val="0"/>
                <w:sz w:val="20"/>
                <w:szCs w:val="20"/>
                <w:lang w:val="en-US" w:eastAsia="zh-CN"/>
              </w:rPr>
              <w:t>104</w:t>
            </w:r>
          </w:p>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tc>
      </w:tr>
      <w:tr>
        <w:tblPrEx>
          <w:tblCellMar>
            <w:top w:w="0" w:type="dxa"/>
            <w:left w:w="0" w:type="dxa"/>
            <w:bottom w:w="0" w:type="dxa"/>
            <w:right w:w="0"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第二十条第（六）项</w:t>
            </w:r>
          </w:p>
        </w:tc>
      </w:tr>
      <w:tr>
        <w:tblPrEx>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lang w:eastAsia="zh-CN"/>
              </w:rPr>
              <w:t>本年</w:t>
            </w:r>
            <w:r>
              <w:rPr>
                <w:rFonts w:hint="eastAsia" w:ascii="宋体" w:hAnsi="宋体" w:cs="宋体"/>
                <w:color w:val="auto"/>
                <w:kern w:val="0"/>
                <w:sz w:val="20"/>
                <w:szCs w:val="20"/>
              </w:rPr>
              <w:t>处理决定数量</w:t>
            </w:r>
          </w:p>
        </w:tc>
      </w:tr>
      <w:tr>
        <w:tblPrEx>
          <w:tblCellMar>
            <w:top w:w="0" w:type="dxa"/>
            <w:left w:w="0" w:type="dxa"/>
            <w:bottom w:w="0" w:type="dxa"/>
            <w:right w:w="0" w:type="dxa"/>
          </w:tblCellMar>
        </w:tblPrEx>
        <w:trPr>
          <w:trHeight w:val="430"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w:t>
            </w:r>
            <w:r>
              <w:rPr>
                <w:rFonts w:hint="eastAsia" w:ascii="宋体" w:hAnsi="宋体" w:cs="宋体"/>
                <w:color w:val="auto"/>
                <w:kern w:val="0"/>
                <w:sz w:val="20"/>
                <w:szCs w:val="20"/>
                <w:lang w:val="en-US" w:eastAsia="zh-CN"/>
              </w:rPr>
              <w:t xml:space="preserve">  3</w:t>
            </w:r>
          </w:p>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tc>
      </w:tr>
      <w:tr>
        <w:tblPrEx>
          <w:tblCellMar>
            <w:top w:w="0" w:type="dxa"/>
            <w:left w:w="0" w:type="dxa"/>
            <w:bottom w:w="0" w:type="dxa"/>
            <w:right w:w="0" w:type="dxa"/>
          </w:tblCellMar>
        </w:tblPrEx>
        <w:trPr>
          <w:trHeight w:val="409"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p>
            <w:pPr>
              <w:widowControl/>
              <w:jc w:val="left"/>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 xml:space="preserve">                    0</w:t>
            </w:r>
          </w:p>
          <w:p>
            <w:pPr>
              <w:widowControl/>
              <w:jc w:val="left"/>
              <w:rPr>
                <w:rFonts w:ascii="宋体" w:hAnsi="宋体" w:cs="宋体"/>
                <w:color w:val="auto"/>
                <w:kern w:val="0"/>
                <w:sz w:val="24"/>
                <w:szCs w:val="24"/>
              </w:rPr>
            </w:pPr>
            <w:r>
              <w:rPr>
                <w:rFonts w:hint="eastAsia" w:ascii="宋体" w:hAnsi="宋体" w:cs="宋体"/>
                <w:color w:val="auto"/>
                <w:kern w:val="0"/>
                <w:sz w:val="20"/>
                <w:szCs w:val="20"/>
              </w:rPr>
              <w:t>　</w:t>
            </w:r>
          </w:p>
        </w:tc>
      </w:tr>
      <w:tr>
        <w:tblPrEx>
          <w:tblCellMar>
            <w:top w:w="0" w:type="dxa"/>
            <w:left w:w="0" w:type="dxa"/>
            <w:bottom w:w="0" w:type="dxa"/>
            <w:right w:w="0"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第二十条第（八）项</w:t>
            </w:r>
          </w:p>
        </w:tc>
      </w:tr>
      <w:tr>
        <w:tblPrEx>
          <w:tblCellMar>
            <w:top w:w="0" w:type="dxa"/>
            <w:left w:w="0" w:type="dxa"/>
            <w:bottom w:w="0" w:type="dxa"/>
            <w:right w:w="0" w:type="dxa"/>
          </w:tblCellMar>
        </w:tblPrEx>
        <w:trPr>
          <w:trHeight w:val="270"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0"/>
                <w:szCs w:val="20"/>
                <w:lang w:eastAsia="zh-CN"/>
              </w:rPr>
              <w:t>本年收费金额（单位：万元）</w:t>
            </w:r>
          </w:p>
        </w:tc>
      </w:tr>
      <w:tr>
        <w:tblPrEx>
          <w:tblCellMar>
            <w:top w:w="0" w:type="dxa"/>
            <w:left w:w="0" w:type="dxa"/>
            <w:bottom w:w="0" w:type="dxa"/>
            <w:right w:w="0" w:type="dxa"/>
          </w:tblCellMar>
        </w:tblPrEx>
        <w:trPr>
          <w:trHeight w:val="551" w:hRule="atLeast"/>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color w:val="auto"/>
                <w:kern w:val="0"/>
                <w:sz w:val="24"/>
                <w:szCs w:val="24"/>
              </w:rPr>
            </w:pPr>
            <w:r>
              <w:rPr>
                <w:rFonts w:hint="eastAsia" w:ascii="宋体" w:hAnsi="宋体" w:cs="宋体"/>
                <w:color w:val="auto"/>
                <w:kern w:val="0"/>
                <w:sz w:val="20"/>
                <w:szCs w:val="20"/>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ind w:firstLine="2200" w:firstLineChars="1100"/>
              <w:jc w:val="both"/>
              <w:rPr>
                <w:rFonts w:ascii="宋体" w:hAnsi="宋体" w:cs="宋体"/>
                <w:color w:val="auto"/>
                <w:kern w:val="0"/>
                <w:sz w:val="24"/>
                <w:szCs w:val="24"/>
              </w:rPr>
            </w:pPr>
            <w:r>
              <w:rPr>
                <w:rFonts w:hint="default" w:ascii="宋体" w:hAnsi="宋体" w:cs="宋体"/>
                <w:color w:val="auto"/>
                <w:kern w:val="0"/>
                <w:sz w:val="20"/>
                <w:szCs w:val="20"/>
              </w:rPr>
              <w:t>0</w:t>
            </w:r>
            <w:r>
              <w:rPr>
                <w:rFonts w:hint="eastAsia" w:ascii="宋体" w:hAnsi="宋体" w:cs="宋体"/>
                <w:color w:val="auto"/>
                <w:kern w:val="0"/>
                <w:sz w:val="20"/>
                <w:szCs w:val="20"/>
              </w:rPr>
              <w:t> </w:t>
            </w:r>
          </w:p>
        </w:tc>
      </w:tr>
    </w:tbl>
    <w:p>
      <w:pPr>
        <w:keepNext w:val="0"/>
        <w:keepLines w:val="0"/>
        <w:pageBreakBefore w:val="0"/>
        <w:widowControl/>
        <w:kinsoku/>
        <w:wordWrap/>
        <w:overflowPunct/>
        <w:topLinePunct w:val="0"/>
        <w:autoSpaceDE/>
        <w:autoSpaceDN/>
        <w:bidi w:val="0"/>
        <w:adjustRightInd/>
        <w:snapToGrid/>
        <w:spacing w:after="240" w:line="560" w:lineRule="exact"/>
        <w:ind w:firstLine="640" w:firstLineChars="200"/>
        <w:textAlignment w:val="auto"/>
        <w:rPr>
          <w:rFonts w:hint="eastAsia"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三、</w:t>
      </w:r>
      <w:r>
        <w:rPr>
          <w:rFonts w:hint="eastAsia" w:ascii="黑体" w:hAnsi="黑体" w:eastAsia="黑体" w:cs="黑体"/>
          <w:b w:val="0"/>
          <w:bCs w:val="0"/>
          <w:color w:val="auto"/>
          <w:kern w:val="0"/>
          <w:sz w:val="32"/>
          <w:szCs w:val="32"/>
        </w:rPr>
        <w:t>收到和处理政府信息公开申请情况</w:t>
      </w:r>
    </w:p>
    <w:tbl>
      <w:tblPr>
        <w:tblStyle w:val="4"/>
        <w:tblW w:w="0" w:type="auto"/>
        <w:jc w:val="center"/>
        <w:tblLayout w:type="fixed"/>
        <w:tblCellMar>
          <w:top w:w="0" w:type="dxa"/>
          <w:left w:w="0" w:type="dxa"/>
          <w:bottom w:w="0" w:type="dxa"/>
          <w:right w:w="0" w:type="dxa"/>
        </w:tblCellMar>
      </w:tblPr>
      <w:tblGrid>
        <w:gridCol w:w="616"/>
        <w:gridCol w:w="816"/>
        <w:gridCol w:w="1823"/>
        <w:gridCol w:w="717"/>
        <w:gridCol w:w="667"/>
        <w:gridCol w:w="667"/>
        <w:gridCol w:w="717"/>
        <w:gridCol w:w="855"/>
        <w:gridCol w:w="629"/>
        <w:gridCol w:w="616"/>
      </w:tblGrid>
      <w:tr>
        <w:tblPrEx>
          <w:tblCellMar>
            <w:top w:w="0" w:type="dxa"/>
            <w:left w:w="0" w:type="dxa"/>
            <w:bottom w:w="0" w:type="dxa"/>
            <w:right w:w="0" w:type="dxa"/>
          </w:tblCellMar>
        </w:tblPrEx>
        <w:trPr>
          <w:trHeight w:val="307" w:hRule="atLeast"/>
          <w:jc w:val="center"/>
        </w:trPr>
        <w:tc>
          <w:tcPr>
            <w:tcW w:w="325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楷体" w:hAnsi="楷体" w:eastAsia="楷体" w:cs="楷体"/>
                <w:color w:val="auto"/>
                <w:kern w:val="0"/>
                <w:sz w:val="20"/>
                <w:szCs w:val="20"/>
              </w:rPr>
              <w:t>（本列数据的勾稽关系为：第一项加第二项之和，等于第三项加第四项之和）</w:t>
            </w:r>
          </w:p>
        </w:tc>
        <w:tc>
          <w:tcPr>
            <w:tcW w:w="4868"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申请人情况</w:t>
            </w:r>
          </w:p>
        </w:tc>
      </w:tr>
      <w:tr>
        <w:tblPrEx>
          <w:tblCellMar>
            <w:top w:w="0" w:type="dxa"/>
            <w:left w:w="0" w:type="dxa"/>
            <w:bottom w:w="0" w:type="dxa"/>
            <w:right w:w="0" w:type="dxa"/>
          </w:tblCellMar>
        </w:tblPrEx>
        <w:trPr>
          <w:trHeight w:val="142" w:hRule="atLeast"/>
          <w:jc w:val="center"/>
        </w:trPr>
        <w:tc>
          <w:tcPr>
            <w:tcW w:w="3255"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7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自然人</w:t>
            </w:r>
          </w:p>
        </w:tc>
        <w:tc>
          <w:tcPr>
            <w:tcW w:w="353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法人或其他组织</w:t>
            </w:r>
          </w:p>
        </w:tc>
        <w:tc>
          <w:tcPr>
            <w:tcW w:w="61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总计</w:t>
            </w:r>
          </w:p>
        </w:tc>
      </w:tr>
      <w:tr>
        <w:tblPrEx>
          <w:tblCellMar>
            <w:top w:w="0" w:type="dxa"/>
            <w:left w:w="0" w:type="dxa"/>
            <w:bottom w:w="0" w:type="dxa"/>
            <w:right w:w="0" w:type="dxa"/>
          </w:tblCellMar>
        </w:tblPrEx>
        <w:trPr>
          <w:trHeight w:val="142" w:hRule="atLeast"/>
          <w:jc w:val="center"/>
        </w:trPr>
        <w:tc>
          <w:tcPr>
            <w:tcW w:w="3255"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717"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商业企业</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科研机构</w:t>
            </w:r>
          </w:p>
        </w:tc>
        <w:tc>
          <w:tcPr>
            <w:tcW w:w="7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社会公益组织</w:t>
            </w:r>
          </w:p>
        </w:tc>
        <w:tc>
          <w:tcPr>
            <w:tcW w:w="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法律服务机构</w:t>
            </w:r>
          </w:p>
        </w:tc>
        <w:tc>
          <w:tcPr>
            <w:tcW w:w="6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其他</w:t>
            </w:r>
          </w:p>
        </w:tc>
        <w:tc>
          <w:tcPr>
            <w:tcW w:w="616"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r>
      <w:tr>
        <w:tblPrEx>
          <w:tblCellMar>
            <w:top w:w="0" w:type="dxa"/>
            <w:left w:w="0" w:type="dxa"/>
            <w:bottom w:w="0" w:type="dxa"/>
            <w:right w:w="0" w:type="dxa"/>
          </w:tblCellMar>
        </w:tblPrEx>
        <w:trPr>
          <w:trHeight w:val="307" w:hRule="atLeast"/>
          <w:jc w:val="center"/>
        </w:trPr>
        <w:tc>
          <w:tcPr>
            <w:tcW w:w="32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一、本年新收政府信息公开申请数量</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26</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0"/>
                <w:szCs w:val="20"/>
                <w:lang w:val="en-US" w:eastAsia="zh-CN"/>
              </w:rPr>
              <w:t>26</w:t>
            </w:r>
          </w:p>
        </w:tc>
      </w:tr>
      <w:tr>
        <w:tblPrEx>
          <w:tblCellMar>
            <w:top w:w="0" w:type="dxa"/>
            <w:left w:w="0" w:type="dxa"/>
            <w:bottom w:w="0" w:type="dxa"/>
            <w:right w:w="0" w:type="dxa"/>
          </w:tblCellMar>
        </w:tblPrEx>
        <w:trPr>
          <w:trHeight w:val="297" w:hRule="atLeast"/>
          <w:jc w:val="center"/>
        </w:trPr>
        <w:tc>
          <w:tcPr>
            <w:tcW w:w="32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二、上年结转政府信息公开申请数量</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lang w:val="en-US" w:eastAsia="zh-CN"/>
              </w:rPr>
              <w:t>0</w:t>
            </w:r>
          </w:p>
        </w:tc>
      </w:tr>
      <w:tr>
        <w:tblPrEx>
          <w:tblCellMar>
            <w:top w:w="0" w:type="dxa"/>
            <w:left w:w="0" w:type="dxa"/>
            <w:bottom w:w="0" w:type="dxa"/>
            <w:right w:w="0" w:type="dxa"/>
          </w:tblCellMar>
        </w:tblPrEx>
        <w:trPr>
          <w:trHeight w:val="307" w:hRule="atLeast"/>
          <w:jc w:val="center"/>
        </w:trPr>
        <w:tc>
          <w:tcPr>
            <w:tcW w:w="61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三、本年度办理结果</w:t>
            </w: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（一）予以公开</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6</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rPr>
              <w:t> </w:t>
            </w: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6</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（二）部分公开</w:t>
            </w:r>
            <w:r>
              <w:rPr>
                <w:rFonts w:hint="eastAsia" w:ascii="楷体" w:hAnsi="楷体" w:eastAsia="楷体" w:cs="楷体"/>
                <w:color w:val="auto"/>
                <w:kern w:val="0"/>
                <w:sz w:val="20"/>
                <w:szCs w:val="20"/>
              </w:rPr>
              <w:t>（区分处理的，只计这一情形，不计其他情形）</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（三）不予公开</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1.属于国家秘密</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2.其他法律行政法规禁止公开</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default" w:ascii="仿宋" w:hAnsi="仿宋" w:eastAsia="仿宋" w:cs="仿宋"/>
                <w:color w:val="auto"/>
                <w:kern w:val="0"/>
                <w:sz w:val="24"/>
                <w:szCs w:val="24"/>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3.危及“三安全一稳定”</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4.保护第三方合法权益</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rPr>
              <w:t> </w:t>
            </w: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5.属于三类内部事务信息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6.属于四类过程性信息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7.属于行政执法案卷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8.属于行政查询事项</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（四）无法提供</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1.本机关不掌握相关政府信息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rPr>
            </w:pPr>
            <w:r>
              <w:rPr>
                <w:rFonts w:hint="eastAsia" w:ascii="仿宋" w:hAnsi="仿宋" w:eastAsia="仿宋" w:cs="仿宋"/>
                <w:color w:val="auto"/>
                <w:kern w:val="0"/>
                <w:sz w:val="20"/>
                <w:szCs w:val="20"/>
                <w:lang w:val="en-US" w:eastAsia="zh-CN"/>
              </w:rPr>
              <w:t>18</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0"/>
                <w:szCs w:val="20"/>
                <w:lang w:val="en-US" w:eastAsia="zh-CN"/>
              </w:rPr>
              <w:t>18</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2.没有现成信息需要另行制作</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3.补正后申请内容仍不明确</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（五）不予处理</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1.信访举报投诉类申请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0"/>
                <w:szCs w:val="20"/>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2.重复申请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3.要求提供公开出版物</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4.无正当理由大量反复申请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5.要求行政机关确认或重新出具已获取信息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restart"/>
            <w:tcBorders>
              <w:top w:val="nil"/>
              <w:left w:val="nil"/>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（六）其他处理</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1.申请人无正当理由预期不补正、行政机关不再处理其政府信息公开申请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left w:val="nil"/>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2.申请人预期未按收费通知要求缴纳费用、行政机关不再处理其政府信息公开申请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816"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3.其他</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 w:hAnsi="仿宋" w:eastAsia="仿宋" w:cs="仿宋"/>
                <w:color w:val="auto"/>
                <w:kern w:val="0"/>
                <w:sz w:val="24"/>
                <w:szCs w:val="24"/>
              </w:rPr>
            </w:pP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（七）总计</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lang w:val="en-US" w:eastAsia="zh-CN"/>
              </w:rPr>
              <w:t>24</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eastAsia="zh-CN" w:bidi="ar-SA"/>
              </w:rPr>
            </w:pPr>
            <w:r>
              <w:rPr>
                <w:rFonts w:hint="eastAsia" w:ascii="仿宋" w:hAnsi="仿宋" w:eastAsia="仿宋" w:cs="仿宋"/>
                <w:color w:val="auto"/>
                <w:kern w:val="0"/>
                <w:sz w:val="24"/>
                <w:szCs w:val="24"/>
                <w:lang w:val="en-US" w:eastAsia="zh-CN" w:bidi="ar-SA"/>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lang w:val="en-US" w:eastAsia="zh-CN"/>
              </w:rPr>
              <w:t>24</w:t>
            </w:r>
          </w:p>
        </w:tc>
      </w:tr>
      <w:tr>
        <w:tblPrEx>
          <w:tblCellMar>
            <w:top w:w="0" w:type="dxa"/>
            <w:left w:w="0" w:type="dxa"/>
            <w:bottom w:w="0" w:type="dxa"/>
            <w:right w:w="0" w:type="dxa"/>
          </w:tblCellMar>
        </w:tblPrEx>
        <w:trPr>
          <w:trHeight w:val="307" w:hRule="atLeast"/>
          <w:jc w:val="center"/>
        </w:trPr>
        <w:tc>
          <w:tcPr>
            <w:tcW w:w="32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0"/>
                <w:szCs w:val="20"/>
              </w:rPr>
              <w:t>四、结转下年度继续办理</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lang w:val="en-US" w:eastAsia="zh-CN"/>
              </w:rPr>
              <w:t>2</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rPr>
              <w:t> </w:t>
            </w:r>
            <w:r>
              <w:rPr>
                <w:rFonts w:hint="default" w:ascii="仿宋" w:hAnsi="仿宋" w:eastAsia="仿宋" w:cs="仿宋"/>
                <w:color w:val="auto"/>
                <w:kern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0"/>
                <w:szCs w:val="20"/>
              </w:rPr>
              <w:t>0</w:t>
            </w:r>
            <w:r>
              <w:rPr>
                <w:rFonts w:hint="eastAsia" w:ascii="仿宋" w:hAnsi="仿宋" w:eastAsia="仿宋" w:cs="仿宋"/>
                <w:color w:val="auto"/>
                <w:kern w:val="0"/>
                <w:sz w:val="20"/>
                <w:szCs w:val="20"/>
              </w:rPr>
              <w:t> </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0"/>
                <w:szCs w:val="20"/>
                <w:lang w:val="en-US" w:eastAsia="zh-CN"/>
              </w:rPr>
              <w:t>2</w:t>
            </w:r>
          </w:p>
        </w:tc>
      </w:tr>
    </w:tbl>
    <w:p>
      <w:pPr>
        <w:widowControl/>
        <w:spacing w:after="240" w:line="432" w:lineRule="atLeas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四、政府信息公开行政复议、行政诉讼情况</w:t>
      </w:r>
    </w:p>
    <w:tbl>
      <w:tblPr>
        <w:tblStyle w:val="4"/>
        <w:tblW w:w="0" w:type="auto"/>
        <w:jc w:val="center"/>
        <w:tblLayout w:type="fixed"/>
        <w:tblCellMar>
          <w:top w:w="0" w:type="dxa"/>
          <w:left w:w="0" w:type="dxa"/>
          <w:bottom w:w="0" w:type="dxa"/>
          <w:right w:w="0" w:type="dxa"/>
        </w:tblCellMar>
      </w:tblPr>
      <w:tblGrid>
        <w:gridCol w:w="515"/>
        <w:gridCol w:w="515"/>
        <w:gridCol w:w="515"/>
        <w:gridCol w:w="515"/>
        <w:gridCol w:w="564"/>
        <w:gridCol w:w="469"/>
        <w:gridCol w:w="516"/>
        <w:gridCol w:w="516"/>
        <w:gridCol w:w="516"/>
        <w:gridCol w:w="519"/>
        <w:gridCol w:w="516"/>
        <w:gridCol w:w="516"/>
        <w:gridCol w:w="516"/>
        <w:gridCol w:w="517"/>
        <w:gridCol w:w="518"/>
      </w:tblGrid>
      <w:tr>
        <w:tblPrEx>
          <w:tblCellMar>
            <w:top w:w="0" w:type="dxa"/>
            <w:left w:w="0" w:type="dxa"/>
            <w:bottom w:w="0" w:type="dxa"/>
            <w:right w:w="0" w:type="dxa"/>
          </w:tblCellMar>
        </w:tblPrEx>
        <w:trPr>
          <w:trHeight w:val="273" w:hRule="atLeast"/>
          <w:jc w:val="center"/>
        </w:trPr>
        <w:tc>
          <w:tcPr>
            <w:tcW w:w="2624"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行政复议</w:t>
            </w:r>
          </w:p>
        </w:tc>
        <w:tc>
          <w:tcPr>
            <w:tcW w:w="5119"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行政诉讼</w:t>
            </w:r>
          </w:p>
        </w:tc>
      </w:tr>
      <w:tr>
        <w:tblPrEx>
          <w:tblCellMar>
            <w:top w:w="0" w:type="dxa"/>
            <w:left w:w="0" w:type="dxa"/>
            <w:bottom w:w="0" w:type="dxa"/>
            <w:right w:w="0" w:type="dxa"/>
          </w:tblCellMar>
        </w:tblPrEx>
        <w:trPr>
          <w:trHeight w:val="283" w:hRule="atLeast"/>
          <w:jc w:val="center"/>
        </w:trPr>
        <w:tc>
          <w:tcPr>
            <w:tcW w:w="515"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结果维持</w:t>
            </w:r>
          </w:p>
        </w:tc>
        <w:tc>
          <w:tcPr>
            <w:tcW w:w="51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结果纠正</w:t>
            </w:r>
          </w:p>
        </w:tc>
        <w:tc>
          <w:tcPr>
            <w:tcW w:w="5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其他结果</w:t>
            </w:r>
          </w:p>
        </w:tc>
        <w:tc>
          <w:tcPr>
            <w:tcW w:w="5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尚未审结</w:t>
            </w:r>
          </w:p>
        </w:tc>
        <w:tc>
          <w:tcPr>
            <w:tcW w:w="56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总计</w:t>
            </w:r>
          </w:p>
        </w:tc>
        <w:tc>
          <w:tcPr>
            <w:tcW w:w="2536"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未经复议直接起诉</w:t>
            </w:r>
          </w:p>
        </w:tc>
        <w:tc>
          <w:tcPr>
            <w:tcW w:w="2583"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复议后起诉</w:t>
            </w:r>
          </w:p>
        </w:tc>
      </w:tr>
      <w:tr>
        <w:tblPrEx>
          <w:tblCellMar>
            <w:top w:w="0" w:type="dxa"/>
            <w:left w:w="0" w:type="dxa"/>
            <w:bottom w:w="0" w:type="dxa"/>
            <w:right w:w="0" w:type="dxa"/>
          </w:tblCellMar>
        </w:tblPrEx>
        <w:trPr>
          <w:trHeight w:val="130" w:hRule="atLeast"/>
          <w:jc w:val="center"/>
        </w:trPr>
        <w:tc>
          <w:tcPr>
            <w:tcW w:w="515"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4"/>
                <w:szCs w:val="24"/>
              </w:rPr>
            </w:pPr>
          </w:p>
        </w:tc>
        <w:tc>
          <w:tcPr>
            <w:tcW w:w="515" w:type="dxa"/>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4"/>
                <w:szCs w:val="24"/>
              </w:rPr>
            </w:pPr>
          </w:p>
        </w:tc>
        <w:tc>
          <w:tcPr>
            <w:tcW w:w="515"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auto"/>
                <w:kern w:val="0"/>
                <w:sz w:val="24"/>
                <w:szCs w:val="24"/>
              </w:rPr>
            </w:pPr>
          </w:p>
        </w:tc>
        <w:tc>
          <w:tcPr>
            <w:tcW w:w="515"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auto"/>
                <w:kern w:val="0"/>
                <w:sz w:val="24"/>
                <w:szCs w:val="24"/>
              </w:rPr>
            </w:pPr>
          </w:p>
        </w:tc>
        <w:tc>
          <w:tcPr>
            <w:tcW w:w="56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auto"/>
                <w:kern w:val="0"/>
                <w:sz w:val="24"/>
                <w:szCs w:val="24"/>
              </w:rPr>
            </w:pPr>
          </w:p>
        </w:tc>
        <w:tc>
          <w:tcPr>
            <w:tcW w:w="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结果维持</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结果纠正</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其他结果</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尚未审结</w:t>
            </w:r>
          </w:p>
        </w:tc>
        <w:tc>
          <w:tcPr>
            <w:tcW w:w="5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总计</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结果维持</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结果纠正</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其他结果</w:t>
            </w:r>
          </w:p>
        </w:tc>
        <w:tc>
          <w:tcPr>
            <w:tcW w:w="5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尚未审结</w:t>
            </w:r>
          </w:p>
        </w:tc>
        <w:tc>
          <w:tcPr>
            <w:tcW w:w="5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0"/>
                <w:szCs w:val="20"/>
              </w:rPr>
              <w:t>总计</w:t>
            </w:r>
          </w:p>
        </w:tc>
      </w:tr>
      <w:tr>
        <w:tblPrEx>
          <w:tblCellMar>
            <w:top w:w="0" w:type="dxa"/>
            <w:left w:w="0" w:type="dxa"/>
            <w:bottom w:w="0" w:type="dxa"/>
            <w:right w:w="0" w:type="dxa"/>
          </w:tblCellMar>
        </w:tblPrEx>
        <w:trPr>
          <w:trHeight w:val="283" w:hRule="atLeast"/>
          <w:jc w:val="center"/>
        </w:trPr>
        <w:tc>
          <w:tcPr>
            <w:tcW w:w="5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cs="Calibri"/>
                <w:color w:val="auto"/>
                <w:kern w:val="0"/>
                <w:sz w:val="20"/>
                <w:szCs w:val="20"/>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cs="Calibri"/>
                <w:color w:val="auto"/>
                <w:kern w:val="0"/>
                <w:sz w:val="20"/>
                <w:szCs w:val="20"/>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cs="Calibri"/>
                <w:color w:val="auto"/>
                <w:kern w:val="0"/>
                <w:sz w:val="20"/>
                <w:szCs w:val="20"/>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cs="Calibri"/>
                <w:color w:val="auto"/>
                <w:kern w:val="0"/>
                <w:sz w:val="20"/>
                <w:szCs w:val="20"/>
              </w:rPr>
              <w:t> </w:t>
            </w:r>
            <w:r>
              <w:rPr>
                <w:rFonts w:hint="default" w:cs="Calibri"/>
                <w:color w:val="auto"/>
                <w:kern w:val="0"/>
                <w:sz w:val="20"/>
                <w:szCs w:val="20"/>
              </w:rPr>
              <w:t>0</w:t>
            </w:r>
          </w:p>
        </w:tc>
        <w:tc>
          <w:tcPr>
            <w:tcW w:w="56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auto"/>
                <w:kern w:val="0"/>
                <w:sz w:val="24"/>
                <w:szCs w:val="24"/>
                <w:lang w:eastAsia="zh-CN"/>
              </w:rPr>
            </w:pPr>
            <w:r>
              <w:rPr>
                <w:rFonts w:hint="eastAsia" w:eastAsia="宋体" w:cs="Calibri"/>
                <w:color w:val="auto"/>
                <w:kern w:val="0"/>
                <w:sz w:val="20"/>
                <w:szCs w:val="20"/>
                <w:lang w:val="en-US" w:eastAsia="zh-CN"/>
              </w:rPr>
              <w:t>0</w:t>
            </w:r>
          </w:p>
        </w:tc>
        <w:tc>
          <w:tcPr>
            <w:tcW w:w="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default" w:ascii="宋体" w:hAnsi="宋体" w:cs="宋体"/>
                <w:color w:val="auto"/>
                <w:kern w:val="0"/>
                <w:sz w:val="20"/>
                <w:szCs w:val="20"/>
              </w:rPr>
              <w:t>0</w:t>
            </w:r>
            <w:r>
              <w:rPr>
                <w:rFonts w:hint="eastAsia" w:ascii="宋体" w:hAnsi="宋体" w:cs="宋体"/>
                <w:color w:val="auto"/>
                <w:kern w:val="0"/>
                <w:sz w:val="20"/>
                <w:szCs w:val="20"/>
              </w:rPr>
              <w:t> </w:t>
            </w:r>
          </w:p>
        </w:tc>
        <w:tc>
          <w:tcPr>
            <w:tcW w:w="5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default" w:ascii="宋体" w:hAnsi="宋体" w:cs="宋体"/>
                <w:color w:val="auto"/>
                <w:kern w:val="0"/>
                <w:sz w:val="20"/>
                <w:szCs w:val="20"/>
              </w:rPr>
              <w:t>0</w:t>
            </w:r>
            <w:r>
              <w:rPr>
                <w:rFonts w:hint="eastAsia" w:ascii="宋体" w:hAnsi="宋体" w:cs="宋体"/>
                <w:color w:val="auto"/>
                <w:kern w:val="0"/>
                <w:sz w:val="20"/>
                <w:szCs w:val="20"/>
              </w:rPr>
              <w:t> </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color w:val="auto"/>
                <w:kern w:val="0"/>
                <w:sz w:val="24"/>
                <w:szCs w:val="24"/>
              </w:rPr>
            </w:pPr>
            <w:r>
              <w:rPr>
                <w:rFonts w:hint="eastAsia" w:ascii="宋体" w:hAnsi="宋体" w:cs="宋体"/>
                <w:color w:val="auto"/>
                <w:kern w:val="0"/>
                <w:sz w:val="20"/>
                <w:szCs w:val="20"/>
              </w:rPr>
              <w:t> </w:t>
            </w:r>
            <w:r>
              <w:rPr>
                <w:rFonts w:hint="default" w:ascii="宋体" w:hAnsi="宋体" w:cs="宋体"/>
                <w:color w:val="auto"/>
                <w:kern w:val="0"/>
                <w:sz w:val="20"/>
                <w:szCs w:val="20"/>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default" w:ascii="宋体" w:hAnsi="宋体" w:cs="宋体"/>
                <w:color w:val="auto"/>
                <w:kern w:val="0"/>
                <w:sz w:val="20"/>
                <w:szCs w:val="20"/>
              </w:rPr>
              <w:t>0</w:t>
            </w:r>
            <w:r>
              <w:rPr>
                <w:rFonts w:hint="eastAsia" w:ascii="宋体" w:hAnsi="宋体" w:cs="宋体"/>
                <w:color w:val="auto"/>
                <w:kern w:val="0"/>
                <w:sz w:val="20"/>
                <w:szCs w:val="20"/>
              </w:rPr>
              <w:t> </w:t>
            </w:r>
          </w:p>
        </w:tc>
        <w:tc>
          <w:tcPr>
            <w:tcW w:w="5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color w:val="auto"/>
                <w:kern w:val="0"/>
                <w:sz w:val="24"/>
                <w:szCs w:val="24"/>
              </w:rPr>
            </w:pPr>
            <w:r>
              <w:rPr>
                <w:rFonts w:hint="default" w:ascii="宋体" w:hAnsi="宋体" w:cs="宋体"/>
                <w:color w:val="auto"/>
                <w:kern w:val="0"/>
                <w:sz w:val="20"/>
                <w:szCs w:val="20"/>
              </w:rPr>
              <w:t>0</w:t>
            </w:r>
            <w:r>
              <w:rPr>
                <w:rFonts w:hint="eastAsia" w:ascii="宋体" w:hAnsi="宋体" w:cs="宋体"/>
                <w:color w:val="auto"/>
                <w:kern w:val="0"/>
                <w:sz w:val="20"/>
                <w:szCs w:val="20"/>
              </w:rPr>
              <w:t> </w:t>
            </w:r>
          </w:p>
        </w:tc>
        <w:tc>
          <w:tcPr>
            <w:tcW w:w="5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default" w:ascii="宋体" w:hAnsi="宋体" w:cs="宋体"/>
                <w:color w:val="auto"/>
                <w:kern w:val="0"/>
                <w:sz w:val="24"/>
                <w:szCs w:val="24"/>
              </w:rPr>
            </w:pPr>
            <w:r>
              <w:rPr>
                <w:rFonts w:hint="default" w:ascii="宋体" w:hAnsi="宋体" w:cs="宋体"/>
                <w:color w:val="auto"/>
                <w:kern w:val="0"/>
                <w:sz w:val="24"/>
                <w:szCs w:val="24"/>
              </w:rPr>
              <w:t>0</w:t>
            </w:r>
          </w:p>
        </w:tc>
      </w:tr>
    </w:tbl>
    <w:p>
      <w:pPr>
        <w:rPr>
          <w:rFonts w:hint="eastAsia" w:ascii="仿宋_GB2312" w:hAnsi="仿宋_GB2312" w:eastAsia="仿宋_GB2312" w:cs="仿宋_GB2312"/>
          <w:color w:val="auto"/>
          <w:sz w:val="32"/>
          <w:szCs w:val="32"/>
          <w:lang w:eastAsia="zh-CN"/>
        </w:rPr>
      </w:pPr>
    </w:p>
    <w:p>
      <w:pPr>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2025年，我局政府信息公开工作继续稳妥有力推进，但在平台功能优化和互动回应方面还需进一步提升。</w:t>
      </w:r>
      <w:r>
        <w:rPr>
          <w:rFonts w:hint="eastAsia" w:ascii="仿宋_GB2312" w:hAnsi="仿宋_GB2312" w:eastAsia="仿宋_GB2312" w:cs="仿宋_GB2312"/>
          <w:color w:val="auto"/>
          <w:sz w:val="32"/>
          <w:szCs w:val="32"/>
        </w:rPr>
        <w:t>针对当前存在的问题和不足，下一步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我们将坚持问题导向和目标导向，聚焦重点领域和关键环节，持续加大工作力度，补齐问题短板，全力以赴推进政务公开工作再上新台阶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rPr>
        <w:t>，我们将以更加开放的姿态、更加务实的举措，持续推进政务公开工作，更好地服务经济社会发展大局，切实保障人民群众的知情权、参与权、表达权、监督权，为建设人民满意的服务型政府作出新的更大贡献。</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六、其他需要报告的事项</w:t>
      </w:r>
    </w:p>
    <w:p>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（一）政府公开信息处理费收取情况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本年度鄂尔多斯市能源局未收取政府公开信息处理费。</w:t>
      </w:r>
    </w:p>
    <w:p>
      <w:pPr>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（二）人大建议、政协提案办理情况</w:t>
      </w:r>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2025年</w:t>
      </w:r>
      <w:r>
        <w:rPr>
          <w:rFonts w:hint="eastAsia" w:ascii="仿宋_GB2312" w:hAnsi="仿宋_GB2312" w:eastAsia="仿宋_GB2312" w:cs="仿宋_GB2312"/>
          <w:b w:val="0"/>
          <w:bCs w:val="0"/>
          <w:color w:val="auto"/>
          <w:sz w:val="32"/>
          <w:szCs w:val="32"/>
          <w:lang w:eastAsia="zh-CN"/>
        </w:rPr>
        <w:t>，我局共</w:t>
      </w:r>
      <w:r>
        <w:rPr>
          <w:rFonts w:hint="eastAsia" w:ascii="仿宋_GB2312" w:hAnsi="仿宋_GB2312" w:eastAsia="仿宋_GB2312" w:cs="仿宋_GB2312"/>
          <w:b w:val="0"/>
          <w:bCs w:val="0"/>
          <w:color w:val="auto"/>
          <w:sz w:val="32"/>
          <w:szCs w:val="32"/>
        </w:rPr>
        <w:t>承办各类议案、提案共59件，其中主办28件，协办31件。议案、提案</w:t>
      </w:r>
      <w:r>
        <w:rPr>
          <w:rFonts w:hint="eastAsia" w:ascii="仿宋_GB2312" w:hAnsi="仿宋_GB2312" w:eastAsia="仿宋_GB2312" w:cs="仿宋_GB2312"/>
          <w:b w:val="0"/>
          <w:bCs w:val="0"/>
          <w:color w:val="auto"/>
          <w:sz w:val="32"/>
          <w:szCs w:val="32"/>
          <w:lang w:eastAsia="zh-CN"/>
        </w:rPr>
        <w:t>内容</w:t>
      </w:r>
      <w:r>
        <w:rPr>
          <w:rFonts w:hint="eastAsia" w:ascii="仿宋_GB2312" w:hAnsi="仿宋_GB2312" w:eastAsia="仿宋_GB2312" w:cs="仿宋_GB2312"/>
          <w:b w:val="0"/>
          <w:bCs w:val="0"/>
          <w:color w:val="auto"/>
          <w:sz w:val="32"/>
          <w:szCs w:val="32"/>
        </w:rPr>
        <w:t>涉及煤炭、煤制油气、电力、新能源、清洁能源等多个领域，</w:t>
      </w:r>
      <w:r>
        <w:rPr>
          <w:rFonts w:hint="eastAsia" w:ascii="仿宋_GB2312" w:hAnsi="仿宋_GB2312" w:eastAsia="仿宋_GB2312" w:cs="仿宋_GB2312"/>
          <w:b w:val="0"/>
          <w:bCs w:val="0"/>
          <w:color w:val="auto"/>
          <w:sz w:val="32"/>
          <w:szCs w:val="32"/>
          <w:lang w:eastAsia="zh-CN"/>
        </w:rPr>
        <w:t>均已按期办结，办结率为</w:t>
      </w:r>
      <w:r>
        <w:rPr>
          <w:rFonts w:hint="eastAsia" w:ascii="仿宋_GB2312" w:hAnsi="仿宋_GB2312" w:eastAsia="仿宋_GB2312" w:cs="仿宋_GB2312"/>
          <w:b w:val="0"/>
          <w:bCs w:val="0"/>
          <w:color w:val="auto"/>
          <w:sz w:val="32"/>
          <w:szCs w:val="32"/>
          <w:lang w:val="en-US" w:eastAsia="zh-CN"/>
        </w:rPr>
        <w:t>100%。其中，</w:t>
      </w:r>
      <w:r>
        <w:rPr>
          <w:rFonts w:hint="eastAsia" w:ascii="仿宋_GB2312" w:hAnsi="仿宋_GB2312" w:eastAsia="仿宋_GB2312" w:cs="仿宋_GB2312"/>
          <w:b w:val="0"/>
          <w:bCs w:val="0"/>
          <w:color w:val="auto"/>
          <w:sz w:val="32"/>
          <w:szCs w:val="32"/>
        </w:rPr>
        <w:t>部分议案、提案</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由理论层面转化成了现实成果</w:t>
      </w:r>
      <w:r>
        <w:rPr>
          <w:rFonts w:hint="eastAsia" w:ascii="仿宋_GB2312" w:hAnsi="仿宋_GB2312" w:eastAsia="仿宋_GB2312" w:cs="仿宋_GB2312"/>
          <w:b w:val="0"/>
          <w:bCs w:val="0"/>
          <w:color w:val="auto"/>
          <w:sz w:val="32"/>
          <w:szCs w:val="32"/>
          <w:lang w:eastAsia="zh-CN"/>
        </w:rPr>
        <w:t>，进一步</w:t>
      </w:r>
      <w:r>
        <w:rPr>
          <w:rFonts w:hint="eastAsia" w:ascii="仿宋_GB2312" w:hAnsi="仿宋_GB2312" w:eastAsia="仿宋_GB2312" w:cs="仿宋_GB2312"/>
          <w:b w:val="0"/>
          <w:bCs w:val="0"/>
          <w:color w:val="auto"/>
          <w:sz w:val="32"/>
          <w:szCs w:val="32"/>
        </w:rPr>
        <w:t>强化</w:t>
      </w:r>
      <w:r>
        <w:rPr>
          <w:rFonts w:hint="eastAsia" w:ascii="仿宋_GB2312" w:hAnsi="仿宋_GB2312" w:eastAsia="仿宋_GB2312" w:cs="仿宋_GB2312"/>
          <w:b w:val="0"/>
          <w:bCs w:val="0"/>
          <w:color w:val="auto"/>
          <w:sz w:val="32"/>
          <w:szCs w:val="32"/>
          <w:lang w:eastAsia="zh-CN"/>
        </w:rPr>
        <w:t>了</w:t>
      </w:r>
      <w:r>
        <w:rPr>
          <w:rFonts w:hint="eastAsia" w:ascii="仿宋_GB2312" w:hAnsi="仿宋_GB2312" w:eastAsia="仿宋_GB2312" w:cs="仿宋_GB2312"/>
          <w:b w:val="0"/>
          <w:bCs w:val="0"/>
          <w:color w:val="auto"/>
          <w:sz w:val="32"/>
          <w:szCs w:val="32"/>
        </w:rPr>
        <w:t>结果应用，积极推动</w:t>
      </w:r>
      <w:r>
        <w:rPr>
          <w:rFonts w:hint="eastAsia" w:ascii="仿宋_GB2312" w:hAnsi="仿宋_GB2312" w:eastAsia="仿宋_GB2312" w:cs="仿宋_GB2312"/>
          <w:b w:val="0"/>
          <w:bCs w:val="0"/>
          <w:color w:val="auto"/>
          <w:sz w:val="32"/>
          <w:szCs w:val="32"/>
          <w:lang w:eastAsia="zh-CN"/>
        </w:rPr>
        <w:t>了</w:t>
      </w:r>
      <w:r>
        <w:rPr>
          <w:rFonts w:hint="eastAsia" w:ascii="仿宋_GB2312" w:hAnsi="仿宋_GB2312" w:eastAsia="仿宋_GB2312" w:cs="仿宋_GB2312"/>
          <w:b w:val="0"/>
          <w:bCs w:val="0"/>
          <w:color w:val="auto"/>
          <w:sz w:val="32"/>
          <w:szCs w:val="32"/>
        </w:rPr>
        <w:t>企业群众急难愁盼问题解决。</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鄂尔多斯市能源局将继续深入贯彻落实政府信息公开条例要求，紧扣全市能源发展中心工作和公众关切，持续优化公开内容，创新公开方式，完善制度机制，推动政府信息公开工作再上新台阶，为服务经济社会发展、建设人民满意的服务型部门提供有力支撑。</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p>
    <w:p>
      <w:pPr>
        <w:rPr>
          <w:rFonts w:hint="eastAsia" w:ascii="仿宋_GB2312" w:hAnsi="仿宋_GB2312" w:eastAsia="仿宋_GB2312" w:cs="仿宋_GB2312"/>
          <w:color w:val="auto"/>
          <w:sz w:val="32"/>
          <w:szCs w:val="32"/>
          <w:lang w:eastAsia="zh-CN"/>
        </w:rPr>
      </w:pPr>
    </w:p>
    <w:p>
      <w:pPr>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 鄂尔多斯市能源局</w:t>
      </w:r>
    </w:p>
    <w:p>
      <w:pPr>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2025年1月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仿宋">
    <w:altName w:val="方正仿宋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184C0"/>
    <w:rsid w:val="19BF3608"/>
    <w:rsid w:val="29EF8E85"/>
    <w:rsid w:val="2BABF0B1"/>
    <w:rsid w:val="33FBFDEF"/>
    <w:rsid w:val="36DBEC5E"/>
    <w:rsid w:val="3DB37B5F"/>
    <w:rsid w:val="3DFE2A4D"/>
    <w:rsid w:val="3EAB0813"/>
    <w:rsid w:val="3F5672A7"/>
    <w:rsid w:val="3FF90FF8"/>
    <w:rsid w:val="3FFEE6AA"/>
    <w:rsid w:val="477F4E93"/>
    <w:rsid w:val="4BF7E25F"/>
    <w:rsid w:val="4BFD7D16"/>
    <w:rsid w:val="5BBFAF3C"/>
    <w:rsid w:val="5CEDB133"/>
    <w:rsid w:val="5FBE3990"/>
    <w:rsid w:val="5FBF8ED0"/>
    <w:rsid w:val="67FA2521"/>
    <w:rsid w:val="6B7EE324"/>
    <w:rsid w:val="6FDF6C3B"/>
    <w:rsid w:val="6FE5CD9A"/>
    <w:rsid w:val="6FEF90B8"/>
    <w:rsid w:val="767F7161"/>
    <w:rsid w:val="76F9D1BA"/>
    <w:rsid w:val="7BDB8963"/>
    <w:rsid w:val="7DFD0961"/>
    <w:rsid w:val="7F7FDCF6"/>
    <w:rsid w:val="7FF54A46"/>
    <w:rsid w:val="7FF7CDC6"/>
    <w:rsid w:val="7FFA786F"/>
    <w:rsid w:val="7FFDA302"/>
    <w:rsid w:val="86D7F2AB"/>
    <w:rsid w:val="9EEDFBC3"/>
    <w:rsid w:val="BAEBDC81"/>
    <w:rsid w:val="BEFFDC72"/>
    <w:rsid w:val="CF6F081C"/>
    <w:rsid w:val="D9704BA0"/>
    <w:rsid w:val="DEFE9CF1"/>
    <w:rsid w:val="DFE62BAC"/>
    <w:rsid w:val="DFFEEFC9"/>
    <w:rsid w:val="EBBD250A"/>
    <w:rsid w:val="EBF03340"/>
    <w:rsid w:val="F6F710B9"/>
    <w:rsid w:val="FABF1484"/>
    <w:rsid w:val="FAD9F9A6"/>
    <w:rsid w:val="FDD7999E"/>
    <w:rsid w:val="FE7B03AA"/>
    <w:rsid w:val="FEF70C32"/>
    <w:rsid w:val="FFBF5024"/>
    <w:rsid w:val="FFDFF115"/>
    <w:rsid w:val="FFE79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customStyle="1" w:styleId="2">
    <w:name w:val="NormalIndent"/>
    <w:basedOn w:val="1"/>
    <w:qFormat/>
    <w:uiPriority w:val="0"/>
    <w:pPr>
      <w:ind w:firstLine="567"/>
      <w:jc w:val="both"/>
      <w:textAlignment w:val="baseline"/>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thtf</cp:lastModifiedBy>
  <dcterms:modified xsi:type="dcterms:W3CDTF">2026-01-19T16:26:36Z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