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0"/>
          <w:szCs w:val="40"/>
        </w:rPr>
      </w:pP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0"/>
          <w:szCs w:val="40"/>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0"/>
          <w:szCs w:val="40"/>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鄂尔多斯市发展和改革委员会</w:t>
      </w:r>
      <w:r>
        <w:rPr>
          <w:rFonts w:hint="eastAsia" w:ascii="方正小标宋简体" w:hAnsi="方正小标宋简体" w:eastAsia="方正小标宋简体" w:cs="方正小标宋简体"/>
          <w:b w:val="0"/>
          <w:bCs w:val="0"/>
          <w:sz w:val="44"/>
          <w:szCs w:val="44"/>
          <w:lang w:eastAsia="zh-CN"/>
        </w:rPr>
        <w:t>关于报送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度政府信息公开工作年度报告》的函</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市行政审批服务与数据管理局：</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按照《中华人民共和国政府信息公开条例》第四十条规定“县级以上人民政府部门应当在每年1月31日前向本级政府信息公开工作主管部门提交本机关年度报告并向社会公布。”结合我委2025年度政府信息公开工作开展情况，严格按照《中华人民共和国政府信息年度报告格式》文件要求，草拟了《鄂尔多斯市发展和改革委员会2025年度政府信息公开工作年度报告》，现将报告随文后附，请贵单位予以审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附件：鄂尔多斯市发展和改革委员会2025年度政府信息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00" w:firstLineChars="5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公开工作年度报告</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420"/>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420"/>
        <w:textAlignment w:val="auto"/>
        <w:rPr>
          <w:rFonts w:hint="default"/>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3200" w:firstLineChars="10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鄂尔多斯市发展和改革委员会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4000" w:firstLineChars="125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w:t>
      </w:r>
      <w:r>
        <w:rPr>
          <w:rFonts w:hint="default" w:ascii="仿宋_GB2312" w:hAnsi="仿宋_GB2312" w:eastAsia="仿宋_GB2312" w:cs="仿宋_GB2312"/>
          <w:color w:val="auto"/>
          <w:sz w:val="32"/>
          <w:szCs w:val="32"/>
          <w:lang w:val="en" w:eastAsia="zh-CN"/>
        </w:rPr>
        <w:t>6</w:t>
      </w:r>
      <w:r>
        <w:rPr>
          <w:rFonts w:hint="eastAsia" w:ascii="仿宋_GB2312" w:hAnsi="仿宋_GB2312" w:eastAsia="仿宋_GB2312" w:cs="仿宋_GB2312"/>
          <w:color w:val="auto"/>
          <w:sz w:val="32"/>
          <w:szCs w:val="32"/>
          <w:lang w:val="en-US" w:eastAsia="zh-CN"/>
        </w:rPr>
        <w:t>年1月</w:t>
      </w:r>
      <w:r>
        <w:rPr>
          <w:rFonts w:hint="default" w:ascii="仿宋_GB2312" w:hAnsi="仿宋_GB2312" w:eastAsia="仿宋_GB2312" w:cs="仿宋_GB2312"/>
          <w:color w:val="auto"/>
          <w:sz w:val="32"/>
          <w:szCs w:val="32"/>
          <w:lang w:val="en" w:eastAsia="zh-CN"/>
        </w:rPr>
        <w:t>13</w:t>
      </w:r>
      <w:r>
        <w:rPr>
          <w:rFonts w:hint="eastAsia" w:ascii="仿宋_GB2312" w:hAnsi="仿宋_GB2312" w:eastAsia="仿宋_GB2312" w:cs="仿宋_GB2312"/>
          <w:color w:val="auto"/>
          <w:sz w:val="32"/>
          <w:szCs w:val="32"/>
          <w:lang w:val="en-US" w:eastAsia="zh-CN"/>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4160" w:firstLineChars="1300"/>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sectPr>
          <w:pgSz w:w="11906" w:h="16838"/>
          <w:pgMar w:top="2098" w:right="1474" w:bottom="1984" w:left="1587" w:header="851" w:footer="992" w:gutter="0"/>
          <w:pgNumType w:fmt="numberInDash"/>
          <w:cols w:space="720" w:num="1"/>
          <w:docGrid w:type="lines" w:linePitch="312" w:charSpace="0"/>
        </w:sect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鄂尔多斯市发展和改革委员会2025年度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政府信息公开工作年度报告</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仿宋_GB2312" w:hAnsi="仿宋_GB2312" w:eastAsia="仿宋_GB2312" w:cs="仿宋_GB2312"/>
          <w:color w:val="auto"/>
          <w:sz w:val="32"/>
          <w:szCs w:val="32"/>
          <w:lang w:eastAsia="zh-CN"/>
        </w:rPr>
        <w:t>本年度报告是依据《中华人民共和国政府信息公开条例》要求，由鄂尔多斯市发展和改革委员会编制。全文包括总体情况、主动公开政府信息情况、收到和处理政府信息公开申请情况、政府信息公开行政复议、行政诉讼情况、政府信息公开工作存在的主要问题及改进措施等</w:t>
      </w:r>
      <w:r>
        <w:rPr>
          <w:rFonts w:hint="eastAsia" w:ascii="仿宋_GB2312" w:hAnsi="仿宋_GB2312" w:eastAsia="仿宋_GB2312" w:cs="仿宋_GB2312"/>
          <w:color w:val="auto"/>
          <w:sz w:val="32"/>
          <w:szCs w:val="32"/>
          <w:lang w:val="en-US" w:eastAsia="zh-CN"/>
        </w:rPr>
        <w:t>6个部分</w:t>
      </w:r>
      <w:r>
        <w:rPr>
          <w:rFonts w:hint="eastAsia" w:ascii="仿宋_GB2312" w:hAnsi="仿宋_GB2312" w:eastAsia="仿宋_GB2312" w:cs="仿宋_GB2312"/>
          <w:color w:val="auto"/>
          <w:sz w:val="32"/>
          <w:szCs w:val="32"/>
          <w:lang w:eastAsia="zh-CN"/>
        </w:rPr>
        <w:t>。本年度报告中所列数据的统计期限从202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年1月1日起至12月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日止。本年度报告的电</w:t>
      </w:r>
      <w:r>
        <w:rPr>
          <w:rFonts w:hint="eastAsia" w:ascii="仿宋_GB2312" w:hAnsi="仿宋_GB2312" w:eastAsia="仿宋_GB2312" w:cs="仿宋_GB2312"/>
          <w:sz w:val="32"/>
          <w:szCs w:val="32"/>
          <w:lang w:eastAsia="zh-CN"/>
        </w:rPr>
        <w:t>子版可在鄂尔多斯市发展和改革委员会门户网站上下载，如对本报告有疑问，请与鄂尔多斯市发展和改革委员会联系。（地址：鄂尔多斯市康巴什区党政大楼</w:t>
      </w:r>
      <w:r>
        <w:rPr>
          <w:rFonts w:hint="eastAsia" w:ascii="仿宋_GB2312" w:hAnsi="仿宋_GB2312" w:eastAsia="仿宋_GB2312" w:cs="仿宋_GB2312"/>
          <w:sz w:val="32"/>
          <w:szCs w:val="32"/>
          <w:lang w:val="en-US" w:eastAsia="zh-CN"/>
        </w:rPr>
        <w:t>B座10楼</w:t>
      </w:r>
      <w:r>
        <w:rPr>
          <w:rFonts w:hint="eastAsia" w:ascii="仿宋_GB2312" w:hAnsi="仿宋_GB2312" w:eastAsia="仿宋_GB2312" w:cs="仿宋_GB2312"/>
          <w:sz w:val="32"/>
          <w:szCs w:val="32"/>
          <w:lang w:eastAsia="zh-CN"/>
        </w:rPr>
        <w:t>；邮编：017000；电话：0477-8</w:t>
      </w:r>
      <w:r>
        <w:rPr>
          <w:rFonts w:hint="default" w:ascii="仿宋_GB2312" w:hAnsi="仿宋_GB2312" w:eastAsia="仿宋_GB2312" w:cs="仿宋_GB2312"/>
          <w:sz w:val="32"/>
          <w:szCs w:val="32"/>
          <w:lang w:val="en" w:eastAsia="zh-CN"/>
        </w:rPr>
        <w:t>9</w:t>
      </w:r>
      <w:r>
        <w:rPr>
          <w:rFonts w:hint="eastAsia" w:ascii="仿宋_GB2312" w:hAnsi="仿宋_GB2312" w:eastAsia="仿宋_GB2312" w:cs="仿宋_GB2312"/>
          <w:sz w:val="32"/>
          <w:szCs w:val="32"/>
          <w:lang w:eastAsia="zh-CN"/>
        </w:rPr>
        <w:t>880</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lang w:eastAsia="zh-CN"/>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根据市委、市政府统一部署，我委严格遵循《中华人民共和国政府信息公开条例》等规定，围绕提升透明度与公信力目标，坚持“以公开为常态、不公开为例外”，扎实推进2025年政府信息公开工作。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主动公开方面。</w:t>
      </w:r>
      <w:r>
        <w:rPr>
          <w:rFonts w:hint="eastAsia" w:ascii="仿宋_GB2312" w:hAnsi="仿宋_GB2312" w:eastAsia="仿宋_GB2312" w:cs="仿宋_GB2312"/>
          <w:kern w:val="0"/>
          <w:sz w:val="32"/>
          <w:szCs w:val="32"/>
          <w:lang w:val="en-US" w:eastAsia="zh-CN" w:bidi="ar"/>
        </w:rPr>
        <w:t>依法公开机构职能、领导分工等信息，便利企业群众办事。主动公布年度工作报告、法治政府建设、建议提案办理等情况，接受社会监督。及时公开2024年部门决算、2025年部门预算及“三公”经费安排。全年通过官网开展政策解读15次，推动政策直达快享。</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依申请公开方面。</w:t>
      </w:r>
      <w:r>
        <w:rPr>
          <w:rFonts w:hint="eastAsia" w:ascii="仿宋_GB2312" w:hAnsi="仿宋_GB2312" w:eastAsia="仿宋_GB2312" w:cs="仿宋_GB2312"/>
          <w:b w:val="0"/>
          <w:bCs w:val="0"/>
          <w:sz w:val="32"/>
          <w:szCs w:val="32"/>
          <w:lang w:val="en-US" w:eastAsia="zh-CN"/>
        </w:rPr>
        <w:t>2025年</w:t>
      </w:r>
      <w:r>
        <w:rPr>
          <w:rFonts w:hint="eastAsia" w:ascii="仿宋_GB2312" w:hAnsi="仿宋_GB2312" w:eastAsia="仿宋_GB2312" w:cs="仿宋_GB2312"/>
          <w:b w:val="0"/>
          <w:bCs w:val="0"/>
          <w:kern w:val="0"/>
          <w:sz w:val="32"/>
          <w:szCs w:val="32"/>
          <w:lang w:val="en-US" w:eastAsia="zh-CN" w:bidi="ar"/>
        </w:rPr>
        <w:t>全</w:t>
      </w:r>
      <w:r>
        <w:rPr>
          <w:rFonts w:hint="eastAsia" w:ascii="仿宋_GB2312" w:hAnsi="仿宋_GB2312" w:eastAsia="仿宋_GB2312" w:cs="仿宋_GB2312"/>
          <w:kern w:val="0"/>
          <w:sz w:val="32"/>
          <w:szCs w:val="32"/>
          <w:lang w:val="en-US" w:eastAsia="zh-CN" w:bidi="ar"/>
        </w:rPr>
        <w:t>年受理依申请公开事项44件，均依法规范办理。坚持“即收即办、主动沟通、规范答复”，收到申请后第一时间联系申请人，厘清诉求、指导补正。严格履行内部审核，综合研判后依法答复。高度重视并积极配合相关行政复议工作。所有申请均通过“全区政府信息依申请公开系统”全程留痕管理，提升工作标准化水平。</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sz w:val="32"/>
          <w:szCs w:val="32"/>
        </w:rPr>
        <w:t>政府信息管理方面。</w:t>
      </w:r>
      <w:r>
        <w:rPr>
          <w:rFonts w:hint="eastAsia" w:ascii="仿宋_GB2312" w:hAnsi="仿宋_GB2312" w:eastAsia="仿宋_GB2312" w:cs="仿宋_GB2312"/>
          <w:kern w:val="0"/>
          <w:sz w:val="32"/>
          <w:szCs w:val="32"/>
          <w:lang w:val="en-US" w:eastAsia="zh-CN" w:bidi="ar"/>
        </w:rPr>
        <w:t>严格信息报送与审核程序，执行“先审查、后公开”和“一事一审”原则，做好保密审查。通过门户网站、政务新媒体等渠道及时发布信息，并实施动态管理以确保准确性、有效性。定期开展评估，持续完善</w:t>
      </w:r>
      <w:r>
        <w:rPr>
          <w:rFonts w:hint="eastAsia" w:ascii="仿宋_GB2312" w:hAnsi="仿宋_GB2312" w:eastAsia="仿宋_GB2312" w:cs="仿宋_GB2312"/>
          <w:b w:val="0"/>
          <w:bCs w:val="0"/>
          <w:sz w:val="32"/>
          <w:szCs w:val="32"/>
        </w:rPr>
        <w:t>政府信息</w:t>
      </w:r>
      <w:r>
        <w:rPr>
          <w:rFonts w:hint="eastAsia" w:ascii="仿宋_GB2312" w:hAnsi="仿宋_GB2312" w:eastAsia="仿宋_GB2312" w:cs="仿宋_GB2312"/>
          <w:kern w:val="0"/>
          <w:sz w:val="32"/>
          <w:szCs w:val="32"/>
          <w:lang w:val="en-US" w:eastAsia="zh-CN" w:bidi="ar"/>
        </w:rPr>
        <w:t>管理机制。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政府信息公开平台建设方面。</w:t>
      </w:r>
      <w:r>
        <w:rPr>
          <w:rFonts w:hint="eastAsia" w:ascii="仿宋_GB2312" w:hAnsi="仿宋_GB2312" w:eastAsia="仿宋_GB2312" w:cs="仿宋_GB2312"/>
          <w:kern w:val="0"/>
          <w:sz w:val="32"/>
          <w:szCs w:val="32"/>
          <w:lang w:val="en-US" w:eastAsia="zh-CN" w:bidi="ar"/>
        </w:rPr>
        <w:t>强化门户网站主阵地作用，积极运用新媒体。2025年，门户网站发布信1118篇，访问量达43万人次；微信公众号发布动态1077条，阅读量22.5万人次。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监督保障方面。</w:t>
      </w:r>
      <w:r>
        <w:rPr>
          <w:rFonts w:hint="eastAsia" w:ascii="仿宋_GB2312" w:hAnsi="仿宋_GB2312" w:eastAsia="仿宋_GB2312" w:cs="仿宋_GB2312"/>
          <w:kern w:val="0"/>
          <w:sz w:val="32"/>
          <w:szCs w:val="32"/>
          <w:lang w:val="en-US" w:eastAsia="zh-CN" w:bidi="ar"/>
        </w:rPr>
        <w:t>成立政务公开领导小组，推进公开与业务深度融合。严格依照《条例》和内部制度履行职责，落实信息审查机制。主动接受社会评议，公开监督电话及责任追究结果。</w:t>
      </w:r>
    </w:p>
    <w:p>
      <w:pPr>
        <w:pStyle w:val="6"/>
        <w:keepNext w:val="0"/>
        <w:keepLines w:val="0"/>
        <w:pageBreakBefore w:val="0"/>
        <w:widowControl/>
        <w:numPr>
          <w:ilvl w:val="0"/>
          <w:numId w:val="1"/>
        </w:numPr>
        <w:kinsoku/>
        <w:wordWrap/>
        <w:overflowPunct/>
        <w:topLinePunct w:val="0"/>
        <w:autoSpaceDE/>
        <w:autoSpaceDN/>
        <w:bidi w:val="0"/>
        <w:adjustRightInd/>
        <w:snapToGrid/>
        <w:spacing w:before="157" w:beforeLines="50" w:beforeAutospacing="0" w:after="157" w:afterLines="50" w:afterAutospacing="0" w:line="560" w:lineRule="exact"/>
        <w:ind w:left="640" w:leftChars="0" w:firstLine="0" w:firstLineChars="0"/>
        <w:jc w:val="both"/>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7"/>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113"/>
        <w:gridCol w:w="1875"/>
        <w:gridCol w:w="127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8140" w:type="dxa"/>
            <w:gridSpan w:val="4"/>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2" w:hRule="atLeast"/>
          <w:jc w:val="center"/>
        </w:trPr>
        <w:tc>
          <w:tcPr>
            <w:tcW w:w="3113"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信息内容</w:t>
            </w:r>
          </w:p>
        </w:tc>
        <w:tc>
          <w:tcPr>
            <w:tcW w:w="1875"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本年制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发件数</w:t>
            </w:r>
          </w:p>
        </w:tc>
        <w:tc>
          <w:tcPr>
            <w:tcW w:w="1271"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本年废止件数</w:t>
            </w:r>
          </w:p>
        </w:tc>
        <w:tc>
          <w:tcPr>
            <w:tcW w:w="1881"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现行有</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3" w:hRule="atLeast"/>
          <w:jc w:val="center"/>
        </w:trPr>
        <w:tc>
          <w:tcPr>
            <w:tcW w:w="3113"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规章</w:t>
            </w:r>
          </w:p>
        </w:tc>
        <w:tc>
          <w:tcPr>
            <w:tcW w:w="1875"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0</w:t>
            </w:r>
          </w:p>
        </w:tc>
        <w:tc>
          <w:tcPr>
            <w:tcW w:w="1271"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0</w:t>
            </w:r>
          </w:p>
        </w:tc>
        <w:tc>
          <w:tcPr>
            <w:tcW w:w="1881"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jc w:val="center"/>
        </w:trPr>
        <w:tc>
          <w:tcPr>
            <w:tcW w:w="3113"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lang w:eastAsia="zh-CN"/>
              </w:rPr>
              <w:t>行政</w:t>
            </w:r>
            <w:r>
              <w:rPr>
                <w:rFonts w:hint="eastAsia" w:ascii="国标黑体" w:hAnsi="国标黑体" w:eastAsia="国标黑体" w:cs="国标黑体"/>
                <w:color w:val="auto"/>
                <w:sz w:val="28"/>
                <w:szCs w:val="28"/>
              </w:rPr>
              <w:t>规范性文件</w:t>
            </w:r>
          </w:p>
        </w:tc>
        <w:tc>
          <w:tcPr>
            <w:tcW w:w="1875"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0</w:t>
            </w:r>
          </w:p>
        </w:tc>
        <w:tc>
          <w:tcPr>
            <w:tcW w:w="1271"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0</w:t>
            </w:r>
          </w:p>
        </w:tc>
        <w:tc>
          <w:tcPr>
            <w:tcW w:w="1881"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8140" w:type="dxa"/>
            <w:gridSpan w:val="4"/>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4" w:hRule="atLeast"/>
          <w:jc w:val="center"/>
        </w:trPr>
        <w:tc>
          <w:tcPr>
            <w:tcW w:w="3113"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信息内容</w:t>
            </w:r>
          </w:p>
        </w:tc>
        <w:tc>
          <w:tcPr>
            <w:tcW w:w="5027" w:type="dxa"/>
            <w:gridSpan w:val="3"/>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8" w:hRule="atLeast"/>
          <w:jc w:val="center"/>
        </w:trPr>
        <w:tc>
          <w:tcPr>
            <w:tcW w:w="3113"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行政许可</w:t>
            </w:r>
          </w:p>
        </w:tc>
        <w:tc>
          <w:tcPr>
            <w:tcW w:w="5027" w:type="dxa"/>
            <w:gridSpan w:val="3"/>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国标黑体" w:hAnsi="国标黑体" w:eastAsia="国标黑体" w:cs="国标黑体"/>
                <w:color w:val="auto"/>
                <w:sz w:val="28"/>
                <w:szCs w:val="28"/>
                <w:lang w:val="en-US" w:eastAsia="zh-CN"/>
              </w:rPr>
            </w:pPr>
            <w:r>
              <w:rPr>
                <w:rFonts w:hint="eastAsia" w:ascii="国标黑体" w:hAnsi="国标黑体" w:eastAsia="国标黑体" w:cs="国标黑体"/>
                <w:color w:val="auto"/>
                <w:sz w:val="28"/>
                <w:szCs w:val="28"/>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6" w:hRule="atLeast"/>
          <w:jc w:val="center"/>
        </w:trPr>
        <w:tc>
          <w:tcPr>
            <w:tcW w:w="8140" w:type="dxa"/>
            <w:gridSpan w:val="4"/>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4" w:hRule="atLeast"/>
          <w:jc w:val="center"/>
        </w:trPr>
        <w:tc>
          <w:tcPr>
            <w:tcW w:w="3113"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信息内容</w:t>
            </w:r>
          </w:p>
        </w:tc>
        <w:tc>
          <w:tcPr>
            <w:tcW w:w="5027" w:type="dxa"/>
            <w:gridSpan w:val="3"/>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0" w:hRule="atLeast"/>
          <w:jc w:val="center"/>
        </w:trPr>
        <w:tc>
          <w:tcPr>
            <w:tcW w:w="3113"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行政处罚</w:t>
            </w:r>
          </w:p>
        </w:tc>
        <w:tc>
          <w:tcPr>
            <w:tcW w:w="5027" w:type="dxa"/>
            <w:gridSpan w:val="3"/>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9" w:hRule="atLeast"/>
          <w:jc w:val="center"/>
        </w:trPr>
        <w:tc>
          <w:tcPr>
            <w:tcW w:w="3113"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行政强制</w:t>
            </w:r>
          </w:p>
        </w:tc>
        <w:tc>
          <w:tcPr>
            <w:tcW w:w="5027" w:type="dxa"/>
            <w:gridSpan w:val="3"/>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8140" w:type="dxa"/>
            <w:gridSpan w:val="4"/>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3113"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信息内容</w:t>
            </w:r>
          </w:p>
        </w:tc>
        <w:tc>
          <w:tcPr>
            <w:tcW w:w="5027" w:type="dxa"/>
            <w:gridSpan w:val="3"/>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jc w:val="center"/>
        </w:trPr>
        <w:tc>
          <w:tcPr>
            <w:tcW w:w="3113" w:type="dxa"/>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行政事业性收费</w:t>
            </w:r>
          </w:p>
        </w:tc>
        <w:tc>
          <w:tcPr>
            <w:tcW w:w="5027" w:type="dxa"/>
            <w:gridSpan w:val="3"/>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color w:val="auto"/>
                <w:sz w:val="28"/>
                <w:szCs w:val="28"/>
              </w:rPr>
            </w:pPr>
            <w:r>
              <w:rPr>
                <w:rFonts w:hint="eastAsia" w:ascii="国标黑体" w:hAnsi="国标黑体" w:eastAsia="国标黑体" w:cs="国标黑体"/>
                <w:color w:val="auto"/>
                <w:sz w:val="28"/>
                <w:szCs w:val="28"/>
              </w:rPr>
              <w:t>0</w:t>
            </w:r>
          </w:p>
        </w:tc>
      </w:tr>
    </w:tbl>
    <w:p>
      <w:pPr>
        <w:pStyle w:val="6"/>
        <w:keepNext w:val="0"/>
        <w:keepLines w:val="0"/>
        <w:pageBreakBefore w:val="0"/>
        <w:widowControl/>
        <w:numPr>
          <w:ilvl w:val="0"/>
          <w:numId w:val="2"/>
        </w:numPr>
        <w:kinsoku/>
        <w:wordWrap/>
        <w:overflowPunct/>
        <w:topLinePunct w:val="0"/>
        <w:autoSpaceDE/>
        <w:autoSpaceDN/>
        <w:bidi w:val="0"/>
        <w:adjustRightInd/>
        <w:snapToGrid/>
        <w:spacing w:before="313" w:beforeLines="100" w:beforeAutospacing="0" w:after="0" w:afterAutospacing="0" w:line="560"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7"/>
        <w:tblW w:w="10905" w:type="dxa"/>
        <w:jc w:val="center"/>
        <w:tblLayout w:type="fixed"/>
        <w:tblCellMar>
          <w:top w:w="0" w:type="dxa"/>
          <w:left w:w="0" w:type="dxa"/>
          <w:bottom w:w="0" w:type="dxa"/>
          <w:right w:w="0" w:type="dxa"/>
        </w:tblCellMar>
      </w:tblPr>
      <w:tblGrid>
        <w:gridCol w:w="594"/>
        <w:gridCol w:w="834"/>
        <w:gridCol w:w="3098"/>
        <w:gridCol w:w="851"/>
        <w:gridCol w:w="992"/>
        <w:gridCol w:w="851"/>
        <w:gridCol w:w="992"/>
        <w:gridCol w:w="850"/>
        <w:gridCol w:w="851"/>
        <w:gridCol w:w="992"/>
      </w:tblGrid>
      <w:tr>
        <w:tblPrEx>
          <w:tblCellMar>
            <w:top w:w="0" w:type="dxa"/>
            <w:left w:w="0" w:type="dxa"/>
            <w:bottom w:w="0" w:type="dxa"/>
            <w:right w:w="0" w:type="dxa"/>
          </w:tblCellMar>
        </w:tblPrEx>
        <w:trPr>
          <w:trHeight w:val="567" w:hRule="atLeast"/>
          <w:jc w:val="center"/>
        </w:trPr>
        <w:tc>
          <w:tcPr>
            <w:tcW w:w="4526" w:type="dxa"/>
            <w:gridSpan w:val="3"/>
            <w:vMerge w:val="restart"/>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（本列数据的勾稽关系为：第一项加第二项之和，等于第三项加第四项之和）</w:t>
            </w:r>
          </w:p>
        </w:tc>
        <w:tc>
          <w:tcPr>
            <w:tcW w:w="6379" w:type="dxa"/>
            <w:gridSpan w:val="7"/>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申请人情况</w:t>
            </w:r>
          </w:p>
        </w:tc>
      </w:tr>
      <w:tr>
        <w:tblPrEx>
          <w:tblCellMar>
            <w:top w:w="0" w:type="dxa"/>
            <w:left w:w="0" w:type="dxa"/>
            <w:bottom w:w="0" w:type="dxa"/>
            <w:right w:w="0" w:type="dxa"/>
          </w:tblCellMar>
        </w:tblPrEx>
        <w:trPr>
          <w:trHeight w:val="567" w:hRule="atLeast"/>
          <w:jc w:val="center"/>
        </w:trPr>
        <w:tc>
          <w:tcPr>
            <w:tcW w:w="4526" w:type="dxa"/>
            <w:gridSpan w:val="3"/>
            <w:vMerge w:val="continue"/>
            <w:tcBorders>
              <w:top w:val="single" w:color="auto" w:sz="8" w:space="0"/>
              <w:left w:val="single" w:color="auto" w:sz="8" w:space="0"/>
              <w:bottom w:val="out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51" w:type="dxa"/>
            <w:vMerge w:val="restart"/>
            <w:tcBorders>
              <w:top w:val="single" w:color="auto" w:sz="2" w:space="0"/>
              <w:left w:val="single" w:color="auto" w:sz="2"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自然人</w:t>
            </w:r>
          </w:p>
        </w:tc>
        <w:tc>
          <w:tcPr>
            <w:tcW w:w="4536" w:type="dxa"/>
            <w:gridSpan w:val="5"/>
            <w:tcBorders>
              <w:top w:val="single" w:color="auto" w:sz="8" w:space="0"/>
              <w:left w:val="single" w:color="auto" w:sz="2"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法人或其他组织</w:t>
            </w:r>
          </w:p>
        </w:tc>
        <w:tc>
          <w:tcPr>
            <w:tcW w:w="992" w:type="dxa"/>
            <w:vMerge w:val="restart"/>
            <w:tcBorders>
              <w:top w:val="single" w:color="auto" w:sz="8" w:space="0"/>
              <w:left w:val="single" w:color="auto" w:sz="2"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总计</w:t>
            </w:r>
          </w:p>
        </w:tc>
      </w:tr>
      <w:tr>
        <w:tblPrEx>
          <w:tblCellMar>
            <w:top w:w="0" w:type="dxa"/>
            <w:left w:w="0" w:type="dxa"/>
            <w:bottom w:w="0" w:type="dxa"/>
            <w:right w:w="0" w:type="dxa"/>
          </w:tblCellMar>
        </w:tblPrEx>
        <w:trPr>
          <w:trHeight w:val="567" w:hRule="atLeast"/>
          <w:jc w:val="center"/>
        </w:trPr>
        <w:tc>
          <w:tcPr>
            <w:tcW w:w="4526" w:type="dxa"/>
            <w:gridSpan w:val="3"/>
            <w:vMerge w:val="continue"/>
            <w:tcBorders>
              <w:top w:val="single" w:color="auto" w:sz="8" w:space="0"/>
              <w:left w:val="single" w:color="auto" w:sz="8" w:space="0"/>
              <w:bottom w:val="out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51" w:type="dxa"/>
            <w:vMerge w:val="continue"/>
            <w:tcBorders>
              <w:top w:val="single" w:color="auto" w:sz="2" w:space="0"/>
              <w:left w:val="single" w:color="auto" w:sz="2"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992"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商业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企业</w:t>
            </w:r>
          </w:p>
        </w:tc>
        <w:tc>
          <w:tcPr>
            <w:tcW w:w="851"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科研</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机构</w:t>
            </w:r>
          </w:p>
        </w:tc>
        <w:tc>
          <w:tcPr>
            <w:tcW w:w="992" w:type="dxa"/>
            <w:tcBorders>
              <w:top w:val="single" w:color="auto" w:sz="8"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社会公益组织</w:t>
            </w:r>
          </w:p>
        </w:tc>
        <w:tc>
          <w:tcPr>
            <w:tcW w:w="850" w:type="dxa"/>
            <w:tcBorders>
              <w:top w:val="single" w:color="auto" w:sz="8"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法律服务机构</w:t>
            </w:r>
          </w:p>
        </w:tc>
        <w:tc>
          <w:tcPr>
            <w:tcW w:w="851" w:type="dxa"/>
            <w:tcBorders>
              <w:top w:val="single" w:color="auto" w:sz="8"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其他</w:t>
            </w:r>
          </w:p>
        </w:tc>
        <w:tc>
          <w:tcPr>
            <w:tcW w:w="992" w:type="dxa"/>
            <w:vMerge w:val="continue"/>
            <w:tcBorders>
              <w:top w:val="single" w:color="auto" w:sz="8" w:space="0"/>
              <w:left w:val="single" w:color="auto" w:sz="2" w:space="0"/>
              <w:bottom w:val="out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r>
      <w:tr>
        <w:tblPrEx>
          <w:tblCellMar>
            <w:top w:w="0" w:type="dxa"/>
            <w:left w:w="0" w:type="dxa"/>
            <w:bottom w:w="0" w:type="dxa"/>
            <w:right w:w="0" w:type="dxa"/>
          </w:tblCellMar>
        </w:tblPrEx>
        <w:trPr>
          <w:trHeight w:val="567" w:hRule="atLeast"/>
          <w:jc w:val="center"/>
        </w:trPr>
        <w:tc>
          <w:tcPr>
            <w:tcW w:w="452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一、本年新收政府信息公开申请数量</w:t>
            </w:r>
          </w:p>
        </w:tc>
        <w:tc>
          <w:tcPr>
            <w:tcW w:w="85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44</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44</w:t>
            </w:r>
          </w:p>
        </w:tc>
      </w:tr>
      <w:tr>
        <w:tblPrEx>
          <w:tblCellMar>
            <w:top w:w="0" w:type="dxa"/>
            <w:left w:w="0" w:type="dxa"/>
            <w:bottom w:w="0" w:type="dxa"/>
            <w:right w:w="0" w:type="dxa"/>
          </w:tblCellMar>
        </w:tblPrEx>
        <w:trPr>
          <w:trHeight w:val="567" w:hRule="atLeast"/>
          <w:jc w:val="center"/>
        </w:trPr>
        <w:tc>
          <w:tcPr>
            <w:tcW w:w="452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二、上年结转政府信息公开申请数量</w:t>
            </w:r>
          </w:p>
        </w:tc>
        <w:tc>
          <w:tcPr>
            <w:tcW w:w="85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三、本年度办理结果</w:t>
            </w:r>
          </w:p>
        </w:tc>
        <w:tc>
          <w:tcPr>
            <w:tcW w:w="393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（一）予以公开</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41</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41</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932"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（二）部分公开（区分处理的，只计这一情形，不计其他情形）</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402"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（三）不予公开</w:t>
            </w: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1.属于国家秘密</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2.其他法律行政法规禁止公开</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3.危及“三安全一稳定”</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4.保护第三方合法权益</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5.属于三类内部事务信息</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6.属于四类过程性信息</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7.属于行政执法案卷</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8.属于行政查询事项</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（四）无法提供</w:t>
            </w: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1.本机关不掌握相关政府信息</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2.没有现成信息需要另行制作</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3.补正后申请内容仍不明确</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（五）不予处理</w:t>
            </w: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1.信访举报投诉类申请</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2.重复申请</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3.要求提供公开出版物</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4.无正当理由大量反复申请</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out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2"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single" w:color="auto" w:sz="2" w:space="0"/>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5.要求行政机关确认或重新出具已获取信息</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nil"/>
              <w:left w:val="single" w:color="auto" w:sz="4"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restart"/>
            <w:tcBorders>
              <w:top w:val="single" w:color="auto" w:sz="4" w:space="0"/>
              <w:left w:val="single" w:color="auto" w:sz="2" w:space="0"/>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（六）其他处理</w:t>
            </w:r>
          </w:p>
        </w:tc>
        <w:tc>
          <w:tcPr>
            <w:tcW w:w="3098"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1.申请人无正当理由逾期不补正、行政机关不再处理其政府信息公开申请</w:t>
            </w:r>
          </w:p>
        </w:tc>
        <w:tc>
          <w:tcPr>
            <w:tcW w:w="851" w:type="dxa"/>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1</w:t>
            </w:r>
          </w:p>
        </w:tc>
        <w:tc>
          <w:tcPr>
            <w:tcW w:w="992"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1</w:t>
            </w:r>
          </w:p>
        </w:tc>
      </w:tr>
      <w:tr>
        <w:tblPrEx>
          <w:tblCellMar>
            <w:top w:w="0" w:type="dxa"/>
            <w:left w:w="0" w:type="dxa"/>
            <w:bottom w:w="0" w:type="dxa"/>
            <w:right w:w="0" w:type="dxa"/>
          </w:tblCellMar>
        </w:tblPrEx>
        <w:trPr>
          <w:trHeight w:val="567" w:hRule="atLeast"/>
          <w:jc w:val="center"/>
        </w:trPr>
        <w:tc>
          <w:tcPr>
            <w:tcW w:w="594" w:type="dxa"/>
            <w:vMerge w:val="continue"/>
            <w:tcBorders>
              <w:top w:val="single" w:color="auto" w:sz="4" w:space="0"/>
              <w:left w:val="single" w:color="auto" w:sz="4" w:space="0"/>
              <w:bottom w:val="out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single" w:color="auto" w:sz="4" w:space="0"/>
              <w:left w:val="single" w:color="auto" w:sz="2" w:space="0"/>
              <w:bottom w:val="out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2.申请人逾期未按收费通知要求缴纳费用、行政机关不再处理其政府信息公开申请</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0</w:t>
            </w:r>
          </w:p>
        </w:tc>
        <w:tc>
          <w:tcPr>
            <w:tcW w:w="85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0</w:t>
            </w:r>
          </w:p>
        </w:tc>
        <w:tc>
          <w:tcPr>
            <w:tcW w:w="850"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0</w:t>
            </w:r>
          </w:p>
        </w:tc>
        <w:tc>
          <w:tcPr>
            <w:tcW w:w="85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nil"/>
              <w:left w:val="single" w:color="auto" w:sz="4" w:space="0"/>
              <w:bottom w:val="out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834" w:type="dxa"/>
            <w:vMerge w:val="continue"/>
            <w:tcBorders>
              <w:top w:val="nil"/>
              <w:left w:val="single" w:color="auto" w:sz="2" w:space="0"/>
              <w:bottom w:val="out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09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3.其他</w:t>
            </w:r>
          </w:p>
        </w:tc>
        <w:tc>
          <w:tcPr>
            <w:tcW w:w="851" w:type="dxa"/>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r>
      <w:tr>
        <w:tblPrEx>
          <w:tblCellMar>
            <w:top w:w="0" w:type="dxa"/>
            <w:left w:w="0" w:type="dxa"/>
            <w:bottom w:w="0" w:type="dxa"/>
            <w:right w:w="0" w:type="dxa"/>
          </w:tblCellMar>
        </w:tblPrEx>
        <w:trPr>
          <w:trHeight w:val="567" w:hRule="atLeast"/>
          <w:jc w:val="center"/>
        </w:trPr>
        <w:tc>
          <w:tcPr>
            <w:tcW w:w="594" w:type="dxa"/>
            <w:vMerge w:val="continue"/>
            <w:tcBorders>
              <w:top w:val="nil"/>
              <w:left w:val="single" w:color="auto" w:sz="4" w:space="0"/>
              <w:bottom w:val="out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p>
        </w:tc>
        <w:tc>
          <w:tcPr>
            <w:tcW w:w="3932"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（七）总计</w:t>
            </w:r>
          </w:p>
        </w:tc>
        <w:tc>
          <w:tcPr>
            <w:tcW w:w="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42</w:t>
            </w:r>
          </w:p>
        </w:tc>
        <w:tc>
          <w:tcPr>
            <w:tcW w:w="99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42</w:t>
            </w:r>
          </w:p>
        </w:tc>
      </w:tr>
      <w:tr>
        <w:tblPrEx>
          <w:tblCellMar>
            <w:top w:w="0" w:type="dxa"/>
            <w:left w:w="0" w:type="dxa"/>
            <w:bottom w:w="0" w:type="dxa"/>
            <w:right w:w="0" w:type="dxa"/>
          </w:tblCellMar>
        </w:tblPrEx>
        <w:trPr>
          <w:trHeight w:val="567" w:hRule="atLeast"/>
          <w:jc w:val="center"/>
        </w:trPr>
        <w:tc>
          <w:tcPr>
            <w:tcW w:w="4526"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kern w:val="0"/>
                <w:sz w:val="28"/>
                <w:szCs w:val="28"/>
              </w:rPr>
              <w:t>四、结转下年度继续办理</w:t>
            </w:r>
          </w:p>
        </w:tc>
        <w:tc>
          <w:tcPr>
            <w:tcW w:w="8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2</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0"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851"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0</w:t>
            </w:r>
          </w:p>
        </w:tc>
        <w:tc>
          <w:tcPr>
            <w:tcW w:w="992"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国标黑体" w:hAnsi="国标黑体" w:eastAsia="国标黑体" w:cs="国标黑体"/>
                <w:kern w:val="0"/>
                <w:sz w:val="28"/>
                <w:szCs w:val="28"/>
              </w:rPr>
            </w:pPr>
            <w:r>
              <w:rPr>
                <w:rFonts w:hint="eastAsia" w:ascii="国标黑体" w:hAnsi="国标黑体" w:eastAsia="国标黑体" w:cs="国标黑体"/>
                <w:sz w:val="28"/>
                <w:szCs w:val="28"/>
              </w:rPr>
              <w:t>2</w:t>
            </w:r>
          </w:p>
        </w:tc>
      </w:tr>
    </w:tbl>
    <w:p>
      <w:pPr>
        <w:pStyle w:val="6"/>
        <w:keepNext w:val="0"/>
        <w:keepLines w:val="0"/>
        <w:pageBreakBefore w:val="0"/>
        <w:widowControl/>
        <w:kinsoku/>
        <w:wordWrap/>
        <w:overflowPunct/>
        <w:topLinePunct w:val="0"/>
        <w:autoSpaceDE/>
        <w:autoSpaceDN/>
        <w:bidi w:val="0"/>
        <w:adjustRightInd/>
        <w:snapToGrid/>
        <w:spacing w:before="313" w:beforeLines="100" w:beforeAutospacing="0" w:after="0" w:afterAutospacing="0" w:line="560" w:lineRule="exact"/>
        <w:ind w:firstLine="640" w:firstLineChars="200"/>
        <w:jc w:val="both"/>
        <w:textAlignment w:val="auto"/>
        <w:rPr>
          <w:rFonts w:hint="eastAsia" w:ascii="宋体" w:hAnsi="宋体" w:cs="宋体"/>
          <w:sz w:val="32"/>
          <w:szCs w:val="32"/>
        </w:rPr>
      </w:pPr>
      <w:r>
        <w:rPr>
          <w:rFonts w:hint="eastAsia" w:ascii="黑体" w:hAnsi="黑体" w:eastAsia="黑体" w:cs="黑体"/>
          <w:sz w:val="32"/>
          <w:szCs w:val="32"/>
        </w:rPr>
        <w:t>四、政府信息公开行政复议、行政诉讼的情况 </w:t>
      </w:r>
      <w:r>
        <w:rPr>
          <w:rFonts w:hint="eastAsia" w:ascii="宋体" w:hAnsi="宋体" w:cs="宋体"/>
          <w:sz w:val="32"/>
          <w:szCs w:val="32"/>
        </w:rPr>
        <w:t> </w:t>
      </w:r>
    </w:p>
    <w:tbl>
      <w:tblPr>
        <w:tblStyle w:val="7"/>
        <w:tblW w:w="9071" w:type="dxa"/>
        <w:jc w:val="center"/>
        <w:tblLayout w:type="fixed"/>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15" w:type="dxa"/>
            <w:left w:w="15" w:type="dxa"/>
            <w:bottom w:w="15" w:type="dxa"/>
            <w:right w:w="15" w:type="dxa"/>
          </w:tblCellMar>
        </w:tblPrEx>
        <w:trPr>
          <w:jc w:val="center"/>
        </w:trPr>
        <w:tc>
          <w:tcPr>
            <w:tcW w:w="3074" w:type="dxa"/>
            <w:gridSpan w:val="5"/>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 行政复议</w:t>
            </w:r>
          </w:p>
        </w:tc>
        <w:tc>
          <w:tcPr>
            <w:tcW w:w="5997" w:type="dxa"/>
            <w:gridSpan w:val="10"/>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行政诉讼</w:t>
            </w:r>
          </w:p>
        </w:tc>
      </w:tr>
      <w:tr>
        <w:tblPrEx>
          <w:tblCellMar>
            <w:top w:w="15" w:type="dxa"/>
            <w:left w:w="15" w:type="dxa"/>
            <w:bottom w:w="15" w:type="dxa"/>
            <w:right w:w="15" w:type="dxa"/>
          </w:tblCellMar>
        </w:tblPrEx>
        <w:trPr>
          <w:jc w:val="center"/>
        </w:trPr>
        <w:tc>
          <w:tcPr>
            <w:tcW w:w="604"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结果维持</w:t>
            </w:r>
          </w:p>
        </w:tc>
        <w:tc>
          <w:tcPr>
            <w:tcW w:w="604" w:type="dxa"/>
            <w:vMerge w:val="restart"/>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结果纠正</w:t>
            </w:r>
          </w:p>
        </w:tc>
        <w:tc>
          <w:tcPr>
            <w:tcW w:w="604" w:type="dxa"/>
            <w:vMerge w:val="restar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其他结果</w:t>
            </w:r>
          </w:p>
        </w:tc>
        <w:tc>
          <w:tcPr>
            <w:tcW w:w="604" w:type="dxa"/>
            <w:vMerge w:val="restar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尚未审结</w:t>
            </w:r>
          </w:p>
        </w:tc>
        <w:tc>
          <w:tcPr>
            <w:tcW w:w="658" w:type="dxa"/>
            <w:vMerge w:val="restar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总计</w:t>
            </w:r>
          </w:p>
        </w:tc>
        <w:tc>
          <w:tcPr>
            <w:tcW w:w="2970" w:type="dxa"/>
            <w:gridSpan w:val="5"/>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未经复议直接起诉</w:t>
            </w:r>
          </w:p>
        </w:tc>
        <w:tc>
          <w:tcPr>
            <w:tcW w:w="3027" w:type="dxa"/>
            <w:gridSpan w:val="5"/>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复议后起诉</w:t>
            </w:r>
          </w:p>
        </w:tc>
      </w:tr>
      <w:tr>
        <w:tblPrEx>
          <w:tblCellMar>
            <w:top w:w="15" w:type="dxa"/>
            <w:left w:w="15" w:type="dxa"/>
            <w:bottom w:w="15" w:type="dxa"/>
            <w:right w:w="15" w:type="dxa"/>
          </w:tblCellMar>
        </w:tblPrEx>
        <w:trPr>
          <w:jc w:val="center"/>
        </w:trPr>
        <w:tc>
          <w:tcPr>
            <w:tcW w:w="604" w:type="dxa"/>
            <w:vMerge w:val="continue"/>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国标黑体" w:hAnsi="国标黑体" w:eastAsia="国标黑体" w:cs="国标黑体"/>
                <w:b w:val="0"/>
                <w:bCs w:val="0"/>
                <w:color w:val="auto"/>
                <w:sz w:val="28"/>
                <w:szCs w:val="28"/>
              </w:rPr>
            </w:pPr>
          </w:p>
        </w:tc>
        <w:tc>
          <w:tcPr>
            <w:tcW w:w="604" w:type="dxa"/>
            <w:vMerge w:val="continue"/>
            <w:tcBorders>
              <w:top w:val="nil"/>
              <w:left w:val="nil"/>
              <w:bottom w:val="single" w:color="auto" w:sz="4" w:space="0"/>
              <w:right w:val="single" w:color="000000"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国标黑体" w:hAnsi="国标黑体" w:eastAsia="国标黑体" w:cs="国标黑体"/>
                <w:b w:val="0"/>
                <w:bCs w:val="0"/>
                <w:color w:val="auto"/>
                <w:sz w:val="28"/>
                <w:szCs w:val="28"/>
              </w:rPr>
            </w:pPr>
          </w:p>
        </w:tc>
        <w:tc>
          <w:tcPr>
            <w:tcW w:w="604" w:type="dxa"/>
            <w:vMerge w:val="continue"/>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国标黑体" w:hAnsi="国标黑体" w:eastAsia="国标黑体" w:cs="国标黑体"/>
                <w:b w:val="0"/>
                <w:bCs w:val="0"/>
                <w:color w:val="auto"/>
                <w:sz w:val="28"/>
                <w:szCs w:val="28"/>
              </w:rPr>
            </w:pPr>
          </w:p>
        </w:tc>
        <w:tc>
          <w:tcPr>
            <w:tcW w:w="604" w:type="dxa"/>
            <w:vMerge w:val="continue"/>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国标黑体" w:hAnsi="国标黑体" w:eastAsia="国标黑体" w:cs="国标黑体"/>
                <w:b w:val="0"/>
                <w:bCs w:val="0"/>
                <w:color w:val="auto"/>
                <w:sz w:val="28"/>
                <w:szCs w:val="28"/>
              </w:rPr>
            </w:pPr>
          </w:p>
        </w:tc>
        <w:tc>
          <w:tcPr>
            <w:tcW w:w="658" w:type="dxa"/>
            <w:vMerge w:val="continue"/>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国标黑体" w:hAnsi="国标黑体" w:eastAsia="国标黑体" w:cs="国标黑体"/>
                <w:b w:val="0"/>
                <w:bCs w:val="0"/>
                <w:color w:val="auto"/>
                <w:sz w:val="28"/>
                <w:szCs w:val="28"/>
              </w:rPr>
            </w:pPr>
          </w:p>
        </w:tc>
        <w:tc>
          <w:tcPr>
            <w:tcW w:w="550"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结果维持</w:t>
            </w:r>
          </w:p>
        </w:tc>
        <w:tc>
          <w:tcPr>
            <w:tcW w:w="60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结果纠正</w:t>
            </w:r>
          </w:p>
        </w:tc>
        <w:tc>
          <w:tcPr>
            <w:tcW w:w="605" w:type="dxa"/>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其他结果</w:t>
            </w:r>
          </w:p>
        </w:tc>
        <w:tc>
          <w:tcPr>
            <w:tcW w:w="605" w:type="dxa"/>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尚未审结</w:t>
            </w:r>
          </w:p>
        </w:tc>
        <w:tc>
          <w:tcPr>
            <w:tcW w:w="605" w:type="dxa"/>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总计</w:t>
            </w:r>
          </w:p>
        </w:tc>
        <w:tc>
          <w:tcPr>
            <w:tcW w:w="605" w:type="dxa"/>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结果维持</w:t>
            </w:r>
          </w:p>
        </w:tc>
        <w:tc>
          <w:tcPr>
            <w:tcW w:w="605" w:type="dxa"/>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结果纠正</w:t>
            </w:r>
          </w:p>
        </w:tc>
        <w:tc>
          <w:tcPr>
            <w:tcW w:w="605" w:type="dxa"/>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其他结果</w:t>
            </w:r>
          </w:p>
        </w:tc>
        <w:tc>
          <w:tcPr>
            <w:tcW w:w="606" w:type="dxa"/>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尚未审结</w:t>
            </w:r>
          </w:p>
        </w:tc>
        <w:tc>
          <w:tcPr>
            <w:tcW w:w="606" w:type="dxa"/>
            <w:tcBorders>
              <w:top w:val="single" w:color="000000" w:sz="8" w:space="0"/>
              <w:left w:val="nil"/>
              <w:bottom w:val="single" w:color="auto" w:sz="4" w:space="0"/>
              <w:right w:val="single" w:color="000000"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总计</w:t>
            </w:r>
          </w:p>
        </w:tc>
      </w:tr>
      <w:tr>
        <w:tblPrEx>
          <w:tblCellMar>
            <w:top w:w="15" w:type="dxa"/>
            <w:left w:w="15" w:type="dxa"/>
            <w:bottom w:w="15" w:type="dxa"/>
            <w:right w:w="15" w:type="dxa"/>
          </w:tblCellMar>
        </w:tblPrEx>
        <w:trPr>
          <w:trHeight w:val="988" w:hRule="atLeast"/>
          <w:jc w:val="center"/>
        </w:trPr>
        <w:tc>
          <w:tcPr>
            <w:tcW w:w="60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lang w:val="en"/>
              </w:rPr>
            </w:pPr>
            <w:r>
              <w:rPr>
                <w:rFonts w:hint="eastAsia" w:ascii="国标黑体" w:hAnsi="国标黑体" w:eastAsia="国标黑体" w:cs="国标黑体"/>
                <w:b w:val="0"/>
                <w:bCs w:val="0"/>
                <w:color w:val="auto"/>
                <w:sz w:val="28"/>
                <w:szCs w:val="28"/>
                <w:lang w:val="en"/>
              </w:rPr>
              <w:t>1</w:t>
            </w:r>
          </w:p>
        </w:tc>
        <w:tc>
          <w:tcPr>
            <w:tcW w:w="60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60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60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65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55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6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6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6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6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6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6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6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c>
          <w:tcPr>
            <w:tcW w:w="60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国标黑体" w:hAnsi="国标黑体" w:eastAsia="国标黑体" w:cs="国标黑体"/>
                <w:b w:val="0"/>
                <w:bCs w:val="0"/>
                <w:color w:val="auto"/>
                <w:sz w:val="28"/>
                <w:szCs w:val="28"/>
              </w:rPr>
            </w:pPr>
            <w:r>
              <w:rPr>
                <w:rFonts w:hint="eastAsia" w:ascii="国标黑体" w:hAnsi="国标黑体" w:eastAsia="国标黑体" w:cs="国标黑体"/>
                <w:b w:val="0"/>
                <w:bCs w:val="0"/>
                <w:color w:val="auto"/>
                <w:sz w:val="28"/>
                <w:szCs w:val="28"/>
              </w:rPr>
              <w:t>0</w:t>
            </w:r>
          </w:p>
        </w:tc>
      </w:tr>
    </w:tbl>
    <w:p>
      <w:pPr>
        <w:pStyle w:val="6"/>
        <w:keepNext w:val="0"/>
        <w:keepLines w:val="0"/>
        <w:pageBreakBefore w:val="0"/>
        <w:widowControl/>
        <w:numPr>
          <w:ilvl w:val="0"/>
          <w:numId w:val="0"/>
        </w:numPr>
        <w:suppressLineNumbers w:val="0"/>
        <w:tabs>
          <w:tab w:val="left" w:pos="579"/>
        </w:tabs>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宋体" w:hAnsi="宋体" w:eastAsia="宋体" w:cs="宋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政府信息公开工作存在的主要问题及改进措施 </w:t>
      </w:r>
      <w:r>
        <w:rPr>
          <w:rFonts w:hint="eastAsia" w:ascii="宋体" w:hAnsi="宋体" w:eastAsia="宋体" w:cs="宋体"/>
          <w:sz w:val="32"/>
          <w:szCs w:val="32"/>
          <w:highlight w:val="non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我委在政府信息公开工作中取得了一定成效，但仍存在不足，一是部分政策解读文件未能与政策性文件同步公开，二是依申请公开答复的专业性有待提升，疑难复杂或信息不明确的申请仍需依赖外部法律咨询。下一步，我委将重点从两方面改进：一是严格落实“谁起草、谁解读”原则，推动政策性文件与解读材料同步起草、同步审签、同步发布；二是健全内部培训与会商机制，对复杂申请由法规科、相关业务科室等先行研判，再聚焦核心法律问题有重点地咨询法律顾问，并推动专业意见转化为标准化工作指引，持续提升答复工作的规范性和准确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六、其他需要报告的事项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按照《国务院办公厅关于印发</w:t>
      </w:r>
      <w:r>
        <w:rPr>
          <w:rFonts w:hint="default"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val="en-US" w:eastAsia="zh-CN"/>
        </w:rPr>
        <w:t>政府信息公开信息处理费管理办法</w:t>
      </w:r>
      <w:r>
        <w:rPr>
          <w:rFonts w:hint="default"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val="en-US" w:eastAsia="zh-CN"/>
        </w:rPr>
        <w:t>的通知》（国办函〔</w:t>
      </w:r>
      <w:r>
        <w:rPr>
          <w:rFonts w:hint="default"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lang w:val="en-US" w:eastAsia="zh-CN"/>
        </w:rPr>
        <w:t>号）规定的按件、按量收费标准，本年度没有产生信息公开处理费。</w:t>
      </w:r>
    </w:p>
    <w:sectPr>
      <w:footerReference r:id="rId3"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国标黑体">
    <w:panose1 w:val="020005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RBTr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EW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ABEFOvSAQAA&#10;hAMAAA4AAAAAAAAAAQAgAAAANQEAAGRycy9lMm9Eb2MueG1sUEsFBgAAAAAGAAYAWQEAAHkFAAAA&#10;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940ED"/>
    <w:multiLevelType w:val="singleLevel"/>
    <w:tmpl w:val="BAF940ED"/>
    <w:lvl w:ilvl="0" w:tentative="0">
      <w:start w:val="3"/>
      <w:numFmt w:val="chineseCounting"/>
      <w:suff w:val="nothing"/>
      <w:lvlText w:val="%1、"/>
      <w:lvlJc w:val="left"/>
      <w:rPr>
        <w:rFonts w:hint="eastAsia"/>
      </w:rPr>
    </w:lvl>
  </w:abstractNum>
  <w:abstractNum w:abstractNumId="1">
    <w:nsid w:val="63F8E0B0"/>
    <w:multiLevelType w:val="singleLevel"/>
    <w:tmpl w:val="63F8E0B0"/>
    <w:lvl w:ilvl="0" w:tentative="0">
      <w:start w:val="2"/>
      <w:numFmt w:val="chineseCounting"/>
      <w:suff w:val="nothing"/>
      <w:lvlText w:val="%1、"/>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YTNiYmMwYmRkYzcyYTAyNmYwMzlhZTFmYWRmMWIifQ=="/>
  </w:docVars>
  <w:rsids>
    <w:rsidRoot w:val="0F28640F"/>
    <w:rsid w:val="002538F9"/>
    <w:rsid w:val="00716796"/>
    <w:rsid w:val="024850D4"/>
    <w:rsid w:val="074862E0"/>
    <w:rsid w:val="0F28640F"/>
    <w:rsid w:val="0F7FC52D"/>
    <w:rsid w:val="0FDD5466"/>
    <w:rsid w:val="16ECA2C7"/>
    <w:rsid w:val="17E01F3A"/>
    <w:rsid w:val="1AD734D7"/>
    <w:rsid w:val="1BFD80A3"/>
    <w:rsid w:val="2197115F"/>
    <w:rsid w:val="21BDF9B4"/>
    <w:rsid w:val="277B02B2"/>
    <w:rsid w:val="2C1215EB"/>
    <w:rsid w:val="2EEFEED0"/>
    <w:rsid w:val="30CB2706"/>
    <w:rsid w:val="3310A115"/>
    <w:rsid w:val="360F36CE"/>
    <w:rsid w:val="39932868"/>
    <w:rsid w:val="39A20CFD"/>
    <w:rsid w:val="3BA95234"/>
    <w:rsid w:val="3CB65EDE"/>
    <w:rsid w:val="3E3B0BCD"/>
    <w:rsid w:val="3E7F3E91"/>
    <w:rsid w:val="3F9DBE5B"/>
    <w:rsid w:val="3FF581D6"/>
    <w:rsid w:val="45156827"/>
    <w:rsid w:val="479BBA5A"/>
    <w:rsid w:val="4B7F57BF"/>
    <w:rsid w:val="4BEFDE31"/>
    <w:rsid w:val="4E300DD0"/>
    <w:rsid w:val="4EAD471B"/>
    <w:rsid w:val="5DB979B3"/>
    <w:rsid w:val="5DF7901E"/>
    <w:rsid w:val="5F6D8A99"/>
    <w:rsid w:val="5F9BE2C6"/>
    <w:rsid w:val="5FBE5C8F"/>
    <w:rsid w:val="5FDDF0B4"/>
    <w:rsid w:val="5FEFEF4B"/>
    <w:rsid w:val="5FF71AAA"/>
    <w:rsid w:val="5FF7AC41"/>
    <w:rsid w:val="5FFED0B5"/>
    <w:rsid w:val="632779F9"/>
    <w:rsid w:val="63BC1368"/>
    <w:rsid w:val="66D7EE8B"/>
    <w:rsid w:val="677D9117"/>
    <w:rsid w:val="6B9E4DD4"/>
    <w:rsid w:val="6D0417E9"/>
    <w:rsid w:val="6FAA3A2B"/>
    <w:rsid w:val="6FDD4693"/>
    <w:rsid w:val="6FFF45E0"/>
    <w:rsid w:val="706832D8"/>
    <w:rsid w:val="72E26492"/>
    <w:rsid w:val="72FD156C"/>
    <w:rsid w:val="73BE9C5D"/>
    <w:rsid w:val="73DDC265"/>
    <w:rsid w:val="74AE8EAD"/>
    <w:rsid w:val="74CB6DEE"/>
    <w:rsid w:val="75DFDCA4"/>
    <w:rsid w:val="76E64E26"/>
    <w:rsid w:val="777B86EA"/>
    <w:rsid w:val="77BEBF23"/>
    <w:rsid w:val="77CEDBFF"/>
    <w:rsid w:val="7A2537E0"/>
    <w:rsid w:val="7AF39A18"/>
    <w:rsid w:val="7B5FE694"/>
    <w:rsid w:val="7BD342D3"/>
    <w:rsid w:val="7BF7F721"/>
    <w:rsid w:val="7C570EF7"/>
    <w:rsid w:val="7C877AB1"/>
    <w:rsid w:val="7D76AA92"/>
    <w:rsid w:val="7DAB9204"/>
    <w:rsid w:val="7DAB9B83"/>
    <w:rsid w:val="7E39772C"/>
    <w:rsid w:val="7EBB2247"/>
    <w:rsid w:val="7ECB7342"/>
    <w:rsid w:val="7EEEC257"/>
    <w:rsid w:val="7EFD1EF3"/>
    <w:rsid w:val="7F53DA3F"/>
    <w:rsid w:val="7F769421"/>
    <w:rsid w:val="7F7FFFA1"/>
    <w:rsid w:val="7F9E2A4D"/>
    <w:rsid w:val="7FFFEE2F"/>
    <w:rsid w:val="873370BE"/>
    <w:rsid w:val="8CF7257D"/>
    <w:rsid w:val="8DABAADC"/>
    <w:rsid w:val="971CA6B9"/>
    <w:rsid w:val="9F1FAE9C"/>
    <w:rsid w:val="9F77D610"/>
    <w:rsid w:val="A77B68F8"/>
    <w:rsid w:val="B9FBBCE9"/>
    <w:rsid w:val="BBB3FD49"/>
    <w:rsid w:val="BFBD5C53"/>
    <w:rsid w:val="CEFD4DFF"/>
    <w:rsid w:val="CFFD0909"/>
    <w:rsid w:val="DEF35529"/>
    <w:rsid w:val="DF6F0F2B"/>
    <w:rsid w:val="DF9F8132"/>
    <w:rsid w:val="DFBFA64E"/>
    <w:rsid w:val="E34E6EDD"/>
    <w:rsid w:val="E9EE1890"/>
    <w:rsid w:val="EA4E3BA8"/>
    <w:rsid w:val="EBFD6376"/>
    <w:rsid w:val="EDBDC329"/>
    <w:rsid w:val="EF3B4BA2"/>
    <w:rsid w:val="EF661AA7"/>
    <w:rsid w:val="F3EE0C9E"/>
    <w:rsid w:val="F6F6506D"/>
    <w:rsid w:val="F7DE0FAA"/>
    <w:rsid w:val="F7DFB7CD"/>
    <w:rsid w:val="F9B68F45"/>
    <w:rsid w:val="F9E725ED"/>
    <w:rsid w:val="FABDA272"/>
    <w:rsid w:val="FB3FD918"/>
    <w:rsid w:val="FB9FDDD4"/>
    <w:rsid w:val="FD33800F"/>
    <w:rsid w:val="FD5FECC1"/>
    <w:rsid w:val="FE6EFFD6"/>
    <w:rsid w:val="FF37FE3A"/>
    <w:rsid w:val="FF695553"/>
    <w:rsid w:val="FF7F1DEA"/>
    <w:rsid w:val="FFBB0174"/>
    <w:rsid w:val="FFCFD285"/>
    <w:rsid w:val="FFFE83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Emphasis"/>
    <w:basedOn w:val="8"/>
    <w:qFormat/>
    <w:uiPriority w:val="0"/>
    <w:rPr>
      <w:i/>
    </w:rPr>
  </w:style>
  <w:style w:type="character" w:styleId="12">
    <w:name w:val="Hyperlink"/>
    <w:basedOn w:val="8"/>
    <w:qFormat/>
    <w:uiPriority w:val="0"/>
    <w:rPr>
      <w:color w:val="0000FF"/>
      <w:u w:val="none"/>
    </w:rPr>
  </w:style>
  <w:style w:type="character" w:customStyle="1" w:styleId="13">
    <w:name w:val="navspan3"/>
    <w:basedOn w:val="8"/>
    <w:qFormat/>
    <w:uiPriority w:val="0"/>
  </w:style>
  <w:style w:type="character" w:customStyle="1" w:styleId="14">
    <w:name w:val="navspan4"/>
    <w:basedOn w:val="8"/>
    <w:qFormat/>
    <w:uiPriority w:val="0"/>
  </w:style>
  <w:style w:type="character" w:customStyle="1" w:styleId="15">
    <w:name w:val="navspan1"/>
    <w:basedOn w:val="8"/>
    <w:qFormat/>
    <w:uiPriority w:val="0"/>
  </w:style>
  <w:style w:type="character" w:customStyle="1" w:styleId="16">
    <w:name w:val="navspan2"/>
    <w:basedOn w:val="8"/>
    <w:qFormat/>
    <w:uiPriority w:val="0"/>
  </w:style>
  <w:style w:type="character" w:customStyle="1" w:styleId="17">
    <w:name w:val="navspan5"/>
    <w:basedOn w:val="8"/>
    <w:qFormat/>
    <w:uiPriority w:val="0"/>
  </w:style>
  <w:style w:type="character" w:customStyle="1" w:styleId="18">
    <w:name w:val="navspan6"/>
    <w:basedOn w:val="8"/>
    <w:qFormat/>
    <w:uiPriority w:val="0"/>
  </w:style>
  <w:style w:type="character" w:customStyle="1" w:styleId="19">
    <w:name w:val="layui-this"/>
    <w:basedOn w:val="8"/>
    <w:qFormat/>
    <w:uiPriority w:val="0"/>
    <w:rPr>
      <w:bdr w:val="single" w:color="EEEEEE" w:sz="6" w:space="0"/>
      <w:shd w:val="clear" w:color="auto" w:fill="FFFFFF"/>
    </w:rPr>
  </w:style>
  <w:style w:type="character" w:customStyle="1" w:styleId="20">
    <w:name w:val="first-child"/>
    <w:basedOn w:val="8"/>
    <w:qFormat/>
    <w:uiPriority w:val="0"/>
  </w:style>
  <w:style w:type="paragraph" w:customStyle="1" w:styleId="21">
    <w:name w:val="_Style 16"/>
    <w:basedOn w:val="1"/>
    <w:next w:val="1"/>
    <w:qFormat/>
    <w:uiPriority w:val="0"/>
    <w:pPr>
      <w:pBdr>
        <w:bottom w:val="single" w:color="auto" w:sz="6" w:space="1"/>
      </w:pBdr>
      <w:jc w:val="center"/>
    </w:pPr>
    <w:rPr>
      <w:rFonts w:ascii="Arial" w:eastAsia="宋体"/>
      <w:vanish/>
      <w:sz w:val="16"/>
    </w:rPr>
  </w:style>
  <w:style w:type="paragraph" w:customStyle="1" w:styleId="22">
    <w:name w:val="_Style 17"/>
    <w:basedOn w:val="1"/>
    <w:next w:val="1"/>
    <w:qFormat/>
    <w:uiPriority w:val="0"/>
    <w:pPr>
      <w:pBdr>
        <w:top w:val="single" w:color="auto" w:sz="6" w:space="1"/>
      </w:pBdr>
      <w:jc w:val="center"/>
    </w:pPr>
    <w:rPr>
      <w:rFonts w:ascii="Arial" w:eastAsia="宋体"/>
      <w:vanish/>
      <w:sz w:val="16"/>
    </w:rPr>
  </w:style>
  <w:style w:type="character" w:customStyle="1" w:styleId="23">
    <w:name w:val="ipt-text1"/>
    <w:basedOn w:val="8"/>
    <w:qFormat/>
    <w:uiPriority w:val="0"/>
  </w:style>
  <w:style w:type="character" w:customStyle="1" w:styleId="24">
    <w:name w:val="ipt-btn1"/>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2928</Words>
  <Characters>3022</Characters>
  <Lines>0</Lines>
  <Paragraphs>0</Paragraphs>
  <TotalTime>9.33333333333333</TotalTime>
  <ScaleCrop>false</ScaleCrop>
  <LinksUpToDate>false</LinksUpToDate>
  <CharactersWithSpaces>3042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2022-10-28T02:55:00Z</dcterms:created>
  <dc:creator>王正中</dc:creator>
  <cp:lastModifiedBy>greatwall</cp:lastModifiedBy>
  <cp:lastPrinted>2023-01-17T03:58:00Z</cp:lastPrinted>
  <dcterms:modified xsi:type="dcterms:W3CDTF">2026-01-14T17:00:07Z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D49B10E6AF774723B32E44F9F11CC050</vt:lpwstr>
  </property>
</Properties>
</file>