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579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pt;margin-left:-89.35pt;margin-top:-94.9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鄂尔多斯市水利局2</w:t>
      </w:r>
      <w:r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年政府信息</w:t>
      </w:r>
    </w:p>
    <w:p>
      <w:pPr>
        <w:pStyle w:val="4"/>
        <w:widowControl/>
        <w:spacing w:beforeAutospacing="0" w:afterAutospacing="0" w:line="579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公开工作年度报告</w:t>
      </w:r>
    </w:p>
    <w:p>
      <w:pPr>
        <w:pStyle w:val="4"/>
        <w:widowControl/>
        <w:spacing w:beforeAutospacing="0" w:afterAutospacing="0"/>
        <w:jc w:val="center"/>
        <w:rPr>
          <w:rFonts w:ascii="宋体" w:hAnsi="宋体" w:eastAsia="宋体" w:cs="宋体"/>
          <w:color w:val="00000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依据《中华人民共和国政府信息公开条例》第五十条规定，编制本报告。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全文包括鄂尔多斯市水利局政府信息公开总体情况，主动公开政府信息情况，收到和处理政府信息公开申请情况，政府信息公开行政复议、行政诉讼情况，存在的问题及改进情况，其他需要报告的事项。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本报告所列统计数据的统计期限自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日止，现将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年度政府信息公开工作报告如下。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contextualSpacing/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一、总体情况</w:t>
      </w:r>
    </w:p>
    <w:p>
      <w:pPr>
        <w:widowControl/>
        <w:shd w:val="clear" w:color="auto" w:fill="FFFFFF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　　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年，鄂尔多斯</w:t>
      </w:r>
      <w:r>
        <w:rPr>
          <w:rFonts w:ascii="仿宋_GB2312" w:hAnsi="仿宋_GB2312" w:eastAsia="仿宋_GB2312" w:cs="仿宋_GB2312"/>
          <w:sz w:val="32"/>
          <w:szCs w:val="32"/>
        </w:rPr>
        <w:t>市水利局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深入落实国务院、</w:t>
      </w:r>
      <w:r>
        <w:rPr>
          <w:rFonts w:ascii="仿宋_GB2312" w:hAnsi="仿宋_GB2312" w:eastAsia="仿宋_GB2312" w:cs="仿宋_GB2312"/>
          <w:sz w:val="32"/>
          <w:szCs w:val="32"/>
        </w:rPr>
        <w:t>内蒙古自治区及</w:t>
      </w:r>
      <w:r>
        <w:rPr>
          <w:rFonts w:hint="eastAsia" w:ascii="仿宋_GB2312" w:hAnsi="仿宋_GB2312" w:eastAsia="仿宋_GB2312" w:cs="仿宋_GB2312"/>
          <w:sz w:val="32"/>
          <w:szCs w:val="32"/>
        </w:rPr>
        <w:t>鄂尔多斯市政务公开工作相关要求，大力推进决策、执行、管理、服务、公开，加大主动公开力度、及时发布政策解读，积极为群众答疑解惑，推进政务公开工作高质量发展。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contextualSpacing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kern w:val="2"/>
          <w:sz w:val="32"/>
          <w:szCs w:val="32"/>
        </w:rPr>
        <w:t>（一）加强组织领导，做好主动公开。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鄂尔多斯市</w:t>
      </w:r>
      <w:r>
        <w:rPr>
          <w:rFonts w:ascii="仿宋_GB2312" w:hAnsi="仿宋_GB2312" w:eastAsia="仿宋_GB2312" w:cs="仿宋_GB2312"/>
          <w:sz w:val="32"/>
          <w:szCs w:val="32"/>
        </w:rPr>
        <w:t>水利局进一步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加强政务公开工作的组织领导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理顺政务公开体制机制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将政务公开工作纳入全局重点水利工作。按照“谁主管、谁负责”原则落实政务公开责任，从政务审批、党务公开、财务公开等重点环节入手，明确政务公开职责，细化分工，提高政务公开透明度。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通过门户网站、微信公众号、官方微博、</w:t>
      </w:r>
      <w:r>
        <w:rPr>
          <w:rFonts w:hint="eastAsia" w:ascii="仿宋_GB2312" w:hAnsi="仿宋_GB2312" w:eastAsia="仿宋_GB2312" w:cs="仿宋_GB2312"/>
          <w:sz w:val="32"/>
          <w:szCs w:val="32"/>
        </w:rPr>
        <w:t>LED屏等多种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渠道主动进行公开，我局门户网站发布信息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1035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条，其中概括类信息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条，政务动态类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988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条，信息公开目录类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条；微信公众号发布信息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582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条；加大主动公开力度，丰富主动公开内容。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根据公开工作新形势、新要求，及时调整政务公开内容，规范公开事项标准，确保公开信息的及时性、完整性和规范性。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FF0000"/>
          <w:kern w:val="0"/>
          <w:sz w:val="32"/>
          <w:szCs w:val="32"/>
          <w:lang w:bidi="ar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（二）提升依申请公开效率，加强政府信息管理。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年进一步优化信息公开申请工作流程，畅通受理渠道，提升依申请公开办理水平。针对复杂疑难的信息公开申请，加强部门协作研究，防范法律风险。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及时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在门户网站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公开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栏目对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权责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清单、办理流程、承接科室、联系电话、办公地址及办公时间等进行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公开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说明。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全年共收到政府信息公开申请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件，自然人申请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法人或其他组织机构申请1件，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已全部办结并答复。未因政府信息公开发生行政复议及诉讼情况。</w:t>
      </w:r>
    </w:p>
    <w:p>
      <w:pPr>
        <w:widowControl/>
        <w:ind w:firstLine="480" w:firstLineChars="150"/>
        <w:rPr>
          <w:rFonts w:ascii="Calibri" w:hAnsi="Calibri" w:eastAsia="宋体" w:cs="宋体"/>
          <w:kern w:val="0"/>
          <w:sz w:val="20"/>
          <w:szCs w:val="20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（三）强化政府信息公开平台建设，推动“互联网+公众参与”。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以“公开是常态，不公开是例外”为原则，做到应公开尽公开。公开范围涵盖组织机构、人事变动、规划计划、行政审批、政策解读等各个方面，建立信息发布审核、保密工作、政务公开审核等制度，严格审核把关，确保政府信息公开的严肃性和权威性。加强日常运行维护时，定期检查网站链接的有效性，确保网站安全平稳运行。有效提升网站发布信息、政策解读、回应关切、服务公众的能力和水平。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年</w:t>
      </w:r>
      <w:r>
        <w:rPr>
          <w:rFonts w:ascii="Times New Roman" w:hAnsi="Times New Roman" w:eastAsia="仿宋_GB2312"/>
          <w:sz w:val="32"/>
          <w:szCs w:val="32"/>
          <w:lang w:bidi="ar"/>
        </w:rPr>
        <w:t>我局进行政策解读</w:t>
      </w:r>
      <w:r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次</w:t>
      </w:r>
      <w:r>
        <w:rPr>
          <w:rFonts w:ascii="Times New Roman" w:hAnsi="Times New Roman" w:eastAsia="仿宋_GB2312"/>
          <w:sz w:val="32"/>
          <w:szCs w:val="32"/>
          <w:lang w:bidi="ar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畅通</w:t>
      </w:r>
      <w:r>
        <w:rPr>
          <w:rFonts w:ascii="Times New Roman" w:hAnsi="Times New Roman" w:eastAsia="仿宋_GB2312"/>
          <w:sz w:val="32"/>
          <w:szCs w:val="32"/>
          <w:lang w:bidi="ar"/>
        </w:rPr>
        <w:t>群众沟通渠道，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发布</w:t>
      </w:r>
      <w:r>
        <w:rPr>
          <w:rFonts w:ascii="Times New Roman" w:hAnsi="Times New Roman" w:eastAsia="仿宋_GB2312"/>
          <w:sz w:val="32"/>
          <w:szCs w:val="32"/>
          <w:lang w:bidi="ar"/>
        </w:rPr>
        <w:t>今年发布征集调查</w:t>
      </w:r>
      <w:r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  <w:t>6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期</w:t>
      </w:r>
      <w:r>
        <w:rPr>
          <w:rFonts w:ascii="Times New Roman" w:hAnsi="Times New Roman" w:eastAsia="仿宋_GB2312"/>
          <w:sz w:val="32"/>
          <w:szCs w:val="32"/>
          <w:lang w:bidi="ar"/>
        </w:rPr>
        <w:t>，收集民情民意。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同时，</w:t>
      </w:r>
      <w:r>
        <w:rPr>
          <w:rFonts w:ascii="Times New Roman" w:hAnsi="Times New Roman" w:eastAsia="仿宋_GB2312"/>
          <w:sz w:val="32"/>
          <w:szCs w:val="32"/>
          <w:lang w:bidi="ar"/>
        </w:rPr>
        <w:t>通过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政务服务平台和局长信箱等多种</w:t>
      </w:r>
      <w:r>
        <w:rPr>
          <w:rFonts w:ascii="Times New Roman" w:hAnsi="Times New Roman" w:eastAsia="仿宋_GB2312"/>
          <w:sz w:val="32"/>
          <w:szCs w:val="32"/>
          <w:lang w:bidi="ar"/>
        </w:rPr>
        <w:t>渠道倾听群众诉求，共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办理</w:t>
      </w:r>
      <w:r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条</w:t>
      </w:r>
      <w:r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  <w:t>留言，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为群众解决难题和烦心事，力求做到“件件有着落，事事有回音”。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（四）推进政务公开考核和监督保障。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健全政府信息公开制度，制定公开要点，规范公开内容，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将政务公开信息报</w:t>
      </w:r>
      <w:r>
        <w:rPr>
          <w:rFonts w:ascii="Times New Roman" w:hAnsi="Times New Roman" w:eastAsia="仿宋_GB2312" w:cs="Times New Roman"/>
          <w:sz w:val="32"/>
          <w:szCs w:val="32"/>
        </w:rPr>
        <w:t>送情况列入</w:t>
      </w:r>
      <w:r>
        <w:rPr>
          <w:rFonts w:hint="eastAsia" w:ascii="Times New Roman" w:hAnsi="Times New Roman" w:eastAsia="仿宋_GB2312"/>
          <w:sz w:val="32"/>
          <w:szCs w:val="32"/>
        </w:rPr>
        <w:t>全局</w:t>
      </w:r>
      <w:r>
        <w:rPr>
          <w:rFonts w:ascii="Times New Roman" w:hAnsi="Times New Roman" w:eastAsia="仿宋_GB2312" w:cs="Times New Roman"/>
          <w:sz w:val="32"/>
          <w:szCs w:val="32"/>
        </w:rPr>
        <w:t>工作人员日常考核指标范围，并作为各科室年终考核的重要内容。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指定专职工作人员负责政务公开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接受市政务服务局对门户网站和微信公众号的日常监督，按时报送网站相关情况整改报告。</w:t>
      </w:r>
    </w:p>
    <w:p>
      <w:pPr>
        <w:pStyle w:val="4"/>
        <w:widowControl/>
        <w:spacing w:beforeAutospacing="0" w:afterAutospacing="0"/>
        <w:ind w:firstLine="640" w:firstLineChars="200"/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二、主动公开政府信息情况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528"/>
        <w:gridCol w:w="16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</w:tbl>
    <w:p>
      <w:pPr>
        <w:pStyle w:val="4"/>
        <w:widowControl/>
        <w:spacing w:beforeAutospacing="0" w:afterAutospacing="0"/>
        <w:ind w:firstLine="640" w:firstLineChars="200"/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</w:p>
    <w:p>
      <w:pPr>
        <w:pStyle w:val="4"/>
        <w:widowControl/>
        <w:spacing w:beforeAutospacing="0" w:after="240" w:afterAutospacing="0"/>
        <w:jc w:val="both"/>
        <w:rPr>
          <w:rFonts w:ascii="宋体" w:hAnsi="宋体" w:eastAsia="宋体" w:cs="宋体"/>
          <w:b/>
          <w:color w:val="000000"/>
        </w:rPr>
      </w:pPr>
    </w:p>
    <w:p>
      <w:pPr>
        <w:pStyle w:val="4"/>
        <w:widowControl/>
        <w:spacing w:beforeAutospacing="0" w:afterAutospacing="0"/>
        <w:ind w:firstLine="640" w:firstLineChars="200"/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三、收到和处理政府信息公开申请情况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23"/>
        <w:gridCol w:w="717"/>
        <w:gridCol w:w="667"/>
        <w:gridCol w:w="667"/>
        <w:gridCol w:w="717"/>
        <w:gridCol w:w="855"/>
        <w:gridCol w:w="629"/>
        <w:gridCol w:w="6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325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6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71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1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3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1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71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8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7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其他</w:t>
            </w:r>
          </w:p>
        </w:tc>
        <w:tc>
          <w:tcPr>
            <w:tcW w:w="6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32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32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2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2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2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2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2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2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2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2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Calibri" w:hAnsi="Calibri" w:eastAsia="仿宋" w:cs="Calibr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Calibri" w:hAnsi="Calibri" w:eastAsia="仿宋" w:cs="Calibr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2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Calibri" w:hAnsi="Calibri" w:eastAsia="仿宋" w:cs="Calibr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Calibri" w:hAnsi="Calibri" w:eastAsia="仿宋" w:cs="Calibr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2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2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2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2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2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2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2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2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2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1.申请人无正当理由预期不补正、行政机关不再处理其政府信息公开申请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2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2.申请人预期未按收费通知要求缴纳费用、行政机关不再处理其政府信息公开申请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2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2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32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</w:rPr>
              <w:t> </w:t>
            </w:r>
          </w:p>
        </w:tc>
      </w:tr>
    </w:tbl>
    <w:p>
      <w:pPr>
        <w:pStyle w:val="4"/>
        <w:widowControl/>
        <w:spacing w:beforeAutospacing="0" w:afterAutospacing="0"/>
        <w:jc w:val="both"/>
        <w:rPr>
          <w:rFonts w:ascii="宋体" w:hAnsi="宋体" w:eastAsia="宋体" w:cs="宋体"/>
          <w:color w:val="000000"/>
        </w:rPr>
      </w:pPr>
    </w:p>
    <w:p>
      <w:pPr>
        <w:pStyle w:val="4"/>
        <w:widowControl/>
        <w:spacing w:beforeAutospacing="0" w:afterAutospacing="0"/>
        <w:ind w:firstLine="640" w:firstLineChars="200"/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0</w:t>
            </w:r>
          </w:p>
        </w:tc>
      </w:tr>
    </w:tbl>
    <w:p>
      <w:pPr>
        <w:widowControl/>
        <w:spacing w:after="150"/>
        <w:jc w:val="center"/>
        <w:rPr>
          <w:rFonts w:ascii="Segoe UI" w:hAnsi="Segoe UI" w:eastAsia="Segoe UI" w:cs="Segoe UI"/>
          <w:color w:val="000000"/>
        </w:rPr>
      </w:pPr>
      <w:bookmarkStart w:id="0" w:name="_GoBack"/>
      <w:bookmarkEnd w:id="0"/>
    </w:p>
    <w:p>
      <w:pPr>
        <w:pStyle w:val="4"/>
        <w:widowControl/>
        <w:spacing w:beforeAutospacing="0" w:afterAutospacing="0"/>
        <w:ind w:firstLine="640" w:firstLineChars="200"/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五、存在的主要问题及2</w:t>
      </w:r>
      <w:r>
        <w:rPr>
          <w:rFonts w:ascii="黑体" w:hAnsi="黑体" w:eastAsia="黑体" w:cs="黑体"/>
          <w:bCs/>
          <w:color w:val="000000"/>
          <w:sz w:val="32"/>
          <w:szCs w:val="32"/>
        </w:rPr>
        <w:t>02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年重点工作</w:t>
      </w:r>
    </w:p>
    <w:p>
      <w:pPr>
        <w:pStyle w:val="4"/>
        <w:widowControl/>
        <w:spacing w:beforeAutospacing="0" w:afterAutospacing="0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年，我局政府信息公开工作仍存在尚待提升的地方，如工作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专业知识与能力水平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不足以满足群众所需求的多样化政策解读方式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公开形式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主要以文字为主，短视屏、动画图片等多形式的宣传方式还有待拓宽等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4"/>
        <w:widowControl/>
        <w:spacing w:beforeAutospacing="0" w:afterAutospacing="0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我局将：一是加大培训力度，采用网络教育、集中授课等方式不断提升工作人员专业水平。二是积极拓展公开新渠道，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新方式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加强与媒体的合作力度，充分发挥政府网站和政务新媒体作用，向公众做好政府信息的公开和水利信息的宣传。</w:t>
      </w:r>
    </w:p>
    <w:p>
      <w:pPr>
        <w:pStyle w:val="4"/>
        <w:widowControl/>
        <w:spacing w:beforeAutospacing="0" w:afterAutospacing="0"/>
        <w:ind w:firstLine="640" w:firstLineChars="200"/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六、其他需要报告的事项</w:t>
      </w:r>
    </w:p>
    <w:p>
      <w:pPr>
        <w:spacing w:line="560" w:lineRule="exact"/>
        <w:ind w:firstLine="583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依据《政府信息公开信息处理费管理办法》，我局本年度涉及公开申请行为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件，未收取信息处理费。</w:t>
      </w:r>
    </w:p>
    <w:p>
      <w:pPr>
        <w:spacing w:line="560" w:lineRule="exact"/>
        <w:ind w:firstLine="583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要求，我局对照政务</w:t>
      </w:r>
      <w:r>
        <w:rPr>
          <w:rFonts w:ascii="仿宋_GB2312" w:hAnsi="仿宋_GB2312" w:eastAsia="仿宋_GB2312" w:cs="仿宋_GB2312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工作要点</w:t>
      </w:r>
      <w:r>
        <w:rPr>
          <w:rFonts w:ascii="仿宋_GB2312" w:hAnsi="仿宋_GB2312" w:eastAsia="仿宋_GB2312" w:cs="仿宋_GB2312"/>
          <w:sz w:val="32"/>
          <w:szCs w:val="32"/>
        </w:rPr>
        <w:t>任务台账，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积极与</w:t>
      </w:r>
      <w:r>
        <w:rPr>
          <w:rFonts w:ascii="仿宋_GB2312" w:hAnsi="仿宋_GB2312" w:eastAsia="仿宋_GB2312" w:cs="仿宋_GB2312"/>
          <w:sz w:val="32"/>
          <w:szCs w:val="32"/>
        </w:rPr>
        <w:t>鄂尔多斯市人民政府、鄂尔多斯市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</w:t>
      </w:r>
      <w:r>
        <w:rPr>
          <w:rFonts w:ascii="仿宋_GB2312" w:hAnsi="仿宋_GB2312" w:eastAsia="仿宋_GB2312" w:cs="仿宋_GB2312"/>
          <w:sz w:val="32"/>
          <w:szCs w:val="32"/>
        </w:rPr>
        <w:t>审批和政务服务局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ascii="仿宋_GB2312" w:hAnsi="仿宋_GB2312" w:eastAsia="仿宋_GB2312" w:cs="仿宋_GB2312"/>
          <w:sz w:val="32"/>
          <w:szCs w:val="32"/>
        </w:rPr>
        <w:t>沟通对接，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</w:t>
      </w:r>
      <w:r>
        <w:rPr>
          <w:rFonts w:ascii="仿宋_GB2312" w:hAnsi="仿宋_GB2312" w:eastAsia="仿宋_GB2312" w:cs="仿宋_GB2312"/>
          <w:sz w:val="32"/>
          <w:szCs w:val="32"/>
        </w:rPr>
        <w:t>做好行政规范</w:t>
      </w:r>
      <w:r>
        <w:rPr>
          <w:rFonts w:hint="eastAsia" w:ascii="仿宋_GB2312" w:hAnsi="仿宋_GB2312" w:eastAsia="仿宋_GB2312" w:cs="仿宋_GB2312"/>
          <w:sz w:val="32"/>
          <w:szCs w:val="32"/>
        </w:rPr>
        <w:t>性</w:t>
      </w:r>
      <w:r>
        <w:rPr>
          <w:rFonts w:ascii="仿宋_GB2312" w:hAnsi="仿宋_GB2312" w:eastAsia="仿宋_GB2312" w:cs="仿宋_GB2312"/>
          <w:sz w:val="32"/>
          <w:szCs w:val="32"/>
        </w:rPr>
        <w:t>文件分类、政府规章集中规范公开、政务服务标准化、规范化、便利化等工作，认真贯彻落实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</w:t>
      </w:r>
      <w:r>
        <w:rPr>
          <w:rFonts w:ascii="仿宋_GB2312" w:hAnsi="仿宋_GB2312" w:eastAsia="仿宋_GB2312" w:cs="仿宋_GB2312"/>
          <w:sz w:val="32"/>
          <w:szCs w:val="32"/>
        </w:rPr>
        <w:t>政策发布解读回应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12345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</w:t>
      </w:r>
      <w:r>
        <w:rPr>
          <w:rFonts w:ascii="仿宋_GB2312" w:hAnsi="仿宋_GB2312" w:eastAsia="仿宋_GB2312" w:cs="仿宋_GB2312"/>
          <w:sz w:val="32"/>
          <w:szCs w:val="32"/>
        </w:rPr>
        <w:t>服务热线</w:t>
      </w:r>
      <w:r>
        <w:rPr>
          <w:rFonts w:hint="eastAsia" w:ascii="仿宋_GB2312" w:hAnsi="仿宋_GB2312" w:eastAsia="仿宋_GB2312" w:cs="仿宋_GB2312"/>
          <w:sz w:val="32"/>
          <w:szCs w:val="32"/>
        </w:rPr>
        <w:t>回应</w:t>
      </w:r>
      <w:r>
        <w:rPr>
          <w:rFonts w:ascii="仿宋_GB2312" w:hAnsi="仿宋_GB2312" w:eastAsia="仿宋_GB2312" w:cs="仿宋_GB2312"/>
          <w:sz w:val="32"/>
          <w:szCs w:val="32"/>
        </w:rPr>
        <w:t>等政策咨询服务，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ascii="仿宋_GB2312" w:hAnsi="仿宋_GB2312" w:eastAsia="仿宋_GB2312" w:cs="仿宋_GB2312"/>
          <w:sz w:val="32"/>
          <w:szCs w:val="32"/>
        </w:rPr>
        <w:t>自身职能职责，及时公布黄河流域生态保护和高质量发展、</w:t>
      </w:r>
      <w:r>
        <w:rPr>
          <w:rFonts w:hint="eastAsia" w:ascii="仿宋_GB2312" w:hAnsi="仿宋_GB2312" w:eastAsia="仿宋_GB2312" w:cs="仿宋_GB2312"/>
          <w:sz w:val="32"/>
          <w:szCs w:val="32"/>
        </w:rPr>
        <w:t>深度</w:t>
      </w:r>
      <w:r>
        <w:rPr>
          <w:rFonts w:ascii="仿宋_GB2312" w:hAnsi="仿宋_GB2312" w:eastAsia="仿宋_GB2312" w:cs="仿宋_GB2312"/>
          <w:sz w:val="32"/>
          <w:szCs w:val="32"/>
        </w:rPr>
        <w:t>节水控水、十大孔兑综合治理、滩区居民迁建、重点河湖湿地综合治理等工作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动态</w:t>
      </w:r>
      <w:r>
        <w:rPr>
          <w:rFonts w:ascii="仿宋_GB2312" w:hAnsi="仿宋_GB2312" w:eastAsia="仿宋_GB2312" w:cs="仿宋_GB2312"/>
          <w:sz w:val="32"/>
          <w:szCs w:val="32"/>
        </w:rPr>
        <w:t>、项目进展等，</w:t>
      </w:r>
      <w:r>
        <w:rPr>
          <w:rFonts w:hint="eastAsia" w:ascii="仿宋_GB2312" w:hAnsi="仿宋_GB2312" w:eastAsia="仿宋_GB2312" w:cs="仿宋_GB2312"/>
          <w:sz w:val="32"/>
          <w:szCs w:val="32"/>
        </w:rPr>
        <w:t>把推行政务公开作为推进建设</w:t>
      </w:r>
      <w:r>
        <w:rPr>
          <w:rFonts w:ascii="仿宋_GB2312" w:hAnsi="仿宋_GB2312" w:eastAsia="仿宋_GB2312" w:cs="仿宋_GB2312"/>
          <w:sz w:val="32"/>
          <w:szCs w:val="32"/>
        </w:rPr>
        <w:t>服务型政府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的重要举措，大力推进水利领域信息公开，保障广大人民群众对水利工作的知情权、参与权、表达权和监督权。</w:t>
      </w:r>
    </w:p>
    <w:p>
      <w:pPr>
        <w:spacing w:line="560" w:lineRule="exact"/>
        <w:ind w:firstLine="583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本年度报告电子版可在鄂尔多斯市水利局信息公开年报栏目查阅。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网站网址为：</w:t>
      </w:r>
    </w:p>
    <w:p>
      <w:pPr>
        <w:spacing w:line="560" w:lineRule="exact"/>
        <w:ind w:firstLine="583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（</w:t>
      </w:r>
      <w:r>
        <w:fldChar w:fldCharType="begin"/>
      </w:r>
      <w:r>
        <w:instrText xml:space="preserve"> HYPERLINK "http://slj.ordos.gov.cn/" </w:instrText>
      </w:r>
      <w:r>
        <w:fldChar w:fldCharType="separate"/>
      </w:r>
      <w:r>
        <w:rPr>
          <w:rStyle w:val="7"/>
          <w:rFonts w:ascii="仿宋_GB2312" w:hAnsi="仿宋_GB2312" w:eastAsia="仿宋_GB2312" w:cs="仿宋_GB2312"/>
          <w:sz w:val="32"/>
          <w:szCs w:val="32"/>
        </w:rPr>
        <w:t>http://slj.ordos.gov.cn/</w:t>
      </w:r>
      <w:r>
        <w:rPr>
          <w:rStyle w:val="7"/>
          <w:rFonts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583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如对本年度报告有疑问，请与鄂尔多斯市水利局联系（地址：鄂尔多斯市伊金霍洛旗国泰商务广场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T2-210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层；邮政编码：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017200</w:t>
      </w:r>
      <w:r>
        <w:rPr>
          <w:rFonts w:hint="eastAsia" w:ascii="仿宋_GB2312" w:hAnsi="仿宋_GB2312" w:eastAsia="仿宋_GB2312" w:cs="仿宋_GB2312"/>
          <w:sz w:val="32"/>
          <w:szCs w:val="32"/>
        </w:rPr>
        <w:t>；电话：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0477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8530399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2098" w:right="1531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新宋体" w:hAnsi="新宋体" w:eastAsia="新宋体" w:cs="新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新宋体" w:hAnsi="新宋体" w:eastAsia="新宋体" w:cs="新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新宋体" w:hAnsi="新宋体" w:eastAsia="新宋体" w:cs="新宋体"/>
                        <w:sz w:val="28"/>
                        <w:szCs w:val="28"/>
                      </w:rPr>
                    </w:pP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新宋体" w:hAnsi="新宋体" w:eastAsia="新宋体" w:cs="新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1OWY1NDg5MWEzYTI0M2ZiNTA0YmYzMmMxYzlkODQifQ=="/>
  </w:docVars>
  <w:rsids>
    <w:rsidRoot w:val="79DE06AA"/>
    <w:rsid w:val="00027074"/>
    <w:rsid w:val="00064AB3"/>
    <w:rsid w:val="000829BC"/>
    <w:rsid w:val="000A2790"/>
    <w:rsid w:val="000D3844"/>
    <w:rsid w:val="00100465"/>
    <w:rsid w:val="00112B7D"/>
    <w:rsid w:val="001973C4"/>
    <w:rsid w:val="001B3AF4"/>
    <w:rsid w:val="002429DD"/>
    <w:rsid w:val="0026416F"/>
    <w:rsid w:val="00267976"/>
    <w:rsid w:val="0027514B"/>
    <w:rsid w:val="00291CCA"/>
    <w:rsid w:val="0029601D"/>
    <w:rsid w:val="002C6115"/>
    <w:rsid w:val="003031A7"/>
    <w:rsid w:val="00315D80"/>
    <w:rsid w:val="00327DD1"/>
    <w:rsid w:val="00330483"/>
    <w:rsid w:val="00341CC3"/>
    <w:rsid w:val="00360590"/>
    <w:rsid w:val="0036081A"/>
    <w:rsid w:val="003D35F8"/>
    <w:rsid w:val="003D531B"/>
    <w:rsid w:val="004328E3"/>
    <w:rsid w:val="00446C00"/>
    <w:rsid w:val="004C5EEF"/>
    <w:rsid w:val="004D0AAA"/>
    <w:rsid w:val="005344EB"/>
    <w:rsid w:val="00536430"/>
    <w:rsid w:val="005512EA"/>
    <w:rsid w:val="00575FED"/>
    <w:rsid w:val="005A3E5F"/>
    <w:rsid w:val="005B5C03"/>
    <w:rsid w:val="005C744E"/>
    <w:rsid w:val="005D27B3"/>
    <w:rsid w:val="005F4DB1"/>
    <w:rsid w:val="00626146"/>
    <w:rsid w:val="00686B50"/>
    <w:rsid w:val="00693580"/>
    <w:rsid w:val="006B1CCE"/>
    <w:rsid w:val="006C08FD"/>
    <w:rsid w:val="006C69C2"/>
    <w:rsid w:val="0074096D"/>
    <w:rsid w:val="00750669"/>
    <w:rsid w:val="00757112"/>
    <w:rsid w:val="007D50B2"/>
    <w:rsid w:val="007F27C7"/>
    <w:rsid w:val="00815F95"/>
    <w:rsid w:val="008518F4"/>
    <w:rsid w:val="00876D75"/>
    <w:rsid w:val="00881B14"/>
    <w:rsid w:val="008F413F"/>
    <w:rsid w:val="0092450D"/>
    <w:rsid w:val="009649BE"/>
    <w:rsid w:val="00964E07"/>
    <w:rsid w:val="00990377"/>
    <w:rsid w:val="009A392A"/>
    <w:rsid w:val="009C0918"/>
    <w:rsid w:val="00A24A28"/>
    <w:rsid w:val="00A521F5"/>
    <w:rsid w:val="00A6411B"/>
    <w:rsid w:val="00A70F83"/>
    <w:rsid w:val="00A83415"/>
    <w:rsid w:val="00AB0E09"/>
    <w:rsid w:val="00AC3D27"/>
    <w:rsid w:val="00AD5EB5"/>
    <w:rsid w:val="00AF1074"/>
    <w:rsid w:val="00B06039"/>
    <w:rsid w:val="00B56FA5"/>
    <w:rsid w:val="00BA2E4D"/>
    <w:rsid w:val="00BA4DED"/>
    <w:rsid w:val="00BC5A0B"/>
    <w:rsid w:val="00C0612B"/>
    <w:rsid w:val="00C70D7C"/>
    <w:rsid w:val="00C800F9"/>
    <w:rsid w:val="00C97AC5"/>
    <w:rsid w:val="00CC259A"/>
    <w:rsid w:val="00D062EB"/>
    <w:rsid w:val="00D21B16"/>
    <w:rsid w:val="00D24ED4"/>
    <w:rsid w:val="00D61B2D"/>
    <w:rsid w:val="00D91352"/>
    <w:rsid w:val="00D965FD"/>
    <w:rsid w:val="00DD6CB9"/>
    <w:rsid w:val="00DE0319"/>
    <w:rsid w:val="00E04E5C"/>
    <w:rsid w:val="00E118D7"/>
    <w:rsid w:val="00E27888"/>
    <w:rsid w:val="00E56A3F"/>
    <w:rsid w:val="00E755A5"/>
    <w:rsid w:val="00E87F5D"/>
    <w:rsid w:val="00EC249C"/>
    <w:rsid w:val="00ED4468"/>
    <w:rsid w:val="00EE1B2C"/>
    <w:rsid w:val="00EE2D01"/>
    <w:rsid w:val="00EF2440"/>
    <w:rsid w:val="00F50C82"/>
    <w:rsid w:val="00F718FF"/>
    <w:rsid w:val="00F827BF"/>
    <w:rsid w:val="00F9767D"/>
    <w:rsid w:val="00FA716B"/>
    <w:rsid w:val="00FF50B0"/>
    <w:rsid w:val="1010634B"/>
    <w:rsid w:val="12C369F7"/>
    <w:rsid w:val="151E03AD"/>
    <w:rsid w:val="3D485319"/>
    <w:rsid w:val="522905E7"/>
    <w:rsid w:val="58CF3212"/>
    <w:rsid w:val="6DA757F3"/>
    <w:rsid w:val="79DE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autoRedefine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529</Words>
  <Characters>3019</Characters>
  <Lines>25</Lines>
  <Paragraphs>7</Paragraphs>
  <TotalTime>179</TotalTime>
  <ScaleCrop>false</ScaleCrop>
  <LinksUpToDate>false</LinksUpToDate>
  <CharactersWithSpaces>3541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2023-01-12T09:36:00Z</dcterms:created>
  <dc:creator>杨永杰</dc:creator>
  <cp:lastModifiedBy>呼和都鲁</cp:lastModifiedBy>
  <dcterms:modified xsi:type="dcterms:W3CDTF">2024-01-26T09:32:40Z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1DB71E7F63A842178EB2B1869634B57C_13</vt:lpwstr>
  </property>
</Properties>
</file>