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8280"/>
        </w:tabs>
        <w:kinsoku/>
        <w:wordWrap/>
        <w:overflowPunct/>
        <w:topLinePunct w:val="0"/>
        <w:autoSpaceDE/>
        <w:autoSpaceDN/>
        <w:bidi w:val="0"/>
        <w:adjustRightInd/>
        <w:snapToGrid/>
        <w:spacing w:line="580" w:lineRule="exact"/>
        <w:ind w:left="0" w:leftChars="0" w:right="26" w:firstLine="0" w:firstLineChars="0"/>
        <w:jc w:val="right"/>
        <w:textAlignment w:val="auto"/>
        <w:outlineLvl w:val="9"/>
        <w:rPr>
          <w:rFonts w:hint="eastAsia" w:eastAsia="仿宋"/>
          <w:color w:val="auto"/>
          <w:highlight w:val="none"/>
        </w:rPr>
      </w:pPr>
    </w:p>
    <w:p>
      <w:pPr>
        <w:keepNext w:val="0"/>
        <w:keepLines w:val="0"/>
        <w:pageBreakBefore w:val="0"/>
        <w:widowControl w:val="0"/>
        <w:tabs>
          <w:tab w:val="left" w:pos="8280"/>
        </w:tabs>
        <w:kinsoku/>
        <w:wordWrap/>
        <w:overflowPunct/>
        <w:topLinePunct w:val="0"/>
        <w:autoSpaceDE/>
        <w:autoSpaceDN/>
        <w:bidi w:val="0"/>
        <w:adjustRightInd/>
        <w:snapToGrid/>
        <w:spacing w:line="580" w:lineRule="exact"/>
        <w:ind w:left="0" w:leftChars="0" w:right="26" w:firstLine="0" w:firstLineChars="0"/>
        <w:jc w:val="right"/>
        <w:textAlignment w:val="auto"/>
        <w:outlineLvl w:val="9"/>
        <w:rPr>
          <w:rFonts w:eastAsia="仿宋"/>
          <w:color w:val="auto"/>
          <w:highlight w:val="none"/>
        </w:rPr>
      </w:pP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textAlignment w:val="auto"/>
        <w:outlineLvl w:val="9"/>
        <w:rPr>
          <w:rFonts w:eastAsia="仿宋"/>
          <w:color w:val="auto"/>
          <w:highlight w:val="none"/>
        </w:rPr>
      </w:pP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textAlignment w:val="auto"/>
        <w:outlineLvl w:val="9"/>
        <w:rPr>
          <w:rFonts w:eastAsia="仿宋"/>
          <w:color w:val="auto"/>
          <w:highlight w:val="none"/>
        </w:rPr>
      </w:pP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textAlignment w:val="auto"/>
        <w:outlineLvl w:val="9"/>
        <w:rPr>
          <w:rFonts w:eastAsia="仿宋"/>
          <w:color w:val="auto"/>
          <w:highlight w:val="none"/>
        </w:rPr>
      </w:pP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textAlignment w:val="auto"/>
        <w:outlineLvl w:val="9"/>
        <w:rPr>
          <w:rFonts w:eastAsia="仿宋"/>
          <w:color w:val="auto"/>
          <w:highlight w:val="none"/>
        </w:rPr>
      </w:pP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textAlignment w:val="auto"/>
        <w:outlineLvl w:val="9"/>
        <w:rPr>
          <w:rFonts w:eastAsia="仿宋"/>
          <w:color w:val="auto"/>
          <w:highlight w:val="none"/>
        </w:rPr>
      </w:pPr>
    </w:p>
    <w:p>
      <w:pPr>
        <w:pStyle w:val="9"/>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color w:val="auto"/>
          <w:highlight w:val="none"/>
        </w:rPr>
      </w:pPr>
    </w:p>
    <w:p>
      <w:pPr>
        <w:pStyle w:val="8"/>
        <w:keepNext w:val="0"/>
        <w:keepLines w:val="0"/>
        <w:pageBreakBefore w:val="0"/>
        <w:widowControl w:val="0"/>
        <w:kinsoku/>
        <w:wordWrap/>
        <w:overflowPunct/>
        <w:topLinePunct w:val="0"/>
        <w:autoSpaceDE/>
        <w:autoSpaceDN/>
        <w:bidi w:val="0"/>
        <w:adjustRightInd/>
        <w:snapToGrid/>
        <w:spacing w:line="580" w:lineRule="exact"/>
        <w:textAlignment w:val="auto"/>
        <w:rPr>
          <w:color w:val="auto"/>
        </w:rPr>
      </w:pPr>
    </w:p>
    <w:p>
      <w:pPr>
        <w:keepNext w:val="0"/>
        <w:keepLines w:val="0"/>
        <w:pageBreakBefore w:val="0"/>
        <w:widowControl w:val="0"/>
        <w:tabs>
          <w:tab w:val="left" w:pos="8280"/>
        </w:tabs>
        <w:kinsoku/>
        <w:wordWrap/>
        <w:overflowPunct/>
        <w:topLinePunct w:val="0"/>
        <w:autoSpaceDE/>
        <w:autoSpaceDN/>
        <w:bidi w:val="0"/>
        <w:spacing w:line="600" w:lineRule="exact"/>
        <w:ind w:left="0" w:leftChars="0" w:right="26" w:firstLine="0" w:firstLineChars="0"/>
        <w:jc w:val="center"/>
        <w:textAlignment w:val="auto"/>
        <w:outlineLvl w:val="0"/>
        <w:rPr>
          <w:color w:val="auto"/>
          <w:highlight w:val="none"/>
        </w:rPr>
      </w:pPr>
      <w:r>
        <w:rPr>
          <w:color w:val="auto"/>
          <w:highlight w:val="none"/>
        </w:rPr>
        <w:t>鄂环</w:t>
      </w:r>
      <w:r>
        <w:rPr>
          <w:rFonts w:hint="eastAsia"/>
          <w:color w:val="auto"/>
          <w:highlight w:val="none"/>
          <w:lang w:val="en-US" w:eastAsia="zh-CN"/>
        </w:rPr>
        <w:t>审</w:t>
      </w:r>
      <w:r>
        <w:rPr>
          <w:color w:val="auto"/>
          <w:highlight w:val="none"/>
        </w:rPr>
        <w:t>字〔20</w:t>
      </w:r>
      <w:r>
        <w:rPr>
          <w:rFonts w:hint="eastAsia"/>
          <w:color w:val="auto"/>
          <w:highlight w:val="none"/>
          <w:lang w:val="en-US" w:eastAsia="zh-CN"/>
        </w:rPr>
        <w:t>26</w:t>
      </w:r>
      <w:r>
        <w:rPr>
          <w:color w:val="auto"/>
          <w:highlight w:val="none"/>
        </w:rPr>
        <w:t>〕</w:t>
      </w:r>
      <w:r>
        <w:rPr>
          <w:rFonts w:hint="eastAsia"/>
          <w:color w:val="auto"/>
          <w:highlight w:val="none"/>
          <w:lang w:val="en-US" w:eastAsia="zh-CN"/>
        </w:rPr>
        <w:t>37</w:t>
      </w:r>
      <w:r>
        <w:rPr>
          <w:color w:val="auto"/>
          <w:highlight w:val="none"/>
        </w:rPr>
        <w:t>号</w:t>
      </w:r>
    </w:p>
    <w:p>
      <w:pPr>
        <w:keepNext w:val="0"/>
        <w:keepLines w:val="0"/>
        <w:pageBreakBefore w:val="0"/>
        <w:widowControl w:val="0"/>
        <w:tabs>
          <w:tab w:val="left" w:pos="6780"/>
        </w:tabs>
        <w:kinsoku/>
        <w:wordWrap/>
        <w:overflowPunct/>
        <w:topLinePunct w:val="0"/>
        <w:autoSpaceDE/>
        <w:autoSpaceDN/>
        <w:bidi w:val="0"/>
        <w:spacing w:line="600" w:lineRule="exact"/>
        <w:ind w:left="0" w:leftChars="0" w:firstLine="0" w:firstLineChars="0"/>
        <w:jc w:val="center"/>
        <w:textAlignment w:val="auto"/>
        <w:outlineLvl w:val="9"/>
        <w:rPr>
          <w:rFonts w:eastAsia="仿宋"/>
          <w:b/>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660" w:lineRule="exact"/>
        <w:ind w:left="0" w:leftChars="0" w:firstLine="0" w:firstLineChars="0"/>
        <w:jc w:val="center"/>
        <w:textAlignment w:val="auto"/>
        <w:outlineLvl w:val="0"/>
        <w:rPr>
          <w:rFonts w:eastAsia="宋体"/>
          <w:b/>
          <w:color w:val="auto"/>
          <w:w w:val="95"/>
          <w:sz w:val="44"/>
          <w:szCs w:val="44"/>
          <w:highlight w:val="none"/>
        </w:rPr>
      </w:pPr>
      <w:r>
        <w:rPr>
          <w:rFonts w:eastAsia="宋体"/>
          <w:b/>
          <w:color w:val="auto"/>
          <w:w w:val="95"/>
          <w:sz w:val="44"/>
          <w:szCs w:val="44"/>
          <w:highlight w:val="none"/>
        </w:rPr>
        <w:t>鄂尔多斯市</w:t>
      </w:r>
      <w:r>
        <w:rPr>
          <w:rFonts w:hint="eastAsia" w:eastAsia="宋体"/>
          <w:b/>
          <w:color w:val="auto"/>
          <w:w w:val="95"/>
          <w:sz w:val="44"/>
          <w:szCs w:val="44"/>
          <w:highlight w:val="none"/>
        </w:rPr>
        <w:t>生态环境</w:t>
      </w:r>
      <w:r>
        <w:rPr>
          <w:rFonts w:eastAsia="宋体"/>
          <w:b/>
          <w:color w:val="auto"/>
          <w:w w:val="95"/>
          <w:sz w:val="44"/>
          <w:szCs w:val="44"/>
          <w:highlight w:val="none"/>
        </w:rPr>
        <w:t>局</w:t>
      </w:r>
    </w:p>
    <w:p>
      <w:pPr>
        <w:keepNext w:val="0"/>
        <w:keepLines w:val="0"/>
        <w:pageBreakBefore w:val="0"/>
        <w:widowControl w:val="0"/>
        <w:kinsoku/>
        <w:wordWrap/>
        <w:overflowPunct/>
        <w:topLinePunct w:val="0"/>
        <w:autoSpaceDE/>
        <w:autoSpaceDN/>
        <w:bidi w:val="0"/>
        <w:adjustRightInd/>
        <w:snapToGrid/>
        <w:spacing w:line="660" w:lineRule="exact"/>
        <w:ind w:left="0" w:leftChars="0" w:firstLine="0" w:firstLineChars="0"/>
        <w:jc w:val="center"/>
        <w:textAlignment w:val="auto"/>
        <w:outlineLvl w:val="0"/>
        <w:rPr>
          <w:rFonts w:eastAsia="宋体"/>
          <w:b/>
          <w:color w:val="auto"/>
          <w:w w:val="95"/>
          <w:sz w:val="44"/>
          <w:szCs w:val="44"/>
          <w:highlight w:val="none"/>
        </w:rPr>
      </w:pPr>
      <w:r>
        <w:rPr>
          <w:rFonts w:hint="eastAsia" w:eastAsia="宋体"/>
          <w:b/>
          <w:color w:val="auto"/>
          <w:w w:val="95"/>
          <w:sz w:val="44"/>
          <w:szCs w:val="44"/>
          <w:highlight w:val="none"/>
        </w:rPr>
        <w:t>关于内蒙古京能准旗新能源有限公司库布齐沙漠基地鄂尔多斯新能源170万千瓦光伏项目（一期内蒙古京能准旗新能源有限公司60万千瓦）环境影响报告表</w:t>
      </w:r>
      <w:r>
        <w:rPr>
          <w:rFonts w:eastAsia="宋体"/>
          <w:b/>
          <w:color w:val="auto"/>
          <w:w w:val="95"/>
          <w:sz w:val="44"/>
          <w:szCs w:val="44"/>
          <w:highlight w:val="none"/>
        </w:rPr>
        <w:t>的批复</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eastAsia" w:ascii="仿宋" w:hAnsi="仿宋" w:eastAsia="仿宋" w:cs="仿宋"/>
          <w:color w:val="auto"/>
          <w:szCs w:val="32"/>
          <w:highlight w:val="none"/>
        </w:rPr>
      </w:pP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0" w:firstLineChars="0"/>
        <w:textAlignment w:val="auto"/>
        <w:outlineLvl w:val="9"/>
        <w:rPr>
          <w:rFonts w:hint="eastAsia" w:ascii="仿宋" w:hAnsi="仿宋" w:eastAsia="仿宋" w:cs="仿宋"/>
          <w:color w:val="auto"/>
          <w:szCs w:val="32"/>
          <w:highlight w:val="none"/>
          <w:lang w:val="en-US" w:eastAsia="zh-CN"/>
        </w:rPr>
      </w:pPr>
      <w:r>
        <w:rPr>
          <w:rFonts w:hint="eastAsia" w:ascii="仿宋" w:hAnsi="仿宋" w:eastAsia="仿宋" w:cs="仿宋"/>
          <w:color w:val="auto"/>
          <w:szCs w:val="32"/>
          <w:highlight w:val="none"/>
          <w:lang w:val="en-US" w:eastAsia="zh-CN"/>
        </w:rPr>
        <w:t>内蒙古京能准旗新能源有限公司：</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textAlignment w:val="auto"/>
        <w:outlineLvl w:val="9"/>
        <w:rPr>
          <w:rFonts w:hint="eastAsia" w:ascii="仿宋" w:hAnsi="仿宋" w:eastAsia="仿宋" w:cs="仿宋"/>
          <w:color w:val="auto"/>
          <w:szCs w:val="32"/>
          <w:highlight w:val="none"/>
          <w:lang w:val="en-US" w:eastAsia="zh-CN"/>
        </w:rPr>
      </w:pPr>
      <w:r>
        <w:rPr>
          <w:rFonts w:hint="eastAsia" w:ascii="仿宋" w:hAnsi="仿宋" w:eastAsia="仿宋" w:cs="仿宋"/>
          <w:color w:val="auto"/>
          <w:szCs w:val="32"/>
          <w:highlight w:val="none"/>
          <w:lang w:val="en-US" w:eastAsia="zh-CN"/>
        </w:rPr>
        <w:t>你公司报送的由内蒙古华晨工程咨询有限公司编制的《库布齐沙漠基地鄂尔多斯新能源170万千瓦光伏项目（一期内蒙古京能准旗新能源有限公司60万千瓦）环境影响报告表》（以下简称《报告表》）收悉。经研究，现批复如下：</w:t>
      </w:r>
    </w:p>
    <w:p>
      <w:pPr>
        <w:keepNext w:val="0"/>
        <w:keepLines w:val="0"/>
        <w:pageBreakBefore w:val="0"/>
        <w:widowControl w:val="0"/>
        <w:numPr>
          <w:ilvl w:val="0"/>
          <w:numId w:val="1"/>
        </w:numPr>
        <w:kinsoku/>
        <w:wordWrap/>
        <w:overflowPunct/>
        <w:topLinePunct w:val="0"/>
        <w:autoSpaceDE/>
        <w:autoSpaceDN/>
        <w:bidi w:val="0"/>
        <w:adjustRightInd w:val="0"/>
        <w:snapToGrid w:val="0"/>
        <w:spacing w:line="520" w:lineRule="exact"/>
        <w:ind w:left="0" w:leftChars="0" w:firstLine="640"/>
        <w:textAlignment w:val="auto"/>
        <w:outlineLvl w:val="9"/>
        <w:rPr>
          <w:rFonts w:hint="eastAsia" w:ascii="仿宋" w:hAnsi="仿宋" w:eastAsia="仿宋" w:cs="仿宋"/>
          <w:color w:val="auto"/>
          <w:szCs w:val="32"/>
          <w:highlight w:val="none"/>
          <w:lang w:val="en-US" w:eastAsia="zh-CN"/>
        </w:rPr>
      </w:pPr>
      <w:r>
        <w:rPr>
          <w:rFonts w:hint="eastAsia" w:ascii="仿宋" w:hAnsi="仿宋" w:eastAsia="仿宋" w:cs="仿宋"/>
          <w:color w:val="auto"/>
          <w:szCs w:val="32"/>
          <w:highlight w:val="none"/>
          <w:lang w:val="en-US" w:eastAsia="zh-CN"/>
        </w:rPr>
        <w:t>该项目位于内蒙古自治区鄂尔多斯市准格尔旗布尔陶亥苏木、十二连城乡、大路镇，主要建设内容为建设额定容量600MW并网光伏电站，直流侧总布置容量721.7356MWp，设计使用年限25年。共采用630Wp及以上N型单晶硅双面双玻光伏组件1145612块，每26块组件为一组串，配置 320kW组串式逆变器1875台，每台接入23～24个组串；场区共设188个方阵，其中3.2MW方阵187个、各配10台逆变器及1台3200kVA箱变，1.6MW方阵1个、配5台逆变器及1台1600kVA箱变等内容。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40" w:firstLineChars="200"/>
        <w:textAlignment w:val="auto"/>
        <w:outlineLvl w:val="9"/>
        <w:rPr>
          <w:rFonts w:hint="eastAsia" w:ascii="仿宋" w:hAnsi="仿宋" w:eastAsia="仿宋" w:cs="仿宋"/>
          <w:color w:val="auto"/>
          <w:szCs w:val="32"/>
          <w:highlight w:val="none"/>
          <w:lang w:val="en-US" w:eastAsia="zh-CN"/>
        </w:rPr>
      </w:pPr>
      <w:r>
        <w:rPr>
          <w:rFonts w:hint="eastAsia" w:ascii="仿宋" w:hAnsi="仿宋" w:eastAsia="仿宋" w:cs="仿宋"/>
          <w:color w:val="auto"/>
          <w:szCs w:val="32"/>
          <w:highlight w:val="none"/>
          <w:lang w:val="en-US" w:eastAsia="zh-CN"/>
        </w:rPr>
        <w:t>《报告表》认为，在全面落实各项生态环境保护和环境污染防治措施的前提下，项目建设对环境的不利影响能够得到一定的缓解和控制。因此，我局原则同意你公司按照《报告表》中所列的建设项目性质、规模、地点、工艺、生态环境保护措施及下述要求进行建设。</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textAlignment w:val="auto"/>
        <w:outlineLvl w:val="9"/>
        <w:rPr>
          <w:rFonts w:hint="eastAsia" w:ascii="仿宋" w:hAnsi="仿宋" w:eastAsia="仿宋" w:cs="仿宋"/>
          <w:color w:val="auto"/>
          <w:szCs w:val="32"/>
          <w:highlight w:val="none"/>
          <w:lang w:val="en-US" w:eastAsia="zh-CN"/>
        </w:rPr>
      </w:pPr>
      <w:r>
        <w:rPr>
          <w:rFonts w:hint="eastAsia" w:ascii="仿宋" w:hAnsi="仿宋" w:eastAsia="仿宋" w:cs="仿宋"/>
          <w:color w:val="auto"/>
          <w:szCs w:val="32"/>
          <w:highlight w:val="none"/>
          <w:lang w:val="en-US" w:eastAsia="zh-CN"/>
        </w:rPr>
        <w:t>二、项目建设与运行管理中应重点做好的工作：</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textAlignment w:val="auto"/>
        <w:outlineLvl w:val="9"/>
        <w:rPr>
          <w:rFonts w:hint="eastAsia" w:ascii="仿宋" w:hAnsi="仿宋" w:eastAsia="仿宋" w:cs="仿宋"/>
          <w:color w:val="auto"/>
          <w:szCs w:val="32"/>
          <w:highlight w:val="none"/>
          <w:lang w:val="en-US" w:eastAsia="zh-CN"/>
        </w:rPr>
      </w:pPr>
      <w:r>
        <w:rPr>
          <w:rFonts w:hint="eastAsia" w:ascii="仿宋" w:hAnsi="仿宋" w:eastAsia="仿宋" w:cs="仿宋"/>
          <w:color w:val="auto"/>
          <w:szCs w:val="32"/>
          <w:highlight w:val="none"/>
          <w:lang w:val="en-US" w:eastAsia="zh-CN"/>
        </w:rPr>
        <w:t>1.认真落实施工期生态环境保护及恢复措施。按照法律法规和主管部门要求，做好林地、草地等保护恢复，确保符合其管控要求且生态功能不降低；加强施工管理，施工厂界设置围栏、砂石等建筑材料覆盖遮蔽，加强对施工车辆的管理，施工场地和运输道路定期洒水抑尘，临时弃土应及时采取回填等综合利用措施；施工期的生产废水沉淀后回用，生活污水经粪池统一收集后定期由专用车辆转运至附近污水处理厂进行处理；合理安排施工作业时间，选用低噪声机械设备或带隔声、消声的设备，并做好施工机械的维护和保养；光伏场区、箱式变压器基础区在主体工程施工前需进行表土剥离，施工结束覆土，并对工程扰动区域进行植被恢复；妥善处置施工期产生的各类固废。</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textAlignment w:val="auto"/>
        <w:outlineLvl w:val="9"/>
        <w:rPr>
          <w:rFonts w:hint="default" w:ascii="仿宋" w:hAnsi="仿宋" w:eastAsia="仿宋" w:cs="仿宋"/>
          <w:color w:val="auto"/>
          <w:szCs w:val="32"/>
          <w:highlight w:val="none"/>
          <w:lang w:val="en-US" w:eastAsia="zh-CN"/>
        </w:rPr>
      </w:pPr>
      <w:r>
        <w:rPr>
          <w:rFonts w:hint="eastAsia" w:ascii="仿宋" w:hAnsi="仿宋" w:eastAsia="仿宋" w:cs="仿宋"/>
          <w:color w:val="auto"/>
          <w:szCs w:val="32"/>
          <w:highlight w:val="none"/>
          <w:lang w:val="en-US" w:eastAsia="zh-CN"/>
        </w:rPr>
        <w:t>2.认真落实《报告表》中提出的运营期污染防治措施。在大风等不利气象条件下禁止车辆在站区内行驶，常规气象条件下限制车速以减少扬尘，同时在巡视检修车辆进场前利用洒水车对站区道路进行洒水抑尘，满足《大气污染物综合排放标准》（GB16297-1996）相应限值要求；运营期光伏板冲洗排水排至光伏板下地面自然蒸发；光伏厂区厂界昼夜噪声需满足《工业企业厂界环境噪声排放标准》（GB12348-2008）中2类标准要求；严格按照《一般工业固体废物贮存和填埋污染控制标准》（GB18599-2020）及《危险废物贮存污染控制标准》（GB18597-2023）要求对危险废物和一般固废进行处置，同时做好转运台账，不得乱弃。废旧光伏板等废旧光伏组件拆卸后由厂家直接回收清运，箱式变压器废油暂存于事故油池由密闭容器收集，废矿物油、废油桶及光伏场检修时产生的含油垃圾等危险废物依托升压站危废暂存库暂存，危险废物定期由有资质单位处置。加强生态复垦与植被管护，落实植被抚育、补植及灌溉措施，有效防治水土流失，做好鸟类及栖息地保护等生态保护措施。</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textAlignment w:val="auto"/>
        <w:outlineLvl w:val="9"/>
        <w:rPr>
          <w:rFonts w:hint="eastAsia" w:ascii="仿宋" w:hAnsi="仿宋" w:eastAsia="仿宋" w:cs="仿宋"/>
          <w:color w:val="auto"/>
          <w:szCs w:val="32"/>
          <w:highlight w:val="none"/>
          <w:lang w:val="en-US" w:eastAsia="zh-CN"/>
        </w:rPr>
      </w:pPr>
      <w:r>
        <w:rPr>
          <w:rFonts w:hint="eastAsia" w:ascii="仿宋" w:hAnsi="仿宋" w:eastAsia="仿宋" w:cs="仿宋"/>
          <w:color w:val="auto"/>
          <w:szCs w:val="32"/>
          <w:highlight w:val="none"/>
          <w:lang w:val="en-US" w:eastAsia="zh-CN"/>
        </w:rPr>
        <w:t>3.建设单位须强化环境风险防范，落实环保设施安全生产要求，项目污染防治设施须与主体工程一起按照安全生产要求设计，严格落实各项环境风险处理措施、生态平衡保护机制，有效防范因污染物事故排放或安全生产事故可能引发的环境风险。</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textAlignment w:val="auto"/>
        <w:outlineLvl w:val="9"/>
        <w:rPr>
          <w:rFonts w:hint="eastAsia" w:ascii="仿宋" w:hAnsi="仿宋" w:eastAsia="仿宋" w:cs="仿宋"/>
          <w:color w:val="auto"/>
          <w:szCs w:val="32"/>
          <w:highlight w:val="none"/>
          <w:lang w:val="en-US" w:eastAsia="zh-CN"/>
        </w:rPr>
      </w:pPr>
      <w:r>
        <w:rPr>
          <w:rFonts w:hint="eastAsia" w:ascii="仿宋" w:hAnsi="仿宋" w:eastAsia="仿宋" w:cs="仿宋"/>
          <w:color w:val="auto"/>
          <w:szCs w:val="32"/>
          <w:highlight w:val="none"/>
          <w:lang w:val="en-US" w:eastAsia="zh-CN"/>
        </w:rPr>
        <w:t>三、本项目须符合相关规划，征得林草、水利、文物等主管部门同意后方可开工建设，项目在实施过程中发现文物古迹应立即停止施工并报告有关部门进行妥善处理。建设单位须严格执行环境保护“三同时”制度，项目竣工后，按照规定程序实施竣工环境保护验收，经验收合格后，方可正式投入运行。</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textAlignment w:val="auto"/>
        <w:outlineLvl w:val="9"/>
        <w:rPr>
          <w:rFonts w:hint="eastAsia" w:ascii="仿宋" w:hAnsi="仿宋" w:eastAsia="仿宋" w:cs="仿宋"/>
          <w:color w:val="auto"/>
          <w:szCs w:val="32"/>
          <w:highlight w:val="none"/>
          <w:lang w:val="en-US" w:eastAsia="zh-CN"/>
        </w:rPr>
      </w:pPr>
      <w:r>
        <w:rPr>
          <w:rFonts w:hint="eastAsia" w:ascii="仿宋" w:hAnsi="仿宋" w:eastAsia="仿宋" w:cs="仿宋"/>
          <w:color w:val="auto"/>
          <w:szCs w:val="32"/>
          <w:highlight w:val="none"/>
          <w:lang w:val="en-US" w:eastAsia="zh-CN"/>
        </w:rPr>
        <w:t>四、你公司应在收到本批复20日内，将《报告表》（报批版）及批复文件送至鄂尔多斯市生态环境局准格尔旗分局，我局委托鄂尔多斯市生态环境局准格尔旗分局负责该项目的日常监管工作。</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textAlignment w:val="auto"/>
        <w:outlineLvl w:val="9"/>
        <w:rPr>
          <w:rFonts w:hint="eastAsia" w:ascii="仿宋" w:hAnsi="仿宋" w:eastAsia="仿宋" w:cs="仿宋"/>
          <w:color w:val="auto"/>
          <w:szCs w:val="32"/>
          <w:highlight w:val="none"/>
          <w:lang w:val="en-US" w:eastAsia="zh-CN"/>
        </w:rPr>
      </w:pPr>
      <w:r>
        <w:rPr>
          <w:rFonts w:hint="eastAsia" w:ascii="仿宋" w:hAnsi="仿宋" w:eastAsia="仿宋" w:cs="仿宋"/>
          <w:color w:val="auto"/>
          <w:szCs w:val="32"/>
          <w:highlight w:val="none"/>
          <w:lang w:val="en-US" w:eastAsia="zh-CN"/>
        </w:rPr>
        <w:t>五、该项目从批准之日起超过5年方决定开工建设，其环评文件应重新审核。如果建设地点、规模、防治污染和防止生态破坏的措施等发生重大变化时，需重新报批环评文件。</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jc w:val="both"/>
        <w:textAlignment w:val="auto"/>
        <w:outlineLvl w:val="9"/>
        <w:rPr>
          <w:rFonts w:hint="eastAsia" w:ascii="仿宋" w:hAnsi="仿宋" w:eastAsia="仿宋" w:cs="仿宋"/>
          <w:color w:val="auto"/>
          <w:szCs w:val="32"/>
          <w:highlight w:val="none"/>
        </w:rPr>
      </w:pPr>
    </w:p>
    <w:p>
      <w:pPr>
        <w:pStyle w:val="2"/>
        <w:keepNext w:val="0"/>
        <w:keepLines w:val="0"/>
        <w:pageBreakBefore w:val="0"/>
        <w:widowControl w:val="0"/>
        <w:kinsoku/>
        <w:wordWrap/>
        <w:overflowPunct/>
        <w:topLinePunct w:val="0"/>
        <w:autoSpaceDE/>
        <w:autoSpaceDN/>
        <w:bidi w:val="0"/>
        <w:spacing w:line="520" w:lineRule="exact"/>
        <w:textAlignment w:val="auto"/>
        <w:rPr>
          <w:rFonts w:hint="eastAsia"/>
        </w:rPr>
      </w:pPr>
    </w:p>
    <w:p>
      <w:pPr>
        <w:keepNext w:val="0"/>
        <w:keepLines w:val="0"/>
        <w:pageBreakBefore w:val="0"/>
        <w:widowControl w:val="0"/>
        <w:kinsoku/>
        <w:wordWrap/>
        <w:overflowPunct/>
        <w:topLinePunct w:val="0"/>
        <w:autoSpaceDE/>
        <w:autoSpaceDN/>
        <w:bidi w:val="0"/>
        <w:adjustRightInd w:val="0"/>
        <w:snapToGrid w:val="0"/>
        <w:spacing w:line="520" w:lineRule="exact"/>
        <w:ind w:firstLine="4800" w:firstLineChars="1500"/>
        <w:jc w:val="both"/>
        <w:textAlignment w:val="auto"/>
        <w:outlineLvl w:val="9"/>
        <w:rPr>
          <w:rFonts w:hint="eastAsia" w:ascii="仿宋" w:hAnsi="仿宋" w:eastAsia="仿宋" w:cs="仿宋"/>
          <w:color w:val="auto"/>
          <w:szCs w:val="32"/>
          <w:highlight w:val="none"/>
        </w:rPr>
      </w:pPr>
      <w:r>
        <w:rPr>
          <w:rFonts w:hint="eastAsia" w:ascii="仿宋" w:hAnsi="仿宋" w:eastAsia="仿宋" w:cs="仿宋"/>
          <w:color w:val="auto"/>
          <w:szCs w:val="32"/>
          <w:highlight w:val="none"/>
        </w:rPr>
        <w:t>鄂尔多斯市生态环境局</w:t>
      </w:r>
    </w:p>
    <w:p>
      <w:pPr>
        <w:keepNext w:val="0"/>
        <w:keepLines w:val="0"/>
        <w:pageBreakBefore w:val="0"/>
        <w:widowControl w:val="0"/>
        <w:kinsoku/>
        <w:wordWrap/>
        <w:overflowPunct/>
        <w:topLinePunct w:val="0"/>
        <w:autoSpaceDE/>
        <w:autoSpaceDN/>
        <w:bidi w:val="0"/>
        <w:adjustRightInd w:val="0"/>
        <w:snapToGrid w:val="0"/>
        <w:spacing w:line="520" w:lineRule="exact"/>
        <w:ind w:right="320"/>
        <w:jc w:val="both"/>
        <w:textAlignment w:val="auto"/>
        <w:outlineLvl w:val="9"/>
        <w:rPr>
          <w:rFonts w:hint="eastAsia" w:ascii="仿宋" w:hAnsi="仿宋" w:eastAsia="仿宋" w:cs="仿宋"/>
          <w:color w:val="auto"/>
          <w:szCs w:val="32"/>
          <w:highlight w:val="none"/>
        </w:rPr>
      </w:pPr>
      <w:r>
        <w:rPr>
          <w:rFonts w:hint="eastAsia" w:ascii="仿宋" w:hAnsi="仿宋" w:eastAsia="仿宋" w:cs="仿宋"/>
          <w:color w:val="auto"/>
          <w:szCs w:val="32"/>
          <w:highlight w:val="none"/>
          <w:lang w:val="en-US" w:eastAsia="zh-CN"/>
        </w:rPr>
        <w:t xml:space="preserve">                            </w:t>
      </w:r>
      <w:r>
        <w:rPr>
          <w:rFonts w:hint="eastAsia" w:ascii="仿宋" w:hAnsi="仿宋" w:eastAsia="仿宋" w:cs="仿宋"/>
          <w:color w:val="auto"/>
          <w:szCs w:val="32"/>
          <w:highlight w:val="none"/>
        </w:rPr>
        <w:t>20</w:t>
      </w:r>
      <w:r>
        <w:rPr>
          <w:rFonts w:hint="eastAsia" w:ascii="仿宋" w:hAnsi="仿宋" w:eastAsia="仿宋" w:cs="仿宋"/>
          <w:color w:val="auto"/>
          <w:szCs w:val="32"/>
          <w:highlight w:val="none"/>
          <w:lang w:val="en-US" w:eastAsia="zh-CN"/>
        </w:rPr>
        <w:t>26</w:t>
      </w:r>
      <w:r>
        <w:rPr>
          <w:rFonts w:hint="eastAsia" w:ascii="仿宋" w:hAnsi="仿宋" w:eastAsia="仿宋" w:cs="仿宋"/>
          <w:color w:val="auto"/>
          <w:szCs w:val="32"/>
          <w:highlight w:val="none"/>
        </w:rPr>
        <w:t>年</w:t>
      </w:r>
      <w:r>
        <w:rPr>
          <w:rFonts w:hint="eastAsia" w:ascii="仿宋" w:hAnsi="仿宋" w:eastAsia="仿宋" w:cs="仿宋"/>
          <w:color w:val="auto"/>
          <w:szCs w:val="32"/>
          <w:highlight w:val="none"/>
          <w:lang w:val="en-US" w:eastAsia="zh-CN"/>
        </w:rPr>
        <w:t>4月3</w:t>
      </w:r>
      <w:r>
        <w:rPr>
          <w:rFonts w:hint="eastAsia" w:ascii="仿宋" w:hAnsi="仿宋" w:eastAsia="仿宋" w:cs="仿宋"/>
          <w:color w:val="auto"/>
          <w:szCs w:val="32"/>
          <w:highlight w:val="none"/>
        </w:rPr>
        <w:t>日</w:t>
      </w:r>
    </w:p>
    <w:p>
      <w:pPr>
        <w:pStyle w:val="9"/>
        <w:rPr>
          <w:rFonts w:hint="eastAsia"/>
        </w:rPr>
      </w:pPr>
    </w:p>
    <w:p>
      <w:pPr>
        <w:ind w:left="0" w:leftChars="0" w:firstLine="0" w:firstLineChars="0"/>
        <w:rPr>
          <w:rFonts w:hint="eastAsia"/>
        </w:rPr>
      </w:pPr>
    </w:p>
    <w:p>
      <w:pPr>
        <w:ind w:left="0" w:leftChars="0" w:firstLine="0" w:firstLineChars="0"/>
        <w:rPr>
          <w:rFonts w:hint="eastAsia"/>
        </w:rPr>
      </w:pPr>
    </w:p>
    <w:p>
      <w:pPr>
        <w:ind w:left="0" w:leftChars="0" w:firstLine="0" w:firstLineChars="0"/>
        <w:rPr>
          <w:rFonts w:hint="eastAsia"/>
        </w:rPr>
      </w:pPr>
    </w:p>
    <w:p>
      <w:pPr>
        <w:ind w:left="0" w:leftChars="0" w:firstLine="0" w:firstLineChars="0"/>
        <w:rPr>
          <w:rFonts w:hint="eastAsia"/>
        </w:rPr>
      </w:pPr>
    </w:p>
    <w:p>
      <w:pPr>
        <w:keepNext w:val="0"/>
        <w:keepLines w:val="0"/>
        <w:pageBreakBefore w:val="0"/>
        <w:widowControl w:val="0"/>
        <w:kinsoku/>
        <w:wordWrap/>
        <w:overflowPunct/>
        <w:topLinePunct w:val="0"/>
        <w:autoSpaceDE/>
        <w:autoSpaceDN/>
        <w:bidi w:val="0"/>
        <w:spacing w:line="520" w:lineRule="exact"/>
        <w:ind w:left="840" w:hanging="840" w:hangingChars="300"/>
        <w:textAlignment w:val="auto"/>
        <w:rPr>
          <w:rFonts w:hint="eastAsia" w:eastAsia="仿宋_GB2312"/>
          <w:color w:val="auto"/>
          <w:sz w:val="28"/>
          <w:szCs w:val="28"/>
          <w:highlight w:val="none"/>
          <w:lang w:eastAsia="zh-CN"/>
        </w:rPr>
      </w:pPr>
      <w:r>
        <w:rPr>
          <w:color w:val="auto"/>
          <w:sz w:val="28"/>
          <w:szCs w:val="28"/>
          <w:highlight w:val="none"/>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5080</wp:posOffset>
                </wp:positionV>
                <wp:extent cx="5687695"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8769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0.4pt;height:0pt;width:447.85pt;z-index:251658240;mso-width-relative:page;mso-height-relative:page;" filled="f" coordsize="21600,21600" o:gfxdata="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p6XMs0QAAAAIBAAAPAAAAAAAA&#10;AAEAIAAAACIAAABkcnMvZG93bnJldi54bWxQSwECFAAUAAAACACHTuJAEFH+uOABAACkAwAADgAA&#10;AAAAAAABACAAAAAgAQAAZHJzL2Uyb0RvYy54bWxQSwUGAAAAAAYABgBZAQAAcgUAAAAA&#10;">
                <v:path arrowok="t"/>
                <v:fill on="f" focussize="0,0"/>
                <v:stroke/>
                <v:imagedata o:title=""/>
                <o:lock v:ext="edit"/>
              </v:line>
            </w:pict>
          </mc:Fallback>
        </mc:AlternateContent>
      </w:r>
      <w:r>
        <w:rPr>
          <w:color w:val="auto"/>
          <w:sz w:val="28"/>
          <w:szCs w:val="28"/>
          <w:highlight w:val="none"/>
        </w:rPr>
        <w:t>抄送：</w:t>
      </w:r>
      <w:r>
        <w:rPr>
          <w:rFonts w:hint="eastAsia"/>
          <w:color w:val="auto"/>
          <w:sz w:val="28"/>
          <w:szCs w:val="28"/>
          <w:highlight w:val="none"/>
        </w:rPr>
        <w:t>鄂尔多斯市生态环境局</w:t>
      </w:r>
      <w:r>
        <w:rPr>
          <w:rFonts w:hint="eastAsia"/>
          <w:color w:val="auto"/>
          <w:sz w:val="28"/>
          <w:szCs w:val="28"/>
          <w:highlight w:val="none"/>
          <w:lang w:val="en-US" w:eastAsia="zh-CN"/>
        </w:rPr>
        <w:t>准格尔旗</w:t>
      </w:r>
      <w:r>
        <w:rPr>
          <w:rFonts w:hint="eastAsia"/>
          <w:color w:val="auto"/>
          <w:sz w:val="28"/>
          <w:szCs w:val="28"/>
          <w:highlight w:val="none"/>
        </w:rPr>
        <w:t>分局</w:t>
      </w:r>
      <w:r>
        <w:rPr>
          <w:rFonts w:hint="eastAsia"/>
          <w:color w:val="auto"/>
          <w:sz w:val="28"/>
          <w:szCs w:val="28"/>
          <w:highlight w:val="none"/>
          <w:lang w:eastAsia="zh-CN"/>
        </w:rPr>
        <w:t>，</w:t>
      </w:r>
      <w:r>
        <w:rPr>
          <w:rFonts w:hint="eastAsia"/>
          <w:color w:val="auto"/>
          <w:sz w:val="28"/>
          <w:szCs w:val="28"/>
          <w:highlight w:val="none"/>
        </w:rPr>
        <w:t>市生态环境综合行政执</w:t>
      </w:r>
      <w:r>
        <w:rPr>
          <w:rFonts w:hint="eastAsia"/>
          <w:color w:val="auto"/>
          <w:sz w:val="28"/>
          <w:szCs w:val="28"/>
          <w:highlight w:val="none"/>
          <w:lang w:val="en-US" w:eastAsia="zh-CN"/>
        </w:rPr>
        <w:t>法</w:t>
      </w:r>
      <w:r>
        <w:rPr>
          <w:rFonts w:hint="eastAsia"/>
          <w:color w:val="auto"/>
          <w:sz w:val="28"/>
          <w:szCs w:val="28"/>
          <w:highlight w:val="none"/>
        </w:rPr>
        <w:t>支队</w:t>
      </w:r>
      <w:r>
        <w:rPr>
          <w:color w:val="auto"/>
          <w:sz w:val="28"/>
          <w:szCs w:val="28"/>
          <w:highlight w:val="none"/>
        </w:rPr>
        <w:t>，</w:t>
      </w:r>
      <w:r>
        <w:rPr>
          <w:rFonts w:hint="eastAsia"/>
          <w:color w:val="auto"/>
          <w:sz w:val="28"/>
          <w:szCs w:val="28"/>
          <w:highlight w:val="none"/>
        </w:rPr>
        <w:t>内蒙古华晨工程咨询有限公司</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0" w:firstLineChars="0"/>
        <w:textAlignment w:val="auto"/>
        <w:outlineLvl w:val="9"/>
      </w:pPr>
      <w:r>
        <w:rPr>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-3175</wp:posOffset>
                </wp:positionH>
                <wp:positionV relativeFrom="paragraph">
                  <wp:posOffset>434340</wp:posOffset>
                </wp:positionV>
                <wp:extent cx="568769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68769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25pt;margin-top:34.2pt;height:0pt;width:447.85pt;z-index:251660288;mso-width-relative:page;mso-height-relative:page;" filled="f" coordsize="21600,21600" o:gfxdata="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4zxia1QAAAAcBAAAPAAAA&#10;AAAAAAEAIAAAACIAAABkcnMvZG93bnJldi54bWxQSwECFAAUAAAACACHTuJADz6pJt8BAACkAwAA&#10;DgAAAAAAAAABACAAAAAkAQAAZHJzL2Uyb0RvYy54bWxQSwUGAAAAAAYABgBZAQAAdQUAAAAA&#10;">
                <v:path arrowok="t"/>
                <v:fill on="f" focussize="0,0"/>
                <v:stroke/>
                <v:imagedata o:title=""/>
                <o:lock v:ext="edit"/>
              </v:line>
            </w:pict>
          </mc:Fallback>
        </mc:AlternateContent>
      </w:r>
      <w:r>
        <w:rPr>
          <w:color w:val="auto"/>
          <w:sz w:val="28"/>
          <w:szCs w:val="28"/>
          <w:highlight w:val="none"/>
        </w:rPr>
        <w:t>鄂尔多斯市</w:t>
      </w:r>
      <w:r>
        <w:rPr>
          <w:rFonts w:hint="eastAsia"/>
          <w:color w:val="auto"/>
          <w:sz w:val="28"/>
          <w:szCs w:val="28"/>
          <w:highlight w:val="none"/>
        </w:rPr>
        <w:t>生态环境</w:t>
      </w:r>
      <w:r>
        <w:rPr>
          <w:color w:val="auto"/>
          <w:sz w:val="28"/>
          <w:szCs w:val="28"/>
          <w:highlight w:val="none"/>
        </w:rPr>
        <w:t xml:space="preserve">局                </w:t>
      </w:r>
      <w:r>
        <w:rPr>
          <w:rFonts w:hint="eastAsia"/>
          <w:color w:val="auto"/>
          <w:sz w:val="28"/>
          <w:szCs w:val="28"/>
          <w:highlight w:val="none"/>
          <w:lang w:val="en-US" w:eastAsia="zh-CN"/>
        </w:rPr>
        <w:t xml:space="preserve">      2026年4月3日</w:t>
      </w:r>
      <w:r>
        <w:rPr>
          <w:color w:val="auto"/>
          <w:sz w:val="28"/>
          <w:szCs w:val="28"/>
          <w:highlight w:val="none"/>
        </w:rPr>
        <w:t>印发</w:t>
      </w:r>
      <w:r>
        <w:rPr>
          <w:color w:val="auto"/>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7620</wp:posOffset>
                </wp:positionV>
                <wp:extent cx="568769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68769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0.6pt;height:0pt;width:447.85pt;z-index:251659264;mso-width-relative:page;mso-height-relative:page;" filled="f" coordsize="21600,21600" o:gfxdata="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v23Z+0gAAAAQBAAAPAAAAAAAA&#10;AAEAIAAAACIAAABkcnMvZG93bnJldi54bWxQSwECFAAUAAAACACHTuJAv2VtGt8BAACkAwAADgAA&#10;AAAAAAABACAAAAAhAQAAZHJzL2Uyb0RvYy54bWxQSwUGAAAAAAYABgBZAQAAcgUAAAAA&#10;">
                <v:path arrowok="t"/>
                <v:fill on="f" focussize="0,0"/>
                <v:stroke/>
                <v:imagedata o:title=""/>
                <o:lock v:ext="edit"/>
              </v:line>
            </w:pict>
          </mc:Fallback>
        </mc:AlternateContent>
      </w:r>
    </w:p>
    <w:p>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2098" w:right="1588" w:bottom="1588" w:left="1588" w:header="851" w:footer="992" w:gutter="0"/>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lear" w:pos="4153"/>
        <w:tab w:val="clear" w:pos="8306"/>
      </w:tabs>
      <w:ind w:firstLine="560"/>
      <w:jc w:val="right"/>
      <w:rPr>
        <w:rFonts w:hint="eastAsia" w:ascii="宋体" w:eastAsia="宋体"/>
        <w:sz w:val="28"/>
        <w:szCs w:val="28"/>
      </w:rPr>
    </w:pPr>
    <w:r>
      <w:rPr>
        <w:rFonts w:hint="eastAsia" w:ascii="宋体" w:eastAsia="宋体"/>
        <w:sz w:val="28"/>
        <w:szCs w:val="28"/>
      </w:rPr>
      <w:fldChar w:fldCharType="begin"/>
    </w:r>
    <w:r>
      <w:rPr>
        <w:rFonts w:hint="eastAsia" w:ascii="宋体" w:eastAsia="宋体"/>
        <w:sz w:val="28"/>
        <w:szCs w:val="28"/>
      </w:rPr>
      <w:instrText xml:space="preserve"> PAGE   \* MERGEFORMAT </w:instrText>
    </w:r>
    <w:r>
      <w:rPr>
        <w:rFonts w:hint="eastAsia" w:ascii="宋体" w:eastAsia="宋体"/>
        <w:sz w:val="28"/>
        <w:szCs w:val="28"/>
      </w:rPr>
      <w:fldChar w:fldCharType="separate"/>
    </w:r>
    <w:r>
      <w:rPr>
        <w:rFonts w:ascii="宋体" w:eastAsia="宋体"/>
        <w:sz w:val="28"/>
        <w:szCs w:val="28"/>
        <w:lang w:val="zh-CN"/>
      </w:rPr>
      <w:t>-</w:t>
    </w:r>
    <w:r>
      <w:rPr>
        <w:rFonts w:ascii="宋体" w:eastAsia="宋体"/>
        <w:sz w:val="28"/>
        <w:szCs w:val="28"/>
      </w:rPr>
      <w:t xml:space="preserve"> 4 -</w:t>
    </w:r>
    <w:r>
      <w:rPr>
        <w:rFonts w:hint="eastAsia" w:ascii="宋体" w:eastAsia="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lear" w:pos="4153"/>
        <w:tab w:val="clear" w:pos="8306"/>
      </w:tabs>
      <w:ind w:firstLine="560"/>
      <w:rPr>
        <w:rFonts w:hint="eastAsia" w:ascii="宋体" w:eastAsia="宋体"/>
        <w:sz w:val="28"/>
        <w:szCs w:val="28"/>
      </w:rPr>
    </w:pPr>
    <w:r>
      <w:rPr>
        <w:rFonts w:hint="eastAsia" w:ascii="宋体" w:eastAsia="宋体"/>
        <w:sz w:val="28"/>
        <w:szCs w:val="28"/>
      </w:rPr>
      <w:fldChar w:fldCharType="begin"/>
    </w:r>
    <w:r>
      <w:rPr>
        <w:rFonts w:hint="eastAsia" w:ascii="宋体" w:eastAsia="宋体"/>
        <w:sz w:val="28"/>
        <w:szCs w:val="28"/>
      </w:rPr>
      <w:instrText xml:space="preserve"> PAGE   \* MERGEFORMAT </w:instrText>
    </w:r>
    <w:r>
      <w:rPr>
        <w:rFonts w:hint="eastAsia" w:ascii="宋体" w:eastAsia="宋体"/>
        <w:sz w:val="28"/>
        <w:szCs w:val="28"/>
      </w:rPr>
      <w:fldChar w:fldCharType="separate"/>
    </w:r>
    <w:r>
      <w:rPr>
        <w:rFonts w:ascii="宋体" w:eastAsia="宋体"/>
        <w:sz w:val="28"/>
        <w:szCs w:val="28"/>
        <w:lang w:val="zh-CN"/>
      </w:rPr>
      <w:t>-</w:t>
    </w:r>
    <w:r>
      <w:rPr>
        <w:rFonts w:ascii="宋体" w:eastAsia="宋体"/>
        <w:sz w:val="28"/>
        <w:szCs w:val="28"/>
      </w:rPr>
      <w:t xml:space="preserve"> 4 -</w:t>
    </w:r>
    <w:r>
      <w:rPr>
        <w:rFonts w:hint="eastAsia" w:ascii="宋体" w:eastAsia="宋体"/>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lear" w:pos="4153"/>
        <w:tab w:val="clear" w:pos="8306"/>
      </w:tabs>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clear" w:pos="4153"/>
        <w:tab w:val="clear" w:pos="8306"/>
      </w:tabs>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clear" w:pos="4153"/>
        <w:tab w:val="clear" w:pos="8306"/>
      </w:tabs>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clear" w:pos="4153"/>
        <w:tab w:val="clear" w:pos="8306"/>
      </w:tabs>
      <w:ind w:firstLine="360"/>
    </w:pPr>
  </w:p>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F73D69"/>
    <w:multiLevelType w:val="singleLevel"/>
    <w:tmpl w:val="EFF73D6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F10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仿宋_GB2312" w:cs="Times New Roman"/>
      <w:kern w:val="2"/>
      <w:sz w:val="32"/>
      <w:szCs w:val="24"/>
      <w:lang w:val="en-US" w:eastAsia="zh-CN" w:bidi="ar-SA"/>
    </w:rPr>
  </w:style>
  <w:style w:type="character" w:default="1" w:styleId="11">
    <w:name w:val="Default Paragraph Font"/>
    <w:semiHidden/>
    <w:uiPriority w:val="0"/>
  </w:style>
  <w:style w:type="table" w:default="1" w:styleId="10">
    <w:name w:val="Normal Table"/>
    <w:semiHidden/>
    <w:uiPriority w:val="0"/>
    <w:tblPr>
      <w:tblLayout w:type="fixed"/>
      <w:tblCellMar>
        <w:top w:w="0" w:type="dxa"/>
        <w:left w:w="108" w:type="dxa"/>
        <w:bottom w:w="0" w:type="dxa"/>
        <w:right w:w="108" w:type="dxa"/>
      </w:tblCellMar>
    </w:tblPr>
  </w:style>
  <w:style w:type="paragraph" w:styleId="2">
    <w:name w:val="Normal Indent"/>
    <w:basedOn w:val="1"/>
    <w:qFormat/>
    <w:uiPriority w:val="0"/>
    <w:rPr>
      <w:rFonts w:ascii="Calibri" w:hAnsi="Calibri" w:eastAsia="宋体" w:cs="Times New Roman"/>
      <w:kern w:val="0"/>
    </w:rPr>
  </w:style>
  <w:style w:type="paragraph" w:styleId="3">
    <w:name w:val="Body Text"/>
    <w:basedOn w:val="1"/>
    <w:next w:val="4"/>
    <w:qFormat/>
    <w:uiPriority w:val="0"/>
    <w:pPr>
      <w:spacing w:after="120"/>
    </w:pPr>
    <w:rPr>
      <w:rFonts w:ascii="Times New Roman" w:hAnsi="Times New Roman" w:eastAsia="宋体" w:cs="Times New Roman"/>
    </w:rPr>
  </w:style>
  <w:style w:type="paragraph" w:styleId="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Times New Roman"/>
    </w:rPr>
  </w:style>
  <w:style w:type="paragraph" w:styleId="5">
    <w:name w:val="Body Text Indent"/>
    <w:basedOn w:val="1"/>
    <w:next w:val="1"/>
    <w:qFormat/>
    <w:uiPriority w:val="0"/>
    <w:pPr>
      <w:spacing w:after="120"/>
      <w:ind w:left="420" w:leftChars="200"/>
    </w:pPr>
    <w:rPr>
      <w:rFonts w:ascii="Times New Roman" w:hAnsi="Times New Roman" w:eastAsia="宋体" w:cs="Times New Roman"/>
    </w:rPr>
  </w:style>
  <w:style w:type="paragraph" w:styleId="6">
    <w:name w:val="footer"/>
    <w:basedOn w:val="1"/>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8">
    <w:name w:val="Body Text First Indent"/>
    <w:basedOn w:val="3"/>
    <w:next w:val="1"/>
    <w:qFormat/>
    <w:uiPriority w:val="0"/>
    <w:pPr>
      <w:ind w:firstLine="420" w:firstLineChars="100"/>
    </w:pPr>
    <w:rPr>
      <w:rFonts w:ascii="Times New Roman" w:hAnsi="Times New Roman" w:eastAsia="宋体" w:cs="Times New Roman"/>
    </w:rPr>
  </w:style>
  <w:style w:type="paragraph" w:styleId="9">
    <w:name w:val="Body Text First Indent 2"/>
    <w:basedOn w:val="5"/>
    <w:next w:val="1"/>
    <w:qFormat/>
    <w:uiPriority w:val="0"/>
    <w:pPr>
      <w:ind w:firstLine="42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2026-04-20T08:41:09Z</dcterms:created>
  <dc:creator>ll</dc:creator>
  <cp:lastModifiedBy>周芷妍</cp:lastModifiedBy>
  <dcterms:modified xsi:type="dcterms:W3CDTF">2026-04-20T08:41:50Z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