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E1015">
      <w:pPr>
        <w:spacing w:line="600" w:lineRule="exact"/>
        <w:ind w:firstLine="0" w:firstLineChars="0"/>
        <w:jc w:val="center"/>
      </w:pPr>
    </w:p>
    <w:p w14:paraId="231FBB2F">
      <w:pPr>
        <w:spacing w:line="600" w:lineRule="exact"/>
        <w:ind w:firstLine="0" w:firstLineChars="0"/>
        <w:jc w:val="center"/>
      </w:pPr>
    </w:p>
    <w:p w14:paraId="0C41C921">
      <w:pPr>
        <w:spacing w:line="600" w:lineRule="exact"/>
        <w:ind w:firstLine="0" w:firstLineChars="0"/>
        <w:jc w:val="center"/>
      </w:pPr>
    </w:p>
    <w:p w14:paraId="0FD2D412">
      <w:pPr>
        <w:spacing w:line="600" w:lineRule="exact"/>
        <w:ind w:firstLine="0" w:firstLineChars="0"/>
        <w:jc w:val="center"/>
      </w:pPr>
    </w:p>
    <w:p w14:paraId="03670272">
      <w:pPr>
        <w:spacing w:line="600" w:lineRule="exact"/>
        <w:ind w:firstLine="0" w:firstLineChars="0"/>
        <w:jc w:val="center"/>
      </w:pPr>
    </w:p>
    <w:p w14:paraId="1B532695">
      <w:pPr>
        <w:spacing w:line="600" w:lineRule="exact"/>
        <w:ind w:firstLine="0" w:firstLineChars="0"/>
        <w:jc w:val="center"/>
      </w:pPr>
    </w:p>
    <w:p w14:paraId="78474A63">
      <w:pPr>
        <w:spacing w:line="600" w:lineRule="exact"/>
        <w:ind w:firstLine="0" w:firstLineChars="0"/>
        <w:jc w:val="center"/>
      </w:pPr>
    </w:p>
    <w:p w14:paraId="4403A544">
      <w:pPr>
        <w:pStyle w:val="5"/>
        <w:ind w:left="640" w:firstLine="400"/>
      </w:pPr>
    </w:p>
    <w:p w14:paraId="2279CB76">
      <w:pPr>
        <w:spacing w:line="600" w:lineRule="exact"/>
        <w:ind w:firstLine="0" w:firstLineChars="0"/>
        <w:jc w:val="center"/>
      </w:pPr>
    </w:p>
    <w:p w14:paraId="260F742E">
      <w:pPr>
        <w:spacing w:line="560" w:lineRule="exact"/>
        <w:ind w:firstLine="0" w:firstLineChars="0"/>
        <w:jc w:val="center"/>
      </w:pPr>
    </w:p>
    <w:p w14:paraId="2ADD5689">
      <w:pPr>
        <w:spacing w:line="560" w:lineRule="exact"/>
        <w:ind w:firstLine="0" w:firstLineChars="0"/>
        <w:jc w:val="center"/>
      </w:pPr>
      <w:r>
        <w:t>鄂环审字〔202</w:t>
      </w:r>
      <w:r>
        <w:rPr>
          <w:rFonts w:hint="eastAsia"/>
          <w:lang w:val="en-US" w:eastAsia="zh-CN"/>
        </w:rPr>
        <w:t>6</w:t>
      </w:r>
      <w:r>
        <w:t>〕</w:t>
      </w:r>
      <w:r>
        <w:rPr>
          <w:rFonts w:hint="eastAsia"/>
          <w:lang w:val="en-US" w:eastAsia="zh-CN"/>
        </w:rPr>
        <w:t>36</w:t>
      </w:r>
      <w:r>
        <w:t>号</w:t>
      </w:r>
    </w:p>
    <w:p w14:paraId="4E2007AA">
      <w:pPr>
        <w:spacing w:line="560" w:lineRule="exact"/>
        <w:ind w:firstLine="0" w:firstLineChars="0"/>
        <w:jc w:val="center"/>
      </w:pPr>
    </w:p>
    <w:p w14:paraId="6E094F93">
      <w:pPr>
        <w:spacing w:line="540" w:lineRule="exact"/>
        <w:ind w:firstLine="0" w:firstLineChars="0"/>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鄂尔多斯市生态环境局关于</w:t>
      </w:r>
    </w:p>
    <w:p w14:paraId="4C7199E9">
      <w:pPr>
        <w:spacing w:line="540" w:lineRule="exact"/>
        <w:ind w:firstLine="0" w:firstLineChars="0"/>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内蒙古玉晶科技有限公司优质特种玻璃综合利用一体化技术改造项目环境影响</w:t>
      </w:r>
      <w:bookmarkStart w:id="1" w:name="_GoBack"/>
      <w:r>
        <w:rPr>
          <w:rFonts w:hint="eastAsia" w:asciiTheme="majorEastAsia" w:hAnsiTheme="majorEastAsia" w:eastAsiaTheme="majorEastAsia" w:cstheme="majorEastAsia"/>
          <w:b/>
          <w:sz w:val="44"/>
          <w:szCs w:val="44"/>
        </w:rPr>
        <w:t>报告书</w:t>
      </w:r>
      <w:bookmarkEnd w:id="1"/>
      <w:r>
        <w:rPr>
          <w:rFonts w:hint="eastAsia" w:asciiTheme="majorEastAsia" w:hAnsiTheme="majorEastAsia" w:eastAsiaTheme="majorEastAsia" w:cstheme="majorEastAsia"/>
          <w:b/>
          <w:sz w:val="44"/>
          <w:szCs w:val="44"/>
        </w:rPr>
        <w:t>的批复</w:t>
      </w:r>
    </w:p>
    <w:p w14:paraId="4C23E708">
      <w:pPr>
        <w:spacing w:line="520" w:lineRule="exact"/>
        <w:ind w:firstLine="0" w:firstLineChars="0"/>
        <w:jc w:val="center"/>
        <w:rPr>
          <w:szCs w:val="32"/>
        </w:rPr>
      </w:pPr>
    </w:p>
    <w:p w14:paraId="28C86828">
      <w:pPr>
        <w:adjustRightInd w:val="0"/>
        <w:snapToGrid w:val="0"/>
        <w:spacing w:line="580" w:lineRule="exact"/>
        <w:ind w:firstLine="0" w:firstLineChars="0"/>
        <w:rPr>
          <w:rFonts w:hint="eastAsia" w:ascii="仿宋" w:hAnsi="仿宋" w:eastAsia="仿宋" w:cs="仿宋"/>
          <w:szCs w:val="32"/>
        </w:rPr>
      </w:pPr>
      <w:r>
        <w:rPr>
          <w:rFonts w:hint="eastAsia" w:ascii="仿宋" w:hAnsi="仿宋" w:eastAsia="仿宋" w:cs="仿宋"/>
          <w:szCs w:val="32"/>
        </w:rPr>
        <w:t>内蒙古玉晶科技有限公司：</w:t>
      </w:r>
    </w:p>
    <w:p w14:paraId="6B96CE67">
      <w:pPr>
        <w:pStyle w:val="4"/>
        <w:adjustRightInd w:val="0"/>
        <w:snapToGrid w:val="0"/>
        <w:spacing w:line="580" w:lineRule="exact"/>
        <w:ind w:firstLine="640"/>
        <w:rPr>
          <w:rFonts w:hint="eastAsia" w:ascii="仿宋" w:hAnsi="仿宋" w:eastAsia="仿宋" w:cs="仿宋"/>
          <w:szCs w:val="32"/>
        </w:rPr>
      </w:pPr>
      <w:r>
        <w:rPr>
          <w:rFonts w:hint="eastAsia" w:ascii="仿宋" w:hAnsi="仿宋" w:eastAsia="仿宋" w:cs="仿宋"/>
          <w:szCs w:val="32"/>
        </w:rPr>
        <w:t>你公司报送的由内蒙古绿之垠环保科技发展有限公司编制的《内蒙古玉晶科技有限公司优质特种玻璃综合利用一体化技术改造项目环境影响报告书》（以下简称《报告书》）收悉。</w:t>
      </w:r>
      <w:r>
        <w:rPr>
          <w:rFonts w:hint="eastAsia" w:ascii="仿宋" w:hAnsi="仿宋" w:eastAsia="仿宋" w:cs="仿宋"/>
          <w:szCs w:val="32"/>
          <w:lang w:val="en-US" w:eastAsia="zh-CN"/>
        </w:rPr>
        <w:t>依据《内蒙古自治区生态环境厅关于内蒙古玉晶科技有限公司优质特种玻璃综合利用一体化技术改造项目环境影响报告书有关事宜的函》，</w:t>
      </w:r>
      <w:r>
        <w:rPr>
          <w:rFonts w:hint="eastAsia" w:ascii="仿宋" w:hAnsi="仿宋" w:eastAsia="仿宋" w:cs="仿宋"/>
          <w:szCs w:val="32"/>
        </w:rPr>
        <w:t>经研究，现批复如下：</w:t>
      </w:r>
    </w:p>
    <w:p w14:paraId="6CFFBE71">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0"/>
        <w:textAlignment w:val="auto"/>
        <w:rPr>
          <w:rFonts w:hint="eastAsia" w:ascii="仿宋" w:hAnsi="仿宋" w:eastAsia="仿宋" w:cs="仿宋"/>
          <w:kern w:val="2"/>
          <w:sz w:val="32"/>
          <w:szCs w:val="32"/>
          <w:lang w:val="en-US" w:eastAsia="zh-CN" w:bidi="ar-SA"/>
        </w:rPr>
      </w:pPr>
      <w:r>
        <w:rPr>
          <w:rFonts w:hint="eastAsia" w:ascii="仿宋" w:hAnsi="仿宋" w:eastAsia="仿宋" w:cs="仿宋"/>
          <w:bCs/>
          <w:szCs w:val="32"/>
        </w:rPr>
        <w:t>该</w:t>
      </w:r>
      <w:r>
        <w:rPr>
          <w:rFonts w:hint="eastAsia" w:ascii="仿宋" w:hAnsi="仿宋" w:eastAsia="仿宋" w:cs="仿宋"/>
          <w:bCs/>
          <w:szCs w:val="32"/>
          <w:lang w:val="zh-CN"/>
        </w:rPr>
        <w:t>项目位于</w:t>
      </w:r>
      <w:r>
        <w:rPr>
          <w:rFonts w:hint="eastAsia" w:ascii="仿宋" w:hAnsi="仿宋" w:eastAsia="仿宋" w:cs="仿宋"/>
          <w:bCs/>
          <w:szCs w:val="32"/>
        </w:rPr>
        <w:t>内蒙古准格尔经济开发区准格尔产业园。</w:t>
      </w:r>
      <w:r>
        <w:rPr>
          <w:rFonts w:hint="eastAsia" w:ascii="仿宋" w:hAnsi="仿宋" w:eastAsia="仿宋" w:cs="仿宋"/>
          <w:bCs/>
          <w:szCs w:val="32"/>
          <w:lang w:val="en-US" w:eastAsia="zh-CN"/>
        </w:rPr>
        <w:t>2022年8月，鄂尔多斯市生态环境局</w:t>
      </w:r>
      <w:r>
        <w:rPr>
          <w:rFonts w:hint="eastAsia" w:ascii="仿宋" w:hAnsi="仿宋" w:eastAsia="仿宋" w:cs="仿宋"/>
          <w:kern w:val="2"/>
          <w:sz w:val="32"/>
          <w:szCs w:val="32"/>
          <w:lang w:val="en-US" w:eastAsia="zh-CN" w:bidi="ar-SA"/>
        </w:rPr>
        <w:t>出具了《关于内蒙古玉晶科技有限公司2×1000t/天光伏背板玻璃及优质特种深加工玻璃生产线项目环境影响报告书的批复》（鄂环审字〔2022〕232号），</w:t>
      </w:r>
    </w:p>
    <w:p w14:paraId="4674B56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仿宋" w:hAnsi="仿宋" w:eastAsia="仿宋" w:cs="仿宋"/>
          <w:spacing w:val="4"/>
        </w:rPr>
      </w:pPr>
      <w:r>
        <w:rPr>
          <w:rFonts w:hint="eastAsia" w:ascii="仿宋" w:hAnsi="仿宋" w:eastAsia="仿宋" w:cs="仿宋"/>
          <w:spacing w:val="-63"/>
        </w:rPr>
        <w:t xml:space="preserve"> </w:t>
      </w:r>
      <w:r>
        <w:rPr>
          <w:rFonts w:hint="eastAsia" w:ascii="仿宋" w:hAnsi="仿宋" w:eastAsia="仿宋" w:cs="仿宋"/>
          <w:spacing w:val="4"/>
        </w:rPr>
        <w:t>2023</w:t>
      </w:r>
      <w:r>
        <w:rPr>
          <w:rFonts w:hint="eastAsia" w:ascii="仿宋" w:hAnsi="仿宋" w:eastAsia="仿宋" w:cs="仿宋"/>
          <w:spacing w:val="4"/>
          <w:lang w:val="en-US" w:eastAsia="zh-CN"/>
        </w:rPr>
        <w:t>年</w:t>
      </w:r>
      <w:r>
        <w:rPr>
          <w:rFonts w:hint="eastAsia" w:ascii="仿宋" w:hAnsi="仿宋" w:eastAsia="仿宋" w:cs="仿宋"/>
          <w:spacing w:val="4"/>
        </w:rPr>
        <w:t>12月通过竣工环保验收。</w:t>
      </w:r>
      <w:r>
        <w:rPr>
          <w:rFonts w:hint="eastAsia" w:ascii="仿宋" w:hAnsi="仿宋" w:eastAsia="仿宋" w:cs="仿宋"/>
          <w:spacing w:val="4"/>
          <w:lang w:val="en-US" w:eastAsia="zh-CN"/>
        </w:rPr>
        <w:t>本次技改主要内容包括：</w:t>
      </w:r>
      <w:r>
        <w:rPr>
          <w:rFonts w:hint="eastAsia" w:ascii="仿宋" w:hAnsi="仿宋" w:eastAsia="仿宋" w:cs="仿宋"/>
          <w:spacing w:val="4"/>
        </w:rPr>
        <w:t>对1#、2#窑炉蓄热室外墙进行保温升级，通过增设复合保温涂料及安装智能控制系统，提升窑炉热效率；将燃料系统由原</w:t>
      </w:r>
      <w:r>
        <w:rPr>
          <w:rFonts w:hint="eastAsia" w:ascii="仿宋" w:hAnsi="仿宋" w:eastAsia="仿宋" w:cs="仿宋"/>
          <w:spacing w:val="4"/>
          <w:lang w:eastAsia="zh-CN"/>
        </w:rPr>
        <w:t>“</w:t>
      </w:r>
      <w:r>
        <w:rPr>
          <w:rFonts w:hint="eastAsia" w:ascii="仿宋" w:hAnsi="仿宋" w:eastAsia="仿宋" w:cs="仿宋"/>
          <w:spacing w:val="4"/>
        </w:rPr>
        <w:t>天然气常态</w:t>
      </w:r>
      <w:r>
        <w:rPr>
          <w:rFonts w:hint="eastAsia" w:ascii="仿宋" w:hAnsi="仿宋" w:eastAsia="仿宋" w:cs="仿宋"/>
          <w:spacing w:val="4"/>
          <w:lang w:val="en-US" w:eastAsia="zh-CN"/>
        </w:rPr>
        <w:t>+</w:t>
      </w:r>
      <w:r>
        <w:rPr>
          <w:rFonts w:hint="eastAsia" w:ascii="仿宋" w:hAnsi="仿宋" w:eastAsia="仿宋" w:cs="仿宋"/>
          <w:spacing w:val="4"/>
        </w:rPr>
        <w:t>煤气备用</w:t>
      </w:r>
      <w:r>
        <w:rPr>
          <w:rFonts w:hint="eastAsia" w:ascii="仿宋" w:hAnsi="仿宋" w:eastAsia="仿宋" w:cs="仿宋"/>
          <w:spacing w:val="4"/>
          <w:lang w:eastAsia="zh-CN"/>
        </w:rPr>
        <w:t>”</w:t>
      </w:r>
      <w:r>
        <w:rPr>
          <w:rFonts w:hint="eastAsia" w:ascii="仿宋" w:hAnsi="仿宋" w:eastAsia="仿宋" w:cs="仿宋"/>
          <w:spacing w:val="4"/>
        </w:rPr>
        <w:t>调整为</w:t>
      </w:r>
      <w:r>
        <w:rPr>
          <w:rFonts w:hint="eastAsia" w:ascii="仿宋" w:hAnsi="仿宋" w:eastAsia="仿宋" w:cs="仿宋"/>
          <w:spacing w:val="4"/>
          <w:lang w:eastAsia="zh-CN"/>
        </w:rPr>
        <w:t>“</w:t>
      </w:r>
      <w:r>
        <w:rPr>
          <w:rFonts w:hint="eastAsia" w:ascii="仿宋" w:hAnsi="仿宋" w:eastAsia="仿宋" w:cs="仿宋"/>
          <w:spacing w:val="4"/>
        </w:rPr>
        <w:t>煤气+天然气混合常态化使用</w:t>
      </w:r>
      <w:r>
        <w:rPr>
          <w:rFonts w:hint="eastAsia" w:ascii="仿宋" w:hAnsi="仿宋" w:eastAsia="仿宋" w:cs="仿宋"/>
          <w:spacing w:val="4"/>
          <w:lang w:eastAsia="zh-CN"/>
        </w:rPr>
        <w:t>”</w:t>
      </w:r>
      <w:r>
        <w:rPr>
          <w:rFonts w:hint="eastAsia" w:ascii="仿宋" w:hAnsi="仿宋" w:eastAsia="仿宋" w:cs="仿宋"/>
          <w:spacing w:val="4"/>
        </w:rPr>
        <w:t>，并配套自动化调节设施。对脱硝系统催化剂进行扩容，催化剂总体积由260立方米增加至371.6立方米</w:t>
      </w:r>
      <w:r>
        <w:rPr>
          <w:rFonts w:hint="eastAsia" w:ascii="仿宋" w:hAnsi="仿宋" w:eastAsia="仿宋" w:cs="仿宋"/>
          <w:spacing w:val="4"/>
          <w:lang w:eastAsia="zh-CN"/>
        </w:rPr>
        <w:t>，</w:t>
      </w:r>
      <w:r>
        <w:rPr>
          <w:rFonts w:hint="eastAsia" w:ascii="仿宋" w:hAnsi="仿宋" w:eastAsia="仿宋" w:cs="仿宋"/>
          <w:spacing w:val="4"/>
        </w:rPr>
        <w:t>新建两套处理规模为600立方米/天的高压RO浓水回收系统（一用一备），利用烟气余热回收装置替代原有的余热发电蒸汽供热，满足厂区采暖需求。</w:t>
      </w:r>
    </w:p>
    <w:p w14:paraId="2CA58EE8">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eastAsia" w:ascii="仿宋" w:hAnsi="仿宋" w:eastAsia="仿宋" w:cs="仿宋"/>
          <w:szCs w:val="32"/>
        </w:rPr>
      </w:pPr>
      <w:r>
        <w:rPr>
          <w:rFonts w:hint="eastAsia" w:ascii="仿宋" w:hAnsi="仿宋" w:eastAsia="仿宋" w:cs="仿宋"/>
          <w:szCs w:val="32"/>
        </w:rPr>
        <w:t>《报告书》认为，在全面落实各项生态环境保护措施的前提下，项目建设对环境的不利影响能够得到一定的缓解和控制。因此，我局原则同意</w:t>
      </w:r>
      <w:r>
        <w:rPr>
          <w:rFonts w:hint="eastAsia" w:ascii="仿宋" w:hAnsi="仿宋" w:eastAsia="仿宋" w:cs="仿宋"/>
          <w:szCs w:val="32"/>
          <w:lang w:val="en-US" w:eastAsia="zh-CN"/>
        </w:rPr>
        <w:t>本项目</w:t>
      </w:r>
      <w:r>
        <w:rPr>
          <w:rFonts w:hint="eastAsia" w:ascii="仿宋" w:hAnsi="仿宋" w:eastAsia="仿宋" w:cs="仿宋"/>
          <w:szCs w:val="32"/>
        </w:rPr>
        <w:t>按照《报告书》所列的</w:t>
      </w:r>
      <w:r>
        <w:rPr>
          <w:rFonts w:hint="eastAsia" w:ascii="仿宋" w:hAnsi="仿宋" w:eastAsia="仿宋" w:cs="仿宋"/>
          <w:szCs w:val="32"/>
          <w:lang w:val="en-US" w:eastAsia="zh-CN"/>
        </w:rPr>
        <w:t>建设项目性质、规模、地点、生产工艺和拟采取的生态环境保护措施及下述要求进行建设。</w:t>
      </w:r>
    </w:p>
    <w:p w14:paraId="48776596">
      <w:pPr>
        <w:keepNext w:val="0"/>
        <w:keepLines w:val="0"/>
        <w:pageBreakBefore w:val="0"/>
        <w:widowControl w:val="0"/>
        <w:numPr>
          <w:ilvl w:val="0"/>
          <w:numId w:val="3"/>
        </w:numPr>
        <w:kinsoku/>
        <w:wordWrap/>
        <w:overflowPunct/>
        <w:topLinePunct w:val="0"/>
        <w:autoSpaceDE/>
        <w:autoSpaceDN/>
        <w:bidi w:val="0"/>
        <w:adjustRightInd w:val="0"/>
        <w:snapToGrid w:val="0"/>
        <w:spacing w:line="540" w:lineRule="exact"/>
        <w:ind w:firstLine="640"/>
        <w:textAlignment w:val="auto"/>
        <w:rPr>
          <w:rFonts w:hint="eastAsia" w:ascii="仿宋" w:hAnsi="仿宋" w:eastAsia="仿宋" w:cs="仿宋"/>
          <w:szCs w:val="32"/>
        </w:rPr>
      </w:pPr>
      <w:r>
        <w:rPr>
          <w:rFonts w:hint="eastAsia" w:ascii="仿宋" w:hAnsi="仿宋" w:eastAsia="仿宋" w:cs="仿宋"/>
          <w:szCs w:val="32"/>
        </w:rPr>
        <w:t>项目建设与运行管理中应重点做好的工作：</w:t>
      </w:r>
    </w:p>
    <w:p w14:paraId="182C4286">
      <w:pPr>
        <w:pStyle w:val="4"/>
        <w:keepNext w:val="0"/>
        <w:keepLines w:val="0"/>
        <w:pageBreakBefore w:val="0"/>
        <w:widowControl w:val="0"/>
        <w:numPr>
          <w:ilvl w:val="0"/>
          <w:numId w:val="4"/>
        </w:numPr>
        <w:kinsoku/>
        <w:wordWrap/>
        <w:overflowPunct/>
        <w:topLinePunct w:val="0"/>
        <w:autoSpaceDE/>
        <w:autoSpaceDN/>
        <w:bidi w:val="0"/>
        <w:spacing w:line="520" w:lineRule="exact"/>
        <w:ind w:firstLine="640"/>
        <w:textAlignment w:val="auto"/>
        <w:rPr>
          <w:rFonts w:hint="eastAsia" w:ascii="仿宋" w:hAnsi="仿宋" w:eastAsia="仿宋" w:cs="仿宋"/>
          <w:sz w:val="32"/>
          <w:szCs w:val="32"/>
        </w:rPr>
      </w:pPr>
      <w:r>
        <w:rPr>
          <w:rFonts w:hint="eastAsia" w:ascii="仿宋" w:hAnsi="仿宋" w:eastAsia="仿宋" w:cs="仿宋"/>
          <w:color w:val="000000"/>
          <w:szCs w:val="32"/>
          <w:lang w:val="en-US" w:eastAsia="zh-CN"/>
        </w:rPr>
        <w:t>严格落实各项</w:t>
      </w:r>
      <w:r>
        <w:rPr>
          <w:rFonts w:hint="eastAsia" w:ascii="仿宋" w:hAnsi="仿宋" w:eastAsia="仿宋" w:cs="仿宋"/>
          <w:color w:val="000000"/>
          <w:szCs w:val="32"/>
        </w:rPr>
        <w:t>大气污染防治措施。</w:t>
      </w:r>
      <w:bookmarkStart w:id="0" w:name="OLE_LINK21"/>
      <w:r>
        <w:rPr>
          <w:rFonts w:hint="eastAsia" w:ascii="仿宋" w:hAnsi="仿宋" w:eastAsia="仿宋" w:cs="仿宋"/>
          <w:sz w:val="32"/>
          <w:szCs w:val="32"/>
        </w:rPr>
        <w:t>玻璃熔窑废气经“静电除尘+SCR 脱硝+半干法脱硫+袋式除尘”处理后颗粒物、二氧化硫、氮氧化物、氯化氢、氟化物、氨均满足《玻璃工业大气污染物排放标准》（GB26453-2022）表1规定的大气污染物排放限值，储煤场废气经袋式除尘处理后颗粒物满足《玻璃工业大气污染物排放标准》（GB26453-2022）表</w:t>
      </w:r>
      <w:r>
        <w:rPr>
          <w:rFonts w:hint="eastAsia" w:ascii="仿宋" w:hAnsi="仿宋" w:eastAsia="仿宋" w:cs="仿宋"/>
          <w:sz w:val="32"/>
          <w:szCs w:val="32"/>
          <w:lang w:val="en-US" w:eastAsia="zh-CN"/>
        </w:rPr>
        <w:t>1</w:t>
      </w:r>
      <w:r>
        <w:rPr>
          <w:rFonts w:hint="eastAsia" w:ascii="仿宋" w:hAnsi="仿宋" w:eastAsia="仿宋" w:cs="仿宋"/>
          <w:sz w:val="32"/>
          <w:szCs w:val="32"/>
        </w:rPr>
        <w:t>规定的大气污染物排放限值，危废暂存间废气经活性炭处理后非甲烷总烃排放满足《大气污染物综合排放标准》（GB16297-1996）表2中排放浓度值。厂界无组织排放颗粒物</w:t>
      </w:r>
      <w:r>
        <w:rPr>
          <w:rFonts w:hint="eastAsia" w:ascii="仿宋" w:hAnsi="仿宋" w:eastAsia="仿宋" w:cs="仿宋"/>
          <w:sz w:val="32"/>
          <w:szCs w:val="32"/>
          <w:lang w:val="en-US" w:eastAsia="zh-CN"/>
        </w:rPr>
        <w:t>须</w:t>
      </w:r>
      <w:r>
        <w:rPr>
          <w:rFonts w:hint="eastAsia" w:ascii="仿宋" w:hAnsi="仿宋" w:eastAsia="仿宋" w:cs="仿宋"/>
          <w:sz w:val="32"/>
          <w:szCs w:val="32"/>
        </w:rPr>
        <w:t>满足《大气污染物综合排放标准》（GB16297-1996）表2无组织排放监控浓度限值要求，氨、硫化氢</w:t>
      </w:r>
      <w:r>
        <w:rPr>
          <w:rFonts w:hint="eastAsia" w:ascii="仿宋" w:hAnsi="仿宋" w:eastAsia="仿宋" w:cs="仿宋"/>
          <w:sz w:val="32"/>
          <w:szCs w:val="32"/>
          <w:lang w:val="en-US" w:eastAsia="zh-CN"/>
        </w:rPr>
        <w:t>须</w:t>
      </w:r>
      <w:r>
        <w:rPr>
          <w:rFonts w:hint="eastAsia" w:ascii="仿宋" w:hAnsi="仿宋" w:eastAsia="仿宋" w:cs="仿宋"/>
          <w:sz w:val="32"/>
          <w:szCs w:val="32"/>
        </w:rPr>
        <w:t>满足《恶臭污染物排放标准》</w:t>
      </w:r>
      <w:r>
        <w:rPr>
          <w:rFonts w:hint="eastAsia" w:ascii="仿宋" w:hAnsi="仿宋" w:eastAsia="仿宋" w:cs="仿宋"/>
          <w:sz w:val="32"/>
          <w:szCs w:val="32"/>
          <w:lang w:eastAsia="zh-CN"/>
        </w:rPr>
        <w:t>（</w:t>
      </w:r>
      <w:r>
        <w:rPr>
          <w:rFonts w:hint="eastAsia" w:ascii="仿宋" w:hAnsi="仿宋" w:eastAsia="仿宋" w:cs="仿宋"/>
          <w:sz w:val="32"/>
          <w:szCs w:val="32"/>
        </w:rPr>
        <w:t>GB14554-93</w:t>
      </w:r>
      <w:r>
        <w:rPr>
          <w:rFonts w:hint="eastAsia" w:ascii="仿宋" w:hAnsi="仿宋" w:eastAsia="仿宋" w:cs="仿宋"/>
          <w:sz w:val="32"/>
          <w:szCs w:val="32"/>
          <w:lang w:eastAsia="zh-CN"/>
        </w:rPr>
        <w:t>）</w:t>
      </w:r>
      <w:r>
        <w:rPr>
          <w:rFonts w:hint="eastAsia" w:ascii="仿宋" w:hAnsi="仿宋" w:eastAsia="仿宋" w:cs="仿宋"/>
          <w:sz w:val="32"/>
          <w:szCs w:val="32"/>
        </w:rPr>
        <w:t>中表1二级新扩改建标准限值。</w:t>
      </w:r>
    </w:p>
    <w:bookmarkEnd w:id="0"/>
    <w:p w14:paraId="04D51596">
      <w:pPr>
        <w:pStyle w:val="4"/>
        <w:keepNext w:val="0"/>
        <w:keepLines w:val="0"/>
        <w:pageBreakBefore w:val="0"/>
        <w:widowControl w:val="0"/>
        <w:numPr>
          <w:ilvl w:val="0"/>
          <w:numId w:val="4"/>
        </w:numPr>
        <w:kinsoku/>
        <w:wordWrap/>
        <w:overflowPunct/>
        <w:topLinePunct w:val="0"/>
        <w:autoSpaceDE/>
        <w:autoSpaceDN/>
        <w:bidi w:val="0"/>
        <w:spacing w:line="520" w:lineRule="exact"/>
        <w:ind w:left="0" w:leftChars="0" w:firstLine="640" w:firstLineChars="200"/>
        <w:textAlignment w:val="auto"/>
        <w:rPr>
          <w:rFonts w:hint="eastAsia" w:ascii="仿宋" w:hAnsi="仿宋" w:eastAsia="仿宋" w:cs="仿宋"/>
          <w:szCs w:val="32"/>
        </w:rPr>
      </w:pPr>
      <w:r>
        <w:rPr>
          <w:rFonts w:hint="eastAsia" w:ascii="仿宋" w:hAnsi="仿宋" w:eastAsia="仿宋" w:cs="仿宋"/>
          <w:color w:val="000000"/>
          <w:szCs w:val="32"/>
        </w:rPr>
        <w:t>严格落实各项水污染防治措施。</w:t>
      </w:r>
      <w:r>
        <w:rPr>
          <w:rFonts w:hint="eastAsia" w:ascii="仿宋" w:hAnsi="仿宋" w:eastAsia="仿宋" w:cs="仿宋"/>
          <w:sz w:val="32"/>
          <w:szCs w:val="32"/>
        </w:rPr>
        <w:t>本项目技术改造后现有污水处理站调整为生活污水处理站使用，蒸发结晶系统用于处理RO浓水回收系统产生的反渗透排水，新增高压RO浓水回收系统处理生活污水处理站产生的反渗透排水以及软水站废水、除盐水站废水、循环冷却水系统排水、余热锅炉排水，处理规 600立方米/天，采用“BOWP+超滤+RO两级反渗透+蒸发结晶”工艺， 出水水质满足《城市污水再生利用工业用水水质》（GB/T19923-2024）中间冷开式循环冷却水补充水、锅炉补给水、工艺用水、产品出水水质要求，回用于循环水系统。</w:t>
      </w:r>
    </w:p>
    <w:p w14:paraId="1C1EFFF3">
      <w:pPr>
        <w:pStyle w:val="4"/>
        <w:keepNext w:val="0"/>
        <w:keepLines w:val="0"/>
        <w:pageBreakBefore w:val="0"/>
        <w:widowControl w:val="0"/>
        <w:numPr>
          <w:ilvl w:val="0"/>
          <w:numId w:val="0"/>
        </w:numPr>
        <w:kinsoku/>
        <w:wordWrap/>
        <w:overflowPunct/>
        <w:topLinePunct w:val="0"/>
        <w:autoSpaceDE/>
        <w:autoSpaceDN/>
        <w:bidi w:val="0"/>
        <w:spacing w:line="520" w:lineRule="exact"/>
        <w:ind w:firstLine="640" w:firstLineChars="200"/>
        <w:textAlignment w:val="auto"/>
        <w:rPr>
          <w:rFonts w:hint="eastAsia" w:ascii="仿宋" w:hAnsi="仿宋" w:eastAsia="仿宋" w:cs="仿宋"/>
          <w:szCs w:val="32"/>
        </w:rPr>
      </w:pPr>
      <w:r>
        <w:rPr>
          <w:rFonts w:hint="eastAsia" w:ascii="仿宋" w:hAnsi="仿宋" w:eastAsia="仿宋" w:cs="仿宋"/>
          <w:color w:val="000000"/>
          <w:szCs w:val="32"/>
        </w:rPr>
        <w:t>（</w:t>
      </w:r>
      <w:r>
        <w:rPr>
          <w:rFonts w:hint="eastAsia" w:ascii="仿宋" w:hAnsi="仿宋" w:eastAsia="仿宋" w:cs="仿宋"/>
          <w:color w:val="000000"/>
          <w:szCs w:val="32"/>
          <w:lang w:val="en-US" w:eastAsia="zh-CN"/>
        </w:rPr>
        <w:t>三</w:t>
      </w:r>
      <w:r>
        <w:rPr>
          <w:rFonts w:hint="eastAsia" w:ascii="仿宋" w:hAnsi="仿宋" w:eastAsia="仿宋" w:cs="仿宋"/>
          <w:color w:val="000000"/>
          <w:szCs w:val="32"/>
        </w:rPr>
        <w:t>）严格落实声环境保护措施。</w:t>
      </w:r>
      <w:r>
        <w:rPr>
          <w:rFonts w:hint="eastAsia" w:ascii="仿宋" w:hAnsi="仿宋" w:eastAsia="仿宋" w:cs="仿宋"/>
          <w:szCs w:val="32"/>
        </w:rPr>
        <w:t>通过选用低噪声设备，合理布局，基础减振和厂房隔声等措施，确保运营期厂界噪声满足《工业企业厂界环境噪声排放标准》（GB12348-2008）中的3类标准限值。</w:t>
      </w:r>
    </w:p>
    <w:p w14:paraId="28DCD383">
      <w:pPr>
        <w:keepNext w:val="0"/>
        <w:keepLines w:val="0"/>
        <w:pageBreakBefore w:val="0"/>
        <w:widowControl w:val="0"/>
        <w:kinsoku/>
        <w:wordWrap/>
        <w:overflowPunct/>
        <w:topLinePunct w:val="0"/>
        <w:autoSpaceDE/>
        <w:autoSpaceDN/>
        <w:bidi w:val="0"/>
        <w:adjustRightInd w:val="0"/>
        <w:snapToGrid w:val="0"/>
        <w:spacing w:line="520" w:lineRule="exact"/>
        <w:ind w:firstLine="640"/>
        <w:textAlignment w:val="auto"/>
        <w:rPr>
          <w:rFonts w:hint="eastAsia" w:ascii="仿宋" w:hAnsi="仿宋" w:eastAsia="仿宋" w:cs="仿宋"/>
          <w:color w:val="FF0000"/>
          <w:sz w:val="32"/>
          <w:szCs w:val="32"/>
          <w:lang w:eastAsia="zh-CN"/>
        </w:rPr>
      </w:pPr>
      <w:r>
        <w:rPr>
          <w:rFonts w:hint="eastAsia" w:ascii="仿宋" w:hAnsi="仿宋" w:eastAsia="仿宋" w:cs="仿宋"/>
          <w:color w:val="000000"/>
          <w:szCs w:val="32"/>
        </w:rPr>
        <w:t>（</w:t>
      </w:r>
      <w:r>
        <w:rPr>
          <w:rFonts w:hint="eastAsia" w:ascii="仿宋" w:hAnsi="仿宋" w:eastAsia="仿宋" w:cs="仿宋"/>
          <w:color w:val="000000"/>
          <w:szCs w:val="32"/>
          <w:lang w:val="en-US" w:eastAsia="zh-CN"/>
        </w:rPr>
        <w:t>四</w:t>
      </w:r>
      <w:r>
        <w:rPr>
          <w:rFonts w:hint="eastAsia" w:ascii="仿宋" w:hAnsi="仿宋" w:eastAsia="仿宋" w:cs="仿宋"/>
          <w:color w:val="000000"/>
          <w:szCs w:val="32"/>
        </w:rPr>
        <w:t>）严格落实固体废物污染防治措施。建设单位须严格按照《一般工业固体废物贮存和填埋污染控制标准》（GB18599-2020）和《危险废物贮存污染控制标准》（GB18597-2023）要求对一般固废和危险废物进行处置，不得乱弃。煤炭粉尘、碳粉全部外售至煤炭企业，煤气发生炉灰渣送至建材企业综合利用，废膜等属于消耗品，由厂家定期回收</w:t>
      </w:r>
      <w:r>
        <w:rPr>
          <w:rFonts w:hint="eastAsia" w:ascii="仿宋" w:hAnsi="仿宋" w:eastAsia="仿宋" w:cs="仿宋"/>
          <w:color w:val="000000"/>
          <w:szCs w:val="32"/>
          <w:lang w:eastAsia="zh-CN"/>
        </w:rPr>
        <w:t>，</w:t>
      </w:r>
      <w:r>
        <w:rPr>
          <w:rFonts w:hint="eastAsia" w:ascii="仿宋" w:hAnsi="仿宋" w:eastAsia="仿宋" w:cs="仿宋"/>
          <w:color w:val="000000"/>
          <w:szCs w:val="32"/>
        </w:rPr>
        <w:t>污水处理站污泥送垃圾填埋场处理。SCR催化剂、煤焦油、煤焦油渣、废活性炭、杂盐经危废暂存间暂存后交有资质单位处置</w:t>
      </w:r>
      <w:r>
        <w:rPr>
          <w:rFonts w:hint="eastAsia" w:ascii="仿宋" w:hAnsi="仿宋" w:eastAsia="仿宋" w:cs="仿宋"/>
          <w:color w:val="000000"/>
          <w:szCs w:val="32"/>
          <w:lang w:eastAsia="zh-CN"/>
        </w:rPr>
        <w:t>。</w:t>
      </w:r>
    </w:p>
    <w:p w14:paraId="44CEA90D">
      <w:pPr>
        <w:keepNext w:val="0"/>
        <w:keepLines w:val="0"/>
        <w:pageBreakBefore w:val="0"/>
        <w:widowControl w:val="0"/>
        <w:kinsoku/>
        <w:wordWrap/>
        <w:overflowPunct/>
        <w:topLinePunct w:val="0"/>
        <w:autoSpaceDE/>
        <w:autoSpaceDN/>
        <w:bidi w:val="0"/>
        <w:adjustRightInd w:val="0"/>
        <w:snapToGrid w:val="0"/>
        <w:spacing w:line="520" w:lineRule="exact"/>
        <w:ind w:firstLine="640"/>
        <w:textAlignment w:val="auto"/>
        <w:rPr>
          <w:rFonts w:hint="eastAsia" w:ascii="仿宋" w:hAnsi="仿宋" w:eastAsia="仿宋" w:cs="仿宋"/>
          <w:szCs w:val="32"/>
        </w:rPr>
      </w:pPr>
      <w:r>
        <w:rPr>
          <w:rFonts w:hint="eastAsia" w:ascii="仿宋" w:hAnsi="仿宋" w:eastAsia="仿宋" w:cs="仿宋"/>
          <w:szCs w:val="32"/>
        </w:rPr>
        <w:t>（</w:t>
      </w:r>
      <w:r>
        <w:rPr>
          <w:rFonts w:hint="eastAsia" w:ascii="仿宋" w:hAnsi="仿宋" w:eastAsia="仿宋" w:cs="仿宋"/>
          <w:szCs w:val="32"/>
          <w:lang w:val="en-US" w:eastAsia="zh-CN"/>
        </w:rPr>
        <w:t>五</w:t>
      </w:r>
      <w:r>
        <w:rPr>
          <w:rFonts w:hint="eastAsia" w:ascii="仿宋" w:hAnsi="仿宋" w:eastAsia="仿宋" w:cs="仿宋"/>
          <w:szCs w:val="32"/>
        </w:rPr>
        <w:t>）强化环境风险防范，制定环境风险应急预案，落实环保设施安全生产要求，项目污染防治设施须与主体工程一起按照安全生产要求设计，有效防范因污染物事故排放或安全生产事故可能引发的环境风险。</w:t>
      </w:r>
    </w:p>
    <w:p w14:paraId="0C7B55BF">
      <w:pPr>
        <w:pStyle w:val="40"/>
        <w:keepNext w:val="0"/>
        <w:keepLines w:val="0"/>
        <w:pageBreakBefore w:val="0"/>
        <w:widowControl w:val="0"/>
        <w:numPr>
          <w:ilvl w:val="2"/>
          <w:numId w:val="0"/>
        </w:numPr>
        <w:kinsoku/>
        <w:wordWrap/>
        <w:overflowPunct/>
        <w:topLinePunct w:val="0"/>
        <w:autoSpaceDE/>
        <w:autoSpaceDN/>
        <w:bidi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三、建设单位</w:t>
      </w:r>
      <w:r>
        <w:rPr>
          <w:rFonts w:hint="eastAsia" w:ascii="仿宋" w:hAnsi="仿宋" w:eastAsia="仿宋" w:cs="仿宋"/>
          <w:color w:val="auto"/>
          <w:kern w:val="0"/>
          <w:sz w:val="32"/>
          <w:szCs w:val="32"/>
          <w:highlight w:val="none"/>
          <w:lang w:val="zh-CN"/>
        </w:rPr>
        <w:t>在征得</w:t>
      </w:r>
      <w:r>
        <w:rPr>
          <w:rFonts w:hint="eastAsia" w:ascii="仿宋" w:hAnsi="仿宋" w:eastAsia="仿宋" w:cs="仿宋"/>
          <w:color w:val="auto"/>
          <w:kern w:val="0"/>
          <w:sz w:val="32"/>
          <w:szCs w:val="32"/>
          <w:highlight w:val="none"/>
          <w:lang w:val="en-US" w:eastAsia="zh-CN"/>
        </w:rPr>
        <w:t>水利和</w:t>
      </w:r>
      <w:r>
        <w:rPr>
          <w:rFonts w:hint="eastAsia" w:ascii="仿宋" w:hAnsi="仿宋" w:eastAsia="仿宋" w:cs="仿宋"/>
          <w:color w:val="auto"/>
          <w:kern w:val="0"/>
          <w:sz w:val="32"/>
          <w:szCs w:val="32"/>
          <w:highlight w:val="none"/>
          <w:lang w:val="zh-CN"/>
        </w:rPr>
        <w:t>文物等主管部门同意后方可开工，</w:t>
      </w:r>
      <w:r>
        <w:rPr>
          <w:rFonts w:hint="eastAsia" w:ascii="仿宋" w:hAnsi="仿宋" w:eastAsia="仿宋" w:cs="仿宋"/>
          <w:sz w:val="32"/>
          <w:szCs w:val="32"/>
          <w:lang w:val="en-US" w:eastAsia="zh-CN"/>
        </w:rPr>
        <w:t>严格执行环境保护“三同时”制度，严格落实生态环境保护措施专项设计要求。项目建成后，应按规定程序申领排污许可证并实施竣工环境保护验收。按要求开展生态环境保护措施安全风险评估和隐患排查治理。</w:t>
      </w:r>
    </w:p>
    <w:p w14:paraId="3D69F802">
      <w:pPr>
        <w:pStyle w:val="40"/>
        <w:keepNext w:val="0"/>
        <w:keepLines w:val="0"/>
        <w:pageBreakBefore w:val="0"/>
        <w:widowControl w:val="0"/>
        <w:kinsoku/>
        <w:wordWrap/>
        <w:overflowPunct/>
        <w:topLinePunct w:val="0"/>
        <w:autoSpaceDE/>
        <w:autoSpaceDN/>
        <w:bidi w:val="0"/>
        <w:spacing w:line="520" w:lineRule="exact"/>
        <w:ind w:firstLine="640"/>
        <w:textAlignment w:val="auto"/>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rPr>
        <w:t>四、</w:t>
      </w:r>
      <w:r>
        <w:rPr>
          <w:rFonts w:hint="eastAsia" w:ascii="仿宋" w:hAnsi="仿宋" w:eastAsia="仿宋" w:cs="仿宋"/>
          <w:color w:val="000000"/>
          <w:kern w:val="0"/>
          <w:sz w:val="32"/>
          <w:szCs w:val="32"/>
          <w:lang w:val="zh-CN"/>
        </w:rPr>
        <w:t>你公司应在收到本批复20日内，将《报告书》（报批版）及批复文件送至鄂尔多斯市生态环境局</w:t>
      </w:r>
      <w:r>
        <w:rPr>
          <w:rFonts w:hint="eastAsia" w:ascii="仿宋" w:hAnsi="仿宋" w:eastAsia="仿宋" w:cs="仿宋"/>
          <w:color w:val="000000"/>
          <w:kern w:val="0"/>
          <w:sz w:val="32"/>
          <w:szCs w:val="32"/>
          <w:lang w:val="en-US" w:eastAsia="zh-CN"/>
        </w:rPr>
        <w:t>准格尔旗</w:t>
      </w:r>
      <w:r>
        <w:rPr>
          <w:rFonts w:hint="eastAsia" w:ascii="仿宋" w:hAnsi="仿宋" w:eastAsia="仿宋" w:cs="仿宋"/>
          <w:color w:val="000000"/>
          <w:kern w:val="0"/>
          <w:sz w:val="32"/>
          <w:szCs w:val="32"/>
          <w:lang w:val="zh-CN"/>
        </w:rPr>
        <w:t>分局，我局委托鄂尔多斯市生态环境局</w:t>
      </w:r>
      <w:r>
        <w:rPr>
          <w:rFonts w:hint="eastAsia" w:ascii="仿宋" w:hAnsi="仿宋" w:eastAsia="仿宋" w:cs="仿宋"/>
          <w:color w:val="000000"/>
          <w:kern w:val="0"/>
          <w:sz w:val="32"/>
          <w:szCs w:val="32"/>
          <w:lang w:val="en-US" w:eastAsia="zh-CN"/>
        </w:rPr>
        <w:t>准格尔旗</w:t>
      </w:r>
      <w:r>
        <w:rPr>
          <w:rFonts w:hint="eastAsia" w:ascii="仿宋" w:hAnsi="仿宋" w:eastAsia="仿宋" w:cs="仿宋"/>
          <w:color w:val="000000"/>
          <w:kern w:val="0"/>
          <w:sz w:val="32"/>
          <w:szCs w:val="32"/>
          <w:lang w:val="zh-CN"/>
        </w:rPr>
        <w:t>分局负责该项目的日常监管工作。</w:t>
      </w:r>
    </w:p>
    <w:p w14:paraId="5F3E19C3">
      <w:pPr>
        <w:pStyle w:val="40"/>
        <w:keepNext w:val="0"/>
        <w:keepLines w:val="0"/>
        <w:pageBreakBefore w:val="0"/>
        <w:widowControl w:val="0"/>
        <w:kinsoku/>
        <w:wordWrap/>
        <w:overflowPunct/>
        <w:topLinePunct w:val="0"/>
        <w:autoSpaceDE/>
        <w:autoSpaceDN/>
        <w:bidi w:val="0"/>
        <w:spacing w:line="520" w:lineRule="exact"/>
        <w:ind w:firstLine="640"/>
        <w:textAlignment w:val="auto"/>
        <w:rPr>
          <w:rFonts w:hint="eastAsia" w:ascii="仿宋" w:hAnsi="仿宋" w:eastAsia="仿宋" w:cs="仿宋"/>
        </w:rPr>
      </w:pPr>
      <w:r>
        <w:rPr>
          <w:rFonts w:hint="eastAsia" w:ascii="仿宋" w:hAnsi="仿宋" w:eastAsia="仿宋" w:cs="仿宋"/>
          <w:sz w:val="32"/>
          <w:szCs w:val="32"/>
        </w:rPr>
        <w:t>五、该项目从批准之日起超过5年方决定开工建设，其环评文件需重新审核。如果建设项目性质、规模、地点、工艺、生态环境保护措施等发生重大变化时，需重新报批环评文件。</w:t>
      </w:r>
    </w:p>
    <w:p w14:paraId="7BE856A1">
      <w:pPr>
        <w:keepNext w:val="0"/>
        <w:keepLines w:val="0"/>
        <w:pageBreakBefore w:val="0"/>
        <w:widowControl w:val="0"/>
        <w:tabs>
          <w:tab w:val="left" w:pos="6660"/>
          <w:tab w:val="left" w:pos="6840"/>
          <w:tab w:val="left" w:pos="7020"/>
          <w:tab w:val="left" w:pos="8080"/>
          <w:tab w:val="left" w:pos="8222"/>
        </w:tabs>
        <w:kinsoku/>
        <w:wordWrap/>
        <w:overflowPunct/>
        <w:topLinePunct w:val="0"/>
        <w:autoSpaceDE/>
        <w:autoSpaceDN/>
        <w:bidi w:val="0"/>
        <w:adjustRightInd w:val="0"/>
        <w:snapToGrid w:val="0"/>
        <w:spacing w:line="520" w:lineRule="exact"/>
        <w:ind w:firstLine="4800" w:firstLineChars="1500"/>
        <w:textAlignment w:val="auto"/>
        <w:rPr>
          <w:rFonts w:hint="eastAsia" w:ascii="仿宋" w:hAnsi="仿宋" w:eastAsia="仿宋" w:cs="仿宋"/>
          <w:szCs w:val="32"/>
        </w:rPr>
      </w:pPr>
    </w:p>
    <w:p w14:paraId="21C74742">
      <w:pPr>
        <w:keepNext w:val="0"/>
        <w:keepLines w:val="0"/>
        <w:pageBreakBefore w:val="0"/>
        <w:widowControl w:val="0"/>
        <w:tabs>
          <w:tab w:val="left" w:pos="6660"/>
          <w:tab w:val="left" w:pos="6840"/>
          <w:tab w:val="left" w:pos="7020"/>
          <w:tab w:val="left" w:pos="8080"/>
          <w:tab w:val="left" w:pos="8222"/>
        </w:tabs>
        <w:kinsoku/>
        <w:wordWrap/>
        <w:overflowPunct/>
        <w:topLinePunct w:val="0"/>
        <w:autoSpaceDE/>
        <w:autoSpaceDN/>
        <w:bidi w:val="0"/>
        <w:adjustRightInd w:val="0"/>
        <w:snapToGrid w:val="0"/>
        <w:spacing w:line="520" w:lineRule="exact"/>
        <w:ind w:firstLine="4800" w:firstLineChars="1500"/>
        <w:textAlignment w:val="auto"/>
        <w:rPr>
          <w:rFonts w:hint="eastAsia" w:ascii="仿宋" w:hAnsi="仿宋" w:eastAsia="仿宋" w:cs="仿宋"/>
          <w:szCs w:val="32"/>
        </w:rPr>
      </w:pPr>
    </w:p>
    <w:p w14:paraId="2079B32C">
      <w:pPr>
        <w:keepNext w:val="0"/>
        <w:keepLines w:val="0"/>
        <w:pageBreakBefore w:val="0"/>
        <w:widowControl w:val="0"/>
        <w:tabs>
          <w:tab w:val="left" w:pos="6660"/>
          <w:tab w:val="left" w:pos="6840"/>
          <w:tab w:val="left" w:pos="7020"/>
          <w:tab w:val="left" w:pos="8080"/>
          <w:tab w:val="left" w:pos="8222"/>
        </w:tabs>
        <w:kinsoku/>
        <w:wordWrap/>
        <w:overflowPunct/>
        <w:topLinePunct w:val="0"/>
        <w:autoSpaceDE/>
        <w:autoSpaceDN/>
        <w:bidi w:val="0"/>
        <w:adjustRightInd w:val="0"/>
        <w:snapToGrid w:val="0"/>
        <w:spacing w:line="520" w:lineRule="exact"/>
        <w:ind w:firstLine="4800" w:firstLineChars="1500"/>
        <w:textAlignment w:val="auto"/>
        <w:rPr>
          <w:rFonts w:hint="eastAsia" w:ascii="仿宋" w:hAnsi="仿宋" w:eastAsia="仿宋" w:cs="仿宋"/>
          <w:szCs w:val="32"/>
        </w:rPr>
      </w:pPr>
      <w:r>
        <w:rPr>
          <w:rFonts w:hint="eastAsia" w:ascii="仿宋" w:hAnsi="仿宋" w:eastAsia="仿宋" w:cs="仿宋"/>
          <w:szCs w:val="32"/>
        </w:rPr>
        <w:t>鄂尔多斯市生态环境局</w:t>
      </w:r>
    </w:p>
    <w:p w14:paraId="75B6BECB">
      <w:pPr>
        <w:keepNext w:val="0"/>
        <w:keepLines w:val="0"/>
        <w:pageBreakBefore w:val="0"/>
        <w:widowControl w:val="0"/>
        <w:tabs>
          <w:tab w:val="left" w:pos="6660"/>
          <w:tab w:val="left" w:pos="6840"/>
          <w:tab w:val="left" w:pos="7020"/>
        </w:tabs>
        <w:kinsoku/>
        <w:wordWrap/>
        <w:overflowPunct/>
        <w:topLinePunct w:val="0"/>
        <w:autoSpaceDE/>
        <w:autoSpaceDN/>
        <w:bidi w:val="0"/>
        <w:adjustRightInd w:val="0"/>
        <w:snapToGrid w:val="0"/>
        <w:spacing w:line="520" w:lineRule="exact"/>
        <w:ind w:firstLine="5440" w:firstLineChars="1700"/>
        <w:textAlignment w:val="auto"/>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6</w:t>
      </w:r>
      <w:r>
        <w:rPr>
          <w:rFonts w:hint="eastAsia" w:ascii="仿宋" w:hAnsi="仿宋" w:eastAsia="仿宋" w:cs="仿宋"/>
          <w:szCs w:val="32"/>
        </w:rPr>
        <w:t>年</w:t>
      </w:r>
      <w:r>
        <w:rPr>
          <w:rFonts w:hint="eastAsia" w:ascii="仿宋" w:hAnsi="仿宋" w:eastAsia="仿宋" w:cs="仿宋"/>
          <w:szCs w:val="32"/>
          <w:lang w:val="en-US" w:eastAsia="zh-CN"/>
        </w:rPr>
        <w:t>4</w:t>
      </w:r>
      <w:r>
        <w:rPr>
          <w:rFonts w:hint="eastAsia" w:ascii="仿宋" w:hAnsi="仿宋" w:eastAsia="仿宋" w:cs="仿宋"/>
          <w:szCs w:val="32"/>
        </w:rPr>
        <w:t>月</w:t>
      </w:r>
      <w:r>
        <w:rPr>
          <w:rFonts w:hint="eastAsia" w:ascii="仿宋" w:hAnsi="仿宋" w:eastAsia="仿宋" w:cs="仿宋"/>
          <w:szCs w:val="32"/>
          <w:lang w:val="en-US" w:eastAsia="zh-CN"/>
        </w:rPr>
        <w:t>1</w:t>
      </w:r>
      <w:r>
        <w:rPr>
          <w:rFonts w:hint="eastAsia" w:ascii="仿宋" w:hAnsi="仿宋" w:eastAsia="仿宋" w:cs="仿宋"/>
          <w:szCs w:val="32"/>
        </w:rPr>
        <w:t>日</w:t>
      </w:r>
    </w:p>
    <w:p w14:paraId="0CA76AFE">
      <w:pPr>
        <w:keepNext w:val="0"/>
        <w:keepLines w:val="0"/>
        <w:pageBreakBefore w:val="0"/>
        <w:widowControl w:val="0"/>
        <w:tabs>
          <w:tab w:val="left" w:pos="6660"/>
          <w:tab w:val="left" w:pos="6840"/>
          <w:tab w:val="left" w:pos="7020"/>
        </w:tabs>
        <w:kinsoku/>
        <w:wordWrap/>
        <w:overflowPunct/>
        <w:topLinePunct w:val="0"/>
        <w:autoSpaceDE/>
        <w:autoSpaceDN/>
        <w:bidi w:val="0"/>
        <w:adjustRightInd w:val="0"/>
        <w:snapToGrid w:val="0"/>
        <w:spacing w:line="520" w:lineRule="exact"/>
        <w:ind w:firstLine="5440" w:firstLineChars="1700"/>
        <w:textAlignment w:val="auto"/>
        <w:rPr>
          <w:rFonts w:hint="eastAsia" w:ascii="仿宋" w:hAnsi="仿宋" w:eastAsia="仿宋" w:cs="仿宋"/>
          <w:szCs w:val="32"/>
        </w:rPr>
      </w:pPr>
    </w:p>
    <w:p w14:paraId="26EBA864">
      <w:pPr>
        <w:keepNext w:val="0"/>
        <w:keepLines w:val="0"/>
        <w:pageBreakBefore w:val="0"/>
        <w:widowControl w:val="0"/>
        <w:kinsoku/>
        <w:wordWrap/>
        <w:overflowPunct/>
        <w:topLinePunct w:val="0"/>
        <w:autoSpaceDE/>
        <w:autoSpaceDN/>
        <w:bidi w:val="0"/>
        <w:adjustRightInd/>
        <w:snapToGrid/>
        <w:spacing w:line="480" w:lineRule="exact"/>
        <w:ind w:left="926" w:leftChars="27" w:hanging="840" w:hangingChars="300"/>
        <w:textAlignment w:val="auto"/>
        <w:rPr>
          <w:rFonts w:eastAsia="仿宋"/>
          <w:sz w:val="28"/>
          <w:szCs w:val="28"/>
        </w:rPr>
      </w:pPr>
      <w:r>
        <w:rPr>
          <w:rFonts w:eastAsia="仿宋"/>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wp:posOffset>
                </wp:positionV>
                <wp:extent cx="5615940" cy="0"/>
                <wp:effectExtent l="0" t="4445" r="0" b="5080"/>
                <wp:wrapNone/>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0.55pt;height:0pt;width:442.2pt;z-index:251659264;mso-width-relative:page;mso-height-relative:page;" filled="f" stroked="t" coordsize="21600,21600" o:gfxdata="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elsM91QAAAAYBAAAPAAAA&#10;AAAAAAEAIAAAACIAAABkcnMvZG93bnJldi54bWxQSwECFAAUAAAACACHTuJAj2Tf398BAADPAwAA&#10;DgAAAAAAAAABACAAAAAkAQAAZHJzL2Uyb0RvYy54bWxQSwUGAAAAAAYABgBZAQAAdQUAAAAA&#10;">
                <v:fill on="f" focussize="0,0"/>
                <v:stroke weight="0.35pt" color="#000000" joinstyle="round"/>
                <v:imagedata o:title=""/>
                <o:lock v:ext="edit" aspectratio="f"/>
              </v:line>
            </w:pict>
          </mc:Fallback>
        </mc:AlternateContent>
      </w:r>
      <w:r>
        <w:rPr>
          <w:rFonts w:eastAsia="仿宋"/>
          <w:sz w:val="28"/>
          <w:szCs w:val="28"/>
        </w:rPr>
        <w:t>抄送：鄂尔多斯市生态</w:t>
      </w:r>
      <w:r>
        <w:rPr>
          <w:rFonts w:eastAsia="仿宋"/>
          <w:snapToGrid w:val="0"/>
          <w:sz w:val="28"/>
          <w:szCs w:val="28"/>
        </w:rPr>
        <w:t>环境局</w:t>
      </w:r>
      <w:r>
        <w:rPr>
          <w:rFonts w:hint="eastAsia" w:eastAsia="仿宋"/>
          <w:snapToGrid w:val="0"/>
          <w:sz w:val="28"/>
          <w:szCs w:val="28"/>
          <w:lang w:val="en-US" w:eastAsia="zh-CN"/>
        </w:rPr>
        <w:t>准格尔旗</w:t>
      </w:r>
      <w:r>
        <w:rPr>
          <w:rFonts w:hint="eastAsia" w:eastAsia="仿宋"/>
          <w:snapToGrid w:val="0"/>
          <w:sz w:val="28"/>
          <w:szCs w:val="28"/>
        </w:rPr>
        <w:t>分局</w:t>
      </w:r>
      <w:r>
        <w:rPr>
          <w:rFonts w:eastAsia="仿宋"/>
          <w:sz w:val="28"/>
          <w:szCs w:val="28"/>
        </w:rPr>
        <w:t>，</w:t>
      </w:r>
      <w:r>
        <w:rPr>
          <w:rFonts w:eastAsia="仿宋"/>
          <w:snapToGrid w:val="0"/>
          <w:sz w:val="28"/>
          <w:szCs w:val="28"/>
        </w:rPr>
        <w:t>鄂</w:t>
      </w:r>
      <w:r>
        <w:rPr>
          <w:rFonts w:eastAsia="仿宋"/>
          <w:sz w:val="28"/>
          <w:szCs w:val="28"/>
        </w:rPr>
        <w:t>尔多斯市生态环境综合行政执法支队，鄂尔多斯市生态环境局综合保障中心，</w:t>
      </w:r>
      <w:r>
        <w:rPr>
          <w:rFonts w:hint="eastAsia" w:eastAsia="仿宋"/>
          <w:sz w:val="28"/>
          <w:szCs w:val="28"/>
        </w:rPr>
        <w:t>内蒙古绿之垠环保科技发展有限公司</w:t>
      </w:r>
      <w:r>
        <w:rPr>
          <w:rFonts w:eastAsia="仿宋"/>
          <w:sz w:val="28"/>
          <w:szCs w:val="28"/>
        </w:rPr>
        <w:t>。</w:t>
      </w:r>
    </w:p>
    <w:p w14:paraId="536CE954">
      <w:pPr>
        <w:keepNext w:val="0"/>
        <w:keepLines w:val="0"/>
        <w:pageBreakBefore w:val="0"/>
        <w:widowControl w:val="0"/>
        <w:kinsoku/>
        <w:wordWrap/>
        <w:overflowPunct/>
        <w:topLinePunct w:val="0"/>
        <w:autoSpaceDE/>
        <w:autoSpaceDN/>
        <w:bidi w:val="0"/>
        <w:adjustRightInd/>
        <w:snapToGrid/>
        <w:spacing w:line="480" w:lineRule="exact"/>
        <w:ind w:left="86" w:leftChars="27" w:firstLine="0" w:firstLineChars="0"/>
        <w:textAlignment w:val="auto"/>
        <w:rPr>
          <w:rFonts w:eastAsia="仿宋"/>
          <w:sz w:val="28"/>
          <w:szCs w:val="28"/>
        </w:rPr>
      </w:pPr>
      <w:r>
        <w:rPr>
          <w:rFonts w:eastAsia="仿宋"/>
          <w:sz w:val="28"/>
          <w:szCs w:val="28"/>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335280</wp:posOffset>
                </wp:positionV>
                <wp:extent cx="5615940" cy="0"/>
                <wp:effectExtent l="0" t="4445" r="0" b="5080"/>
                <wp:wrapNone/>
                <wp:docPr id="3" name="直线 4"/>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1.65pt;margin-top:26.4pt;height:0pt;width:442.2pt;z-index:251661312;mso-width-relative:page;mso-height-relative:page;" filled="f" stroked="t" coordsize="21600,21600" o:gfxdata="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Av2mg1wAAAAcBAAAP&#10;AAAAAAAAAAEAIAAAACIAAABkcnMvZG93bnJldi54bWxQSwECFAAUAAAACACHTuJA5zAVxOABAADP&#10;AwAADgAAAAAAAAABACAAAAAmAQAAZHJzL2Uyb0RvYy54bWxQSwUGAAAAAAYABgBZAQAAeAUAAAAA&#10;">
                <v:fill on="f" focussize="0,0"/>
                <v:stroke weight="0.35pt" color="#000000" joinstyle="round"/>
                <v:imagedata o:title=""/>
                <o:lock v:ext="edit" aspectratio="f"/>
              </v:line>
            </w:pict>
          </mc:Fallback>
        </mc:AlternateContent>
      </w:r>
      <w:r>
        <w:rPr>
          <w:rFonts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7620</wp:posOffset>
                </wp:positionV>
                <wp:extent cx="5615940" cy="0"/>
                <wp:effectExtent l="0" t="4445" r="0" b="5080"/>
                <wp:wrapNone/>
                <wp:docPr id="2" name="直线 5"/>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0pt;margin-top:0.6pt;height:0pt;width:442.2pt;z-index:251660288;mso-width-relative:page;mso-height-relative:page;" filled="f" stroked="t" coordsize="21600,21600" o:gfxdata="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zTV27UAAAABAEAAA8AAAAA&#10;AAAAAQAgAAAAIgAAAGRycy9kb3ducmV2LnhtbFBLAQIUABQAAAAIAIdO4kCgpUZ13wEAAM8DAAAO&#10;AAAAAAAAAAEAIAAAACMBAABkcnMvZTJvRG9jLnhtbFBLBQYAAAAABgAGAFkBAAB0BQAAAAA=&#10;">
                <v:fill on="f" focussize="0,0"/>
                <v:stroke weight="0.25pt" color="#000000" joinstyle="round"/>
                <v:imagedata o:title=""/>
                <o:lock v:ext="edit" aspectratio="f"/>
              </v:line>
            </w:pict>
          </mc:Fallback>
        </mc:AlternateContent>
      </w:r>
      <w:r>
        <w:rPr>
          <w:rFonts w:eastAsia="仿宋"/>
          <w:sz w:val="28"/>
          <w:szCs w:val="28"/>
        </w:rPr>
        <w:t>鄂尔多斯市生态环境局                       202</w:t>
      </w:r>
      <w:r>
        <w:rPr>
          <w:rFonts w:hint="eastAsia" w:eastAsia="仿宋"/>
          <w:sz w:val="28"/>
          <w:szCs w:val="28"/>
          <w:lang w:val="en-US" w:eastAsia="zh-CN"/>
        </w:rPr>
        <w:t>6</w:t>
      </w:r>
      <w:r>
        <w:rPr>
          <w:rFonts w:eastAsia="仿宋"/>
          <w:sz w:val="28"/>
          <w:szCs w:val="28"/>
        </w:rPr>
        <w:t>年</w:t>
      </w:r>
      <w:r>
        <w:rPr>
          <w:rFonts w:hint="eastAsia" w:eastAsia="仿宋"/>
          <w:sz w:val="28"/>
          <w:szCs w:val="28"/>
          <w:lang w:val="en-US" w:eastAsia="zh-CN"/>
        </w:rPr>
        <w:t>4</w:t>
      </w:r>
      <w:r>
        <w:rPr>
          <w:rFonts w:eastAsia="仿宋"/>
          <w:sz w:val="28"/>
          <w:szCs w:val="28"/>
        </w:rPr>
        <w:t>月</w:t>
      </w:r>
      <w:r>
        <w:rPr>
          <w:rFonts w:hint="eastAsia" w:eastAsia="仿宋"/>
          <w:sz w:val="28"/>
          <w:szCs w:val="28"/>
          <w:lang w:val="en-US" w:eastAsia="zh-CN"/>
        </w:rPr>
        <w:t>1</w:t>
      </w:r>
      <w:r>
        <w:rPr>
          <w:rFonts w:eastAsia="仿宋"/>
          <w:sz w:val="28"/>
          <w:szCs w:val="28"/>
        </w:rPr>
        <w:t>日印发</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418" w:left="1531" w:header="851" w:footer="851" w:gutter="0"/>
      <w:pgNumType w:fmt="numberInDash"/>
      <w:cols w:space="720"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791C8F4E-360F-4FE0-BD58-91D52F6997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713AA">
    <w:pPr>
      <w:pStyle w:val="13"/>
      <w:tabs>
        <w:tab w:val="clear" w:pos="4153"/>
        <w:tab w:val="clear" w:pos="8306"/>
      </w:tabs>
      <w:ind w:right="333" w:rightChars="104" w:firstLine="560"/>
      <w:jc w:val="right"/>
      <w:rPr>
        <w:rFonts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w:t>
    </w:r>
    <w:r>
      <w:rPr>
        <w:rFonts w:ascii="宋体"/>
        <w:sz w:val="28"/>
        <w:szCs w:val="28"/>
      </w:rPr>
      <w:t xml:space="preserve"> 3 -</w:t>
    </w:r>
    <w:r>
      <w:rPr>
        <w:rFonts w:hint="eastAsia" w:ascii="宋体"/>
        <w:sz w:val="28"/>
        <w:szCs w:val="28"/>
      </w:rPr>
      <w:fldChar w:fldCharType="end"/>
    </w:r>
  </w:p>
  <w:p w14:paraId="74A8CF65">
    <w:pPr>
      <w:pStyle w:val="13"/>
      <w:tabs>
        <w:tab w:val="clear" w:pos="4153"/>
        <w:tab w:val="clear" w:pos="8306"/>
      </w:tabs>
      <w:ind w:firstLine="560"/>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5308A">
    <w:pPr>
      <w:pStyle w:val="13"/>
      <w:tabs>
        <w:tab w:val="clear" w:pos="4153"/>
        <w:tab w:val="clear" w:pos="8306"/>
      </w:tabs>
      <w:ind w:firstLine="560"/>
      <w:rPr>
        <w:rFonts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w:t>
    </w:r>
    <w:r>
      <w:rPr>
        <w:rFonts w:ascii="宋体"/>
        <w:sz w:val="28"/>
        <w:szCs w:val="28"/>
      </w:rPr>
      <w:t xml:space="preserve"> 4 -</w:t>
    </w:r>
    <w:r>
      <w:rPr>
        <w:rFonts w:hint="eastAsia" w:ascii="宋体"/>
        <w:sz w:val="28"/>
        <w:szCs w:val="28"/>
      </w:rPr>
      <w:fldChar w:fldCharType="end"/>
    </w:r>
  </w:p>
  <w:p w14:paraId="31409560">
    <w:pPr>
      <w:pStyle w:val="13"/>
      <w:tabs>
        <w:tab w:val="clear" w:pos="4153"/>
        <w:tab w:val="clear" w:pos="8306"/>
      </w:tabs>
      <w:ind w:firstLine="560"/>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B3226">
    <w:pPr>
      <w:pStyle w:val="13"/>
      <w:tabs>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E8885">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65AF3">
    <w:pPr>
      <w:pStyle w:val="14"/>
      <w:pBdr>
        <w:bottom w:val="none" w:color="auto" w:sz="0" w:space="0"/>
      </w:pBdr>
      <w:tabs>
        <w:tab w:val="left" w:pos="4200"/>
        <w:tab w:val="left" w:pos="4620"/>
        <w:tab w:val="left" w:pos="5040"/>
        <w:tab w:val="left" w:pos="5520"/>
        <w:tab w:val="clear" w:pos="4153"/>
        <w:tab w:val="clear" w:pos="8306"/>
      </w:tabs>
      <w:ind w:firstLine="360"/>
      <w:jc w:val="left"/>
    </w:pP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DAC79">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D1048"/>
    <w:multiLevelType w:val="singleLevel"/>
    <w:tmpl w:val="802D1048"/>
    <w:lvl w:ilvl="0" w:tentative="0">
      <w:start w:val="1"/>
      <w:numFmt w:val="chineseCounting"/>
      <w:suff w:val="nothing"/>
      <w:lvlText w:val="%1、"/>
      <w:lvlJc w:val="left"/>
      <w:rPr>
        <w:rFonts w:hint="eastAsia"/>
      </w:rPr>
    </w:lvl>
  </w:abstractNum>
  <w:abstractNum w:abstractNumId="1">
    <w:nsid w:val="8AED3486"/>
    <w:multiLevelType w:val="singleLevel"/>
    <w:tmpl w:val="8AED3486"/>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2">
    <w:nsid w:val="EDA445A2"/>
    <w:multiLevelType w:val="singleLevel"/>
    <w:tmpl w:val="EDA445A2"/>
    <w:lvl w:ilvl="0" w:tentative="0">
      <w:start w:val="2"/>
      <w:numFmt w:val="chineseCounting"/>
      <w:suff w:val="nothing"/>
      <w:lvlText w:val="%1、"/>
      <w:lvlJc w:val="left"/>
      <w:rPr>
        <w:rFonts w:hint="eastAsia"/>
      </w:rPr>
    </w:lvl>
  </w:abstractNum>
  <w:abstractNum w:abstractNumId="3">
    <w:nsid w:val="2BB82002"/>
    <w:multiLevelType w:val="singleLevel"/>
    <w:tmpl w:val="2BB8200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5OWQxM2NlNTU3ZjA0ZjkzODUyMmVlYWVlMDVjZmMifQ=="/>
  </w:docVars>
  <w:rsids>
    <w:rsidRoot w:val="00172A27"/>
    <w:rsid w:val="0000163F"/>
    <w:rsid w:val="00003B34"/>
    <w:rsid w:val="00013897"/>
    <w:rsid w:val="00022228"/>
    <w:rsid w:val="00022CF2"/>
    <w:rsid w:val="00034811"/>
    <w:rsid w:val="00034A31"/>
    <w:rsid w:val="00034E34"/>
    <w:rsid w:val="00037248"/>
    <w:rsid w:val="00043F0C"/>
    <w:rsid w:val="00052284"/>
    <w:rsid w:val="00076210"/>
    <w:rsid w:val="000769E5"/>
    <w:rsid w:val="000859A8"/>
    <w:rsid w:val="00087E51"/>
    <w:rsid w:val="00091BD8"/>
    <w:rsid w:val="00091FF4"/>
    <w:rsid w:val="000943A5"/>
    <w:rsid w:val="000B1637"/>
    <w:rsid w:val="000B3900"/>
    <w:rsid w:val="000B3C5E"/>
    <w:rsid w:val="000B603E"/>
    <w:rsid w:val="000B658C"/>
    <w:rsid w:val="000B74D4"/>
    <w:rsid w:val="000B7CBF"/>
    <w:rsid w:val="000C5A5B"/>
    <w:rsid w:val="000D3AD9"/>
    <w:rsid w:val="000D55B7"/>
    <w:rsid w:val="000E3181"/>
    <w:rsid w:val="000E6DF7"/>
    <w:rsid w:val="000F03F6"/>
    <w:rsid w:val="00115654"/>
    <w:rsid w:val="00126B3C"/>
    <w:rsid w:val="00132EBD"/>
    <w:rsid w:val="00140625"/>
    <w:rsid w:val="0014072D"/>
    <w:rsid w:val="00141E8E"/>
    <w:rsid w:val="00145D8B"/>
    <w:rsid w:val="001635BA"/>
    <w:rsid w:val="001655C2"/>
    <w:rsid w:val="00166F45"/>
    <w:rsid w:val="00172A27"/>
    <w:rsid w:val="00183067"/>
    <w:rsid w:val="001A4D0B"/>
    <w:rsid w:val="001B34A3"/>
    <w:rsid w:val="001C0BEB"/>
    <w:rsid w:val="001C3E49"/>
    <w:rsid w:val="001D15E7"/>
    <w:rsid w:val="001D2295"/>
    <w:rsid w:val="001D72BA"/>
    <w:rsid w:val="001E0AD8"/>
    <w:rsid w:val="001E37FC"/>
    <w:rsid w:val="001F2347"/>
    <w:rsid w:val="002038CA"/>
    <w:rsid w:val="00210D5B"/>
    <w:rsid w:val="00212F11"/>
    <w:rsid w:val="002147F4"/>
    <w:rsid w:val="00216E3C"/>
    <w:rsid w:val="00220EB2"/>
    <w:rsid w:val="0022217C"/>
    <w:rsid w:val="00231A02"/>
    <w:rsid w:val="002323A2"/>
    <w:rsid w:val="00234BA3"/>
    <w:rsid w:val="00244A4E"/>
    <w:rsid w:val="00252C74"/>
    <w:rsid w:val="00260D94"/>
    <w:rsid w:val="0027165F"/>
    <w:rsid w:val="00277207"/>
    <w:rsid w:val="00281354"/>
    <w:rsid w:val="00284610"/>
    <w:rsid w:val="00286A5A"/>
    <w:rsid w:val="00291171"/>
    <w:rsid w:val="00292619"/>
    <w:rsid w:val="00294D83"/>
    <w:rsid w:val="00294F6C"/>
    <w:rsid w:val="002A3AF8"/>
    <w:rsid w:val="002A6B82"/>
    <w:rsid w:val="002B01A3"/>
    <w:rsid w:val="002B02AD"/>
    <w:rsid w:val="002B1341"/>
    <w:rsid w:val="002B468D"/>
    <w:rsid w:val="002B48AE"/>
    <w:rsid w:val="002C1D2B"/>
    <w:rsid w:val="002C6600"/>
    <w:rsid w:val="002C721A"/>
    <w:rsid w:val="002D17C0"/>
    <w:rsid w:val="002D326F"/>
    <w:rsid w:val="002E3998"/>
    <w:rsid w:val="003073A8"/>
    <w:rsid w:val="00314DBC"/>
    <w:rsid w:val="003152BC"/>
    <w:rsid w:val="003152E0"/>
    <w:rsid w:val="00317FFB"/>
    <w:rsid w:val="00321072"/>
    <w:rsid w:val="0032325A"/>
    <w:rsid w:val="00326133"/>
    <w:rsid w:val="00327CF5"/>
    <w:rsid w:val="00332E89"/>
    <w:rsid w:val="0034039A"/>
    <w:rsid w:val="00340553"/>
    <w:rsid w:val="00351319"/>
    <w:rsid w:val="0035305A"/>
    <w:rsid w:val="00360E30"/>
    <w:rsid w:val="003665F1"/>
    <w:rsid w:val="00370D05"/>
    <w:rsid w:val="0037232B"/>
    <w:rsid w:val="00373890"/>
    <w:rsid w:val="003777F3"/>
    <w:rsid w:val="0038263E"/>
    <w:rsid w:val="00393354"/>
    <w:rsid w:val="00397A6C"/>
    <w:rsid w:val="003A2D2F"/>
    <w:rsid w:val="003A40A1"/>
    <w:rsid w:val="003B0417"/>
    <w:rsid w:val="003B0AA5"/>
    <w:rsid w:val="003B1C60"/>
    <w:rsid w:val="003B210A"/>
    <w:rsid w:val="003C3103"/>
    <w:rsid w:val="003D5668"/>
    <w:rsid w:val="003D6606"/>
    <w:rsid w:val="003D6DFE"/>
    <w:rsid w:val="003D6E7F"/>
    <w:rsid w:val="004011FD"/>
    <w:rsid w:val="004140D6"/>
    <w:rsid w:val="004223BB"/>
    <w:rsid w:val="004357E4"/>
    <w:rsid w:val="00447D25"/>
    <w:rsid w:val="004574C6"/>
    <w:rsid w:val="00464743"/>
    <w:rsid w:val="00466CA6"/>
    <w:rsid w:val="00476133"/>
    <w:rsid w:val="00494D8A"/>
    <w:rsid w:val="004B3A95"/>
    <w:rsid w:val="004B48BE"/>
    <w:rsid w:val="004C75CE"/>
    <w:rsid w:val="004F1679"/>
    <w:rsid w:val="00505D7C"/>
    <w:rsid w:val="00523924"/>
    <w:rsid w:val="005323F0"/>
    <w:rsid w:val="005335E6"/>
    <w:rsid w:val="0053370D"/>
    <w:rsid w:val="005358D9"/>
    <w:rsid w:val="00545882"/>
    <w:rsid w:val="00573B84"/>
    <w:rsid w:val="00574CB5"/>
    <w:rsid w:val="00574D39"/>
    <w:rsid w:val="0058523E"/>
    <w:rsid w:val="00594863"/>
    <w:rsid w:val="00594C2B"/>
    <w:rsid w:val="00595F42"/>
    <w:rsid w:val="005971FE"/>
    <w:rsid w:val="005973D8"/>
    <w:rsid w:val="005A7BF4"/>
    <w:rsid w:val="005A7D91"/>
    <w:rsid w:val="005B4277"/>
    <w:rsid w:val="005B4DC1"/>
    <w:rsid w:val="005B6B95"/>
    <w:rsid w:val="005B73CB"/>
    <w:rsid w:val="005B73F2"/>
    <w:rsid w:val="005C2C12"/>
    <w:rsid w:val="005C4BA3"/>
    <w:rsid w:val="005C6D08"/>
    <w:rsid w:val="005D325B"/>
    <w:rsid w:val="005D52D5"/>
    <w:rsid w:val="005E3D93"/>
    <w:rsid w:val="005E60C3"/>
    <w:rsid w:val="005F67D1"/>
    <w:rsid w:val="005F6EA1"/>
    <w:rsid w:val="005F772D"/>
    <w:rsid w:val="00603137"/>
    <w:rsid w:val="00607636"/>
    <w:rsid w:val="0061477B"/>
    <w:rsid w:val="00623EF7"/>
    <w:rsid w:val="00635839"/>
    <w:rsid w:val="00654571"/>
    <w:rsid w:val="00655C9B"/>
    <w:rsid w:val="0066328B"/>
    <w:rsid w:val="00670489"/>
    <w:rsid w:val="00673E3A"/>
    <w:rsid w:val="00675E95"/>
    <w:rsid w:val="006842EF"/>
    <w:rsid w:val="006858AE"/>
    <w:rsid w:val="00693147"/>
    <w:rsid w:val="006A2965"/>
    <w:rsid w:val="006A3BFA"/>
    <w:rsid w:val="006A402B"/>
    <w:rsid w:val="006A4B57"/>
    <w:rsid w:val="006A7F01"/>
    <w:rsid w:val="006B264B"/>
    <w:rsid w:val="006C1C66"/>
    <w:rsid w:val="006D005C"/>
    <w:rsid w:val="006E4B6D"/>
    <w:rsid w:val="00705F27"/>
    <w:rsid w:val="00711216"/>
    <w:rsid w:val="00714598"/>
    <w:rsid w:val="00725AE5"/>
    <w:rsid w:val="007273DC"/>
    <w:rsid w:val="00731875"/>
    <w:rsid w:val="00731B4C"/>
    <w:rsid w:val="0073401B"/>
    <w:rsid w:val="00734314"/>
    <w:rsid w:val="007438A8"/>
    <w:rsid w:val="00753DF2"/>
    <w:rsid w:val="007756C4"/>
    <w:rsid w:val="00776E6C"/>
    <w:rsid w:val="00780C4A"/>
    <w:rsid w:val="00786F97"/>
    <w:rsid w:val="00790734"/>
    <w:rsid w:val="00794433"/>
    <w:rsid w:val="007960CA"/>
    <w:rsid w:val="00797BD9"/>
    <w:rsid w:val="007A1CC7"/>
    <w:rsid w:val="007B29EE"/>
    <w:rsid w:val="007B3F17"/>
    <w:rsid w:val="007B3F9E"/>
    <w:rsid w:val="007B7053"/>
    <w:rsid w:val="007D2911"/>
    <w:rsid w:val="007D6AF9"/>
    <w:rsid w:val="007F387A"/>
    <w:rsid w:val="00801EBE"/>
    <w:rsid w:val="008111A0"/>
    <w:rsid w:val="00814F27"/>
    <w:rsid w:val="00830F08"/>
    <w:rsid w:val="00836B89"/>
    <w:rsid w:val="00850544"/>
    <w:rsid w:val="008569C5"/>
    <w:rsid w:val="0085716B"/>
    <w:rsid w:val="008603F0"/>
    <w:rsid w:val="00863AA0"/>
    <w:rsid w:val="0086670F"/>
    <w:rsid w:val="00867A7C"/>
    <w:rsid w:val="0087030D"/>
    <w:rsid w:val="0087097C"/>
    <w:rsid w:val="00872323"/>
    <w:rsid w:val="00875B21"/>
    <w:rsid w:val="00876B7A"/>
    <w:rsid w:val="00881E26"/>
    <w:rsid w:val="00894E86"/>
    <w:rsid w:val="0089697D"/>
    <w:rsid w:val="008A34A3"/>
    <w:rsid w:val="008B64FD"/>
    <w:rsid w:val="008D04D7"/>
    <w:rsid w:val="008D392F"/>
    <w:rsid w:val="008D657A"/>
    <w:rsid w:val="008F03AF"/>
    <w:rsid w:val="008F1655"/>
    <w:rsid w:val="008F3F77"/>
    <w:rsid w:val="008F6A88"/>
    <w:rsid w:val="0090168D"/>
    <w:rsid w:val="00901CF6"/>
    <w:rsid w:val="009109C4"/>
    <w:rsid w:val="00910F6B"/>
    <w:rsid w:val="009116A8"/>
    <w:rsid w:val="00912F04"/>
    <w:rsid w:val="00920CF6"/>
    <w:rsid w:val="0092434D"/>
    <w:rsid w:val="0093218D"/>
    <w:rsid w:val="0094513D"/>
    <w:rsid w:val="00947B4A"/>
    <w:rsid w:val="00952CF3"/>
    <w:rsid w:val="00955B81"/>
    <w:rsid w:val="00964E58"/>
    <w:rsid w:val="00967257"/>
    <w:rsid w:val="00975971"/>
    <w:rsid w:val="00977810"/>
    <w:rsid w:val="00981C2A"/>
    <w:rsid w:val="009869A9"/>
    <w:rsid w:val="0099052A"/>
    <w:rsid w:val="0099190F"/>
    <w:rsid w:val="00994A34"/>
    <w:rsid w:val="009A00F6"/>
    <w:rsid w:val="009A5EDF"/>
    <w:rsid w:val="009B08BE"/>
    <w:rsid w:val="009B5701"/>
    <w:rsid w:val="009C1672"/>
    <w:rsid w:val="009C1CD9"/>
    <w:rsid w:val="009C3754"/>
    <w:rsid w:val="009C56E1"/>
    <w:rsid w:val="009D157A"/>
    <w:rsid w:val="009E6A85"/>
    <w:rsid w:val="00A0485E"/>
    <w:rsid w:val="00A2366A"/>
    <w:rsid w:val="00A3099D"/>
    <w:rsid w:val="00A3325D"/>
    <w:rsid w:val="00A4149A"/>
    <w:rsid w:val="00A427AA"/>
    <w:rsid w:val="00A4424E"/>
    <w:rsid w:val="00A47062"/>
    <w:rsid w:val="00A516B7"/>
    <w:rsid w:val="00A51F8A"/>
    <w:rsid w:val="00A6267E"/>
    <w:rsid w:val="00A71F6F"/>
    <w:rsid w:val="00A74D7A"/>
    <w:rsid w:val="00A80DAE"/>
    <w:rsid w:val="00A81FA5"/>
    <w:rsid w:val="00A971E1"/>
    <w:rsid w:val="00AA0CC0"/>
    <w:rsid w:val="00AA2DFC"/>
    <w:rsid w:val="00AA4B8E"/>
    <w:rsid w:val="00AC0E06"/>
    <w:rsid w:val="00AE458B"/>
    <w:rsid w:val="00B13670"/>
    <w:rsid w:val="00B14110"/>
    <w:rsid w:val="00B15608"/>
    <w:rsid w:val="00B160AA"/>
    <w:rsid w:val="00B21CB1"/>
    <w:rsid w:val="00B23161"/>
    <w:rsid w:val="00B27209"/>
    <w:rsid w:val="00B273EB"/>
    <w:rsid w:val="00B27928"/>
    <w:rsid w:val="00B43B4C"/>
    <w:rsid w:val="00B44540"/>
    <w:rsid w:val="00B549B0"/>
    <w:rsid w:val="00B67348"/>
    <w:rsid w:val="00B9315C"/>
    <w:rsid w:val="00B95B40"/>
    <w:rsid w:val="00B96279"/>
    <w:rsid w:val="00BA6BC8"/>
    <w:rsid w:val="00BA6CF6"/>
    <w:rsid w:val="00BB573D"/>
    <w:rsid w:val="00BD1FFD"/>
    <w:rsid w:val="00BD3C49"/>
    <w:rsid w:val="00BD3D63"/>
    <w:rsid w:val="00BE689E"/>
    <w:rsid w:val="00C005EF"/>
    <w:rsid w:val="00C06F47"/>
    <w:rsid w:val="00C14176"/>
    <w:rsid w:val="00C304F5"/>
    <w:rsid w:val="00C31C3A"/>
    <w:rsid w:val="00C533A4"/>
    <w:rsid w:val="00C635B4"/>
    <w:rsid w:val="00C65E8A"/>
    <w:rsid w:val="00C84B02"/>
    <w:rsid w:val="00C916C1"/>
    <w:rsid w:val="00C97B2E"/>
    <w:rsid w:val="00CA0421"/>
    <w:rsid w:val="00CA35C8"/>
    <w:rsid w:val="00CA4CD5"/>
    <w:rsid w:val="00CB3D45"/>
    <w:rsid w:val="00CB7ADB"/>
    <w:rsid w:val="00CC0528"/>
    <w:rsid w:val="00CC797E"/>
    <w:rsid w:val="00CD4203"/>
    <w:rsid w:val="00CE1725"/>
    <w:rsid w:val="00CE56A4"/>
    <w:rsid w:val="00CF01F1"/>
    <w:rsid w:val="00D03EC7"/>
    <w:rsid w:val="00D12A53"/>
    <w:rsid w:val="00D139C3"/>
    <w:rsid w:val="00D14E71"/>
    <w:rsid w:val="00D250E9"/>
    <w:rsid w:val="00D25F4F"/>
    <w:rsid w:val="00D348DA"/>
    <w:rsid w:val="00D3508A"/>
    <w:rsid w:val="00D366C2"/>
    <w:rsid w:val="00D41FD3"/>
    <w:rsid w:val="00D43311"/>
    <w:rsid w:val="00D436B5"/>
    <w:rsid w:val="00D54997"/>
    <w:rsid w:val="00D55A82"/>
    <w:rsid w:val="00D56335"/>
    <w:rsid w:val="00D572FF"/>
    <w:rsid w:val="00D60712"/>
    <w:rsid w:val="00D75281"/>
    <w:rsid w:val="00D815E5"/>
    <w:rsid w:val="00D824AA"/>
    <w:rsid w:val="00D846BD"/>
    <w:rsid w:val="00D9674D"/>
    <w:rsid w:val="00DA22F2"/>
    <w:rsid w:val="00DB283F"/>
    <w:rsid w:val="00DC3AA5"/>
    <w:rsid w:val="00DC4E0A"/>
    <w:rsid w:val="00DD3BBC"/>
    <w:rsid w:val="00DD3FB1"/>
    <w:rsid w:val="00DE5A70"/>
    <w:rsid w:val="00DF3135"/>
    <w:rsid w:val="00DF5A2C"/>
    <w:rsid w:val="00DF72E3"/>
    <w:rsid w:val="00E07B26"/>
    <w:rsid w:val="00E11133"/>
    <w:rsid w:val="00E1767E"/>
    <w:rsid w:val="00E2095B"/>
    <w:rsid w:val="00E21D8D"/>
    <w:rsid w:val="00E21F49"/>
    <w:rsid w:val="00E25759"/>
    <w:rsid w:val="00E2746D"/>
    <w:rsid w:val="00E35E8F"/>
    <w:rsid w:val="00E47A6B"/>
    <w:rsid w:val="00E52907"/>
    <w:rsid w:val="00E53894"/>
    <w:rsid w:val="00E64836"/>
    <w:rsid w:val="00E6591B"/>
    <w:rsid w:val="00E66565"/>
    <w:rsid w:val="00E71520"/>
    <w:rsid w:val="00E82B13"/>
    <w:rsid w:val="00E86E2D"/>
    <w:rsid w:val="00E92F33"/>
    <w:rsid w:val="00E97918"/>
    <w:rsid w:val="00EA0F9C"/>
    <w:rsid w:val="00EA434C"/>
    <w:rsid w:val="00EB1C0E"/>
    <w:rsid w:val="00EB240E"/>
    <w:rsid w:val="00ED16C1"/>
    <w:rsid w:val="00ED23E0"/>
    <w:rsid w:val="00ED4E87"/>
    <w:rsid w:val="00EE08A5"/>
    <w:rsid w:val="00EE15E5"/>
    <w:rsid w:val="00EE7F3A"/>
    <w:rsid w:val="00EF420B"/>
    <w:rsid w:val="00F077AE"/>
    <w:rsid w:val="00F11EE8"/>
    <w:rsid w:val="00F124D1"/>
    <w:rsid w:val="00F200A2"/>
    <w:rsid w:val="00F21E2A"/>
    <w:rsid w:val="00F23126"/>
    <w:rsid w:val="00F33FF1"/>
    <w:rsid w:val="00F344BA"/>
    <w:rsid w:val="00F35272"/>
    <w:rsid w:val="00F41B73"/>
    <w:rsid w:val="00F426D3"/>
    <w:rsid w:val="00F42D16"/>
    <w:rsid w:val="00F52B48"/>
    <w:rsid w:val="00F52FCA"/>
    <w:rsid w:val="00F544AE"/>
    <w:rsid w:val="00F54A06"/>
    <w:rsid w:val="00F5672C"/>
    <w:rsid w:val="00F96F3A"/>
    <w:rsid w:val="00FA0489"/>
    <w:rsid w:val="00FA1F57"/>
    <w:rsid w:val="00FA668E"/>
    <w:rsid w:val="00FB37C9"/>
    <w:rsid w:val="00FC51B8"/>
    <w:rsid w:val="00FC6DD2"/>
    <w:rsid w:val="00FD1798"/>
    <w:rsid w:val="00FD17FA"/>
    <w:rsid w:val="00FD2893"/>
    <w:rsid w:val="00FD397F"/>
    <w:rsid w:val="00FE1ACD"/>
    <w:rsid w:val="00FE30DF"/>
    <w:rsid w:val="00FE4F09"/>
    <w:rsid w:val="00FE694C"/>
    <w:rsid w:val="0180531D"/>
    <w:rsid w:val="01963C8A"/>
    <w:rsid w:val="01B91D0C"/>
    <w:rsid w:val="01C43390"/>
    <w:rsid w:val="01DA7C98"/>
    <w:rsid w:val="02102371"/>
    <w:rsid w:val="02143EDB"/>
    <w:rsid w:val="02426E64"/>
    <w:rsid w:val="029151E1"/>
    <w:rsid w:val="02A013AA"/>
    <w:rsid w:val="02D20ACD"/>
    <w:rsid w:val="02D312B7"/>
    <w:rsid w:val="02D33135"/>
    <w:rsid w:val="02E50D6A"/>
    <w:rsid w:val="02FA438B"/>
    <w:rsid w:val="030259DE"/>
    <w:rsid w:val="039E3D73"/>
    <w:rsid w:val="03B2577C"/>
    <w:rsid w:val="045A77D7"/>
    <w:rsid w:val="046A5DDC"/>
    <w:rsid w:val="047C774D"/>
    <w:rsid w:val="04C65772"/>
    <w:rsid w:val="04CC1D57"/>
    <w:rsid w:val="04EC6319"/>
    <w:rsid w:val="05544B7B"/>
    <w:rsid w:val="056F7EF6"/>
    <w:rsid w:val="05743B6C"/>
    <w:rsid w:val="05802F92"/>
    <w:rsid w:val="06682716"/>
    <w:rsid w:val="06BF4970"/>
    <w:rsid w:val="06C15F9C"/>
    <w:rsid w:val="06C32EC1"/>
    <w:rsid w:val="06DC040F"/>
    <w:rsid w:val="071B341A"/>
    <w:rsid w:val="07646DC2"/>
    <w:rsid w:val="077741FC"/>
    <w:rsid w:val="07A10406"/>
    <w:rsid w:val="07C75183"/>
    <w:rsid w:val="07CA2ED7"/>
    <w:rsid w:val="07D54769"/>
    <w:rsid w:val="07EF3766"/>
    <w:rsid w:val="08017F69"/>
    <w:rsid w:val="08B1721D"/>
    <w:rsid w:val="08FA6E92"/>
    <w:rsid w:val="097F12A3"/>
    <w:rsid w:val="09A1777D"/>
    <w:rsid w:val="09A6526C"/>
    <w:rsid w:val="0A4F1BBF"/>
    <w:rsid w:val="0AC566C4"/>
    <w:rsid w:val="0B4F2296"/>
    <w:rsid w:val="0B855BB7"/>
    <w:rsid w:val="0BB84DE3"/>
    <w:rsid w:val="0BE7494E"/>
    <w:rsid w:val="0BFC73C5"/>
    <w:rsid w:val="0C411D42"/>
    <w:rsid w:val="0C620020"/>
    <w:rsid w:val="0C821170"/>
    <w:rsid w:val="0C8C7B66"/>
    <w:rsid w:val="0CAC0DEC"/>
    <w:rsid w:val="0D5F7A52"/>
    <w:rsid w:val="0D9803D8"/>
    <w:rsid w:val="0E165EF5"/>
    <w:rsid w:val="0EA11A35"/>
    <w:rsid w:val="0EBB20C0"/>
    <w:rsid w:val="0EE34D8D"/>
    <w:rsid w:val="0EF067DF"/>
    <w:rsid w:val="0F1113DA"/>
    <w:rsid w:val="0F4777DC"/>
    <w:rsid w:val="0F704352"/>
    <w:rsid w:val="0F790917"/>
    <w:rsid w:val="0F9963B2"/>
    <w:rsid w:val="0FCB3337"/>
    <w:rsid w:val="0FD3569A"/>
    <w:rsid w:val="101277DE"/>
    <w:rsid w:val="10427083"/>
    <w:rsid w:val="10901CAC"/>
    <w:rsid w:val="10D26947"/>
    <w:rsid w:val="10DA7A4D"/>
    <w:rsid w:val="11001706"/>
    <w:rsid w:val="116951E8"/>
    <w:rsid w:val="11AA0C89"/>
    <w:rsid w:val="124D4DE7"/>
    <w:rsid w:val="12841571"/>
    <w:rsid w:val="12D93FBD"/>
    <w:rsid w:val="12E05BA6"/>
    <w:rsid w:val="130A686C"/>
    <w:rsid w:val="130D3C66"/>
    <w:rsid w:val="13222CE3"/>
    <w:rsid w:val="13497394"/>
    <w:rsid w:val="1362577F"/>
    <w:rsid w:val="13872E75"/>
    <w:rsid w:val="1388252A"/>
    <w:rsid w:val="13E4357A"/>
    <w:rsid w:val="14196876"/>
    <w:rsid w:val="14262BA5"/>
    <w:rsid w:val="142E18C9"/>
    <w:rsid w:val="14CE23B0"/>
    <w:rsid w:val="15416391"/>
    <w:rsid w:val="155B6F0B"/>
    <w:rsid w:val="156C217D"/>
    <w:rsid w:val="156F6E5A"/>
    <w:rsid w:val="158717DE"/>
    <w:rsid w:val="159E33BF"/>
    <w:rsid w:val="15C52F2D"/>
    <w:rsid w:val="15EB4D8F"/>
    <w:rsid w:val="15FC1073"/>
    <w:rsid w:val="16020709"/>
    <w:rsid w:val="1653052A"/>
    <w:rsid w:val="171966F1"/>
    <w:rsid w:val="17470DF8"/>
    <w:rsid w:val="17734BE8"/>
    <w:rsid w:val="1794534E"/>
    <w:rsid w:val="17AC6144"/>
    <w:rsid w:val="180C2112"/>
    <w:rsid w:val="180D3ED3"/>
    <w:rsid w:val="180D6A39"/>
    <w:rsid w:val="18312EA1"/>
    <w:rsid w:val="188C7C46"/>
    <w:rsid w:val="18907475"/>
    <w:rsid w:val="18975EE2"/>
    <w:rsid w:val="192734BB"/>
    <w:rsid w:val="19977B24"/>
    <w:rsid w:val="19B015E4"/>
    <w:rsid w:val="19D90D46"/>
    <w:rsid w:val="1A056AC1"/>
    <w:rsid w:val="1A9500F8"/>
    <w:rsid w:val="1AAD50D9"/>
    <w:rsid w:val="1AFA0456"/>
    <w:rsid w:val="1B0818E3"/>
    <w:rsid w:val="1B6B6A0B"/>
    <w:rsid w:val="1B907DF8"/>
    <w:rsid w:val="1B966EEF"/>
    <w:rsid w:val="1BB1223F"/>
    <w:rsid w:val="1BDC5F2D"/>
    <w:rsid w:val="1C004789"/>
    <w:rsid w:val="1C552376"/>
    <w:rsid w:val="1C556922"/>
    <w:rsid w:val="1CA05239"/>
    <w:rsid w:val="1CC659C3"/>
    <w:rsid w:val="1D352737"/>
    <w:rsid w:val="1D356474"/>
    <w:rsid w:val="1D7758B3"/>
    <w:rsid w:val="1D7968A5"/>
    <w:rsid w:val="1D7E52FC"/>
    <w:rsid w:val="1D7F7FDE"/>
    <w:rsid w:val="1DE507E4"/>
    <w:rsid w:val="1DFF258B"/>
    <w:rsid w:val="1ED44E0B"/>
    <w:rsid w:val="1ED72F0E"/>
    <w:rsid w:val="1F2F1E61"/>
    <w:rsid w:val="1F6B68E4"/>
    <w:rsid w:val="1F757AC2"/>
    <w:rsid w:val="1F9829EC"/>
    <w:rsid w:val="1FB9300D"/>
    <w:rsid w:val="1FE65F6B"/>
    <w:rsid w:val="20067091"/>
    <w:rsid w:val="203A5729"/>
    <w:rsid w:val="20855784"/>
    <w:rsid w:val="2098257A"/>
    <w:rsid w:val="20D46FF8"/>
    <w:rsid w:val="210642E6"/>
    <w:rsid w:val="210F4A7D"/>
    <w:rsid w:val="216B2BCB"/>
    <w:rsid w:val="219B4471"/>
    <w:rsid w:val="219D000A"/>
    <w:rsid w:val="21C8292E"/>
    <w:rsid w:val="21CA5B44"/>
    <w:rsid w:val="21FE1453"/>
    <w:rsid w:val="220A1A9C"/>
    <w:rsid w:val="222F152D"/>
    <w:rsid w:val="2246008A"/>
    <w:rsid w:val="22492989"/>
    <w:rsid w:val="22571DAC"/>
    <w:rsid w:val="226D4721"/>
    <w:rsid w:val="227A192B"/>
    <w:rsid w:val="23007343"/>
    <w:rsid w:val="232D6803"/>
    <w:rsid w:val="23423DA1"/>
    <w:rsid w:val="23AE4FF1"/>
    <w:rsid w:val="23C6058D"/>
    <w:rsid w:val="23D700A4"/>
    <w:rsid w:val="242877DE"/>
    <w:rsid w:val="242A0B1C"/>
    <w:rsid w:val="245931AF"/>
    <w:rsid w:val="247022A7"/>
    <w:rsid w:val="24876AA6"/>
    <w:rsid w:val="249B7324"/>
    <w:rsid w:val="250403C0"/>
    <w:rsid w:val="252437BD"/>
    <w:rsid w:val="252C08C4"/>
    <w:rsid w:val="25551BC9"/>
    <w:rsid w:val="257D421F"/>
    <w:rsid w:val="25AC1193"/>
    <w:rsid w:val="25BB41CC"/>
    <w:rsid w:val="25C509A5"/>
    <w:rsid w:val="25D95F60"/>
    <w:rsid w:val="25EA0571"/>
    <w:rsid w:val="26AD53D1"/>
    <w:rsid w:val="26C50B62"/>
    <w:rsid w:val="26CF4EF1"/>
    <w:rsid w:val="26F92A28"/>
    <w:rsid w:val="271A593B"/>
    <w:rsid w:val="27203213"/>
    <w:rsid w:val="274D379A"/>
    <w:rsid w:val="2757487A"/>
    <w:rsid w:val="27633F15"/>
    <w:rsid w:val="278B1478"/>
    <w:rsid w:val="27BB2457"/>
    <w:rsid w:val="27DB2E59"/>
    <w:rsid w:val="28934DFF"/>
    <w:rsid w:val="289A2F1A"/>
    <w:rsid w:val="28BE7A85"/>
    <w:rsid w:val="290441D9"/>
    <w:rsid w:val="294B1B74"/>
    <w:rsid w:val="295C2DFA"/>
    <w:rsid w:val="29697C3F"/>
    <w:rsid w:val="29F26D06"/>
    <w:rsid w:val="2A583806"/>
    <w:rsid w:val="2A5B2ABE"/>
    <w:rsid w:val="2A661D36"/>
    <w:rsid w:val="2B68186D"/>
    <w:rsid w:val="2B982059"/>
    <w:rsid w:val="2BB6248A"/>
    <w:rsid w:val="2BFF06BF"/>
    <w:rsid w:val="2C293467"/>
    <w:rsid w:val="2C3677D8"/>
    <w:rsid w:val="2C3762A5"/>
    <w:rsid w:val="2C44491F"/>
    <w:rsid w:val="2C8114F5"/>
    <w:rsid w:val="2C855302"/>
    <w:rsid w:val="2CDE533B"/>
    <w:rsid w:val="2D3455BE"/>
    <w:rsid w:val="2DBD6096"/>
    <w:rsid w:val="2DC435A5"/>
    <w:rsid w:val="2E4D54CD"/>
    <w:rsid w:val="2E5B49FA"/>
    <w:rsid w:val="2E834D6B"/>
    <w:rsid w:val="2EA840B7"/>
    <w:rsid w:val="2EEA15D4"/>
    <w:rsid w:val="2EEE3634"/>
    <w:rsid w:val="2F105551"/>
    <w:rsid w:val="2F2A13C8"/>
    <w:rsid w:val="2F3A1DA0"/>
    <w:rsid w:val="2F483AA2"/>
    <w:rsid w:val="2F4D2095"/>
    <w:rsid w:val="2F807842"/>
    <w:rsid w:val="2FB26279"/>
    <w:rsid w:val="2FEB570C"/>
    <w:rsid w:val="2FEF251C"/>
    <w:rsid w:val="300C1150"/>
    <w:rsid w:val="30927BC2"/>
    <w:rsid w:val="31004D43"/>
    <w:rsid w:val="31101099"/>
    <w:rsid w:val="323B6E74"/>
    <w:rsid w:val="32427031"/>
    <w:rsid w:val="32627818"/>
    <w:rsid w:val="330D4FFF"/>
    <w:rsid w:val="335C4122"/>
    <w:rsid w:val="33673251"/>
    <w:rsid w:val="339A10EE"/>
    <w:rsid w:val="33A022B5"/>
    <w:rsid w:val="3424001A"/>
    <w:rsid w:val="342E2B27"/>
    <w:rsid w:val="34394463"/>
    <w:rsid w:val="344F5734"/>
    <w:rsid w:val="347A0A28"/>
    <w:rsid w:val="34B20AE7"/>
    <w:rsid w:val="34B87F54"/>
    <w:rsid w:val="34CB53C0"/>
    <w:rsid w:val="350D601C"/>
    <w:rsid w:val="35246FC7"/>
    <w:rsid w:val="353C245D"/>
    <w:rsid w:val="35700359"/>
    <w:rsid w:val="357C4F4F"/>
    <w:rsid w:val="35C506A4"/>
    <w:rsid w:val="35D629F5"/>
    <w:rsid w:val="363C7FB8"/>
    <w:rsid w:val="36527804"/>
    <w:rsid w:val="3694431E"/>
    <w:rsid w:val="369835B8"/>
    <w:rsid w:val="36A032D3"/>
    <w:rsid w:val="36B05798"/>
    <w:rsid w:val="36B92FB6"/>
    <w:rsid w:val="36BF7D2B"/>
    <w:rsid w:val="36C7324A"/>
    <w:rsid w:val="36D56E8A"/>
    <w:rsid w:val="373040D9"/>
    <w:rsid w:val="3790268F"/>
    <w:rsid w:val="37CD6E03"/>
    <w:rsid w:val="380311BF"/>
    <w:rsid w:val="382C7F0C"/>
    <w:rsid w:val="386D0B7F"/>
    <w:rsid w:val="38EE770F"/>
    <w:rsid w:val="38F742A0"/>
    <w:rsid w:val="39017341"/>
    <w:rsid w:val="39442F96"/>
    <w:rsid w:val="3A0B3150"/>
    <w:rsid w:val="3A3B1F75"/>
    <w:rsid w:val="3A690764"/>
    <w:rsid w:val="3A920D71"/>
    <w:rsid w:val="3ABB2076"/>
    <w:rsid w:val="3ACA050B"/>
    <w:rsid w:val="3ACC3C0C"/>
    <w:rsid w:val="3B0147FF"/>
    <w:rsid w:val="3B247ABF"/>
    <w:rsid w:val="3B3B1793"/>
    <w:rsid w:val="3B3E6803"/>
    <w:rsid w:val="3BD437B2"/>
    <w:rsid w:val="3BDC0242"/>
    <w:rsid w:val="3BFC443B"/>
    <w:rsid w:val="3C154DB3"/>
    <w:rsid w:val="3C5E0F0B"/>
    <w:rsid w:val="3C8B5A78"/>
    <w:rsid w:val="3D13731E"/>
    <w:rsid w:val="3D2567DB"/>
    <w:rsid w:val="3D882B40"/>
    <w:rsid w:val="3DA80607"/>
    <w:rsid w:val="3DD8234F"/>
    <w:rsid w:val="3E0C4D16"/>
    <w:rsid w:val="3EF25EC7"/>
    <w:rsid w:val="3F033CAD"/>
    <w:rsid w:val="3F1735F3"/>
    <w:rsid w:val="3F5D7BA0"/>
    <w:rsid w:val="3F8A0C59"/>
    <w:rsid w:val="3F9833D5"/>
    <w:rsid w:val="3FBF4426"/>
    <w:rsid w:val="3FC271D2"/>
    <w:rsid w:val="3FD9014F"/>
    <w:rsid w:val="402210BD"/>
    <w:rsid w:val="40273D0A"/>
    <w:rsid w:val="403074C2"/>
    <w:rsid w:val="4099576A"/>
    <w:rsid w:val="40A13D96"/>
    <w:rsid w:val="411E2B5B"/>
    <w:rsid w:val="413F2F26"/>
    <w:rsid w:val="414552B1"/>
    <w:rsid w:val="415D31EC"/>
    <w:rsid w:val="41C10FF6"/>
    <w:rsid w:val="41F66C78"/>
    <w:rsid w:val="42333357"/>
    <w:rsid w:val="42E91AEA"/>
    <w:rsid w:val="43410984"/>
    <w:rsid w:val="43A0005B"/>
    <w:rsid w:val="43A8628C"/>
    <w:rsid w:val="43AE09CA"/>
    <w:rsid w:val="43FC3498"/>
    <w:rsid w:val="442826F8"/>
    <w:rsid w:val="444F25F6"/>
    <w:rsid w:val="44611D27"/>
    <w:rsid w:val="44744147"/>
    <w:rsid w:val="44ED5522"/>
    <w:rsid w:val="451934B4"/>
    <w:rsid w:val="451F1453"/>
    <w:rsid w:val="459314CE"/>
    <w:rsid w:val="45F11360"/>
    <w:rsid w:val="461A0599"/>
    <w:rsid w:val="462E64A2"/>
    <w:rsid w:val="46326F64"/>
    <w:rsid w:val="465E18E7"/>
    <w:rsid w:val="467D4758"/>
    <w:rsid w:val="4681606A"/>
    <w:rsid w:val="46A30D3E"/>
    <w:rsid w:val="46A62CDC"/>
    <w:rsid w:val="47347438"/>
    <w:rsid w:val="47476EAB"/>
    <w:rsid w:val="47524663"/>
    <w:rsid w:val="477B1347"/>
    <w:rsid w:val="47F555DA"/>
    <w:rsid w:val="480E496E"/>
    <w:rsid w:val="48310CBB"/>
    <w:rsid w:val="489D725F"/>
    <w:rsid w:val="489F18A2"/>
    <w:rsid w:val="48CC544E"/>
    <w:rsid w:val="490D6193"/>
    <w:rsid w:val="491E0DFB"/>
    <w:rsid w:val="493279A7"/>
    <w:rsid w:val="49375FC1"/>
    <w:rsid w:val="49477898"/>
    <w:rsid w:val="49670DEA"/>
    <w:rsid w:val="49767DC7"/>
    <w:rsid w:val="49CD76D0"/>
    <w:rsid w:val="4A0F0210"/>
    <w:rsid w:val="4A162F95"/>
    <w:rsid w:val="4A192915"/>
    <w:rsid w:val="4A343491"/>
    <w:rsid w:val="4A4E6A63"/>
    <w:rsid w:val="4AD819B9"/>
    <w:rsid w:val="4AF339C2"/>
    <w:rsid w:val="4B5941DA"/>
    <w:rsid w:val="4B5A31E5"/>
    <w:rsid w:val="4B636AF4"/>
    <w:rsid w:val="4BB31088"/>
    <w:rsid w:val="4BFE4729"/>
    <w:rsid w:val="4C076CBC"/>
    <w:rsid w:val="4C1A71C0"/>
    <w:rsid w:val="4C6562E6"/>
    <w:rsid w:val="4C6E5771"/>
    <w:rsid w:val="4C79738C"/>
    <w:rsid w:val="4CAC181F"/>
    <w:rsid w:val="4CE145B5"/>
    <w:rsid w:val="4CF044F2"/>
    <w:rsid w:val="4D014059"/>
    <w:rsid w:val="4D183358"/>
    <w:rsid w:val="4D422183"/>
    <w:rsid w:val="4D5123C6"/>
    <w:rsid w:val="4D695623"/>
    <w:rsid w:val="4D9112DB"/>
    <w:rsid w:val="4DB12E65"/>
    <w:rsid w:val="4DEE6D01"/>
    <w:rsid w:val="4E064C58"/>
    <w:rsid w:val="4E1D124E"/>
    <w:rsid w:val="4E231BDA"/>
    <w:rsid w:val="4E485577"/>
    <w:rsid w:val="4E502A70"/>
    <w:rsid w:val="4E613D2C"/>
    <w:rsid w:val="4EA01857"/>
    <w:rsid w:val="4EB838B9"/>
    <w:rsid w:val="4ED44905"/>
    <w:rsid w:val="4EF34827"/>
    <w:rsid w:val="4F4C5F6D"/>
    <w:rsid w:val="4FDC795D"/>
    <w:rsid w:val="4FFD7F4B"/>
    <w:rsid w:val="50076346"/>
    <w:rsid w:val="506722EA"/>
    <w:rsid w:val="508B6F43"/>
    <w:rsid w:val="509E3B74"/>
    <w:rsid w:val="50B87F6C"/>
    <w:rsid w:val="51196355"/>
    <w:rsid w:val="51237D2E"/>
    <w:rsid w:val="5157538C"/>
    <w:rsid w:val="515B1BE3"/>
    <w:rsid w:val="51EFCC5F"/>
    <w:rsid w:val="522F5206"/>
    <w:rsid w:val="52341595"/>
    <w:rsid w:val="524015D9"/>
    <w:rsid w:val="5285323E"/>
    <w:rsid w:val="52975ADB"/>
    <w:rsid w:val="52BA6B03"/>
    <w:rsid w:val="52C938E1"/>
    <w:rsid w:val="52DC03AA"/>
    <w:rsid w:val="5336155F"/>
    <w:rsid w:val="534B7C7A"/>
    <w:rsid w:val="53C837B9"/>
    <w:rsid w:val="53D33174"/>
    <w:rsid w:val="54517EE5"/>
    <w:rsid w:val="54607305"/>
    <w:rsid w:val="5466640E"/>
    <w:rsid w:val="54691DF5"/>
    <w:rsid w:val="548E41FC"/>
    <w:rsid w:val="550324CE"/>
    <w:rsid w:val="555630D8"/>
    <w:rsid w:val="55674E7D"/>
    <w:rsid w:val="55726A3C"/>
    <w:rsid w:val="55CE3D83"/>
    <w:rsid w:val="55D95F14"/>
    <w:rsid w:val="56425F8B"/>
    <w:rsid w:val="566B44F9"/>
    <w:rsid w:val="568A51DA"/>
    <w:rsid w:val="56A62938"/>
    <w:rsid w:val="56AB1BBF"/>
    <w:rsid w:val="573E1C0D"/>
    <w:rsid w:val="57A965D7"/>
    <w:rsid w:val="57CF0AB7"/>
    <w:rsid w:val="57D03F5B"/>
    <w:rsid w:val="57F8000E"/>
    <w:rsid w:val="58534355"/>
    <w:rsid w:val="58A44906"/>
    <w:rsid w:val="58AE25DB"/>
    <w:rsid w:val="58B06ECC"/>
    <w:rsid w:val="59001D0E"/>
    <w:rsid w:val="59243336"/>
    <w:rsid w:val="5967213C"/>
    <w:rsid w:val="597E755C"/>
    <w:rsid w:val="599563C7"/>
    <w:rsid w:val="59A0270B"/>
    <w:rsid w:val="5A7105F6"/>
    <w:rsid w:val="5A8E4C59"/>
    <w:rsid w:val="5AC40B88"/>
    <w:rsid w:val="5ADB3E73"/>
    <w:rsid w:val="5B0B768F"/>
    <w:rsid w:val="5B495C24"/>
    <w:rsid w:val="5B501F0F"/>
    <w:rsid w:val="5BD31393"/>
    <w:rsid w:val="5C443E0B"/>
    <w:rsid w:val="5C537F09"/>
    <w:rsid w:val="5C8C186B"/>
    <w:rsid w:val="5C9B365E"/>
    <w:rsid w:val="5CC07C5D"/>
    <w:rsid w:val="5CC21822"/>
    <w:rsid w:val="5CD149CB"/>
    <w:rsid w:val="5CE24971"/>
    <w:rsid w:val="5CEC24AF"/>
    <w:rsid w:val="5D4943AA"/>
    <w:rsid w:val="5DD010E5"/>
    <w:rsid w:val="5E225DE5"/>
    <w:rsid w:val="5E4A4694"/>
    <w:rsid w:val="5E713203"/>
    <w:rsid w:val="5E8C0F8B"/>
    <w:rsid w:val="5E8D77DB"/>
    <w:rsid w:val="5E943DB8"/>
    <w:rsid w:val="5EA031AD"/>
    <w:rsid w:val="5EB741C1"/>
    <w:rsid w:val="5ED25075"/>
    <w:rsid w:val="5F16108D"/>
    <w:rsid w:val="5F184D31"/>
    <w:rsid w:val="5F5B292D"/>
    <w:rsid w:val="5F7C07D8"/>
    <w:rsid w:val="5FCC7F7E"/>
    <w:rsid w:val="5FD57738"/>
    <w:rsid w:val="603C0CB4"/>
    <w:rsid w:val="60457B68"/>
    <w:rsid w:val="604A15F8"/>
    <w:rsid w:val="606A4E15"/>
    <w:rsid w:val="608073AC"/>
    <w:rsid w:val="60872B30"/>
    <w:rsid w:val="609B18AF"/>
    <w:rsid w:val="60AB1FCE"/>
    <w:rsid w:val="60B95B72"/>
    <w:rsid w:val="60ED0B46"/>
    <w:rsid w:val="614B7400"/>
    <w:rsid w:val="61B63670"/>
    <w:rsid w:val="61D01BCB"/>
    <w:rsid w:val="61F6216A"/>
    <w:rsid w:val="61F86201"/>
    <w:rsid w:val="624A4266"/>
    <w:rsid w:val="628E3171"/>
    <w:rsid w:val="629E5C56"/>
    <w:rsid w:val="62BC567A"/>
    <w:rsid w:val="62D5362F"/>
    <w:rsid w:val="62F36DB2"/>
    <w:rsid w:val="63750765"/>
    <w:rsid w:val="63EB4CF4"/>
    <w:rsid w:val="63F95552"/>
    <w:rsid w:val="6410048D"/>
    <w:rsid w:val="641B27B0"/>
    <w:rsid w:val="644A5041"/>
    <w:rsid w:val="64A64271"/>
    <w:rsid w:val="64AA5EA7"/>
    <w:rsid w:val="64CC1DB0"/>
    <w:rsid w:val="653D4C8D"/>
    <w:rsid w:val="65653AE9"/>
    <w:rsid w:val="65855537"/>
    <w:rsid w:val="65FC4EF3"/>
    <w:rsid w:val="666D7477"/>
    <w:rsid w:val="66F5748E"/>
    <w:rsid w:val="66FD7B03"/>
    <w:rsid w:val="67075148"/>
    <w:rsid w:val="67087411"/>
    <w:rsid w:val="679DAB2E"/>
    <w:rsid w:val="67A6267B"/>
    <w:rsid w:val="67DE4477"/>
    <w:rsid w:val="67E338F6"/>
    <w:rsid w:val="68120FE3"/>
    <w:rsid w:val="68574CA9"/>
    <w:rsid w:val="68843D19"/>
    <w:rsid w:val="68AC7E8E"/>
    <w:rsid w:val="68B2414A"/>
    <w:rsid w:val="68D14399"/>
    <w:rsid w:val="69095A72"/>
    <w:rsid w:val="692C7B17"/>
    <w:rsid w:val="692D75A7"/>
    <w:rsid w:val="69B031D2"/>
    <w:rsid w:val="69B66380"/>
    <w:rsid w:val="69E07DF2"/>
    <w:rsid w:val="69E36441"/>
    <w:rsid w:val="6A20153E"/>
    <w:rsid w:val="6A71051E"/>
    <w:rsid w:val="6A886ED6"/>
    <w:rsid w:val="6AC55906"/>
    <w:rsid w:val="6AE21E3A"/>
    <w:rsid w:val="6B5E0DE9"/>
    <w:rsid w:val="6B7632CC"/>
    <w:rsid w:val="6BA02A3F"/>
    <w:rsid w:val="6BA76F54"/>
    <w:rsid w:val="6BF05F44"/>
    <w:rsid w:val="6C101972"/>
    <w:rsid w:val="6C702411"/>
    <w:rsid w:val="6CB15C53"/>
    <w:rsid w:val="6D1053C7"/>
    <w:rsid w:val="6D107750"/>
    <w:rsid w:val="6D390A55"/>
    <w:rsid w:val="6D8172BF"/>
    <w:rsid w:val="6D893CD9"/>
    <w:rsid w:val="6E297F6F"/>
    <w:rsid w:val="6E3122A2"/>
    <w:rsid w:val="6E370755"/>
    <w:rsid w:val="6E480B9D"/>
    <w:rsid w:val="6E52760B"/>
    <w:rsid w:val="6E9F5445"/>
    <w:rsid w:val="6EEB0D3E"/>
    <w:rsid w:val="6EF23592"/>
    <w:rsid w:val="6F5E29F5"/>
    <w:rsid w:val="6F99231A"/>
    <w:rsid w:val="70427A3C"/>
    <w:rsid w:val="70BE3E77"/>
    <w:rsid w:val="7119320A"/>
    <w:rsid w:val="713E488C"/>
    <w:rsid w:val="71621DF9"/>
    <w:rsid w:val="71630796"/>
    <w:rsid w:val="71B64A2B"/>
    <w:rsid w:val="71C1726B"/>
    <w:rsid w:val="71F736F4"/>
    <w:rsid w:val="723B36FC"/>
    <w:rsid w:val="72507D26"/>
    <w:rsid w:val="72556427"/>
    <w:rsid w:val="72CE2DEF"/>
    <w:rsid w:val="731971E5"/>
    <w:rsid w:val="737D3C8F"/>
    <w:rsid w:val="73E03AD1"/>
    <w:rsid w:val="745D5260"/>
    <w:rsid w:val="74A5053E"/>
    <w:rsid w:val="74B62489"/>
    <w:rsid w:val="74CB28DA"/>
    <w:rsid w:val="74EF5310"/>
    <w:rsid w:val="757100A2"/>
    <w:rsid w:val="767424A1"/>
    <w:rsid w:val="76837EBE"/>
    <w:rsid w:val="778B45A3"/>
    <w:rsid w:val="77AB69F3"/>
    <w:rsid w:val="77DC167D"/>
    <w:rsid w:val="77F5A702"/>
    <w:rsid w:val="77F9150C"/>
    <w:rsid w:val="77F96420"/>
    <w:rsid w:val="78953FCE"/>
    <w:rsid w:val="794A3D1A"/>
    <w:rsid w:val="79532E9E"/>
    <w:rsid w:val="7A301431"/>
    <w:rsid w:val="7A470D0F"/>
    <w:rsid w:val="7A7F8243"/>
    <w:rsid w:val="7A97325F"/>
    <w:rsid w:val="7AB03A59"/>
    <w:rsid w:val="7ABC0BCA"/>
    <w:rsid w:val="7B046591"/>
    <w:rsid w:val="7B3A3419"/>
    <w:rsid w:val="7C4C149D"/>
    <w:rsid w:val="7CCF6908"/>
    <w:rsid w:val="7CF130FA"/>
    <w:rsid w:val="7D0F1986"/>
    <w:rsid w:val="7D7D15ED"/>
    <w:rsid w:val="7D9D7924"/>
    <w:rsid w:val="7DAB14FB"/>
    <w:rsid w:val="7DDC6C17"/>
    <w:rsid w:val="7DFA4993"/>
    <w:rsid w:val="7E7324E0"/>
    <w:rsid w:val="7E860C58"/>
    <w:rsid w:val="7E9B2F4F"/>
    <w:rsid w:val="7ECC4A3D"/>
    <w:rsid w:val="7F180027"/>
    <w:rsid w:val="7F2D2E18"/>
    <w:rsid w:val="7F4219EB"/>
    <w:rsid w:val="7F7D2B31"/>
    <w:rsid w:val="7F807DDD"/>
    <w:rsid w:val="7FFF7F4B"/>
    <w:rsid w:val="AECAB514"/>
    <w:rsid w:val="D5EECC16"/>
    <w:rsid w:val="DFFE7693"/>
    <w:rsid w:val="EDCF8CA9"/>
    <w:rsid w:val="EFD53451"/>
    <w:rsid w:val="F7FE9215"/>
    <w:rsid w:val="FDEA3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b/>
      <w:kern w:val="0"/>
      <w:sz w:val="27"/>
      <w:szCs w:val="27"/>
    </w:rPr>
  </w:style>
  <w:style w:type="paragraph" w:styleId="3">
    <w:name w:val="heading 4"/>
    <w:basedOn w:val="1"/>
    <w:next w:val="1"/>
    <w:qFormat/>
    <w:uiPriority w:val="1"/>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23"/>
    <w:qFormat/>
    <w:uiPriority w:val="0"/>
    <w:pPr>
      <w:ind w:firstLine="420"/>
    </w:pPr>
  </w:style>
  <w:style w:type="paragraph" w:styleId="5">
    <w:name w:val="Body Text First Indent 2"/>
    <w:basedOn w:val="6"/>
    <w:next w:val="1"/>
    <w:qFormat/>
    <w:uiPriority w:val="0"/>
    <w:pPr>
      <w:spacing w:after="120"/>
      <w:ind w:left="420" w:leftChars="200" w:firstLine="420"/>
    </w:pPr>
    <w:rPr>
      <w:rFonts w:ascii="Calibri" w:hAnsi="Calibri" w:eastAsia="宋体"/>
      <w:sz w:val="20"/>
      <w:szCs w:val="21"/>
    </w:rPr>
  </w:style>
  <w:style w:type="paragraph" w:styleId="6">
    <w:name w:val="Body Text Indent"/>
    <w:basedOn w:val="1"/>
    <w:next w:val="1"/>
    <w:qFormat/>
    <w:uiPriority w:val="0"/>
    <w:pPr>
      <w:ind w:firstLine="525"/>
    </w:pPr>
    <w:rPr>
      <w:rFonts w:ascii="宋体"/>
      <w:kern w:val="0"/>
      <w:sz w:val="28"/>
    </w:rPr>
  </w:style>
  <w:style w:type="paragraph" w:styleId="7">
    <w:name w:val="annotation text"/>
    <w:basedOn w:val="1"/>
    <w:link w:val="49"/>
    <w:unhideWhenUsed/>
    <w:qFormat/>
    <w:uiPriority w:val="0"/>
    <w:rPr>
      <w:rFonts w:ascii="Calibri" w:hAnsi="Calibri"/>
      <w:sz w:val="20"/>
      <w:szCs w:val="20"/>
    </w:rPr>
  </w:style>
  <w:style w:type="paragraph" w:styleId="8">
    <w:name w:val="Body Text"/>
    <w:basedOn w:val="1"/>
    <w:qFormat/>
    <w:uiPriority w:val="0"/>
    <w:pPr>
      <w:spacing w:after="120"/>
    </w:pPr>
    <w:rPr>
      <w:rFonts w:eastAsia="宋体"/>
    </w:rPr>
  </w:style>
  <w:style w:type="paragraph" w:styleId="9">
    <w:name w:val="List Bullet 5"/>
    <w:basedOn w:val="1"/>
    <w:qFormat/>
    <w:uiPriority w:val="0"/>
    <w:pPr>
      <w:numPr>
        <w:ilvl w:val="0"/>
        <w:numId w:val="1"/>
      </w:numPr>
    </w:pPr>
  </w:style>
  <w:style w:type="paragraph" w:styleId="10">
    <w:name w:val="Date"/>
    <w:basedOn w:val="1"/>
    <w:next w:val="1"/>
    <w:link w:val="24"/>
    <w:qFormat/>
    <w:uiPriority w:val="0"/>
    <w:pPr>
      <w:ind w:left="100" w:leftChars="2500"/>
    </w:pPr>
  </w:style>
  <w:style w:type="paragraph" w:styleId="11">
    <w:name w:val="Body Text Indent 2"/>
    <w:basedOn w:val="1"/>
    <w:next w:val="1"/>
    <w:qFormat/>
    <w:uiPriority w:val="0"/>
    <w:pPr>
      <w:spacing w:after="120" w:line="480" w:lineRule="auto"/>
      <w:ind w:left="420" w:leftChars="200"/>
    </w:pPr>
  </w:style>
  <w:style w:type="paragraph" w:styleId="12">
    <w:name w:val="Balloon Text"/>
    <w:basedOn w:val="1"/>
    <w:link w:val="25"/>
    <w:qFormat/>
    <w:uiPriority w:val="0"/>
    <w:rPr>
      <w:sz w:val="18"/>
      <w:szCs w:val="18"/>
    </w:rPr>
  </w:style>
  <w:style w:type="paragraph" w:styleId="13">
    <w:name w:val="footer"/>
    <w:basedOn w:val="1"/>
    <w:next w:val="1"/>
    <w:qFormat/>
    <w:uiPriority w:val="0"/>
    <w:pPr>
      <w:tabs>
        <w:tab w:val="center" w:pos="4153"/>
        <w:tab w:val="right" w:pos="8306"/>
      </w:tabs>
      <w:snapToGrid w:val="0"/>
      <w:jc w:val="left"/>
    </w:pPr>
    <w:rPr>
      <w:rFonts w:eastAsia="宋体"/>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5">
    <w:name w:val="toc 2"/>
    <w:basedOn w:val="1"/>
    <w:next w:val="1"/>
    <w:unhideWhenUsed/>
    <w:qFormat/>
    <w:uiPriority w:val="39"/>
    <w:pPr>
      <w:ind w:left="420" w:leftChars="200"/>
    </w:pPr>
    <w:rPr>
      <w:rFonts w:ascii="Calibri" w:hAnsi="Calibri"/>
      <w:szCs w:val="22"/>
    </w:rPr>
  </w:style>
  <w:style w:type="paragraph" w:styleId="16">
    <w:name w:val="Normal (Web)"/>
    <w:basedOn w:val="1"/>
    <w:qFormat/>
    <w:uiPriority w:val="0"/>
    <w:rPr>
      <w:sz w:val="24"/>
    </w:rPr>
  </w:style>
  <w:style w:type="paragraph" w:styleId="17">
    <w:name w:val="annotation subject"/>
    <w:basedOn w:val="7"/>
    <w:next w:val="7"/>
    <w:link w:val="50"/>
    <w:qFormat/>
    <w:uiPriority w:val="0"/>
    <w:pPr>
      <w:jc w:val="left"/>
    </w:pPr>
    <w:rPr>
      <w:rFonts w:ascii="Times New Roman" w:hAnsi="Times New Roman"/>
      <w:b/>
      <w:bCs/>
      <w:sz w:val="32"/>
      <w:szCs w:val="24"/>
    </w:rPr>
  </w:style>
  <w:style w:type="character" w:styleId="20">
    <w:name w:val="page number"/>
    <w:qFormat/>
    <w:uiPriority w:val="0"/>
    <w:rPr>
      <w:rFonts w:ascii="Times New Roman" w:hAnsi="Times New Roman" w:eastAsia="宋体" w:cs="Times New Roman"/>
    </w:rPr>
  </w:style>
  <w:style w:type="character" w:styleId="21">
    <w:name w:val="Hyperlink"/>
    <w:qFormat/>
    <w:uiPriority w:val="0"/>
    <w:rPr>
      <w:rFonts w:ascii="Times New Roman" w:hAnsi="Times New Roman" w:eastAsia="宋体" w:cs="Times New Roman"/>
      <w:color w:val="0000FF"/>
      <w:u w:val="single"/>
    </w:rPr>
  </w:style>
  <w:style w:type="character" w:styleId="22">
    <w:name w:val="annotation reference"/>
    <w:basedOn w:val="19"/>
    <w:qFormat/>
    <w:uiPriority w:val="99"/>
    <w:rPr>
      <w:rFonts w:cs="Times New Roman"/>
      <w:sz w:val="21"/>
      <w:szCs w:val="21"/>
    </w:rPr>
  </w:style>
  <w:style w:type="character" w:customStyle="1" w:styleId="23">
    <w:name w:val="正文缩进 字符"/>
    <w:link w:val="4"/>
    <w:qFormat/>
    <w:uiPriority w:val="0"/>
    <w:rPr>
      <w:rFonts w:ascii="Times New Roman" w:hAnsi="Times New Roman" w:eastAsia="仿宋_GB2312" w:cs="Times New Roman"/>
      <w:kern w:val="2"/>
      <w:sz w:val="32"/>
      <w:szCs w:val="24"/>
      <w:lang w:val="en-US" w:eastAsia="zh-CN" w:bidi="ar-SA"/>
    </w:rPr>
  </w:style>
  <w:style w:type="character" w:customStyle="1" w:styleId="24">
    <w:name w:val="日期 字符"/>
    <w:link w:val="10"/>
    <w:qFormat/>
    <w:uiPriority w:val="0"/>
    <w:rPr>
      <w:rFonts w:ascii="Times New Roman" w:hAnsi="Times New Roman" w:eastAsia="仿宋_GB2312" w:cs="Times New Roman"/>
      <w:kern w:val="2"/>
      <w:sz w:val="32"/>
      <w:szCs w:val="24"/>
    </w:rPr>
  </w:style>
  <w:style w:type="character" w:customStyle="1" w:styleId="25">
    <w:name w:val="批注框文本 字符"/>
    <w:link w:val="12"/>
    <w:qFormat/>
    <w:uiPriority w:val="0"/>
    <w:rPr>
      <w:rFonts w:ascii="Times New Roman" w:hAnsi="Times New Roman" w:eastAsia="仿宋_GB2312" w:cs="Times New Roman"/>
      <w:kern w:val="2"/>
      <w:sz w:val="18"/>
      <w:szCs w:val="18"/>
    </w:rPr>
  </w:style>
  <w:style w:type="paragraph" w:customStyle="1" w:styleId="26">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8">
    <w:name w:val="样式 红色 首行缩进:  2 字符 Char"/>
    <w:link w:val="29"/>
    <w:qFormat/>
    <w:uiPriority w:val="0"/>
    <w:rPr>
      <w:rFonts w:cs="宋体"/>
      <w:sz w:val="24"/>
    </w:rPr>
  </w:style>
  <w:style w:type="paragraph" w:customStyle="1" w:styleId="29">
    <w:name w:val="样式 红色 首行缩进:  2 字符"/>
    <w:basedOn w:val="1"/>
    <w:link w:val="28"/>
    <w:qFormat/>
    <w:uiPriority w:val="0"/>
    <w:pPr>
      <w:adjustRightInd w:val="0"/>
      <w:snapToGrid w:val="0"/>
      <w:spacing w:line="360" w:lineRule="auto"/>
      <w:ind w:firstLine="480"/>
    </w:pPr>
    <w:rPr>
      <w:rFonts w:eastAsia="宋体"/>
      <w:kern w:val="0"/>
      <w:sz w:val="24"/>
      <w:szCs w:val="20"/>
    </w:rPr>
  </w:style>
  <w:style w:type="paragraph" w:customStyle="1" w:styleId="30">
    <w:name w:val="正文-TUEIAD"/>
    <w:basedOn w:val="1"/>
    <w:qFormat/>
    <w:uiPriority w:val="0"/>
    <w:pPr>
      <w:spacing w:before="100" w:beforeAutospacing="1" w:after="100" w:afterAutospacing="1" w:line="360" w:lineRule="auto"/>
    </w:pPr>
    <w:rPr>
      <w:rFonts w:ascii="Calibri" w:hAnsi="Calibri" w:eastAsia="宋体"/>
      <w:sz w:val="24"/>
      <w:szCs w:val="22"/>
    </w:rPr>
  </w:style>
  <w:style w:type="paragraph" w:customStyle="1" w:styleId="31">
    <w:name w:val="正文样式1"/>
    <w:basedOn w:val="1"/>
    <w:qFormat/>
    <w:uiPriority w:val="0"/>
    <w:pPr>
      <w:widowControl/>
      <w:spacing w:line="360" w:lineRule="auto"/>
      <w:ind w:firstLine="480"/>
    </w:pPr>
    <w:rPr>
      <w:rFonts w:ascii="宋体" w:hAnsi="Courier New" w:eastAsia="宋体"/>
      <w:kern w:val="0"/>
      <w:sz w:val="24"/>
    </w:rPr>
  </w:style>
  <w:style w:type="paragraph" w:customStyle="1" w:styleId="32">
    <w:name w:val="样式5"/>
    <w:basedOn w:val="1"/>
    <w:qFormat/>
    <w:uiPriority w:val="99"/>
    <w:pPr>
      <w:snapToGrid w:val="0"/>
      <w:spacing w:line="360" w:lineRule="auto"/>
      <w:ind w:firstLine="510"/>
    </w:pPr>
    <w:rPr>
      <w:sz w:val="24"/>
    </w:rPr>
  </w:style>
  <w:style w:type="paragraph" w:customStyle="1" w:styleId="33">
    <w:name w:val="Char Char Char Char Char Char"/>
    <w:basedOn w:val="1"/>
    <w:qFormat/>
    <w:uiPriority w:val="0"/>
    <w:rPr>
      <w:rFonts w:eastAsia="宋体"/>
      <w:sz w:val="24"/>
    </w:rPr>
  </w:style>
  <w:style w:type="paragraph" w:customStyle="1" w:styleId="34">
    <w:name w:val="默认段落字体 Para Char"/>
    <w:basedOn w:val="1"/>
    <w:next w:val="1"/>
    <w:qFormat/>
    <w:uiPriority w:val="0"/>
    <w:pPr>
      <w:spacing w:line="360" w:lineRule="auto"/>
    </w:pPr>
    <w:rPr>
      <w:rFonts w:eastAsia="宋体"/>
      <w:sz w:val="21"/>
      <w:szCs w:val="20"/>
    </w:rPr>
  </w:style>
  <w:style w:type="paragraph" w:customStyle="1" w:styleId="35">
    <w:name w:val="lfu正文"/>
    <w:basedOn w:val="1"/>
    <w:semiHidden/>
    <w:qFormat/>
    <w:uiPriority w:val="0"/>
    <w:pPr>
      <w:spacing w:line="360" w:lineRule="auto"/>
    </w:pPr>
    <w:rPr>
      <w:rFonts w:ascii="宋体" w:hAnsi="宋体"/>
      <w:color w:val="000000"/>
      <w:sz w:val="24"/>
    </w:rPr>
  </w:style>
  <w:style w:type="paragraph" w:customStyle="1" w:styleId="36">
    <w:name w:val="正文样式"/>
    <w:basedOn w:val="1"/>
    <w:qFormat/>
    <w:uiPriority w:val="0"/>
    <w:pPr>
      <w:spacing w:line="460" w:lineRule="exact"/>
    </w:pPr>
    <w:rPr>
      <w:rFonts w:eastAsia="宋体"/>
      <w:sz w:val="24"/>
    </w:rPr>
  </w:style>
  <w:style w:type="paragraph" w:customStyle="1" w:styleId="37">
    <w:name w:val="环保正文"/>
    <w:basedOn w:val="1"/>
    <w:qFormat/>
    <w:uiPriority w:val="0"/>
    <w:pPr>
      <w:tabs>
        <w:tab w:val="left" w:pos="0"/>
        <w:tab w:val="left" w:pos="7012"/>
      </w:tabs>
      <w:autoSpaceDE w:val="0"/>
      <w:autoSpaceDN w:val="0"/>
      <w:spacing w:line="360" w:lineRule="auto"/>
      <w:ind w:firstLine="480"/>
    </w:pPr>
    <w:rPr>
      <w:rFonts w:ascii="宋体" w:hAnsi="宋体"/>
      <w:color w:val="000000"/>
      <w:kern w:val="0"/>
      <w:sz w:val="24"/>
    </w:rPr>
  </w:style>
  <w:style w:type="paragraph" w:customStyle="1" w:styleId="38">
    <w:name w:val="Char Char Char2 Char"/>
    <w:basedOn w:val="1"/>
    <w:next w:val="1"/>
    <w:qFormat/>
    <w:uiPriority w:val="0"/>
    <w:pPr>
      <w:keepNext/>
      <w:keepLines/>
      <w:widowControl/>
      <w:adjustRightInd w:val="0"/>
      <w:spacing w:line="360" w:lineRule="auto"/>
      <w:jc w:val="left"/>
      <w:textAlignment w:val="baseline"/>
      <w:outlineLvl w:val="1"/>
    </w:pPr>
    <w:rPr>
      <w:rFonts w:ascii="宋体" w:eastAsia="宋体" w:cs="宋体"/>
      <w:bCs/>
      <w:kern w:val="0"/>
      <w:sz w:val="24"/>
    </w:rPr>
  </w:style>
  <w:style w:type="paragraph" w:customStyle="1" w:styleId="39">
    <w:name w:val="环评正文"/>
    <w:basedOn w:val="1"/>
    <w:qFormat/>
    <w:uiPriority w:val="0"/>
    <w:pPr>
      <w:adjustRightInd w:val="0"/>
      <w:snapToGrid w:val="0"/>
      <w:spacing w:line="360" w:lineRule="auto"/>
      <w:ind w:firstLine="480"/>
    </w:pPr>
    <w:rPr>
      <w:sz w:val="24"/>
    </w:rPr>
  </w:style>
  <w:style w:type="paragraph" w:customStyle="1" w:styleId="40">
    <w:name w:val="111111正文"/>
    <w:basedOn w:val="1"/>
    <w:qFormat/>
    <w:uiPriority w:val="0"/>
    <w:pPr>
      <w:spacing w:line="360" w:lineRule="auto"/>
    </w:pPr>
    <w:rPr>
      <w:sz w:val="24"/>
    </w:rPr>
  </w:style>
  <w:style w:type="paragraph" w:customStyle="1" w:styleId="41">
    <w:name w:val="正文(首行缩进)"/>
    <w:basedOn w:val="1"/>
    <w:qFormat/>
    <w:uiPriority w:val="0"/>
    <w:pPr>
      <w:adjustRightInd w:val="0"/>
      <w:snapToGrid w:val="0"/>
      <w:spacing w:line="360" w:lineRule="auto"/>
    </w:pPr>
    <w:rPr>
      <w:snapToGrid w:val="0"/>
      <w:sz w:val="24"/>
    </w:rPr>
  </w:style>
  <w:style w:type="paragraph" w:customStyle="1" w:styleId="42">
    <w:name w:val="0表名"/>
    <w:basedOn w:val="1"/>
    <w:qFormat/>
    <w:uiPriority w:val="0"/>
    <w:pPr>
      <w:jc w:val="center"/>
    </w:pPr>
    <w:rPr>
      <w:rFonts w:eastAsia="黑体"/>
      <w:bCs/>
      <w:szCs w:val="30"/>
    </w:rPr>
  </w:style>
  <w:style w:type="paragraph" w:customStyle="1" w:styleId="43">
    <w:name w:val="样式 样式 样式 四号 左侧:  1.53 厘米 + 首行缩进:  2 字符 + 居中 左侧:  2 字符 首行缩进:  2..."/>
    <w:basedOn w:val="44"/>
    <w:qFormat/>
    <w:uiPriority w:val="0"/>
    <w:pPr>
      <w:ind w:firstLine="0" w:firstLineChars="0"/>
      <w:jc w:val="center"/>
    </w:pPr>
  </w:style>
  <w:style w:type="paragraph" w:customStyle="1" w:styleId="44">
    <w:name w:val="样式 样式 四号 左侧:  1.53 厘米 + 首行缩进:  2 字符"/>
    <w:basedOn w:val="45"/>
    <w:qFormat/>
    <w:uiPriority w:val="0"/>
    <w:pPr>
      <w:ind w:left="200" w:leftChars="200"/>
    </w:pPr>
    <w:rPr>
      <w:szCs w:val="20"/>
    </w:rPr>
  </w:style>
  <w:style w:type="paragraph" w:customStyle="1" w:styleId="45">
    <w:name w:val="样式 四号 左侧:  1.53 厘米"/>
    <w:basedOn w:val="1"/>
    <w:qFormat/>
    <w:uiPriority w:val="0"/>
    <w:pPr>
      <w:adjustRightInd w:val="0"/>
    </w:pPr>
    <w:rPr>
      <w:w w:val="90"/>
      <w:sz w:val="28"/>
      <w:szCs w:val="28"/>
    </w:rPr>
  </w:style>
  <w:style w:type="character" w:customStyle="1" w:styleId="46">
    <w:name w:val="font31"/>
    <w:qFormat/>
    <w:uiPriority w:val="0"/>
    <w:rPr>
      <w:rFonts w:hint="eastAsia" w:ascii="宋体" w:hAnsi="宋体" w:eastAsia="宋体" w:cs="宋体"/>
      <w:color w:val="000000"/>
      <w:sz w:val="24"/>
      <w:szCs w:val="24"/>
      <w:u w:val="none"/>
    </w:rPr>
  </w:style>
  <w:style w:type="character" w:customStyle="1" w:styleId="47">
    <w:name w:val="font11"/>
    <w:qFormat/>
    <w:uiPriority w:val="0"/>
    <w:rPr>
      <w:rFonts w:hint="default" w:ascii="Times New Roman" w:hAnsi="Times New Roman" w:cs="Times New Roman"/>
      <w:color w:val="000000"/>
      <w:sz w:val="24"/>
      <w:szCs w:val="24"/>
      <w:u w:val="none"/>
    </w:rPr>
  </w:style>
  <w:style w:type="character" w:customStyle="1" w:styleId="48">
    <w:name w:val="font41"/>
    <w:qFormat/>
    <w:uiPriority w:val="0"/>
    <w:rPr>
      <w:rFonts w:hint="eastAsia" w:ascii="宋体" w:hAnsi="宋体" w:eastAsia="宋体" w:cs="宋体"/>
      <w:color w:val="000000"/>
      <w:sz w:val="24"/>
      <w:szCs w:val="24"/>
      <w:u w:val="none"/>
    </w:rPr>
  </w:style>
  <w:style w:type="character" w:customStyle="1" w:styleId="49">
    <w:name w:val="批注文字 字符"/>
    <w:basedOn w:val="19"/>
    <w:link w:val="7"/>
    <w:qFormat/>
    <w:uiPriority w:val="0"/>
    <w:rPr>
      <w:rFonts w:ascii="Calibri" w:hAnsi="Calibri" w:eastAsia="仿宋_GB2312"/>
      <w:kern w:val="2"/>
    </w:rPr>
  </w:style>
  <w:style w:type="character" w:customStyle="1" w:styleId="50">
    <w:name w:val="批注主题 字符"/>
    <w:basedOn w:val="49"/>
    <w:link w:val="17"/>
    <w:qFormat/>
    <w:uiPriority w:val="0"/>
    <w:rPr>
      <w:rFonts w:ascii="Calibri" w:hAnsi="Calibri" w:eastAsia="仿宋_GB2312"/>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1948</Words>
  <Characters>2101</Characters>
  <Lines>17</Lines>
  <Paragraphs>5</Paragraphs>
  <TotalTime>9</TotalTime>
  <ScaleCrop>false</ScaleCrop>
  <LinksUpToDate>false</LinksUpToDate>
  <CharactersWithSpaces>2128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2025-09-04T07:03:00Z</dcterms:created>
  <dc:creator>微软用户</dc:creator>
  <cp:lastModifiedBy>ℑaγ花凉</cp:lastModifiedBy>
  <cp:lastPrinted>2026-04-02T03:33:00Z</cp:lastPrinted>
  <dcterms:modified xsi:type="dcterms:W3CDTF">2026-04-20T08:07:57Z</dcterms:modified>
  <dc:title>鄂环评字〔2012〕621号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4FC9815D3F684EBA97010DD452A6BD5C_13</vt:lpwstr>
  </property>
  <property fmtid="{D5CDD505-2E9C-101B-9397-08002B2CF9AE}" pid="4" name="KSOTemplateDocerSaveRecord">
    <vt:lpwstr>eyJoZGlkIjoiMzU5ZjkyNWM5NDA5YzI0MWZjNTA3MDA1ZjJiYmIxN2UiLCJ1c2VySWQiOiIyOTUwNjUxNDMifQ==</vt:lpwstr>
  </property>
</Properties>
</file>