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spacing w:line="600" w:lineRule="exact"/>
        <w:ind w:right="26" w:firstLine="0" w:firstLineChars="0"/>
        <w:jc w:val="right"/>
        <w:rPr>
          <w:rFonts w:hint="eastAsia" w:eastAsia="仿宋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spacing w:line="600" w:lineRule="exact"/>
        <w:ind w:right="26" w:firstLine="0" w:firstLineChars="0"/>
        <w:jc w:val="right"/>
        <w:rPr>
          <w:rFonts w:eastAsia="仿宋"/>
          <w:color w:val="auto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eastAsia="仿宋"/>
          <w:color w:val="auto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eastAsia="仿宋"/>
          <w:color w:val="auto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eastAsia="仿宋"/>
          <w:color w:val="auto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eastAsia="仿宋"/>
          <w:color w:val="auto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eastAsia="仿宋"/>
          <w:color w:val="auto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rPr>
          <w:rFonts w:eastAsia="仿宋"/>
          <w:color w:val="auto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eastAsia="仿宋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spacing w:line="600" w:lineRule="exact"/>
        <w:ind w:right="26" w:firstLine="0" w:firstLineChars="0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鄂环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审</w:t>
      </w:r>
      <w:r>
        <w:rPr>
          <w:rFonts w:hint="eastAsia" w:ascii="仿宋" w:hAnsi="仿宋" w:eastAsia="仿宋" w:cs="仿宋"/>
          <w:color w:val="auto"/>
          <w:highlight w:val="none"/>
        </w:rPr>
        <w:t>字〔20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highlight w:val="none"/>
        </w:rPr>
        <w:t>〕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210</w:t>
      </w:r>
      <w:r>
        <w:rPr>
          <w:rFonts w:hint="eastAsia" w:ascii="仿宋" w:hAnsi="仿宋" w:eastAsia="仿宋" w:cs="仿宋"/>
          <w:color w:val="auto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678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eastAsia="仿宋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eastAsia="宋体"/>
          <w:b/>
          <w:color w:val="auto"/>
          <w:w w:val="95"/>
          <w:sz w:val="44"/>
          <w:szCs w:val="44"/>
          <w:highlight w:val="none"/>
        </w:rPr>
      </w:pPr>
      <w:r>
        <w:rPr>
          <w:rFonts w:eastAsia="宋体"/>
          <w:b/>
          <w:color w:val="auto"/>
          <w:w w:val="95"/>
          <w:sz w:val="44"/>
          <w:szCs w:val="44"/>
          <w:highlight w:val="none"/>
        </w:rPr>
        <w:t>鄂尔多斯市</w:t>
      </w:r>
      <w:r>
        <w:rPr>
          <w:rFonts w:hint="eastAsia" w:eastAsia="宋体"/>
          <w:b/>
          <w:color w:val="auto"/>
          <w:w w:val="95"/>
          <w:sz w:val="44"/>
          <w:szCs w:val="44"/>
          <w:highlight w:val="none"/>
        </w:rPr>
        <w:t>生态环境</w:t>
      </w:r>
      <w:r>
        <w:rPr>
          <w:rFonts w:eastAsia="宋体"/>
          <w:b/>
          <w:color w:val="auto"/>
          <w:w w:val="95"/>
          <w:sz w:val="44"/>
          <w:szCs w:val="44"/>
          <w:highlight w:val="none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eastAsia" w:eastAsia="宋体"/>
          <w:b/>
          <w:color w:val="auto"/>
          <w:w w:val="95"/>
          <w:sz w:val="44"/>
          <w:szCs w:val="44"/>
          <w:highlight w:val="none"/>
        </w:rPr>
      </w:pPr>
      <w:r>
        <w:rPr>
          <w:rFonts w:eastAsia="宋体"/>
          <w:b/>
          <w:color w:val="auto"/>
          <w:w w:val="95"/>
          <w:sz w:val="44"/>
          <w:szCs w:val="44"/>
          <w:highlight w:val="none"/>
        </w:rPr>
        <w:t>关于</w:t>
      </w:r>
      <w:r>
        <w:rPr>
          <w:rFonts w:hint="eastAsia" w:eastAsia="宋体"/>
          <w:b/>
          <w:color w:val="auto"/>
          <w:w w:val="95"/>
          <w:sz w:val="44"/>
          <w:szCs w:val="44"/>
          <w:highlight w:val="none"/>
        </w:rPr>
        <w:t>鄂托克前旗长城三号矿业有限公司矸石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eastAsia="宋体"/>
          <w:b/>
          <w:color w:val="auto"/>
          <w:w w:val="95"/>
          <w:sz w:val="44"/>
          <w:szCs w:val="44"/>
          <w:highlight w:val="none"/>
        </w:rPr>
      </w:pPr>
      <w:r>
        <w:rPr>
          <w:rFonts w:hint="eastAsia" w:eastAsia="宋体"/>
          <w:b/>
          <w:color w:val="auto"/>
          <w:w w:val="95"/>
          <w:sz w:val="44"/>
          <w:szCs w:val="44"/>
          <w:highlight w:val="none"/>
        </w:rPr>
        <w:t>充填项目</w:t>
      </w:r>
      <w:r>
        <w:rPr>
          <w:rFonts w:eastAsia="宋体"/>
          <w:b/>
          <w:color w:val="auto"/>
          <w:w w:val="95"/>
          <w:sz w:val="44"/>
          <w:szCs w:val="44"/>
          <w:highlight w:val="none"/>
        </w:rPr>
        <w:t>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3"/>
        <w:jc w:val="center"/>
        <w:rPr>
          <w:rFonts w:eastAsia="仿宋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鄂托克前旗长城三号矿业有限公司：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你公司报送的由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内蒙古首环环保技术有限公司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编制的《鄂托克前旗长城三号矿业有限公司矸石充填项目环境影响报告表》（以下简称《报告表》）收悉。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我局综合保障中心对该项目进行了技术评估，并形成了技术评估报告，根据《报告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表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》和《技术评估报告》，</w:t>
      </w:r>
      <w:r>
        <w:rPr>
          <w:rFonts w:hint="eastAsia" w:ascii="仿宋" w:hAnsi="仿宋" w:eastAsia="仿宋" w:cs="仿宋"/>
          <w:color w:val="auto"/>
          <w:szCs w:val="32"/>
        </w:rPr>
        <w:t>经研究，现批复如下：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97" w:line="600" w:lineRule="exact"/>
        <w:ind w:right="174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该项目位于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鄂尔多斯市鄂托克前旗上海庙镇长城三号煤矿井田范围内（洗煤厂工业场地内）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主要建设内容包括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矸石储存及破碎系统、制浆站、注浆孔、输矸皮带、输矸孔及井下矸石接收系统</w:t>
      </w:r>
      <w:r>
        <w:rPr>
          <w:rFonts w:hint="eastAsia" w:ascii="仿宋_GB2312" w:hAnsi="仿宋_GB2312" w:cs="仿宋_GB2312"/>
          <w:sz w:val="32"/>
          <w:szCs w:val="20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配套相关公辅工程</w:t>
      </w:r>
      <w:r>
        <w:rPr>
          <w:rFonts w:hint="eastAsia" w:ascii="仿宋_GB2312" w:hAnsi="仿宋_GB2312" w:cs="仿宋_GB2312"/>
          <w:sz w:val="32"/>
          <w:szCs w:val="2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环保工程，设计充填煤矸石20万吨</w:t>
      </w:r>
      <w:r>
        <w:rPr>
          <w:rFonts w:hint="eastAsia" w:ascii="仿宋_GB2312" w:hAnsi="仿宋_GB2312" w:cs="仿宋_GB2312"/>
          <w:sz w:val="32"/>
          <w:szCs w:val="20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，设计注浆量34363立方米/年，充填工作面为1901N充填工作面、1902N充填工作面、1903N充填工作面。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项目总投资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1661.2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其中环保投资</w:t>
      </w:r>
      <w:bookmarkStart w:id="0" w:name="_GoBack"/>
      <w:r>
        <w:rPr>
          <w:rFonts w:hint="eastAsia" w:ascii="仿宋_GB2312" w:cs="Times New Roman"/>
          <w:sz w:val="32"/>
          <w:lang w:val="en-US" w:eastAsia="zh-CN"/>
        </w:rPr>
        <w:t>110</w:t>
      </w:r>
      <w:bookmarkEnd w:id="0"/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和《技术评估报告》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认为，在全面落实各项生态环境保护和环境污染防治措施的前提下，项目建设对环境的不利影响能够得到一定的缓解和控制。因此，我局原则同意你公司按照《报告表》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和《技术评估报告》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中所列的建设项目性质、规模、地点、工艺、生态环境保护措施及下述要求进行建设。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640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二、项目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建设与运行管理中应重点做好的工作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1.加强施工期环境管理。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施工场地定期洒水，粉状物料等封闭存放或采取苫盖措施；施工废水经沉淀后回用于施工工序，生活污水依托现有污水处理设施；选用低噪声施工机械设备；建筑垃圾运至当地政府指定消纳场所，生活垃圾由当地环卫部门统一处置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2.认真落实《报告表》中提出的大气污染防治措施。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煤矸石存于矸石仓内、水泥暂存于料仓内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筛分破碎、制浆机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均设置于全封闭车间内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通过采取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矸石加水润湿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全封闭等措施，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厂界颗粒物无组织排放满足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《大气污染物综合排放标准》（GB16297-1996）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中相关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限值要求。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="0"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强化废水处理与回用。制浆机清洗废水用于注浆管道冲洗，注浆管道冲洗废水用于井下充填，生活污水依托煤矿现有污水处理设施进行处理。按照“源头控制、分区防控、污染监控、应急响应”的原则，做好地下水污染防控，确保不会对区域地下水造成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.应采取妥善控制措施，确保厂界噪声满足《工业企业厂界环境噪声排放标准》（GB12348-2008）2类标准要求。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落实固体废物污染防治措施。建设单位须严格按照《一般工业固体废物贮存和填埋污染控制标准》（GB18599-2020）和《危险废物贮存污染控制标准》（GB18597-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）要求对一般固废和危险废物进行处置，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废矿物油、废油桶等危险废物依托煤矿危险废物贮存库暂存，委托有资质的单位处置。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生活垃圾由环卫部门统一处理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.建设单位须强化环境风险防范，落实环保设施安全生产要求，项目污染防治设施须与主体工程一起按照安全生产要求设计，有效防范因污染物事故排放或安全生产事故可能引发的环境风险。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firstLine="640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三、项目建设必须严格执行环境保护“三同时”制度。项目竣工后，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按照规定程序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实施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firstLine="640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四、你公司应在收到本批复20日内，将《报告表》（报批版）及批复文件送至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鄂尔多斯市生态环境局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鄂托克前旗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分局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，我局委托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鄂尔多斯市生态环境局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鄂托克前旗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分局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负责该项目的日常监管工作。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firstLine="640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五、该项目从批准之日起超过5年方决定开工建设，其环评文件应重新审核。如果建设地点、规模、防治污染和防止生态破坏的措施等发生重大变化时，需重新报批环评文件。</w:t>
      </w: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5120" w:firstLineChars="1600"/>
        <w:jc w:val="both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4800" w:firstLineChars="1500"/>
        <w:jc w:val="both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鄂尔多斯市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生态环境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320" w:firstLine="0" w:firstLineChars="0"/>
        <w:jc w:val="center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pStyle w:val="8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pStyle w:val="8"/>
        <w:ind w:left="0" w:leftChars="0" w:firstLine="0" w:firstLineChars="0"/>
        <w:rPr>
          <w:rFonts w:hint="eastAsia"/>
        </w:rPr>
      </w:pPr>
    </w:p>
    <w:p>
      <w:pPr>
        <w:pStyle w:val="8"/>
        <w:ind w:left="0" w:leftChars="0" w:firstLine="0" w:firstLineChars="0"/>
        <w:rPr>
          <w:rFonts w:hint="eastAsia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pStyle w:val="9"/>
        <w:ind w:left="0" w:leftChars="0" w:firstLine="0" w:firstLineChars="0"/>
        <w:rPr>
          <w:rFonts w:hint="default"/>
          <w:highlight w:val="none"/>
        </w:rPr>
      </w:pPr>
    </w:p>
    <w:p>
      <w:pPr>
        <w:spacing w:line="500" w:lineRule="exact"/>
        <w:ind w:left="840" w:leftChars="0" w:hanging="840" w:hangingChars="300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68769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4pt;height:0pt;width:447.85pt;z-index:251659264;mso-width-relative:page;mso-height-relative:page;" filled="f" stroked="t" coordsize="21600,21600" o:gfxdata="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6XMs0QAAAAIBAAAPAAAAAAAAAAEAIAAAACIAAABkcnMvZG93bnJldi54bWxQSwECFAAUAAAA&#10;CACHTuJA3WxlKvUBAADkAwAADgAAAAAAAAABACAAAAAg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抄送：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鄂尔多斯市生态环境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局</w:t>
      </w:r>
      <w:r>
        <w:rPr>
          <w:rFonts w:hint="eastAsia" w:cs="Times New Roman"/>
          <w:color w:val="000000"/>
          <w:sz w:val="28"/>
          <w:szCs w:val="28"/>
          <w:highlight w:val="none"/>
          <w:lang w:val="en-US" w:eastAsia="zh-CN"/>
        </w:rPr>
        <w:t>鄂托克前旗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分局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，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市生态环境综合行政执法支队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，内蒙古首环环保技术有限公司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市生态环境局综合保障中心。</w:t>
      </w:r>
    </w:p>
    <w:p>
      <w:pPr>
        <w:spacing w:line="500" w:lineRule="exact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373380</wp:posOffset>
                </wp:positionV>
                <wp:extent cx="568769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29.4pt;height:0pt;width:447.85pt;z-index:251661312;mso-width-relative:page;mso-height-relative:page;" filled="f" stroked="t" coordsize="21600,21600" o:gfxdata="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wD7dNQAAAAHAQAADwAAAAAAAAABACAAAAAiAAAAZHJzL2Rvd25yZXYueG1sUEsBAhQA&#10;FAAAAAgAh07iQO7RyZ32AQAA5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鄂尔多斯市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生态环境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局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日印发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68769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6pt;height:0pt;width:447.85pt;z-index:251660288;mso-width-relative:page;mso-height-relative:page;" filled="f" stroked="t" coordsize="21600,21600" o:gfxdata="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/bdn7SAAAABAEAAA8AAAAAAAAAAQAgAAAAIgAAAGRycy9kb3ducmV2LnhtbFBLAQIUABQA&#10;AAAIAIdO4kDMBwFH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1588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  <w:ind w:firstLine="560"/>
      <w:jc w:val="right"/>
      <w:rPr>
        <w:rFonts w:hint="eastAsia" w:ascii="宋体" w:eastAsia="宋体"/>
        <w:sz w:val="28"/>
        <w:szCs w:val="28"/>
      </w:rPr>
    </w:pPr>
    <w:r>
      <w:rPr>
        <w:rFonts w:hint="eastAsia" w:ascii="宋体" w:eastAsia="宋体"/>
        <w:sz w:val="28"/>
        <w:szCs w:val="28"/>
      </w:rPr>
      <w:fldChar w:fldCharType="begin"/>
    </w:r>
    <w:r>
      <w:rPr>
        <w:rFonts w:hint="eastAsia" w:ascii="宋体" w:eastAsia="宋体"/>
        <w:sz w:val="28"/>
        <w:szCs w:val="28"/>
      </w:rPr>
      <w:instrText xml:space="preserve"> PAGE   \* MERGEFORMAT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-</w:t>
    </w:r>
    <w:r>
      <w:rPr>
        <w:rFonts w:ascii="宋体" w:eastAsia="宋体"/>
        <w:sz w:val="28"/>
        <w:szCs w:val="28"/>
      </w:rPr>
      <w:t xml:space="preserve"> 4 -</w:t>
    </w:r>
    <w:r>
      <w:rPr>
        <w:rFonts w:hint="eastAsia" w:asci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  <w:ind w:firstLine="560"/>
      <w:rPr>
        <w:rFonts w:hint="eastAsia" w:ascii="宋体" w:eastAsia="宋体"/>
        <w:sz w:val="28"/>
        <w:szCs w:val="28"/>
      </w:rPr>
    </w:pPr>
    <w:r>
      <w:rPr>
        <w:rFonts w:hint="eastAsia" w:ascii="宋体" w:eastAsia="宋体"/>
        <w:sz w:val="28"/>
        <w:szCs w:val="28"/>
      </w:rPr>
      <w:fldChar w:fldCharType="begin"/>
    </w:r>
    <w:r>
      <w:rPr>
        <w:rFonts w:hint="eastAsia" w:ascii="宋体" w:eastAsia="宋体"/>
        <w:sz w:val="28"/>
        <w:szCs w:val="28"/>
      </w:rPr>
      <w:instrText xml:space="preserve"> PAGE   \* MERGEFORMAT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-</w:t>
    </w:r>
    <w:r>
      <w:rPr>
        <w:rFonts w:ascii="宋体" w:eastAsia="宋体"/>
        <w:sz w:val="28"/>
        <w:szCs w:val="28"/>
      </w:rPr>
      <w:t xml:space="preserve"> 4 -</w:t>
    </w:r>
    <w:r>
      <w:rPr>
        <w:rFonts w:hint="eastAsia" w:ascii="宋体" w:eastAsia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clear" w:pos="4153"/>
        <w:tab w:val="clear" w:pos="8306"/>
      </w:tabs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clear" w:pos="4153"/>
        <w:tab w:val="clear" w:pos="8306"/>
      </w:tabs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clear" w:pos="4153"/>
        <w:tab w:val="clear" w:pos="8306"/>
      </w:tabs>
      <w:ind w:firstLine="360"/>
    </w:pPr>
  </w:p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ZjkyNWM5NDA5YzI0MWZjNTA3MDA1ZjJiYmIxN2UifQ=="/>
  </w:docVars>
  <w:rsids>
    <w:rsidRoot w:val="6F5642B6"/>
    <w:rsid w:val="3BA96372"/>
    <w:rsid w:val="3F86361C"/>
    <w:rsid w:val="47640900"/>
    <w:rsid w:val="4C9E1FA9"/>
    <w:rsid w:val="4CE0771A"/>
    <w:rsid w:val="4DAF0A4E"/>
    <w:rsid w:val="57B665B8"/>
    <w:rsid w:val="5F821D9A"/>
    <w:rsid w:val="67F03CB9"/>
    <w:rsid w:val="685C1EF3"/>
    <w:rsid w:val="69B422F3"/>
    <w:rsid w:val="6A6D7586"/>
    <w:rsid w:val="6F5642B6"/>
    <w:rsid w:val="718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tabs>
        <w:tab w:val="left" w:pos="0"/>
        <w:tab w:val="left" w:pos="7012"/>
      </w:tabs>
      <w:adjustRightInd w:val="0"/>
    </w:pPr>
    <w:rPr>
      <w:rFonts w:hAnsi="Calibri"/>
      <w:color w:val="000000"/>
      <w:szCs w:val="24"/>
    </w:rPr>
  </w:style>
  <w:style w:type="paragraph" w:customStyle="1" w:styleId="3">
    <w:name w:val="环保正文"/>
    <w:basedOn w:val="1"/>
    <w:qFormat/>
    <w:uiPriority w:val="0"/>
    <w:pPr>
      <w:tabs>
        <w:tab w:val="left" w:pos="0"/>
        <w:tab w:val="left" w:pos="7012"/>
      </w:tabs>
      <w:autoSpaceDE w:val="0"/>
      <w:autoSpaceDN w:val="0"/>
      <w:spacing w:line="360" w:lineRule="auto"/>
      <w:ind w:firstLine="200" w:firstLineChars="200"/>
    </w:pPr>
    <w:rPr>
      <w:rFonts w:ascii="宋体" w:hAnsi="宋体"/>
      <w:sz w:val="24"/>
    </w:rPr>
  </w:style>
  <w:style w:type="paragraph" w:styleId="5">
    <w:name w:val="Normal Indent"/>
    <w:basedOn w:val="1"/>
    <w:next w:val="6"/>
    <w:qFormat/>
    <w:uiPriority w:val="0"/>
    <w:rPr>
      <w:rFonts w:ascii="Calibri" w:hAnsi="Calibri"/>
      <w:kern w:val="0"/>
    </w:rPr>
  </w:style>
  <w:style w:type="paragraph" w:styleId="6">
    <w:name w:val="Body Text First Indent 2"/>
    <w:basedOn w:val="7"/>
    <w:next w:val="1"/>
    <w:unhideWhenUsed/>
    <w:qFormat/>
    <w:uiPriority w:val="99"/>
    <w:pPr>
      <w:ind w:firstLine="420"/>
    </w:pPr>
  </w:style>
  <w:style w:type="paragraph" w:styleId="7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qFormat/>
    <w:uiPriority w:val="0"/>
    <w:pPr>
      <w:spacing w:line="600" w:lineRule="exact"/>
      <w:ind w:firstLine="1446"/>
    </w:pPr>
    <w:rPr>
      <w:sz w:val="28"/>
    </w:rPr>
  </w:style>
  <w:style w:type="paragraph" w:customStyle="1" w:styleId="14">
    <w:name w:val="样式 正文缩进正文缩进2正文缩进 Char Char正文缩进 Char Char Char Char正文缩进 Char ..."/>
    <w:basedOn w:val="5"/>
    <w:qFormat/>
    <w:uiPriority w:val="0"/>
    <w:pPr>
      <w:spacing w:line="360" w:lineRule="auto"/>
      <w:ind w:firstLine="200"/>
    </w:pPr>
    <w:rPr>
      <w:rFonts w:cs="宋体"/>
      <w:sz w:val="24"/>
    </w:rPr>
  </w:style>
  <w:style w:type="paragraph" w:customStyle="1" w:styleId="15">
    <w:name w:val="表头"/>
    <w:basedOn w:val="11"/>
    <w:next w:val="1"/>
    <w:qFormat/>
    <w:uiPriority w:val="0"/>
    <w:pPr>
      <w:adjustRightInd w:val="0"/>
      <w:snapToGrid w:val="0"/>
      <w:jc w:val="center"/>
    </w:pPr>
    <w:rPr>
      <w:b/>
      <w:sz w:val="24"/>
      <w:szCs w:val="24"/>
    </w:rPr>
  </w:style>
  <w:style w:type="paragraph" w:customStyle="1" w:styleId="16">
    <w:name w:val="表中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kern w:val="44"/>
      <w:sz w:val="21"/>
      <w:szCs w:val="21"/>
      <w:lang w:val="en-US" w:eastAsia="zh-CN" w:bidi="ar-SA"/>
    </w:rPr>
  </w:style>
  <w:style w:type="paragraph" w:customStyle="1" w:styleId="17">
    <w:name w:val="111111正文"/>
    <w:basedOn w:val="1"/>
    <w:qFormat/>
    <w:uiPriority w:val="0"/>
    <w:pPr>
      <w:spacing w:line="360" w:lineRule="auto"/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1437</Words>
  <Characters>1523</Characters>
  <Lines>0</Lines>
  <Paragraphs>0</Paragraphs>
  <TotalTime>8</TotalTime>
  <ScaleCrop>false</ScaleCrop>
  <LinksUpToDate>false</LinksUpToDate>
  <CharactersWithSpaces>1583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2022-12-04T12:12:00Z</dcterms:created>
  <dc:creator> </dc:creator>
  <cp:lastModifiedBy>Administrator</cp:lastModifiedBy>
  <cp:lastPrinted>2023-09-13T08:46:00Z</cp:lastPrinted>
  <dcterms:modified xsi:type="dcterms:W3CDTF">2023-10-12T03:18:14Z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8388D1DC75344AE3A9C77CB2B2070F02_13</vt:lpwstr>
  </property>
</Properties>
</file>