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outlineLvl w:val="0"/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</w:t>
      </w:r>
      <w:r>
        <w:rPr>
          <w:rFonts w:hint="default"/>
          <w:szCs w:val="21"/>
          <w:lang w:val="en"/>
        </w:rPr>
        <w:t>13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left="0" w:leftChars="-95" w:hanging="199" w:hangingChars="1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kinsoku w:val="0"/>
        <w:wordWrap w:val="0"/>
        <w:ind w:left="0" w:leftChars="-95" w:hanging="199" w:hangingChars="1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16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  <w:lang w:val="en-US" w:eastAsia="zh-CN"/>
        </w:rPr>
        <w:t>-1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125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167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333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540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372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35.6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106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52.3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26.0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75.3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28.9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default" w:eastAsia="Arial Unicode MS"/>
                <w:sz w:val="21"/>
                <w:szCs w:val="21"/>
                <w:lang w:val="en"/>
              </w:rPr>
              <w:t>0.025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4.09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3.08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1.90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1.00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0.71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0.96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87.9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160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98.7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</w:t>
            </w:r>
            <w:r>
              <w:rPr>
                <w:rFonts w:hint="default" w:ascii="宋体" w:hAnsi="宋体" w:cs="宋体"/>
                <w:sz w:val="18"/>
                <w:szCs w:val="18"/>
                <w:lang w:val="en"/>
              </w:rPr>
              <w:t>116</w:t>
            </w:r>
            <w:r>
              <w:rPr>
                <w:rFonts w:hint="eastAsia" w:ascii="宋体" w:hAnsi="宋体" w:cs="宋体"/>
                <w:sz w:val="18"/>
                <w:szCs w:val="18"/>
              </w:rPr>
              <w:t>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1</w:t>
            </w:r>
            <w:bookmarkStart w:id="0" w:name="_GoBack"/>
            <w:bookmarkEnd w:id="0"/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eastAsia="黑体"/>
                <w:sz w:val="21"/>
                <w:szCs w:val="21"/>
                <w:lang w:val="en" w:eastAsia="zh-CN"/>
              </w:rPr>
              <w:t>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default"/>
          <w:szCs w:val="21"/>
          <w:lang w:val="en"/>
        </w:rPr>
        <w:t>013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spacing w:line="240" w:lineRule="atLeast"/>
        <w:jc w:val="center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116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6</w:t>
      </w:r>
      <w:r>
        <w:rPr>
          <w:rFonts w:hint="eastAsia"/>
          <w:color w:val="000000"/>
          <w:sz w:val="18"/>
          <w:szCs w:val="18"/>
          <w:lang w:val="en-US" w:eastAsia="zh-CN"/>
        </w:rPr>
        <w:t>-1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116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0.996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0.819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0.761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3.0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9.1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eastAsia="黑体" w:cs="Times New Roman"/>
                <w:kern w:val="2"/>
                <w:sz w:val="21"/>
                <w:szCs w:val="21"/>
                <w:lang w:val="en" w:eastAsia="zh-CN" w:bidi="ar-SA"/>
              </w:rPr>
              <w:t>0.010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0.097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0.241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ED8A8"/>
    <w:rsid w:val="3106293D"/>
    <w:rsid w:val="335F299C"/>
    <w:rsid w:val="33D94EE7"/>
    <w:rsid w:val="346B7747"/>
    <w:rsid w:val="37D27CD7"/>
    <w:rsid w:val="388D5660"/>
    <w:rsid w:val="399227B9"/>
    <w:rsid w:val="3A856D02"/>
    <w:rsid w:val="3B2C2F74"/>
    <w:rsid w:val="3B9A5D82"/>
    <w:rsid w:val="3B9E626F"/>
    <w:rsid w:val="3EE23AD3"/>
    <w:rsid w:val="3EFF5875"/>
    <w:rsid w:val="3F2C0BE2"/>
    <w:rsid w:val="3F6D033F"/>
    <w:rsid w:val="3FBB8AF4"/>
    <w:rsid w:val="43175E30"/>
    <w:rsid w:val="45FC1893"/>
    <w:rsid w:val="4BEC0658"/>
    <w:rsid w:val="4CB7B5E5"/>
    <w:rsid w:val="4EF729DE"/>
    <w:rsid w:val="4F9C41AC"/>
    <w:rsid w:val="4FAB7231"/>
    <w:rsid w:val="4FFC2B13"/>
    <w:rsid w:val="51B9514D"/>
    <w:rsid w:val="534901C1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27F902B"/>
    <w:rsid w:val="65FC8B09"/>
    <w:rsid w:val="66EF85C6"/>
    <w:rsid w:val="671F2E67"/>
    <w:rsid w:val="67F774A8"/>
    <w:rsid w:val="697BADD6"/>
    <w:rsid w:val="69807F8F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FFFB9E"/>
    <w:rsid w:val="79DD09BA"/>
    <w:rsid w:val="7A724910"/>
    <w:rsid w:val="7AA9D816"/>
    <w:rsid w:val="7C7F444D"/>
    <w:rsid w:val="7C7FA023"/>
    <w:rsid w:val="7DB764C2"/>
    <w:rsid w:val="7DFBAC78"/>
    <w:rsid w:val="7DFDFC35"/>
    <w:rsid w:val="7E798D9A"/>
    <w:rsid w:val="7E930ABD"/>
    <w:rsid w:val="7E992F1A"/>
    <w:rsid w:val="7F11267C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7FFFFF3F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6FF448E"/>
    <w:rsid w:val="E7FB0444"/>
    <w:rsid w:val="E82AACFB"/>
    <w:rsid w:val="ECEEF518"/>
    <w:rsid w:val="EFFC61EC"/>
    <w:rsid w:val="F05FE8D3"/>
    <w:rsid w:val="F21E52EB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EF7C314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1363</Characters>
  <Lines>11</Lines>
  <Paragraphs>3</Paragraphs>
  <TotalTime>52</TotalTime>
  <ScaleCrop>false</ScaleCrop>
  <LinksUpToDate>false</LinksUpToDate>
  <CharactersWithSpaces>1674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2024-01-30T22:17:00Z</dcterms:created>
  <dc:creator>Moon</dc:creator>
  <cp:lastModifiedBy>user</cp:lastModifiedBy>
  <cp:lastPrinted>2025-04-12T22:29:00Z</cp:lastPrinted>
  <dcterms:modified xsi:type="dcterms:W3CDTF">2025-11-17T10:44:29Z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