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87AB4A">
      <w:pPr>
        <w:snapToGrid w:val="0"/>
        <w:spacing w:line="600" w:lineRule="exact"/>
        <w:ind w:firstLine="2880" w:firstLineChars="900"/>
        <w:rPr>
          <w:rStyle w:val="10"/>
          <w:rFonts w:hint="eastAsia" w:ascii="仿宋" w:hAnsi="仿宋" w:eastAsia="仿宋"/>
          <w:color w:val="auto"/>
          <w:sz w:val="32"/>
          <w:szCs w:val="32"/>
        </w:rPr>
      </w:pPr>
    </w:p>
    <w:p w14:paraId="0618A46E">
      <w:pPr>
        <w:snapToGrid w:val="0"/>
        <w:spacing w:line="600" w:lineRule="exact"/>
        <w:ind w:firstLine="2880" w:firstLineChars="900"/>
        <w:rPr>
          <w:rStyle w:val="10"/>
          <w:rFonts w:hint="eastAsia" w:ascii="仿宋" w:hAnsi="仿宋" w:eastAsia="仿宋"/>
          <w:color w:val="auto"/>
          <w:sz w:val="32"/>
          <w:szCs w:val="32"/>
        </w:rPr>
      </w:pPr>
    </w:p>
    <w:p w14:paraId="12F3A43A">
      <w:pPr>
        <w:snapToGrid w:val="0"/>
        <w:spacing w:line="600" w:lineRule="exact"/>
        <w:ind w:firstLine="2880" w:firstLineChars="900"/>
        <w:rPr>
          <w:rStyle w:val="10"/>
          <w:rFonts w:hint="eastAsia" w:ascii="仿宋" w:hAnsi="仿宋" w:eastAsia="仿宋"/>
          <w:color w:val="auto"/>
          <w:sz w:val="32"/>
          <w:szCs w:val="32"/>
        </w:rPr>
      </w:pPr>
    </w:p>
    <w:p w14:paraId="39022EF4">
      <w:pPr>
        <w:snapToGrid w:val="0"/>
        <w:spacing w:line="600" w:lineRule="exact"/>
        <w:ind w:firstLine="2880" w:firstLineChars="900"/>
        <w:rPr>
          <w:rStyle w:val="10"/>
          <w:rFonts w:hint="eastAsia" w:ascii="仿宋" w:hAnsi="仿宋" w:eastAsia="仿宋"/>
          <w:color w:val="auto"/>
          <w:sz w:val="32"/>
          <w:szCs w:val="32"/>
        </w:rPr>
      </w:pPr>
    </w:p>
    <w:p w14:paraId="5C31CA05">
      <w:pPr>
        <w:snapToGrid w:val="0"/>
        <w:spacing w:line="600" w:lineRule="exact"/>
        <w:ind w:firstLine="2880" w:firstLineChars="900"/>
        <w:rPr>
          <w:rStyle w:val="10"/>
          <w:rFonts w:hint="eastAsia" w:ascii="仿宋" w:hAnsi="仿宋" w:eastAsia="仿宋"/>
          <w:color w:val="auto"/>
          <w:sz w:val="32"/>
          <w:szCs w:val="32"/>
        </w:rPr>
      </w:pPr>
    </w:p>
    <w:p w14:paraId="6C6675EF">
      <w:pPr>
        <w:snapToGrid w:val="0"/>
        <w:spacing w:line="600" w:lineRule="exact"/>
        <w:ind w:firstLine="2880" w:firstLineChars="900"/>
        <w:rPr>
          <w:rStyle w:val="10"/>
          <w:rFonts w:hint="eastAsia" w:ascii="仿宋" w:hAnsi="仿宋" w:eastAsia="仿宋"/>
          <w:color w:val="auto"/>
          <w:sz w:val="32"/>
          <w:szCs w:val="32"/>
        </w:rPr>
      </w:pPr>
    </w:p>
    <w:p w14:paraId="0092BD14">
      <w:pPr>
        <w:snapToGrid w:val="0"/>
        <w:spacing w:line="600" w:lineRule="exact"/>
        <w:ind w:firstLine="2880" w:firstLineChars="900"/>
        <w:rPr>
          <w:rStyle w:val="10"/>
          <w:rFonts w:hint="eastAsia" w:ascii="仿宋" w:hAnsi="仿宋" w:eastAsia="仿宋"/>
          <w:color w:val="auto"/>
          <w:sz w:val="32"/>
          <w:szCs w:val="32"/>
        </w:rPr>
      </w:pPr>
    </w:p>
    <w:p w14:paraId="36D53B32">
      <w:pPr>
        <w:snapToGrid w:val="0"/>
        <w:spacing w:line="600" w:lineRule="exact"/>
        <w:ind w:firstLine="2880" w:firstLineChars="900"/>
        <w:rPr>
          <w:rStyle w:val="10"/>
          <w:rFonts w:hint="eastAsia" w:ascii="仿宋" w:hAnsi="仿宋" w:eastAsia="仿宋"/>
          <w:color w:val="auto"/>
          <w:sz w:val="32"/>
          <w:szCs w:val="32"/>
        </w:rPr>
      </w:pPr>
    </w:p>
    <w:p w14:paraId="66DC28DC">
      <w:pPr>
        <w:snapToGrid w:val="0"/>
        <w:spacing w:line="600" w:lineRule="exact"/>
        <w:ind w:firstLine="2880" w:firstLineChars="900"/>
        <w:rPr>
          <w:rStyle w:val="10"/>
          <w:rFonts w:hint="eastAsia" w:ascii="仿宋" w:hAnsi="仿宋" w:eastAsia="仿宋"/>
          <w:color w:val="auto"/>
          <w:sz w:val="32"/>
          <w:szCs w:val="32"/>
        </w:rPr>
      </w:pPr>
    </w:p>
    <w:p w14:paraId="5B45681E">
      <w:pPr>
        <w:snapToGrid w:val="0"/>
        <w:spacing w:line="600" w:lineRule="exact"/>
        <w:ind w:firstLine="2880" w:firstLineChars="900"/>
        <w:rPr>
          <w:rStyle w:val="10"/>
          <w:rFonts w:ascii="仿宋" w:hAnsi="仿宋" w:eastAsia="仿宋"/>
          <w:color w:val="auto"/>
          <w:sz w:val="32"/>
          <w:szCs w:val="32"/>
        </w:rPr>
      </w:pPr>
      <w:r>
        <w:rPr>
          <w:rStyle w:val="10"/>
          <w:rFonts w:hint="eastAsia" w:ascii="仿宋" w:hAnsi="仿宋" w:eastAsia="仿宋"/>
          <w:color w:val="auto"/>
          <w:sz w:val="32"/>
          <w:szCs w:val="32"/>
        </w:rPr>
        <w:t>鄂环东审字〔</w:t>
      </w:r>
      <w:r>
        <w:rPr>
          <w:rStyle w:val="10"/>
          <w:rFonts w:ascii="仿宋" w:hAnsi="仿宋" w:eastAsia="仿宋"/>
          <w:color w:val="auto"/>
          <w:sz w:val="32"/>
          <w:szCs w:val="32"/>
        </w:rPr>
        <w:t>202</w:t>
      </w:r>
      <w:r>
        <w:rPr>
          <w:rStyle w:val="10"/>
          <w:rFonts w:hint="eastAsia" w:ascii="仿宋" w:hAnsi="仿宋" w:eastAsia="仿宋"/>
          <w:color w:val="auto"/>
          <w:sz w:val="32"/>
          <w:szCs w:val="32"/>
          <w:lang w:val="en-US" w:eastAsia="zh-CN"/>
        </w:rPr>
        <w:t>6</w:t>
      </w:r>
      <w:r>
        <w:rPr>
          <w:rStyle w:val="10"/>
          <w:rFonts w:hint="eastAsia" w:ascii="仿宋" w:hAnsi="仿宋" w:eastAsia="仿宋"/>
          <w:color w:val="auto"/>
          <w:sz w:val="32"/>
          <w:szCs w:val="32"/>
        </w:rPr>
        <w:t>〕</w:t>
      </w:r>
      <w:r>
        <w:rPr>
          <w:rStyle w:val="10"/>
          <w:rFonts w:hint="eastAsia" w:ascii="仿宋" w:hAnsi="仿宋" w:eastAsia="仿宋"/>
          <w:color w:val="auto"/>
          <w:sz w:val="32"/>
          <w:szCs w:val="32"/>
          <w:lang w:val="en-US" w:eastAsia="zh-CN"/>
        </w:rPr>
        <w:t>11</w:t>
      </w:r>
      <w:r>
        <w:rPr>
          <w:rStyle w:val="10"/>
          <w:rFonts w:hint="eastAsia" w:ascii="仿宋" w:hAnsi="仿宋" w:eastAsia="仿宋"/>
          <w:color w:val="auto"/>
          <w:sz w:val="32"/>
          <w:szCs w:val="32"/>
        </w:rPr>
        <w:t>号</w:t>
      </w:r>
      <w:r>
        <w:rPr>
          <w:rStyle w:val="10"/>
          <w:rFonts w:ascii="仿宋" w:hAnsi="仿宋" w:eastAsia="仿宋"/>
          <w:color w:val="auto"/>
          <w:sz w:val="32"/>
          <w:szCs w:val="32"/>
        </w:rPr>
        <w:t xml:space="preserve"> </w:t>
      </w:r>
    </w:p>
    <w:p w14:paraId="106FC582">
      <w:pPr>
        <w:spacing w:line="600" w:lineRule="exact"/>
        <w:jc w:val="center"/>
        <w:rPr>
          <w:rStyle w:val="10"/>
          <w:rFonts w:hint="eastAsia" w:ascii="宋体" w:hAnsi="宋体" w:eastAsia="宋体" w:cs="宋体"/>
          <w:b/>
          <w:bCs w:val="0"/>
          <w:color w:val="auto"/>
          <w:sz w:val="44"/>
          <w:szCs w:val="44"/>
        </w:rPr>
      </w:pPr>
    </w:p>
    <w:p w14:paraId="47189906">
      <w:pPr>
        <w:spacing w:line="600" w:lineRule="exact"/>
        <w:jc w:val="center"/>
        <w:rPr>
          <w:rStyle w:val="10"/>
          <w:rFonts w:ascii="宋体" w:hAnsi="宋体"/>
          <w:b/>
          <w:bCs w:val="0"/>
          <w:color w:val="auto"/>
          <w:sz w:val="44"/>
          <w:szCs w:val="44"/>
        </w:rPr>
      </w:pPr>
      <w:r>
        <w:rPr>
          <w:rStyle w:val="10"/>
          <w:rFonts w:hint="eastAsia" w:ascii="宋体" w:hAnsi="宋体"/>
          <w:b/>
          <w:bCs w:val="0"/>
          <w:color w:val="auto"/>
          <w:sz w:val="44"/>
          <w:szCs w:val="44"/>
        </w:rPr>
        <w:t>鄂尔多斯市生态环境局东胜区分局关于</w:t>
      </w:r>
    </w:p>
    <w:p w14:paraId="79636108">
      <w:pPr>
        <w:spacing w:line="600" w:lineRule="exact"/>
        <w:jc w:val="center"/>
        <w:rPr>
          <w:rStyle w:val="10"/>
          <w:rFonts w:hint="eastAsia" w:ascii="宋体" w:hAnsi="宋体" w:cs="Times New Roman"/>
          <w:b/>
          <w:bCs w:val="0"/>
          <w:color w:val="auto"/>
          <w:sz w:val="44"/>
          <w:szCs w:val="44"/>
          <w:lang w:eastAsia="zh-CN"/>
        </w:rPr>
      </w:pPr>
      <w:r>
        <w:rPr>
          <w:rStyle w:val="10"/>
          <w:rFonts w:hint="eastAsia" w:ascii="宋体" w:hAnsi="宋体" w:eastAsiaTheme="minorEastAsia" w:cstheme="minorBidi"/>
          <w:b/>
          <w:bCs w:val="0"/>
          <w:color w:val="auto"/>
          <w:sz w:val="44"/>
          <w:szCs w:val="44"/>
          <w:lang w:val="en-US" w:eastAsia="zh-CN"/>
        </w:rPr>
        <w:t>东胜区高级中学</w:t>
      </w:r>
      <w:r>
        <w:rPr>
          <w:rStyle w:val="10"/>
          <w:rFonts w:hint="eastAsia" w:ascii="宋体" w:hAnsi="宋体" w:eastAsia="宋体" w:cs="Times New Roman"/>
          <w:b/>
          <w:bCs w:val="0"/>
          <w:color w:val="auto"/>
          <w:sz w:val="44"/>
          <w:szCs w:val="44"/>
        </w:rPr>
        <w:t>建</w:t>
      </w:r>
      <w:r>
        <w:rPr>
          <w:rStyle w:val="10"/>
          <w:rFonts w:hint="eastAsia" w:ascii="宋体" w:hAnsi="宋体" w:cs="Times New Roman"/>
          <w:b/>
          <w:bCs w:val="0"/>
          <w:color w:val="auto"/>
          <w:sz w:val="44"/>
          <w:szCs w:val="44"/>
          <w:lang w:eastAsia="zh-CN"/>
        </w:rPr>
        <w:t>设</w:t>
      </w:r>
      <w:r>
        <w:rPr>
          <w:rStyle w:val="10"/>
          <w:rFonts w:hint="eastAsia" w:ascii="宋体" w:hAnsi="宋体" w:eastAsia="宋体" w:cs="Times New Roman"/>
          <w:b/>
          <w:bCs w:val="0"/>
          <w:color w:val="auto"/>
          <w:sz w:val="44"/>
          <w:szCs w:val="44"/>
        </w:rPr>
        <w:t>项目</w:t>
      </w:r>
      <w:r>
        <w:rPr>
          <w:rStyle w:val="10"/>
          <w:rFonts w:hint="eastAsia" w:ascii="宋体" w:hAnsi="宋体" w:cs="Times New Roman"/>
          <w:b/>
          <w:bCs w:val="0"/>
          <w:color w:val="auto"/>
          <w:sz w:val="44"/>
          <w:szCs w:val="44"/>
          <w:lang w:eastAsia="zh-CN"/>
        </w:rPr>
        <w:t>生态</w:t>
      </w:r>
    </w:p>
    <w:p w14:paraId="29CA65ED">
      <w:pPr>
        <w:spacing w:line="600" w:lineRule="exact"/>
        <w:jc w:val="center"/>
        <w:rPr>
          <w:rStyle w:val="10"/>
          <w:rFonts w:hint="eastAsia" w:ascii="宋体" w:hAnsi="宋体" w:eastAsia="宋体" w:cs="宋体"/>
          <w:b/>
          <w:bCs w:val="0"/>
          <w:color w:val="auto"/>
          <w:sz w:val="44"/>
          <w:szCs w:val="44"/>
        </w:rPr>
      </w:pPr>
      <w:r>
        <w:rPr>
          <w:rStyle w:val="10"/>
          <w:rFonts w:hint="eastAsia" w:ascii="宋体" w:hAnsi="宋体" w:eastAsia="宋体" w:cs="宋体"/>
          <w:b/>
          <w:bCs w:val="0"/>
          <w:color w:val="auto"/>
          <w:sz w:val="44"/>
          <w:szCs w:val="44"/>
        </w:rPr>
        <w:t>环境影响报告表的批复</w:t>
      </w:r>
    </w:p>
    <w:p w14:paraId="39D9EFCC">
      <w:pPr>
        <w:keepNext w:val="0"/>
        <w:keepLines w:val="0"/>
        <w:pageBreakBefore w:val="0"/>
        <w:widowControl/>
        <w:kinsoku/>
        <w:wordWrap/>
        <w:overflowPunct/>
        <w:topLinePunct w:val="0"/>
        <w:autoSpaceDE/>
        <w:autoSpaceDN/>
        <w:bidi w:val="0"/>
        <w:adjustRightInd/>
        <w:snapToGrid/>
        <w:spacing w:line="360" w:lineRule="auto"/>
        <w:ind w:firstLine="640" w:firstLineChars="200"/>
        <w:jc w:val="both"/>
        <w:textAlignment w:val="auto"/>
        <w:rPr>
          <w:rStyle w:val="10"/>
          <w:rFonts w:hint="eastAsia" w:ascii="仿宋" w:hAnsi="仿宋" w:eastAsia="仿宋"/>
          <w:sz w:val="32"/>
          <w:szCs w:val="32"/>
          <w:lang w:eastAsia="zh-CN"/>
        </w:rPr>
      </w:pPr>
    </w:p>
    <w:p w14:paraId="3D392C90">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Style w:val="10"/>
          <w:rFonts w:hint="default" w:ascii="Times New Roman" w:hAnsi="Times New Roman" w:eastAsia="仿宋" w:cs="Times New Roman"/>
          <w:color w:val="auto"/>
          <w:sz w:val="32"/>
          <w:szCs w:val="32"/>
          <w:lang w:val="en-US" w:eastAsia="zh-CN"/>
        </w:rPr>
      </w:pPr>
      <w:r>
        <w:rPr>
          <w:rStyle w:val="10"/>
          <w:rFonts w:hint="default" w:ascii="Times New Roman" w:hAnsi="Times New Roman" w:eastAsia="仿宋" w:cs="Times New Roman"/>
          <w:color w:val="auto"/>
          <w:sz w:val="32"/>
          <w:szCs w:val="32"/>
          <w:lang w:val="en-US" w:eastAsia="zh-CN"/>
        </w:rPr>
        <w:t>鄂尔多斯市东胜区教育体育局：</w:t>
      </w:r>
    </w:p>
    <w:p w14:paraId="527E275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10"/>
          <w:rFonts w:hint="default" w:ascii="Times New Roman" w:hAnsi="Times New Roman" w:eastAsia="仿宋" w:cs="Times New Roman"/>
          <w:color w:val="auto"/>
          <w:sz w:val="32"/>
          <w:szCs w:val="32"/>
          <w:lang w:val="en-US" w:eastAsia="zh-CN"/>
        </w:rPr>
      </w:pPr>
      <w:r>
        <w:rPr>
          <w:rStyle w:val="10"/>
          <w:rFonts w:hint="default" w:ascii="Times New Roman" w:hAnsi="Times New Roman" w:eastAsia="仿宋" w:cs="Times New Roman"/>
          <w:color w:val="auto"/>
          <w:sz w:val="32"/>
          <w:szCs w:val="32"/>
        </w:rPr>
        <w:t>你</w:t>
      </w:r>
      <w:r>
        <w:rPr>
          <w:rStyle w:val="10"/>
          <w:rFonts w:hint="default" w:ascii="Times New Roman" w:hAnsi="Times New Roman" w:eastAsia="仿宋" w:cs="Times New Roman"/>
          <w:color w:val="auto"/>
          <w:sz w:val="32"/>
          <w:szCs w:val="32"/>
          <w:lang w:val="en-US" w:eastAsia="zh-CN"/>
        </w:rPr>
        <w:t>单位</w:t>
      </w:r>
      <w:r>
        <w:rPr>
          <w:rStyle w:val="10"/>
          <w:rFonts w:hint="default" w:ascii="Times New Roman" w:hAnsi="Times New Roman" w:eastAsia="仿宋" w:cs="Times New Roman"/>
          <w:color w:val="auto"/>
          <w:sz w:val="32"/>
          <w:szCs w:val="32"/>
        </w:rPr>
        <w:t>报送</w:t>
      </w:r>
      <w:r>
        <w:rPr>
          <w:rStyle w:val="10"/>
          <w:rFonts w:hint="default" w:ascii="Times New Roman" w:hAnsi="Times New Roman" w:eastAsia="仿宋" w:cs="Times New Roman"/>
          <w:color w:val="auto"/>
          <w:sz w:val="32"/>
          <w:szCs w:val="32"/>
          <w:lang w:val="en-US" w:eastAsia="zh-CN"/>
        </w:rPr>
        <w:t>的由</w:t>
      </w:r>
      <w:r>
        <w:rPr>
          <w:rStyle w:val="10"/>
          <w:rFonts w:hint="default" w:ascii="Times New Roman" w:hAnsi="Times New Roman" w:eastAsia="仿宋" w:cs="Times New Roman"/>
          <w:color w:val="auto"/>
          <w:sz w:val="32"/>
          <w:szCs w:val="32"/>
          <w:lang w:val="en-US" w:eastAsia="zh-CN"/>
        </w:rPr>
        <w:fldChar w:fldCharType="begin"/>
      </w:r>
      <w:r>
        <w:rPr>
          <w:rStyle w:val="10"/>
          <w:rFonts w:hint="default" w:ascii="Times New Roman" w:hAnsi="Times New Roman" w:eastAsia="仿宋" w:cs="Times New Roman"/>
          <w:color w:val="auto"/>
          <w:sz w:val="32"/>
          <w:szCs w:val="32"/>
          <w:lang w:val="en-US" w:eastAsia="zh-CN"/>
        </w:rPr>
        <w:instrText xml:space="preserve"> HYPERLINK "javascript:viewHomeCompanyInfoView('189750761784093106')" </w:instrText>
      </w:r>
      <w:r>
        <w:rPr>
          <w:rStyle w:val="10"/>
          <w:rFonts w:hint="default" w:ascii="Times New Roman" w:hAnsi="Times New Roman" w:eastAsia="仿宋" w:cs="Times New Roman"/>
          <w:color w:val="auto"/>
          <w:sz w:val="32"/>
          <w:szCs w:val="32"/>
          <w:lang w:val="en-US" w:eastAsia="zh-CN"/>
        </w:rPr>
        <w:fldChar w:fldCharType="separate"/>
      </w:r>
      <w:r>
        <w:rPr>
          <w:rStyle w:val="10"/>
          <w:rFonts w:hint="default" w:ascii="Times New Roman" w:hAnsi="Times New Roman" w:eastAsia="仿宋" w:cs="Times New Roman"/>
          <w:color w:val="auto"/>
          <w:sz w:val="32"/>
          <w:szCs w:val="32"/>
          <w:lang w:val="en-US" w:eastAsia="zh-CN"/>
        </w:rPr>
        <w:t>内蒙古汇枫环保科技有限公司</w:t>
      </w:r>
      <w:r>
        <w:rPr>
          <w:rStyle w:val="10"/>
          <w:rFonts w:hint="default" w:ascii="Times New Roman" w:hAnsi="Times New Roman" w:eastAsia="仿宋" w:cs="Times New Roman"/>
          <w:color w:val="auto"/>
          <w:sz w:val="32"/>
          <w:szCs w:val="32"/>
          <w:lang w:val="en-US" w:eastAsia="zh-CN"/>
        </w:rPr>
        <w:fldChar w:fldCharType="end"/>
      </w:r>
      <w:r>
        <w:rPr>
          <w:rStyle w:val="10"/>
          <w:rFonts w:hint="default" w:ascii="Times New Roman" w:hAnsi="Times New Roman" w:eastAsia="仿宋" w:cs="Times New Roman"/>
          <w:color w:val="auto"/>
          <w:sz w:val="32"/>
          <w:szCs w:val="32"/>
          <w:lang w:val="en-US" w:eastAsia="zh-CN"/>
        </w:rPr>
        <w:t>编制的《东胜区高级中学建设项目生态环境影响报告表》（以下简称《报告表》）已收悉。经组织专家评审，集体研究，形成如下审批意见：</w:t>
      </w:r>
    </w:p>
    <w:p w14:paraId="5C6116AF">
      <w:pPr>
        <w:keepNext w:val="0"/>
        <w:keepLines w:val="0"/>
        <w:pageBreakBefore w:val="0"/>
        <w:kinsoku/>
        <w:wordWrap/>
        <w:overflowPunct/>
        <w:topLinePunct w:val="0"/>
        <w:autoSpaceDE/>
        <w:autoSpaceDN/>
        <w:bidi w:val="0"/>
        <w:adjustRightInd w:val="0"/>
        <w:snapToGrid w:val="0"/>
        <w:spacing w:line="560" w:lineRule="exact"/>
        <w:ind w:firstLine="640" w:firstLineChars="200"/>
        <w:rPr>
          <w:rStyle w:val="10"/>
          <w:rFonts w:hint="default" w:ascii="Times New Roman" w:hAnsi="Times New Roman" w:eastAsia="仿宋" w:cs="Times New Roman"/>
          <w:color w:val="auto"/>
          <w:sz w:val="32"/>
          <w:szCs w:val="32"/>
          <w:lang w:val="en-US" w:eastAsia="zh-CN" w:bidi="ar-SA"/>
        </w:rPr>
      </w:pPr>
      <w:r>
        <w:rPr>
          <w:rStyle w:val="10"/>
          <w:rFonts w:hint="default" w:ascii="Times New Roman" w:hAnsi="Times New Roman" w:eastAsia="仿宋" w:cs="Times New Roman"/>
          <w:color w:val="auto"/>
          <w:sz w:val="32"/>
          <w:szCs w:val="32"/>
          <w:lang w:val="en-US" w:eastAsia="zh-CN"/>
        </w:rPr>
        <w:t>一、</w:t>
      </w:r>
      <w:r>
        <w:rPr>
          <w:rStyle w:val="10"/>
          <w:rFonts w:hint="default" w:ascii="Times New Roman" w:hAnsi="Times New Roman" w:eastAsia="仿宋" w:cs="Times New Roman"/>
          <w:color w:val="auto"/>
          <w:sz w:val="32"/>
          <w:szCs w:val="32"/>
        </w:rPr>
        <w:t>该项目属于</w:t>
      </w:r>
      <w:r>
        <w:rPr>
          <w:rStyle w:val="10"/>
          <w:rFonts w:hint="default" w:ascii="Times New Roman" w:hAnsi="Times New Roman" w:eastAsia="仿宋" w:cs="Times New Roman"/>
          <w:color w:val="auto"/>
          <w:sz w:val="32"/>
          <w:szCs w:val="32"/>
          <w:lang w:eastAsia="zh-CN"/>
        </w:rPr>
        <w:t>新</w:t>
      </w:r>
      <w:r>
        <w:rPr>
          <w:rStyle w:val="10"/>
          <w:rFonts w:hint="default" w:ascii="Times New Roman" w:hAnsi="Times New Roman" w:eastAsia="仿宋" w:cs="Times New Roman"/>
          <w:color w:val="auto"/>
          <w:sz w:val="32"/>
          <w:szCs w:val="32"/>
        </w:rPr>
        <w:t>建项目，</w:t>
      </w:r>
      <w:r>
        <w:rPr>
          <w:rStyle w:val="10"/>
          <w:rFonts w:hint="default" w:ascii="Times New Roman" w:hAnsi="Times New Roman" w:eastAsia="仿宋" w:cs="Times New Roman"/>
          <w:color w:val="auto"/>
          <w:sz w:val="32"/>
          <w:szCs w:val="32"/>
          <w:lang w:val="en-US" w:eastAsia="zh-CN"/>
        </w:rPr>
        <w:t>位于东胜区罕台镇罕台五路南、蓝天路东、罕</w:t>
      </w:r>
      <w:r>
        <w:rPr>
          <w:rStyle w:val="10"/>
          <w:rFonts w:hint="eastAsia" w:eastAsia="仿宋" w:cs="Times New Roman"/>
          <w:color w:val="auto"/>
          <w:sz w:val="32"/>
          <w:szCs w:val="32"/>
          <w:lang w:val="en-US" w:eastAsia="zh-CN"/>
        </w:rPr>
        <w:t>台</w:t>
      </w:r>
      <w:r>
        <w:rPr>
          <w:rStyle w:val="10"/>
          <w:rFonts w:hint="default" w:ascii="Times New Roman" w:hAnsi="Times New Roman" w:eastAsia="仿宋" w:cs="Times New Roman"/>
          <w:color w:val="auto"/>
          <w:sz w:val="32"/>
          <w:szCs w:val="32"/>
          <w:lang w:val="en-US" w:eastAsia="zh-CN"/>
        </w:rPr>
        <w:t>东九路北、新世纪南路西。项目总</w:t>
      </w:r>
      <w:r>
        <w:rPr>
          <w:rStyle w:val="10"/>
          <w:rFonts w:hint="default" w:ascii="Times New Roman" w:hAnsi="Times New Roman" w:eastAsia="仿宋" w:cs="Times New Roman"/>
          <w:color w:val="auto"/>
          <w:sz w:val="32"/>
          <w:szCs w:val="32"/>
          <w:lang w:val="en-US" w:eastAsia="zh-CN" w:bidi="ar-SA"/>
        </w:rPr>
        <w:t>占地面</w:t>
      </w:r>
      <w:r>
        <w:rPr>
          <w:rStyle w:val="10"/>
          <w:rFonts w:hint="default" w:ascii="Times New Roman" w:hAnsi="Times New Roman" w:eastAsia="仿宋" w:cs="Times New Roman"/>
          <w:color w:val="auto"/>
          <w:sz w:val="32"/>
          <w:szCs w:val="32"/>
          <w:lang w:val="en-US" w:eastAsia="zh-CN"/>
        </w:rPr>
        <w:t>积80832.21平</w:t>
      </w:r>
      <w:r>
        <w:rPr>
          <w:rStyle w:val="10"/>
          <w:rFonts w:hint="default" w:ascii="Times New Roman" w:hAnsi="Times New Roman" w:eastAsia="仿宋" w:cs="Times New Roman"/>
          <w:color w:val="auto"/>
          <w:sz w:val="32"/>
          <w:szCs w:val="32"/>
          <w:lang w:val="en-US" w:eastAsia="zh-CN" w:bidi="ar-SA"/>
        </w:rPr>
        <w:t>方米，总投</w:t>
      </w:r>
      <w:r>
        <w:rPr>
          <w:rStyle w:val="10"/>
          <w:rFonts w:hint="default" w:ascii="Times New Roman" w:hAnsi="Times New Roman" w:eastAsia="仿宋" w:cs="Times New Roman"/>
          <w:color w:val="auto"/>
          <w:sz w:val="32"/>
          <w:szCs w:val="32"/>
          <w:lang w:val="en-US" w:eastAsia="zh-CN"/>
        </w:rPr>
        <w:t>资31500万元，</w:t>
      </w:r>
      <w:r>
        <w:rPr>
          <w:rStyle w:val="10"/>
          <w:rFonts w:hint="default" w:ascii="Times New Roman" w:hAnsi="Times New Roman" w:eastAsia="仿宋" w:cs="Times New Roman"/>
          <w:color w:val="auto"/>
          <w:sz w:val="32"/>
          <w:szCs w:val="32"/>
          <w:lang w:val="en-US" w:eastAsia="zh-CN" w:bidi="ar-SA"/>
        </w:rPr>
        <w:t>其中环保投资413.2万元。主要建设内容及</w:t>
      </w:r>
      <w:r>
        <w:rPr>
          <w:rStyle w:val="10"/>
          <w:rFonts w:hint="default" w:ascii="Times New Roman" w:hAnsi="Times New Roman" w:eastAsia="仿宋" w:cs="Times New Roman"/>
          <w:color w:val="auto"/>
          <w:sz w:val="32"/>
          <w:szCs w:val="32"/>
          <w:lang w:val="en-US" w:eastAsia="zh-CN"/>
        </w:rPr>
        <w:t>规模：</w:t>
      </w:r>
      <w:r>
        <w:rPr>
          <w:rStyle w:val="10"/>
          <w:rFonts w:hint="default" w:ascii="Times New Roman" w:hAnsi="Times New Roman" w:eastAsia="仿宋" w:cs="Times New Roman"/>
          <w:color w:val="auto"/>
          <w:sz w:val="32"/>
          <w:szCs w:val="32"/>
          <w:lang w:val="en-US" w:eastAsia="zh-CN" w:bidi="ar-SA"/>
        </w:rPr>
        <w:t>项目拟建教学楼1栋、宿舍2栋、食堂1栋及其他附属设施，教学楼内配套生物实验室2间</w:t>
      </w:r>
      <w:r>
        <w:rPr>
          <w:rStyle w:val="10"/>
          <w:rFonts w:hint="eastAsia" w:eastAsia="仿宋" w:cs="Times New Roman"/>
          <w:color w:val="auto"/>
          <w:sz w:val="32"/>
          <w:szCs w:val="32"/>
          <w:lang w:val="en-US" w:eastAsia="zh-CN" w:bidi="ar-SA"/>
        </w:rPr>
        <w:t>、</w:t>
      </w:r>
      <w:r>
        <w:rPr>
          <w:rStyle w:val="10"/>
          <w:rFonts w:hint="default" w:ascii="Times New Roman" w:hAnsi="Times New Roman" w:eastAsia="仿宋" w:cs="Times New Roman"/>
          <w:color w:val="auto"/>
          <w:sz w:val="32"/>
          <w:szCs w:val="32"/>
          <w:lang w:val="en-US" w:eastAsia="zh-CN" w:bidi="ar-SA"/>
        </w:rPr>
        <w:t>化学实验室2间，化学实验室准备间设置5平方米危废暂存间1间，配套建设公辅工程和环保工程，建成后容纳班级数量为64个，可容纳3200人就学。</w:t>
      </w:r>
    </w:p>
    <w:p w14:paraId="5D0D65E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Style w:val="10"/>
          <w:rFonts w:hint="default" w:ascii="Times New Roman" w:hAnsi="Times New Roman" w:eastAsia="仿宋" w:cs="Times New Roman"/>
          <w:color w:val="auto"/>
          <w:sz w:val="32"/>
          <w:szCs w:val="32"/>
        </w:rPr>
      </w:pPr>
      <w:r>
        <w:rPr>
          <w:rStyle w:val="10"/>
          <w:rFonts w:hint="default" w:ascii="Times New Roman" w:hAnsi="Times New Roman" w:eastAsia="仿宋" w:cs="Times New Roman"/>
          <w:color w:val="auto"/>
          <w:sz w:val="32"/>
          <w:szCs w:val="32"/>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14:paraId="7CE2CAB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Style w:val="10"/>
          <w:rFonts w:hint="default" w:ascii="Times New Roman" w:hAnsi="Times New Roman" w:eastAsia="仿宋" w:cs="Times New Roman"/>
          <w:color w:val="auto"/>
          <w:sz w:val="32"/>
          <w:szCs w:val="32"/>
          <w:lang w:val="en-US"/>
        </w:rPr>
      </w:pPr>
      <w:r>
        <w:rPr>
          <w:rStyle w:val="10"/>
          <w:rFonts w:hint="default" w:ascii="Times New Roman" w:hAnsi="Times New Roman" w:eastAsia="仿宋" w:cs="Times New Roman"/>
          <w:color w:val="auto"/>
          <w:sz w:val="32"/>
          <w:szCs w:val="32"/>
          <w:lang w:val="en-US" w:eastAsia="zh-CN"/>
        </w:rPr>
        <w:t>二、在项目工程设计、建设和环境管理中，你单位必须严格落实</w:t>
      </w:r>
      <w:r>
        <w:rPr>
          <w:rStyle w:val="10"/>
          <w:rFonts w:hint="default" w:ascii="Times New Roman" w:hAnsi="Times New Roman" w:eastAsia="仿宋" w:cs="Times New Roman"/>
          <w:color w:val="auto"/>
          <w:sz w:val="32"/>
          <w:szCs w:val="32"/>
        </w:rPr>
        <w:t>《报告表》</w:t>
      </w:r>
      <w:r>
        <w:rPr>
          <w:rStyle w:val="10"/>
          <w:rFonts w:hint="default" w:ascii="Times New Roman" w:hAnsi="Times New Roman" w:eastAsia="仿宋" w:cs="Times New Roman"/>
          <w:color w:val="auto"/>
          <w:sz w:val="32"/>
          <w:szCs w:val="32"/>
          <w:lang w:val="en-US" w:eastAsia="zh-CN"/>
        </w:rPr>
        <w:t>中提出的各项环保措施和要求，确保各项污染物稳定达标排放，并须着重做好以下工作：</w:t>
      </w:r>
    </w:p>
    <w:p w14:paraId="4BB87F59">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both"/>
        <w:textAlignment w:val="auto"/>
        <w:rPr>
          <w:rStyle w:val="10"/>
          <w:rFonts w:hint="default" w:ascii="Times New Roman" w:hAnsi="Times New Roman" w:eastAsia="仿宋" w:cs="Times New Roman"/>
          <w:color w:val="auto"/>
          <w:sz w:val="32"/>
          <w:szCs w:val="32"/>
          <w:lang w:val="en-US" w:eastAsia="zh-CN"/>
        </w:rPr>
      </w:pPr>
      <w:r>
        <w:rPr>
          <w:rFonts w:hint="default" w:ascii="Times New Roman" w:hAnsi="Times New Roman" w:eastAsia="仿宋" w:cs="Times New Roman"/>
          <w:color w:val="auto"/>
          <w:sz w:val="32"/>
          <w:szCs w:val="32"/>
          <w:lang w:val="en-US" w:eastAsia="zh-CN"/>
        </w:rPr>
        <w:t>（</w:t>
      </w:r>
      <w:r>
        <w:rPr>
          <w:rStyle w:val="10"/>
          <w:rFonts w:hint="default" w:ascii="Times New Roman" w:hAnsi="Times New Roman" w:eastAsia="仿宋" w:cs="Times New Roman"/>
          <w:color w:val="auto"/>
          <w:sz w:val="32"/>
          <w:szCs w:val="32"/>
          <w:lang w:val="en-US" w:eastAsia="zh-CN"/>
        </w:rPr>
        <w:t>一）严格落实施工期污染防治措施</w:t>
      </w:r>
    </w:p>
    <w:p w14:paraId="411D7B1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10"/>
          <w:rFonts w:hint="default" w:ascii="Times New Roman" w:hAnsi="Times New Roman" w:eastAsia="仿宋" w:cs="Times New Roman"/>
          <w:color w:val="auto"/>
          <w:sz w:val="32"/>
          <w:szCs w:val="32"/>
          <w:lang w:val="en-US" w:eastAsia="zh-CN"/>
        </w:rPr>
      </w:pPr>
      <w:r>
        <w:rPr>
          <w:rStyle w:val="10"/>
          <w:rFonts w:hint="default" w:ascii="Times New Roman" w:hAnsi="Times New Roman" w:eastAsia="仿宋" w:cs="Times New Roman"/>
          <w:color w:val="auto"/>
          <w:sz w:val="32"/>
          <w:szCs w:val="32"/>
          <w:lang w:val="en-US" w:eastAsia="zh-CN"/>
        </w:rPr>
        <w:t>1、</w:t>
      </w:r>
      <w:r>
        <w:rPr>
          <w:rStyle w:val="10"/>
          <w:rFonts w:hint="default" w:ascii="Times New Roman" w:hAnsi="Times New Roman" w:eastAsia="仿宋" w:cs="Times New Roman"/>
          <w:color w:val="auto"/>
          <w:sz w:val="32"/>
          <w:szCs w:val="32"/>
        </w:rPr>
        <w:t>施工期大气污染物排放执行《大气污染物综合排放标准》（GB16297-1996）表2中无组织排放监控浓度限值。</w:t>
      </w:r>
    </w:p>
    <w:p w14:paraId="5423911F">
      <w:pPr>
        <w:keepNext w:val="0"/>
        <w:keepLines w:val="0"/>
        <w:pageBreakBefore w:val="0"/>
        <w:kinsoku/>
        <w:wordWrap/>
        <w:overflowPunct/>
        <w:topLinePunct w:val="0"/>
        <w:autoSpaceDE/>
        <w:autoSpaceDN/>
        <w:bidi w:val="0"/>
        <w:spacing w:line="560" w:lineRule="exact"/>
        <w:ind w:firstLine="640" w:firstLineChars="200"/>
        <w:rPr>
          <w:rStyle w:val="10"/>
          <w:rFonts w:hint="default" w:ascii="Times New Roman" w:hAnsi="Times New Roman" w:eastAsia="仿宋" w:cs="Times New Roman"/>
          <w:color w:val="auto"/>
          <w:sz w:val="32"/>
          <w:szCs w:val="32"/>
        </w:rPr>
      </w:pPr>
      <w:r>
        <w:rPr>
          <w:rStyle w:val="10"/>
          <w:rFonts w:hint="default" w:ascii="Times New Roman" w:hAnsi="Times New Roman" w:eastAsia="仿宋" w:cs="Times New Roman"/>
          <w:color w:val="auto"/>
          <w:sz w:val="32"/>
          <w:szCs w:val="32"/>
          <w:lang w:val="en-US" w:eastAsia="zh-CN"/>
        </w:rPr>
        <w:t>2、</w:t>
      </w:r>
      <w:r>
        <w:rPr>
          <w:rStyle w:val="10"/>
          <w:rFonts w:hint="default" w:ascii="Times New Roman" w:hAnsi="Times New Roman" w:eastAsia="仿宋" w:cs="Times New Roman"/>
          <w:color w:val="auto"/>
          <w:sz w:val="32"/>
          <w:szCs w:val="32"/>
          <w:highlight w:val="none"/>
          <w:lang w:val="en-US" w:eastAsia="zh-CN"/>
        </w:rPr>
        <w:t>施工人员生活污水</w:t>
      </w:r>
      <w:r>
        <w:rPr>
          <w:rStyle w:val="10"/>
          <w:rFonts w:hint="default" w:ascii="Times New Roman" w:hAnsi="Times New Roman" w:eastAsia="仿宋" w:cs="Times New Roman"/>
          <w:color w:val="auto"/>
          <w:sz w:val="32"/>
          <w:szCs w:val="32"/>
          <w:lang w:eastAsia="zh-CN"/>
        </w:rPr>
        <w:t>经</w:t>
      </w:r>
      <w:r>
        <w:rPr>
          <w:rStyle w:val="10"/>
          <w:rFonts w:hint="default" w:ascii="Times New Roman" w:hAnsi="Times New Roman" w:eastAsia="仿宋" w:cs="Times New Roman"/>
          <w:color w:val="auto"/>
          <w:sz w:val="32"/>
          <w:szCs w:val="32"/>
          <w:lang w:val="en-US" w:eastAsia="zh-CN"/>
        </w:rPr>
        <w:t>临时</w:t>
      </w:r>
      <w:r>
        <w:rPr>
          <w:rStyle w:val="10"/>
          <w:rFonts w:hint="default" w:ascii="Times New Roman" w:hAnsi="Times New Roman" w:eastAsia="仿宋" w:cs="Times New Roman"/>
          <w:color w:val="auto"/>
          <w:sz w:val="32"/>
          <w:szCs w:val="32"/>
        </w:rPr>
        <w:t>化粪池沉淀后</w:t>
      </w:r>
      <w:r>
        <w:rPr>
          <w:rStyle w:val="10"/>
          <w:rFonts w:hint="default" w:ascii="Times New Roman" w:hAnsi="Times New Roman" w:eastAsia="仿宋" w:cs="Times New Roman"/>
          <w:color w:val="auto"/>
          <w:sz w:val="32"/>
          <w:szCs w:val="32"/>
          <w:lang w:val="en-US" w:eastAsia="zh-CN"/>
        </w:rPr>
        <w:t>进入</w:t>
      </w:r>
      <w:r>
        <w:rPr>
          <w:rStyle w:val="10"/>
          <w:rFonts w:hint="default" w:ascii="Times New Roman" w:hAnsi="Times New Roman" w:eastAsia="仿宋" w:cs="Times New Roman"/>
          <w:color w:val="auto"/>
          <w:sz w:val="32"/>
          <w:szCs w:val="32"/>
        </w:rPr>
        <w:t>市政污水管网。</w:t>
      </w:r>
    </w:p>
    <w:p w14:paraId="334B026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10"/>
          <w:rFonts w:hint="default" w:ascii="Times New Roman" w:hAnsi="Times New Roman" w:eastAsia="仿宋" w:cs="Times New Roman"/>
          <w:color w:val="auto"/>
          <w:sz w:val="32"/>
          <w:szCs w:val="32"/>
          <w:lang w:val="en-US" w:eastAsia="zh-CN"/>
        </w:rPr>
      </w:pPr>
      <w:r>
        <w:rPr>
          <w:rStyle w:val="10"/>
          <w:rFonts w:hint="default" w:ascii="Times New Roman" w:hAnsi="Times New Roman" w:eastAsia="仿宋" w:cs="Times New Roman"/>
          <w:color w:val="auto"/>
          <w:sz w:val="32"/>
          <w:szCs w:val="32"/>
          <w:lang w:val="en-US" w:eastAsia="zh-CN"/>
        </w:rPr>
        <w:t>3、</w:t>
      </w:r>
      <w:r>
        <w:rPr>
          <w:rStyle w:val="10"/>
          <w:rFonts w:hint="default" w:ascii="Times New Roman" w:hAnsi="Times New Roman" w:eastAsia="仿宋" w:cs="Times New Roman"/>
          <w:color w:val="auto"/>
          <w:sz w:val="32"/>
          <w:szCs w:val="32"/>
          <w:highlight w:val="none"/>
          <w:lang w:val="en-US" w:eastAsia="zh-CN"/>
        </w:rPr>
        <w:t>选用低噪声施工设备，合理安排作业时间，施工车辆出入应尽量远离敏感点。</w:t>
      </w:r>
      <w:r>
        <w:rPr>
          <w:rStyle w:val="10"/>
          <w:rFonts w:hint="default" w:ascii="Times New Roman" w:hAnsi="Times New Roman" w:eastAsia="仿宋" w:cs="Times New Roman"/>
          <w:color w:val="auto"/>
          <w:sz w:val="32"/>
          <w:szCs w:val="32"/>
          <w:lang w:val="en-US" w:eastAsia="zh-CN"/>
        </w:rPr>
        <w:t>施工期噪声执行《建筑施工噪声排放标准》（GB12523-2025）。</w:t>
      </w:r>
    </w:p>
    <w:p w14:paraId="67EA0EC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10"/>
          <w:rFonts w:hint="default" w:ascii="Times New Roman" w:hAnsi="Times New Roman" w:eastAsia="仿宋" w:cs="Times New Roman"/>
          <w:color w:val="auto"/>
          <w:sz w:val="32"/>
          <w:szCs w:val="32"/>
          <w:lang w:val="en-US" w:eastAsia="zh-CN"/>
        </w:rPr>
      </w:pPr>
      <w:r>
        <w:rPr>
          <w:rStyle w:val="10"/>
          <w:rFonts w:hint="default" w:ascii="Times New Roman" w:hAnsi="Times New Roman" w:eastAsia="仿宋" w:cs="Times New Roman"/>
          <w:color w:val="auto"/>
          <w:sz w:val="32"/>
          <w:szCs w:val="32"/>
          <w:lang w:val="en-US" w:eastAsia="zh-CN"/>
        </w:rPr>
        <w:t>4、</w:t>
      </w:r>
      <w:r>
        <w:rPr>
          <w:rStyle w:val="10"/>
          <w:rFonts w:hint="default" w:ascii="Times New Roman" w:hAnsi="Times New Roman" w:eastAsia="仿宋" w:cs="Times New Roman"/>
          <w:color w:val="auto"/>
          <w:sz w:val="32"/>
          <w:szCs w:val="32"/>
          <w:lang w:val="en-US" w:eastAsia="zh-CN" w:bidi="ar-SA"/>
        </w:rPr>
        <w:t>固体废物集中堆放及时清运，交有关部门进行处理</w:t>
      </w:r>
      <w:r>
        <w:rPr>
          <w:rStyle w:val="10"/>
          <w:rFonts w:hint="default" w:ascii="Times New Roman" w:hAnsi="Times New Roman" w:eastAsia="仿宋" w:cs="Times New Roman"/>
          <w:color w:val="auto"/>
          <w:sz w:val="32"/>
          <w:szCs w:val="32"/>
          <w:lang w:val="en-US" w:eastAsia="zh-CN"/>
        </w:rPr>
        <w:t>。</w:t>
      </w:r>
    </w:p>
    <w:p w14:paraId="12FF7F6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10"/>
          <w:rFonts w:hint="default" w:ascii="Times New Roman" w:hAnsi="Times New Roman" w:eastAsia="仿宋" w:cs="Times New Roman"/>
          <w:color w:val="auto"/>
          <w:sz w:val="32"/>
          <w:szCs w:val="32"/>
          <w:lang w:val="en-US" w:eastAsia="zh-CN"/>
        </w:rPr>
      </w:pPr>
      <w:r>
        <w:rPr>
          <w:rStyle w:val="10"/>
          <w:rFonts w:hint="default" w:ascii="Times New Roman" w:hAnsi="Times New Roman" w:eastAsia="仿宋" w:cs="Times New Roman"/>
          <w:color w:val="auto"/>
          <w:sz w:val="32"/>
          <w:szCs w:val="32"/>
          <w:lang w:val="en-US" w:eastAsia="zh-CN"/>
        </w:rPr>
        <w:t>（二）严格落实运营期污染防治措施</w:t>
      </w:r>
    </w:p>
    <w:p w14:paraId="315D6F9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10"/>
          <w:rFonts w:hint="default" w:ascii="Times New Roman" w:hAnsi="Times New Roman" w:eastAsia="仿宋" w:cs="Times New Roman"/>
          <w:color w:val="auto"/>
          <w:sz w:val="32"/>
          <w:szCs w:val="32"/>
          <w:lang w:val="en-US" w:eastAsia="zh-CN"/>
        </w:rPr>
      </w:pPr>
      <w:r>
        <w:rPr>
          <w:rFonts w:hint="default" w:ascii="Times New Roman" w:hAnsi="Times New Roman" w:eastAsia="仿宋" w:cs="Times New Roman"/>
          <w:color w:val="auto"/>
          <w:kern w:val="0"/>
          <w:sz w:val="32"/>
          <w:szCs w:val="32"/>
          <w:lang w:val="en-US" w:eastAsia="zh-CN" w:bidi="ar-SA"/>
        </w:rPr>
        <w:t>1、大气污染防治措施。</w:t>
      </w:r>
      <w:r>
        <w:rPr>
          <w:rStyle w:val="10"/>
          <w:rFonts w:hint="default" w:ascii="Times New Roman" w:hAnsi="Times New Roman" w:eastAsia="仿宋" w:cs="Times New Roman"/>
          <w:color w:val="auto"/>
          <w:sz w:val="32"/>
          <w:szCs w:val="32"/>
          <w:lang w:val="en-US" w:eastAsia="zh-CN"/>
        </w:rPr>
        <w:t>运营期实验室</w:t>
      </w:r>
      <w:r>
        <w:rPr>
          <w:rStyle w:val="10"/>
          <w:rFonts w:hint="default" w:ascii="Times New Roman" w:hAnsi="Times New Roman" w:eastAsia="仿宋" w:cs="Times New Roman"/>
          <w:color w:val="auto"/>
          <w:sz w:val="32"/>
          <w:szCs w:val="32"/>
          <w:lang w:eastAsia="zh-CN"/>
        </w:rPr>
        <w:t>废气</w:t>
      </w:r>
      <w:r>
        <w:rPr>
          <w:rStyle w:val="10"/>
          <w:rFonts w:hint="default" w:ascii="Times New Roman" w:hAnsi="Times New Roman" w:eastAsia="仿宋" w:cs="Times New Roman"/>
          <w:color w:val="auto"/>
          <w:sz w:val="32"/>
          <w:szCs w:val="32"/>
          <w:lang w:val="en-US" w:eastAsia="zh-CN"/>
        </w:rPr>
        <w:t>由集气罩收集，经管道引至楼顶由1根25米高排气筒排放，执行《大气污染物综合排放标准》（GB16297-1996）表2中二级标准限值；本项目排气筒高度没有高出周围200m半径范围的建筑5m以上，按其高度对应的表列排放速率标准值严格50%执行。无组织废气排放执行《大气污染物综合排放标准》（GB16297-1996）表2中无组织排放监控浓度限值。厂区内非甲烷总烃无组织排放执行《挥发性有机物无组织排放控制标准》（GB37822-2019）限值。食堂油烟经集气罩收集，静电式油烟净化器净化后由1根19.6米高排气筒排放，执行《饮食业油烟排放标准（试行）》(GB18483-2001）表2中大型规模排放浓度限值。</w:t>
      </w:r>
    </w:p>
    <w:p w14:paraId="4664475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10"/>
          <w:rFonts w:hint="default" w:ascii="Times New Roman" w:hAnsi="Times New Roman" w:eastAsia="仿宋" w:cs="Times New Roman"/>
          <w:color w:val="auto"/>
          <w:sz w:val="32"/>
          <w:szCs w:val="32"/>
          <w:lang w:val="en-US" w:eastAsia="zh-CN"/>
        </w:rPr>
      </w:pPr>
      <w:r>
        <w:rPr>
          <w:rFonts w:hint="default" w:ascii="Times New Roman" w:hAnsi="Times New Roman" w:eastAsia="仿宋" w:cs="Times New Roman"/>
          <w:color w:val="auto"/>
          <w:kern w:val="0"/>
          <w:sz w:val="32"/>
          <w:szCs w:val="32"/>
          <w:lang w:val="en-US" w:eastAsia="zh-CN" w:bidi="ar-SA"/>
        </w:rPr>
        <w:t>2、</w:t>
      </w:r>
      <w:r>
        <w:rPr>
          <w:rStyle w:val="10"/>
          <w:rFonts w:hint="default" w:ascii="Times New Roman" w:hAnsi="Times New Roman" w:eastAsia="仿宋" w:cs="Times New Roman"/>
          <w:color w:val="auto"/>
          <w:kern w:val="0"/>
          <w:sz w:val="32"/>
          <w:szCs w:val="32"/>
          <w:highlight w:val="none"/>
          <w:lang w:val="en-US" w:eastAsia="zh-CN" w:bidi="ar-SA"/>
        </w:rPr>
        <w:t>水污染防治措施。</w:t>
      </w:r>
      <w:r>
        <w:rPr>
          <w:rStyle w:val="10"/>
          <w:rFonts w:hint="default" w:ascii="Times New Roman" w:hAnsi="Times New Roman" w:eastAsia="仿宋" w:cs="Times New Roman"/>
          <w:color w:val="auto"/>
          <w:sz w:val="32"/>
          <w:szCs w:val="32"/>
          <w:lang w:val="en-US" w:eastAsia="zh-CN"/>
        </w:rPr>
        <w:t>运营期生活污水、经隔油池处理的食堂废水及实验室普通废水经化粪池沉淀</w:t>
      </w:r>
      <w:r>
        <w:rPr>
          <w:rFonts w:hint="default" w:ascii="Times New Roman" w:hAnsi="Times New Roman" w:eastAsia="仿宋" w:cs="Times New Roman"/>
          <w:b w:val="0"/>
          <w:bCs w:val="0"/>
          <w:color w:val="auto"/>
          <w:sz w:val="32"/>
          <w:szCs w:val="32"/>
          <w:lang w:val="en-US" w:eastAsia="zh-CN"/>
        </w:rPr>
        <w:t>满足《污水综合排放标准》（GB8978-1996）三级标准后排入市政污水管网</w:t>
      </w:r>
      <w:r>
        <w:rPr>
          <w:rStyle w:val="10"/>
          <w:rFonts w:hint="default" w:ascii="Times New Roman" w:hAnsi="Times New Roman" w:eastAsia="仿宋" w:cs="Times New Roman"/>
          <w:color w:val="auto"/>
          <w:sz w:val="32"/>
          <w:szCs w:val="32"/>
          <w:lang w:val="en-US" w:eastAsia="zh-CN"/>
        </w:rPr>
        <w:t>。</w:t>
      </w:r>
    </w:p>
    <w:p w14:paraId="5458963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Style w:val="10"/>
          <w:rFonts w:hint="default" w:ascii="Times New Roman" w:hAnsi="Times New Roman" w:eastAsia="仿宋" w:cs="Times New Roman"/>
          <w:color w:val="auto"/>
          <w:sz w:val="32"/>
          <w:szCs w:val="32"/>
          <w:lang w:val="en-US" w:eastAsia="zh-CN"/>
        </w:rPr>
      </w:pPr>
      <w:r>
        <w:rPr>
          <w:rStyle w:val="10"/>
          <w:rFonts w:hint="default" w:ascii="Times New Roman" w:hAnsi="Times New Roman" w:eastAsia="仿宋" w:cs="Times New Roman"/>
          <w:color w:val="auto"/>
          <w:sz w:val="32"/>
          <w:szCs w:val="32"/>
          <w:lang w:val="en-US" w:eastAsia="zh-CN"/>
        </w:rPr>
        <w:t>3、噪声污染防治措施。运营期</w:t>
      </w:r>
      <w:r>
        <w:rPr>
          <w:rStyle w:val="10"/>
          <w:rFonts w:hint="default" w:ascii="Times New Roman" w:hAnsi="Times New Roman" w:eastAsia="仿宋" w:cs="Times New Roman"/>
          <w:color w:val="auto"/>
          <w:sz w:val="32"/>
          <w:szCs w:val="32"/>
          <w:lang w:eastAsia="zh-CN"/>
        </w:rPr>
        <w:t>校园边</w:t>
      </w:r>
      <w:r>
        <w:rPr>
          <w:rStyle w:val="10"/>
          <w:rFonts w:hint="default" w:ascii="Times New Roman" w:hAnsi="Times New Roman" w:eastAsia="仿宋" w:cs="Times New Roman"/>
          <w:color w:val="auto"/>
          <w:sz w:val="32"/>
          <w:szCs w:val="32"/>
        </w:rPr>
        <w:t>界噪声</w:t>
      </w:r>
      <w:r>
        <w:rPr>
          <w:rStyle w:val="10"/>
          <w:rFonts w:hint="default" w:ascii="Times New Roman" w:hAnsi="Times New Roman" w:eastAsia="仿宋" w:cs="Times New Roman"/>
          <w:color w:val="auto"/>
          <w:sz w:val="32"/>
          <w:szCs w:val="32"/>
          <w:lang w:val="en-US" w:eastAsia="zh-CN"/>
        </w:rPr>
        <w:t>满足</w:t>
      </w:r>
      <w:r>
        <w:rPr>
          <w:rStyle w:val="10"/>
          <w:rFonts w:hint="default" w:ascii="Times New Roman" w:hAnsi="Times New Roman" w:eastAsia="仿宋" w:cs="Times New Roman"/>
          <w:color w:val="auto"/>
          <w:sz w:val="32"/>
          <w:szCs w:val="32"/>
        </w:rPr>
        <w:t>《工业企业厂界环境噪声排放</w:t>
      </w:r>
      <w:r>
        <w:rPr>
          <w:rStyle w:val="10"/>
          <w:rFonts w:hint="default" w:ascii="Times New Roman" w:hAnsi="Times New Roman" w:eastAsia="仿宋" w:cs="Times New Roman"/>
          <w:color w:val="auto"/>
          <w:sz w:val="32"/>
          <w:szCs w:val="32"/>
          <w:lang w:val="en-US" w:eastAsia="zh-CN"/>
        </w:rPr>
        <w:t>标</w:t>
      </w:r>
      <w:r>
        <w:rPr>
          <w:rStyle w:val="10"/>
          <w:rFonts w:hint="default" w:ascii="Times New Roman" w:hAnsi="Times New Roman" w:eastAsia="仿宋" w:cs="Times New Roman"/>
          <w:color w:val="auto"/>
          <w:sz w:val="32"/>
          <w:szCs w:val="32"/>
        </w:rPr>
        <w:t>准》（GB12348-2008）中</w:t>
      </w:r>
      <w:r>
        <w:rPr>
          <w:rStyle w:val="10"/>
          <w:rFonts w:hint="default" w:ascii="Times New Roman" w:hAnsi="Times New Roman" w:eastAsia="仿宋" w:cs="Times New Roman"/>
          <w:color w:val="auto"/>
          <w:sz w:val="32"/>
          <w:szCs w:val="32"/>
          <w:lang w:val="en-US" w:eastAsia="zh-CN"/>
        </w:rPr>
        <w:t>2</w:t>
      </w:r>
      <w:r>
        <w:rPr>
          <w:rStyle w:val="10"/>
          <w:rFonts w:hint="default" w:ascii="Times New Roman" w:hAnsi="Times New Roman" w:eastAsia="仿宋" w:cs="Times New Roman"/>
          <w:color w:val="auto"/>
          <w:sz w:val="32"/>
          <w:szCs w:val="32"/>
        </w:rPr>
        <w:t>类标准</w:t>
      </w:r>
      <w:r>
        <w:rPr>
          <w:rStyle w:val="10"/>
          <w:rFonts w:hint="default" w:ascii="Times New Roman" w:hAnsi="Times New Roman" w:eastAsia="仿宋" w:cs="Times New Roman"/>
          <w:color w:val="auto"/>
          <w:sz w:val="32"/>
          <w:szCs w:val="32"/>
          <w:lang w:val="en-US" w:eastAsia="zh-CN"/>
        </w:rPr>
        <w:t>限值。</w:t>
      </w:r>
      <w:r>
        <w:rPr>
          <w:rStyle w:val="10"/>
          <w:rFonts w:hint="default" w:ascii="Times New Roman" w:hAnsi="Times New Roman" w:eastAsia="仿宋" w:cs="Times New Roman"/>
          <w:color w:val="auto"/>
          <w:sz w:val="32"/>
          <w:szCs w:val="32"/>
          <w:highlight w:val="none"/>
          <w:lang w:val="en-US" w:eastAsia="zh-CN"/>
        </w:rPr>
        <w:t>敏感点噪声满足《声环境质量标准》（GB3096-2008）中2类标准限值。</w:t>
      </w:r>
    </w:p>
    <w:p w14:paraId="3971C28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10"/>
          <w:rFonts w:hint="default" w:ascii="Times New Roman" w:hAnsi="Times New Roman" w:eastAsia="仿宋" w:cs="Times New Roman"/>
          <w:color w:val="auto"/>
          <w:sz w:val="32"/>
          <w:szCs w:val="32"/>
          <w:lang w:val="en-US" w:eastAsia="zh-CN"/>
        </w:rPr>
      </w:pPr>
      <w:r>
        <w:rPr>
          <w:rStyle w:val="10"/>
          <w:rFonts w:hint="default" w:ascii="Times New Roman" w:hAnsi="Times New Roman" w:eastAsia="仿宋" w:cs="Times New Roman"/>
          <w:color w:val="auto"/>
          <w:sz w:val="32"/>
          <w:szCs w:val="32"/>
          <w:lang w:val="en-US" w:eastAsia="zh-CN"/>
        </w:rPr>
        <w:t>4、妥善处置各类固体废弃物。建设单位须严格按照《一般工业固体废物贮存和填埋污染控制标准》（GB18599-2020）处置一般固废，不得乱弃。危废暂存间须严格按照《危险废物贮存污染控制标准》（GB18597-2023）进行设计、建设和管理。危险废物收集和运输等均按照《危险废物收集 贮存 运输技术规范》(HJ2025-2012)要求执行。危废必须由有资质单位处置。液态危险废物置于废液桶内，废液桶下设置防渗漏托盘，单个托盘可容纳渗漏量大于废液桶容积。</w:t>
      </w:r>
    </w:p>
    <w:p w14:paraId="5833E44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auto"/>
          <w:sz w:val="32"/>
          <w:szCs w:val="32"/>
        </w:rPr>
      </w:pPr>
      <w:r>
        <w:rPr>
          <w:rStyle w:val="10"/>
          <w:rFonts w:hint="default" w:ascii="Times New Roman" w:hAnsi="Times New Roman" w:eastAsia="仿宋" w:cs="Times New Roman"/>
          <w:color w:val="auto"/>
          <w:sz w:val="32"/>
          <w:szCs w:val="32"/>
          <w:lang w:val="en-US" w:eastAsia="zh-CN"/>
        </w:rPr>
        <w:t>5、强化环境风险防范，制定突发生</w:t>
      </w:r>
      <w:r>
        <w:rPr>
          <w:rFonts w:hint="default" w:ascii="Times New Roman" w:hAnsi="Times New Roman" w:eastAsia="仿宋" w:cs="Times New Roman"/>
          <w:strike w:val="0"/>
          <w:dstrike w:val="0"/>
          <w:color w:val="auto"/>
          <w:kern w:val="0"/>
          <w:sz w:val="32"/>
          <w:szCs w:val="32"/>
          <w:highlight w:val="none"/>
          <w:lang w:val="en-US" w:eastAsia="zh-CN" w:bidi="ar-SA"/>
        </w:rPr>
        <w:t>态</w:t>
      </w:r>
      <w:r>
        <w:rPr>
          <w:rFonts w:hint="default" w:ascii="Times New Roman" w:hAnsi="Times New Roman" w:eastAsia="仿宋" w:cs="Times New Roman"/>
          <w:strike w:val="0"/>
          <w:dstrike w:val="0"/>
          <w:color w:val="auto"/>
          <w:kern w:val="0"/>
          <w:sz w:val="32"/>
          <w:szCs w:val="32"/>
          <w:lang w:val="en-US" w:eastAsia="zh-CN" w:bidi="ar-SA"/>
        </w:rPr>
        <w:t>环境事件应急预案，落实环境风险事故防范措施，提高事故风险防范和污染控制能力。</w:t>
      </w:r>
    </w:p>
    <w:p w14:paraId="57E77BCD">
      <w:pPr>
        <w:pStyle w:val="6"/>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rPr>
          <w:rFonts w:hint="default" w:ascii="Times New Roman" w:hAnsi="Times New Roman" w:eastAsia="仿宋" w:cs="Times New Roman"/>
          <w:strike w:val="0"/>
          <w:dstrike w:val="0"/>
          <w:color w:val="auto"/>
          <w:kern w:val="0"/>
          <w:sz w:val="32"/>
          <w:szCs w:val="32"/>
          <w:lang w:val="en-US" w:eastAsia="zh-CN" w:bidi="ar-SA"/>
        </w:rPr>
      </w:pPr>
      <w:r>
        <w:rPr>
          <w:rFonts w:hint="default" w:ascii="Times New Roman" w:hAnsi="Times New Roman" w:eastAsia="仿宋" w:cs="Times New Roman"/>
          <w:strike w:val="0"/>
          <w:dstrike w:val="0"/>
          <w:color w:val="auto"/>
          <w:kern w:val="0"/>
          <w:sz w:val="32"/>
          <w:szCs w:val="32"/>
          <w:lang w:val="en-US" w:eastAsia="zh-CN" w:bidi="ar-SA"/>
        </w:rPr>
        <w:t>6、按照《排污口规范化整治技术要求》（环监〔1996〕470号）规范设置排污口。</w:t>
      </w:r>
    </w:p>
    <w:p w14:paraId="37BBEEBE">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both"/>
        <w:textAlignment w:val="auto"/>
        <w:rPr>
          <w:rStyle w:val="10"/>
          <w:rFonts w:hint="default" w:ascii="Times New Roman" w:hAnsi="Times New Roman" w:eastAsia="仿宋" w:cs="Times New Roman"/>
          <w:color w:val="auto"/>
          <w:sz w:val="32"/>
          <w:szCs w:val="32"/>
        </w:rPr>
      </w:pPr>
      <w:r>
        <w:rPr>
          <w:rFonts w:hint="default" w:ascii="Times New Roman" w:hAnsi="Times New Roman" w:eastAsia="仿宋" w:cs="Times New Roman"/>
          <w:strike w:val="0"/>
          <w:dstrike w:val="0"/>
          <w:color w:val="auto"/>
          <w:kern w:val="0"/>
          <w:sz w:val="32"/>
          <w:szCs w:val="32"/>
          <w:lang w:val="en-US" w:eastAsia="zh-CN" w:bidi="ar-SA"/>
        </w:rPr>
        <w:t>你单位应委托有相应资质的设计单位对建设项目重点环保设施进行设计，并在项目施工及运行过程中严格落实环保设施安全生产工作要求。</w:t>
      </w:r>
    </w:p>
    <w:p w14:paraId="0334E1D0">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both"/>
        <w:textAlignment w:val="auto"/>
        <w:rPr>
          <w:rStyle w:val="10"/>
          <w:rFonts w:hint="default" w:ascii="Times New Roman" w:hAnsi="Times New Roman" w:eastAsia="仿宋" w:cs="Times New Roman"/>
          <w:color w:val="auto"/>
          <w:sz w:val="32"/>
          <w:szCs w:val="32"/>
        </w:rPr>
      </w:pPr>
      <w:r>
        <w:rPr>
          <w:rStyle w:val="10"/>
          <w:rFonts w:hint="default" w:ascii="Times New Roman" w:hAnsi="Times New Roman" w:eastAsia="仿宋" w:cs="Times New Roman"/>
          <w:color w:val="auto"/>
          <w:sz w:val="32"/>
          <w:szCs w:val="32"/>
        </w:rPr>
        <w:t>你单位在该项目环保申报过程中如有瞒报、假报情形，则是严重的违法行为，须承担因此产生的一切后果。项目建设必须严格执行环境保护</w:t>
      </w:r>
      <w:r>
        <w:rPr>
          <w:rStyle w:val="10"/>
          <w:rFonts w:hint="default" w:ascii="Times New Roman" w:hAnsi="Times New Roman" w:eastAsia="仿宋" w:cs="Times New Roman"/>
          <w:color w:val="auto"/>
          <w:sz w:val="32"/>
          <w:szCs w:val="32"/>
          <w:lang w:eastAsia="zh-CN"/>
        </w:rPr>
        <w:t>“</w:t>
      </w:r>
      <w:r>
        <w:rPr>
          <w:rStyle w:val="10"/>
          <w:rFonts w:hint="default" w:ascii="Times New Roman" w:hAnsi="Times New Roman" w:eastAsia="仿宋" w:cs="Times New Roman"/>
          <w:color w:val="auto"/>
          <w:sz w:val="32"/>
          <w:szCs w:val="32"/>
        </w:rPr>
        <w:t>三同时</w:t>
      </w:r>
      <w:r>
        <w:rPr>
          <w:rStyle w:val="10"/>
          <w:rFonts w:hint="default" w:ascii="Times New Roman" w:hAnsi="Times New Roman" w:eastAsia="仿宋" w:cs="Times New Roman"/>
          <w:color w:val="auto"/>
          <w:sz w:val="32"/>
          <w:szCs w:val="32"/>
          <w:lang w:eastAsia="zh-CN"/>
        </w:rPr>
        <w:t>”</w:t>
      </w:r>
      <w:r>
        <w:rPr>
          <w:rStyle w:val="10"/>
          <w:rFonts w:hint="default" w:ascii="Times New Roman" w:hAnsi="Times New Roman" w:eastAsia="仿宋" w:cs="Times New Roman"/>
          <w:color w:val="auto"/>
          <w:sz w:val="32"/>
          <w:szCs w:val="32"/>
        </w:rPr>
        <w:t>制度。项目竣工后，须按照规定程序实施竣工环境保护验收</w:t>
      </w:r>
      <w:bookmarkStart w:id="0" w:name="_GoBack"/>
      <w:bookmarkEnd w:id="0"/>
      <w:r>
        <w:rPr>
          <w:rStyle w:val="10"/>
          <w:rFonts w:hint="default" w:ascii="Times New Roman" w:hAnsi="Times New Roman" w:eastAsia="仿宋" w:cs="Times New Roman"/>
          <w:color w:val="auto"/>
          <w:sz w:val="32"/>
          <w:szCs w:val="32"/>
        </w:rPr>
        <w:t>。</w:t>
      </w:r>
    </w:p>
    <w:p w14:paraId="75CEAFB4">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both"/>
        <w:textAlignment w:val="auto"/>
        <w:rPr>
          <w:rStyle w:val="10"/>
          <w:rFonts w:hint="default" w:ascii="Times New Roman" w:hAnsi="Times New Roman" w:eastAsia="仿宋" w:cs="Times New Roman"/>
          <w:color w:val="auto"/>
          <w:sz w:val="32"/>
          <w:szCs w:val="32"/>
        </w:rPr>
      </w:pPr>
      <w:r>
        <w:rPr>
          <w:rStyle w:val="10"/>
          <w:rFonts w:hint="default" w:ascii="Times New Roman" w:hAnsi="Times New Roman" w:eastAsia="仿宋" w:cs="Times New Roman"/>
          <w:color w:val="auto"/>
          <w:sz w:val="32"/>
          <w:szCs w:val="32"/>
        </w:rPr>
        <w:t>该项目事中事后监管由鄂尔多斯市生态环境综合行政执法支队东胜区大队负责</w:t>
      </w:r>
      <w:r>
        <w:rPr>
          <w:rStyle w:val="10"/>
          <w:rFonts w:hint="default" w:ascii="Times New Roman" w:hAnsi="Times New Roman" w:eastAsia="仿宋" w:cs="Times New Roman"/>
          <w:color w:val="auto"/>
          <w:sz w:val="32"/>
          <w:szCs w:val="32"/>
          <w:lang w:eastAsia="zh-CN"/>
        </w:rPr>
        <w:t>。</w:t>
      </w:r>
    </w:p>
    <w:p w14:paraId="1F724666">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both"/>
        <w:textAlignment w:val="auto"/>
        <w:rPr>
          <w:rStyle w:val="10"/>
          <w:rFonts w:hint="default" w:ascii="Times New Roman" w:hAnsi="Times New Roman" w:eastAsia="仿宋" w:cs="Times New Roman"/>
          <w:color w:val="auto"/>
          <w:sz w:val="32"/>
          <w:szCs w:val="32"/>
        </w:rPr>
      </w:pPr>
      <w:r>
        <w:rPr>
          <w:rStyle w:val="10"/>
          <w:rFonts w:hint="default" w:ascii="Times New Roman" w:hAnsi="Times New Roman" w:eastAsia="仿宋" w:cs="Times New Roman"/>
          <w:color w:val="auto"/>
          <w:sz w:val="32"/>
          <w:szCs w:val="32"/>
        </w:rPr>
        <w:t>该项目</w:t>
      </w:r>
      <w:r>
        <w:rPr>
          <w:rStyle w:val="10"/>
          <w:rFonts w:hint="default" w:ascii="Times New Roman" w:hAnsi="Times New Roman" w:eastAsia="仿宋" w:cs="Times New Roman"/>
          <w:color w:val="auto"/>
          <w:sz w:val="32"/>
          <w:szCs w:val="32"/>
          <w:lang w:val="en-US" w:eastAsia="zh-CN"/>
        </w:rPr>
        <w:t>自</w:t>
      </w:r>
      <w:r>
        <w:rPr>
          <w:rStyle w:val="10"/>
          <w:rFonts w:hint="default" w:ascii="Times New Roman" w:hAnsi="Times New Roman" w:eastAsia="仿宋" w:cs="Times New Roman"/>
          <w:color w:val="auto"/>
          <w:sz w:val="32"/>
          <w:szCs w:val="32"/>
        </w:rPr>
        <w:t>批准之日起超过5年方决定开工建设，其</w:t>
      </w:r>
      <w:r>
        <w:rPr>
          <w:rStyle w:val="10"/>
          <w:rFonts w:hint="default" w:ascii="Times New Roman" w:hAnsi="Times New Roman" w:eastAsia="仿宋" w:cs="Times New Roman"/>
          <w:color w:val="auto"/>
          <w:sz w:val="32"/>
          <w:szCs w:val="32"/>
          <w:lang w:val="en-US" w:eastAsia="zh-CN"/>
        </w:rPr>
        <w:t>生态环境影响报告表</w:t>
      </w:r>
      <w:r>
        <w:rPr>
          <w:rStyle w:val="10"/>
          <w:rFonts w:hint="default" w:ascii="Times New Roman" w:hAnsi="Times New Roman" w:eastAsia="仿宋" w:cs="Times New Roman"/>
          <w:color w:val="auto"/>
          <w:sz w:val="32"/>
          <w:szCs w:val="32"/>
        </w:rPr>
        <w:t>应重新审核。如果建设</w:t>
      </w:r>
      <w:r>
        <w:rPr>
          <w:rStyle w:val="10"/>
          <w:rFonts w:hint="default" w:ascii="Times New Roman" w:hAnsi="Times New Roman" w:eastAsia="仿宋" w:cs="Times New Roman"/>
          <w:color w:val="auto"/>
          <w:sz w:val="32"/>
          <w:szCs w:val="32"/>
          <w:lang w:val="en-US" w:eastAsia="zh-CN"/>
        </w:rPr>
        <w:t>项目的性质、</w:t>
      </w:r>
      <w:r>
        <w:rPr>
          <w:rStyle w:val="10"/>
          <w:rFonts w:hint="default" w:ascii="Times New Roman" w:hAnsi="Times New Roman" w:eastAsia="仿宋" w:cs="Times New Roman"/>
          <w:color w:val="auto"/>
          <w:sz w:val="32"/>
          <w:szCs w:val="32"/>
        </w:rPr>
        <w:t>规模、地点、</w:t>
      </w:r>
      <w:r>
        <w:rPr>
          <w:rStyle w:val="10"/>
          <w:rFonts w:hint="default" w:ascii="Times New Roman" w:hAnsi="Times New Roman" w:eastAsia="仿宋" w:cs="Times New Roman"/>
          <w:color w:val="auto"/>
          <w:sz w:val="32"/>
          <w:szCs w:val="32"/>
          <w:lang w:val="en-US" w:eastAsia="zh-CN"/>
        </w:rPr>
        <w:t>采用的生产工艺或者</w:t>
      </w:r>
      <w:r>
        <w:rPr>
          <w:rStyle w:val="10"/>
          <w:rFonts w:hint="default" w:ascii="Times New Roman" w:hAnsi="Times New Roman" w:eastAsia="仿宋" w:cs="Times New Roman"/>
          <w:color w:val="auto"/>
          <w:sz w:val="32"/>
          <w:szCs w:val="32"/>
        </w:rPr>
        <w:t>防治污染</w:t>
      </w:r>
      <w:r>
        <w:rPr>
          <w:rStyle w:val="10"/>
          <w:rFonts w:hint="default" w:ascii="Times New Roman" w:hAnsi="Times New Roman" w:eastAsia="仿宋" w:cs="Times New Roman"/>
          <w:color w:val="auto"/>
          <w:sz w:val="32"/>
          <w:szCs w:val="32"/>
          <w:lang w:eastAsia="zh-CN"/>
        </w:rPr>
        <w:t>、</w:t>
      </w:r>
      <w:r>
        <w:rPr>
          <w:rStyle w:val="10"/>
          <w:rFonts w:hint="default" w:ascii="Times New Roman" w:hAnsi="Times New Roman" w:eastAsia="仿宋" w:cs="Times New Roman"/>
          <w:color w:val="auto"/>
          <w:sz w:val="32"/>
          <w:szCs w:val="32"/>
        </w:rPr>
        <w:t>防止生态破坏的措施发生重大变化时，需重新报批</w:t>
      </w:r>
      <w:r>
        <w:rPr>
          <w:rStyle w:val="10"/>
          <w:rFonts w:hint="default" w:ascii="Times New Roman" w:hAnsi="Times New Roman" w:eastAsia="仿宋" w:cs="Times New Roman"/>
          <w:color w:val="auto"/>
          <w:sz w:val="32"/>
          <w:szCs w:val="32"/>
          <w:lang w:val="en-US" w:eastAsia="zh-CN"/>
        </w:rPr>
        <w:t>生态环境影响报告表</w:t>
      </w:r>
      <w:r>
        <w:rPr>
          <w:rStyle w:val="10"/>
          <w:rFonts w:hint="default" w:ascii="Times New Roman" w:hAnsi="Times New Roman" w:eastAsia="仿宋" w:cs="Times New Roman"/>
          <w:color w:val="auto"/>
          <w:sz w:val="32"/>
          <w:szCs w:val="32"/>
        </w:rPr>
        <w:t xml:space="preserve">。                                       </w:t>
      </w:r>
    </w:p>
    <w:p w14:paraId="576863DF">
      <w:pPr>
        <w:pStyle w:val="6"/>
        <w:jc w:val="left"/>
        <w:rPr>
          <w:rStyle w:val="10"/>
          <w:rFonts w:ascii="仿宋" w:hAnsi="仿宋" w:eastAsia="仿宋"/>
          <w:color w:val="auto"/>
          <w:sz w:val="32"/>
          <w:szCs w:val="32"/>
        </w:rPr>
      </w:pPr>
      <w:r>
        <w:rPr>
          <w:rFonts w:hint="default" w:ascii="Times New Roman" w:hAnsi="Times New Roman" w:cs="Times New Roman"/>
          <w:color w:val="auto"/>
          <w:lang w:val="en-US" w:eastAsia="zh-CN"/>
        </w:rPr>
        <w:t xml:space="preserve">  </w:t>
      </w:r>
      <w:r>
        <w:rPr>
          <w:rStyle w:val="10"/>
          <w:rFonts w:hint="default" w:ascii="Times New Roman" w:hAnsi="Times New Roman" w:eastAsia="仿宋" w:cs="Times New Roman"/>
          <w:color w:val="auto"/>
          <w:sz w:val="32"/>
          <w:szCs w:val="32"/>
        </w:rPr>
        <w:t xml:space="preserve">  </w:t>
      </w:r>
      <w:r>
        <w:rPr>
          <w:rStyle w:val="10"/>
          <w:rFonts w:ascii="仿宋" w:hAnsi="仿宋" w:eastAsia="仿宋"/>
          <w:color w:val="auto"/>
          <w:sz w:val="32"/>
          <w:szCs w:val="32"/>
        </w:rPr>
        <w:t xml:space="preserve">                                     </w:t>
      </w:r>
    </w:p>
    <w:p w14:paraId="2E28B7AC">
      <w:pPr>
        <w:pStyle w:val="4"/>
      </w:pPr>
    </w:p>
    <w:p w14:paraId="5B7F4B30">
      <w:pPr>
        <w:spacing w:line="360" w:lineRule="auto"/>
        <w:ind w:firstLine="3840" w:firstLineChars="1200"/>
        <w:textAlignment w:val="auto"/>
        <w:rPr>
          <w:rStyle w:val="10"/>
          <w:rFonts w:ascii="仿宋" w:hAnsi="仿宋" w:eastAsia="仿宋"/>
          <w:color w:val="auto"/>
          <w:sz w:val="32"/>
          <w:szCs w:val="32"/>
        </w:rPr>
      </w:pPr>
      <w:r>
        <w:rPr>
          <w:rStyle w:val="10"/>
          <w:rFonts w:hint="eastAsia" w:ascii="仿宋" w:hAnsi="仿宋" w:eastAsia="仿宋"/>
          <w:color w:val="auto"/>
          <w:sz w:val="32"/>
          <w:szCs w:val="32"/>
        </w:rPr>
        <w:t>鄂尔多斯市生态环境局东胜区分局</w:t>
      </w:r>
    </w:p>
    <w:p w14:paraId="03E8EE56">
      <w:pPr>
        <w:spacing w:line="360" w:lineRule="auto"/>
        <w:ind w:firstLine="640" w:firstLineChars="200"/>
        <w:textAlignment w:val="auto"/>
        <w:rPr>
          <w:rStyle w:val="10"/>
          <w:rFonts w:ascii="仿宋" w:hAnsi="仿宋" w:eastAsia="仿宋"/>
          <w:color w:val="auto"/>
          <w:sz w:val="32"/>
          <w:szCs w:val="32"/>
        </w:rPr>
      </w:pPr>
      <w:r>
        <w:rPr>
          <w:rStyle w:val="10"/>
          <w:rFonts w:ascii="仿宋" w:hAnsi="仿宋" w:eastAsia="仿宋"/>
          <w:color w:val="auto"/>
          <w:sz w:val="32"/>
          <w:szCs w:val="32"/>
        </w:rPr>
        <w:t xml:space="preserve">                           202</w:t>
      </w:r>
      <w:r>
        <w:rPr>
          <w:rStyle w:val="10"/>
          <w:rFonts w:hint="eastAsia" w:ascii="仿宋" w:hAnsi="仿宋" w:eastAsia="仿宋"/>
          <w:color w:val="auto"/>
          <w:sz w:val="32"/>
          <w:szCs w:val="32"/>
          <w:lang w:val="en-US" w:eastAsia="zh-CN"/>
        </w:rPr>
        <w:t>6</w:t>
      </w:r>
      <w:r>
        <w:rPr>
          <w:rStyle w:val="10"/>
          <w:rFonts w:hint="eastAsia" w:ascii="仿宋" w:hAnsi="仿宋" w:eastAsia="仿宋"/>
          <w:color w:val="auto"/>
          <w:sz w:val="32"/>
          <w:szCs w:val="32"/>
        </w:rPr>
        <w:t>年</w:t>
      </w:r>
      <w:r>
        <w:rPr>
          <w:rStyle w:val="10"/>
          <w:rFonts w:hint="eastAsia" w:ascii="仿宋" w:hAnsi="仿宋" w:eastAsia="仿宋"/>
          <w:color w:val="auto"/>
          <w:sz w:val="32"/>
          <w:szCs w:val="32"/>
          <w:lang w:val="en-US" w:eastAsia="zh-CN"/>
        </w:rPr>
        <w:t>9</w:t>
      </w:r>
      <w:r>
        <w:rPr>
          <w:rStyle w:val="10"/>
          <w:rFonts w:hint="eastAsia" w:ascii="仿宋" w:hAnsi="仿宋" w:eastAsia="仿宋"/>
          <w:color w:val="auto"/>
          <w:sz w:val="32"/>
          <w:szCs w:val="32"/>
        </w:rPr>
        <w:t>月</w:t>
      </w:r>
      <w:r>
        <w:rPr>
          <w:rStyle w:val="10"/>
          <w:rFonts w:hint="eastAsia" w:ascii="仿宋" w:hAnsi="仿宋" w:eastAsia="仿宋"/>
          <w:color w:val="auto"/>
          <w:sz w:val="32"/>
          <w:szCs w:val="32"/>
          <w:lang w:val="en-US" w:eastAsia="zh-CN"/>
        </w:rPr>
        <w:t>21</w:t>
      </w:r>
      <w:r>
        <w:rPr>
          <w:rStyle w:val="10"/>
          <w:rFonts w:hint="eastAsia" w:ascii="仿宋" w:hAnsi="仿宋" w:eastAsia="仿宋"/>
          <w:color w:val="auto"/>
          <w:sz w:val="32"/>
          <w:szCs w:val="32"/>
        </w:rPr>
        <w:t>日</w:t>
      </w:r>
      <w:r>
        <w:rPr>
          <w:rStyle w:val="10"/>
          <w:rFonts w:ascii="仿宋" w:hAnsi="仿宋" w:eastAsia="仿宋"/>
          <w:color w:val="auto"/>
          <w:sz w:val="32"/>
          <w:szCs w:val="32"/>
        </w:rPr>
        <w:t xml:space="preserve"> </w:t>
      </w:r>
    </w:p>
    <w:p w14:paraId="2960EE97">
      <w:pPr>
        <w:pStyle w:val="2"/>
        <w:rPr>
          <w:rStyle w:val="10"/>
          <w:rFonts w:ascii="仿宋" w:hAnsi="仿宋" w:eastAsia="仿宋"/>
          <w:color w:val="auto"/>
          <w:sz w:val="32"/>
          <w:szCs w:val="32"/>
        </w:rPr>
      </w:pPr>
    </w:p>
    <w:p w14:paraId="5237A72B">
      <w:pPr>
        <w:pStyle w:val="2"/>
        <w:rPr>
          <w:rStyle w:val="10"/>
          <w:rFonts w:ascii="仿宋" w:hAnsi="仿宋" w:eastAsia="仿宋"/>
          <w:color w:val="auto"/>
          <w:sz w:val="32"/>
          <w:szCs w:val="32"/>
        </w:rPr>
      </w:pPr>
    </w:p>
    <w:p w14:paraId="779168E9">
      <w:pPr>
        <w:pStyle w:val="2"/>
        <w:rPr>
          <w:rStyle w:val="10"/>
          <w:rFonts w:ascii="仿宋" w:hAnsi="仿宋" w:eastAsia="仿宋"/>
          <w:color w:val="auto"/>
          <w:sz w:val="32"/>
          <w:szCs w:val="32"/>
        </w:rPr>
      </w:pPr>
    </w:p>
    <w:p w14:paraId="494CAD32">
      <w:pPr>
        <w:spacing w:line="560" w:lineRule="exact"/>
        <w:ind w:right="168" w:firstLine="210" w:firstLineChars="100"/>
      </w:pPr>
      <w:r>
        <w:rPr>
          <w:color w:val="auto"/>
        </w:rPr>
        <mc:AlternateContent>
          <mc:Choice Requires="wps">
            <w:drawing>
              <wp:anchor distT="0" distB="0" distL="114300" distR="114300" simplePos="0" relativeHeight="251660288" behindDoc="0" locked="0" layoutInCell="1" allowOverlap="1">
                <wp:simplePos x="0" y="0"/>
                <wp:positionH relativeFrom="column">
                  <wp:posOffset>27305</wp:posOffset>
                </wp:positionH>
                <wp:positionV relativeFrom="paragraph">
                  <wp:posOffset>109220</wp:posOffset>
                </wp:positionV>
                <wp:extent cx="5615940" cy="635"/>
                <wp:effectExtent l="0" t="0" r="0" b="0"/>
                <wp:wrapNone/>
                <wp:docPr id="2" name="直接连接符 2"/>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_x0000_s1026" o:spid="_x0000_s1026" o:spt="20" style="position:absolute;left:0pt;margin-left:2.15pt;margin-top:8.6pt;height:0.05pt;width:442.2pt;z-index:251660288;mso-width-relative:page;mso-height-relative:page;" filled="f" stroked="t" coordsize="21600,21600" o:gfxdata="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PxsOinVAAAABwEAAA8AAAAAAAAAAQAgAAAAIgAAAGRycy9kb3ducmV2&#10;LnhtbFBLAQIUABQAAAAIAIdO4kBiirp9/wEAAP4DAAAOAAAAAAAAAAEAIAAAACQBAABkcnMvZTJv&#10;RG9jLnhtbFBLBQYAAAAABgAGAFkBAACVBQAAAAA=&#10;">
                <v:fill on="f" focussize="0,0"/>
                <v:stroke color="#000000" joinstyle="miter"/>
                <v:imagedata o:title=""/>
                <o:lock v:ext="edit" aspectratio="f"/>
              </v:line>
            </w:pict>
          </mc:Fallback>
        </mc:AlternateContent>
      </w:r>
      <w:r>
        <w:rPr>
          <w:rStyle w:val="10"/>
          <w:rFonts w:hint="eastAsia" w:ascii="仿宋" w:hAnsi="仿宋" w:eastAsia="仿宋"/>
          <w:color w:val="auto"/>
          <w:sz w:val="28"/>
          <w:szCs w:val="28"/>
        </w:rPr>
        <w:t>鄂尔多斯市生态环境局东胜区分局</w:t>
      </w:r>
      <w:r>
        <w:rPr>
          <w:color w:val="auto"/>
        </w:rPr>
        <mc:AlternateContent>
          <mc:Choice Requires="wps">
            <w:drawing>
              <wp:anchor distT="0" distB="0" distL="114300" distR="114300" simplePos="0" relativeHeight="251659264" behindDoc="0" locked="0" layoutInCell="1" allowOverlap="1">
                <wp:simplePos x="0" y="0"/>
                <wp:positionH relativeFrom="column">
                  <wp:posOffset>20955</wp:posOffset>
                </wp:positionH>
                <wp:positionV relativeFrom="paragraph">
                  <wp:posOffset>338455</wp:posOffset>
                </wp:positionV>
                <wp:extent cx="5615940" cy="635"/>
                <wp:effectExtent l="0" t="0" r="0" b="0"/>
                <wp:wrapNone/>
                <wp:docPr id="1" name="直接连接符 1"/>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_x0000_s1026" o:spid="_x0000_s1026" o:spt="20" style="position:absolute;left:0pt;margin-left:1.65pt;margin-top:26.65pt;height:0.05pt;width:442.2pt;z-index:251659264;mso-width-relative:page;mso-height-relative:page;" filled="f" stroked="t" coordsize="21600,21600" o:gfxdata="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DpuSVK1gAAAAcBAAAPAAAAAAAAAAEAIAAAACIAAABkcnMvZG93bnJl&#10;di54bWxQSwECFAAUAAAACACHTuJA+xSa6/8BAAD+AwAADgAAAAAAAAABACAAAAAlAQAAZHJzL2Uy&#10;b0RvYy54bWxQSwUGAAAAAAYABgBZAQAAlgUAAAAA&#10;">
                <v:fill on="f" focussize="0,0"/>
                <v:stroke color="#000000" joinstyle="miter"/>
                <v:imagedata o:title=""/>
                <o:lock v:ext="edit" aspectratio="f"/>
              </v:line>
            </w:pict>
          </mc:Fallback>
        </mc:AlternateContent>
      </w:r>
      <w:r>
        <w:rPr>
          <w:rStyle w:val="10"/>
          <w:rFonts w:ascii="仿宋" w:hAnsi="仿宋" w:eastAsia="仿宋"/>
          <w:color w:val="auto"/>
          <w:sz w:val="28"/>
          <w:szCs w:val="28"/>
        </w:rPr>
        <w:t xml:space="preserve">    </w:t>
      </w:r>
      <w:r>
        <w:rPr>
          <w:rStyle w:val="10"/>
          <w:rFonts w:hint="eastAsia" w:ascii="仿宋" w:hAnsi="仿宋" w:eastAsia="仿宋"/>
          <w:color w:val="auto"/>
          <w:sz w:val="28"/>
          <w:szCs w:val="28"/>
          <w:lang w:val="en-US" w:eastAsia="zh-CN"/>
        </w:rPr>
        <w:t xml:space="preserve">     </w:t>
      </w:r>
      <w:r>
        <w:rPr>
          <w:rStyle w:val="10"/>
          <w:rFonts w:ascii="仿宋" w:hAnsi="仿宋" w:eastAsia="仿宋"/>
          <w:color w:val="auto"/>
          <w:sz w:val="28"/>
          <w:szCs w:val="28"/>
        </w:rPr>
        <w:t xml:space="preserve"> 202</w:t>
      </w:r>
      <w:r>
        <w:rPr>
          <w:rStyle w:val="10"/>
          <w:rFonts w:hint="eastAsia" w:ascii="仿宋" w:hAnsi="仿宋" w:eastAsia="仿宋"/>
          <w:color w:val="auto"/>
          <w:sz w:val="28"/>
          <w:szCs w:val="28"/>
          <w:lang w:val="en-US" w:eastAsia="zh-CN"/>
        </w:rPr>
        <w:t>6</w:t>
      </w:r>
      <w:r>
        <w:rPr>
          <w:rStyle w:val="10"/>
          <w:rFonts w:hint="eastAsia" w:ascii="仿宋" w:hAnsi="仿宋" w:eastAsia="仿宋"/>
          <w:color w:val="auto"/>
          <w:sz w:val="28"/>
          <w:szCs w:val="28"/>
        </w:rPr>
        <w:t>年</w:t>
      </w:r>
      <w:r>
        <w:rPr>
          <w:rStyle w:val="10"/>
          <w:rFonts w:hint="eastAsia" w:ascii="仿宋" w:hAnsi="仿宋" w:eastAsia="仿宋"/>
          <w:color w:val="auto"/>
          <w:sz w:val="28"/>
          <w:szCs w:val="28"/>
          <w:lang w:val="en-US" w:eastAsia="zh-CN"/>
        </w:rPr>
        <w:t>9</w:t>
      </w:r>
      <w:r>
        <w:rPr>
          <w:rStyle w:val="10"/>
          <w:rFonts w:hint="eastAsia" w:ascii="仿宋" w:hAnsi="仿宋" w:eastAsia="仿宋"/>
          <w:color w:val="auto"/>
          <w:sz w:val="28"/>
          <w:szCs w:val="28"/>
        </w:rPr>
        <w:t>月</w:t>
      </w:r>
      <w:r>
        <w:rPr>
          <w:rStyle w:val="10"/>
          <w:rFonts w:hint="eastAsia" w:ascii="仿宋" w:hAnsi="仿宋" w:eastAsia="仿宋"/>
          <w:color w:val="auto"/>
          <w:sz w:val="28"/>
          <w:szCs w:val="28"/>
          <w:lang w:val="en-US" w:eastAsia="zh-CN"/>
        </w:rPr>
        <w:t>21</w:t>
      </w:r>
      <w:r>
        <w:rPr>
          <w:rStyle w:val="10"/>
          <w:rFonts w:hint="eastAsia" w:ascii="仿宋" w:hAnsi="仿宋" w:eastAsia="仿宋"/>
          <w:color w:val="auto"/>
          <w:sz w:val="28"/>
          <w:szCs w:val="28"/>
        </w:rPr>
        <w:t>日印发</w:t>
      </w:r>
    </w:p>
    <w:sectPr>
      <w:headerReference r:id="rId5" w:type="default"/>
      <w:footerReference r:id="rId6" w:type="default"/>
      <w:footerReference r:id="rId7" w:type="even"/>
      <w:pgSz w:w="11905" w:h="16837"/>
      <w:pgMar w:top="1700" w:right="1531" w:bottom="1417" w:left="1531" w:header="566" w:footer="566" w:gutter="0"/>
      <w:pgNumType w:fmt="numberInDash"/>
      <w:cols w:space="720" w:num="1"/>
      <w:docGrid w:linePitch="28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roman"/>
    <w:pitch w:val="default"/>
    <w:sig w:usb0="E0002EFF" w:usb1="C000785B" w:usb2="00000009" w:usb3="00000000" w:csb0="400001FF" w:csb1="FFFF0000"/>
  </w:font>
  <w:font w:name="宋体">
    <w:panose1 w:val="02010600030101010101"/>
    <w:charset w:val="7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3758F9">
    <w:pPr>
      <w:pStyle w:val="5"/>
      <w:jc w:val="right"/>
      <w:rPr>
        <w:rStyle w:val="10"/>
      </w:rPr>
    </w:pPr>
    <w: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646FFCE3">
                          <w:pPr>
                            <w:pStyle w:val="5"/>
                          </w:pPr>
                          <w:r>
                            <w:fldChar w:fldCharType="begin"/>
                          </w:r>
                          <w:r>
                            <w:instrText xml:space="preserve"> PAGE  \* MERGEFORMAT </w:instrText>
                          </w:r>
                          <w:r>
                            <w:fldChar w:fldCharType="separate"/>
                          </w:r>
                          <w:r>
                            <w:t>- 3 -</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BS3tjc0BAACnAwAADgAAAAAAAAABACAAAAAeAQAAZHJzL2Uy&#10;b0RvYy54bWxQSwUGAAAAAAYABgBZAQAAXQUAAAAA&#10;">
              <v:fill on="f" focussize="0,0"/>
              <v:stroke on="f"/>
              <v:imagedata o:title=""/>
              <o:lock v:ext="edit" aspectratio="f"/>
              <v:textbox inset="0mm,0mm,0mm,0mm" style="mso-fit-shape-to-text:t;">
                <w:txbxContent>
                  <w:p w14:paraId="646FFCE3">
                    <w:pPr>
                      <w:pStyle w:val="5"/>
                    </w:pPr>
                    <w:r>
                      <w:fldChar w:fldCharType="begin"/>
                    </w:r>
                    <w:r>
                      <w:instrText xml:space="preserve"> PAGE  \* MERGEFORMAT </w:instrText>
                    </w:r>
                    <w:r>
                      <w:fldChar w:fldCharType="separate"/>
                    </w:r>
                    <w:r>
                      <w:t>- 3 -</w:t>
                    </w:r>
                    <w:r>
                      <w:fldChar w:fldCharType="end"/>
                    </w:r>
                  </w:p>
                </w:txbxContent>
              </v:textbox>
            </v:shape>
          </w:pict>
        </mc:Fallback>
      </mc:AlternateContent>
    </w:r>
  </w:p>
  <w:p w14:paraId="62DD8B43">
    <w:pPr>
      <w:snapToGrid w:val="0"/>
      <w:spacing w:line="240" w:lineRule="atLeast"/>
      <w:jc w:val="center"/>
      <w:rPr>
        <w:rStyle w:val="1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BE0A5A">
    <w:pPr>
      <w:pStyle w:val="5"/>
      <w:ind w:right="720"/>
      <w:rPr>
        <w:rStyle w:val="10"/>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1317A4A6">
                          <w:pPr>
                            <w:pStyle w:val="5"/>
                          </w:pPr>
                          <w:r>
                            <w:fldChar w:fldCharType="begin"/>
                          </w:r>
                          <w:r>
                            <w:instrText xml:space="preserve"> PAGE  \* MERGEFORMAT </w:instrText>
                          </w:r>
                          <w:r>
                            <w:fldChar w:fldCharType="separate"/>
                          </w:r>
                          <w:r>
                            <w:t>- 2 -</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1ZrAS80BAACnAwAADgAAAAAAAAABACAAAAAeAQAAZHJzL2Uy&#10;b0RvYy54bWxQSwUGAAAAAAYABgBZAQAAXQUAAAAA&#10;">
              <v:fill on="f" focussize="0,0"/>
              <v:stroke on="f"/>
              <v:imagedata o:title=""/>
              <o:lock v:ext="edit" aspectratio="f"/>
              <v:textbox inset="0mm,0mm,0mm,0mm" style="mso-fit-shape-to-text:t;">
                <w:txbxContent>
                  <w:p w14:paraId="1317A4A6">
                    <w:pPr>
                      <w:pStyle w:val="5"/>
                    </w:pPr>
                    <w:r>
                      <w:fldChar w:fldCharType="begin"/>
                    </w:r>
                    <w:r>
                      <w:instrText xml:space="preserve"> PAGE  \* MERGEFORMAT </w:instrText>
                    </w:r>
                    <w:r>
                      <w:fldChar w:fldCharType="separate"/>
                    </w:r>
                    <w:r>
                      <w:t>- 2 -</w:t>
                    </w:r>
                    <w:r>
                      <w:fldChar w:fldCharType="end"/>
                    </w:r>
                  </w:p>
                </w:txbxContent>
              </v:textbox>
            </v:shape>
          </w:pict>
        </mc:Fallback>
      </mc:AlternateContent>
    </w:r>
  </w:p>
  <w:p w14:paraId="33D005E2">
    <w:pPr>
      <w:pStyle w:val="5"/>
      <w:rPr>
        <w:rStyle w:val="1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A546B4">
    <w:pPr>
      <w:snapToGrid w:val="0"/>
      <w:spacing w:line="240" w:lineRule="atLeast"/>
      <w:rPr>
        <w:rStyle w:val="10"/>
      </w:rPr>
    </w:pPr>
    <w:r>
      <mc:AlternateContent>
        <mc:Choice Requires="wps">
          <w:drawing>
            <wp:anchor distT="0" distB="0" distL="114300" distR="114300" simplePos="0" relativeHeight="251659264" behindDoc="1" locked="0" layoutInCell="0" allowOverlap="1">
              <wp:simplePos x="0" y="0"/>
              <wp:positionH relativeFrom="page">
                <wp:posOffset>1007745</wp:posOffset>
              </wp:positionH>
              <wp:positionV relativeFrom="page">
                <wp:posOffset>359410</wp:posOffset>
              </wp:positionV>
              <wp:extent cx="5579745" cy="179705"/>
              <wp:effectExtent l="0" t="0" r="0" b="0"/>
              <wp:wrapNone/>
              <wp:docPr id="3" name="文本框 3"/>
              <wp:cNvGraphicFramePr/>
              <a:graphic xmlns:a="http://schemas.openxmlformats.org/drawingml/2006/main">
                <a:graphicData uri="http://schemas.microsoft.com/office/word/2010/wordprocessingShape">
                  <wps:wsp>
                    <wps:cNvSpPr txBox="1"/>
                    <wps:spPr>
                      <a:xfrm>
                        <a:off x="0" y="0"/>
                        <a:ext cx="5579745" cy="179705"/>
                      </a:xfrm>
                      <a:prstGeom prst="rect">
                        <a:avLst/>
                      </a:prstGeom>
                      <a:noFill/>
                      <a:ln>
                        <a:noFill/>
                      </a:ln>
                      <a:effectLst>
                        <a:outerShdw dist="35921" dir="2699999" algn="ctr" rotWithShape="0">
                          <a:srgbClr val="A0A0A4"/>
                        </a:outerShdw>
                      </a:effectLst>
                    </wps:spPr>
                    <wps:bodyPr upright="1"/>
                  </wps:wsp>
                </a:graphicData>
              </a:graphic>
            </wp:anchor>
          </w:drawing>
        </mc:Choice>
        <mc:Fallback>
          <w:pict>
            <v:shape id="_x0000_s1026" o:spid="_x0000_s1026" o:spt="202" type="#_x0000_t202" style="position:absolute;left:0pt;margin-left:79.35pt;margin-top:28.3pt;height:14.15pt;width:439.35pt;mso-position-horizontal-relative:page;mso-position-vertical-relative:page;z-index:-251657216;mso-width-relative:page;mso-height-relative:page;" filled="f" stroked="f" coordsize="21600,21600" o:allowincell="f" o:gfxdata="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5TyNH9wAAAAKAQAADwAAAAAAAAABACAAAAAiAAAAZHJzL2Rvd25yZXYueG1sUEsBAhQA&#10;FAAAAAgAh07iQIjoEzLuAQAAyQMAAA4AAAAAAAAAAQAgAAAAKwEAAGRycy9lMm9Eb2MueG1sUEsF&#10;BgAAAAAGAAYAWQEAAIsFAAAAAA==&#10;">
              <v:fill on="f" focussize="0,0"/>
              <v:stroke on="f"/>
              <v:imagedata o:title=""/>
              <o:lock v:ext="edit" aspectratio="f"/>
              <v:shadow on="t" color="#A0A0A4" offset="2pt,2pt" origin="0f,0f" matrix="65536f,0f,0f,65536f"/>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A8A7D25"/>
    <w:multiLevelType w:val="singleLevel"/>
    <w:tmpl w:val="6A8A7D25"/>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AF47586"/>
    <w:rsid w:val="0DD226E8"/>
    <w:rsid w:val="0E4017EB"/>
    <w:rsid w:val="130D4A48"/>
    <w:rsid w:val="39317DFF"/>
    <w:rsid w:val="393D0552"/>
    <w:rsid w:val="3995213C"/>
    <w:rsid w:val="3A661D2A"/>
    <w:rsid w:val="3D6407A3"/>
    <w:rsid w:val="422A785B"/>
    <w:rsid w:val="42A653BA"/>
    <w:rsid w:val="46A86D05"/>
    <w:rsid w:val="4B197DBB"/>
    <w:rsid w:val="4C1B2975"/>
    <w:rsid w:val="51230243"/>
    <w:rsid w:val="55D41DE6"/>
    <w:rsid w:val="56D51E02"/>
    <w:rsid w:val="607C6844"/>
    <w:rsid w:val="69640A2D"/>
    <w:rsid w:val="6BAA7419"/>
    <w:rsid w:val="74D15E35"/>
    <w:rsid w:val="78DE69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357" w:lineRule="atLeast"/>
      <w:jc w:val="both"/>
      <w:textAlignment w:val="baseline"/>
    </w:pPr>
    <w:rPr>
      <w:rFonts w:ascii="Times New Roman" w:hAnsi="Times New Roman" w:eastAsia="宋体" w:cs="Times New Roman"/>
      <w:color w:val="000000"/>
      <w:sz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customStyle="1" w:styleId="2">
    <w:name w:val="正文样式"/>
    <w:basedOn w:val="1"/>
    <w:qFormat/>
    <w:uiPriority w:val="0"/>
    <w:pPr>
      <w:spacing w:line="520" w:lineRule="exact"/>
      <w:ind w:firstLine="562"/>
    </w:pPr>
    <w:rPr>
      <w:rFonts w:cs="宋体"/>
      <w:sz w:val="28"/>
      <w:szCs w:val="28"/>
    </w:rPr>
  </w:style>
  <w:style w:type="paragraph" w:styleId="3">
    <w:name w:val="Body Text Indent"/>
    <w:basedOn w:val="1"/>
    <w:qFormat/>
    <w:uiPriority w:val="99"/>
    <w:pPr>
      <w:ind w:left="420" w:leftChars="200"/>
    </w:pPr>
  </w:style>
  <w:style w:type="paragraph" w:styleId="4">
    <w:name w:val="Body Text Indent 2"/>
    <w:basedOn w:val="1"/>
    <w:next w:val="1"/>
    <w:qFormat/>
    <w:uiPriority w:val="0"/>
    <w:pPr>
      <w:spacing w:line="360" w:lineRule="auto"/>
      <w:ind w:firstLine="624"/>
      <w:jc w:val="left"/>
    </w:pPr>
    <w:rPr>
      <w:rFonts w:ascii="宋体"/>
      <w:sz w:val="28"/>
    </w:rPr>
  </w:style>
  <w:style w:type="paragraph" w:styleId="5">
    <w:name w:val="footer"/>
    <w:basedOn w:val="1"/>
    <w:qFormat/>
    <w:uiPriority w:val="99"/>
    <w:pPr>
      <w:tabs>
        <w:tab w:val="center" w:pos="4153"/>
        <w:tab w:val="right" w:pos="8306"/>
      </w:tabs>
      <w:snapToGrid w:val="0"/>
      <w:jc w:val="left"/>
    </w:pPr>
    <w:rPr>
      <w:sz w:val="18"/>
    </w:rPr>
  </w:style>
  <w:style w:type="paragraph" w:styleId="6">
    <w:name w:val="Body Text First Indent 2"/>
    <w:basedOn w:val="3"/>
    <w:next w:val="1"/>
    <w:qFormat/>
    <w:uiPriority w:val="99"/>
    <w:pPr>
      <w:spacing w:line="240" w:lineRule="auto"/>
      <w:ind w:firstLine="420"/>
    </w:pPr>
  </w:style>
  <w:style w:type="character" w:styleId="9">
    <w:name w:val="Hyperlink"/>
    <w:basedOn w:val="8"/>
    <w:qFormat/>
    <w:uiPriority w:val="0"/>
    <w:rPr>
      <w:color w:val="0000FF"/>
      <w:u w:val="single"/>
    </w:rPr>
  </w:style>
  <w:style w:type="character" w:customStyle="1" w:styleId="10">
    <w:name w:val="NormalCharacter"/>
    <w:semiHidden/>
    <w:qFormat/>
    <w:uiPriority w:val="99"/>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ad0e8aba-f303-4226-89d0-af34175e9508</errorID>
      <errorWord>报告表</errorWord>
      <group>L1_Word</group>
      <groupName>字词问题</groupName>
      <ability>L2_Typo</ability>
      <abilityName>字词错误</abilityName>
      <candidateList>
        <item>报告</item>
      </candidateList>
      <explain/>
      <paraID>5D0D65E2</paraID>
      <start>1</start>
      <end>4</end>
      <status>ignored</status>
      <modifiedWord/>
      <trackRevisions>false</trackRevisions>
    </reviewItem>
    <reviewItem>
      <errorID>3903477b-f01d-4829-9a82-31e40bbc6e22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411D7B17</paraID>
      <start>0</start>
      <end>2</end>
      <status>unmodified</status>
      <modifiedWord/>
      <trackRevisions>false</trackRevisions>
    </reviewItem>
    <reviewItem>
      <errorID>110ab2c9-5be2-4cfd-9402-dc327874615f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5423911F</paraID>
      <start>0</start>
      <end>2</end>
      <status>unmodified</status>
      <modifiedWord/>
      <trackRevisions>false</trackRevisions>
    </reviewItem>
    <reviewItem>
      <errorID>c345a868-f19d-4dcf-b0bc-d1db09c65196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334B026F</paraID>
      <start>0</start>
      <end>2</end>
      <status>unmodified</status>
      <modifiedWord/>
      <trackRevisions>false</trackRevisions>
    </reviewItem>
    <reviewItem>
      <errorID>1689d6ac-24f2-4974-ad1e-66269f61c658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67EA0ECA</paraID>
      <start>0</start>
      <end>2</end>
      <status>unmodified</status>
      <modifiedWord/>
      <trackRevisions>false</trackRevisions>
    </reviewItem>
    <reviewItem>
      <errorID>fa0d39b8-b011-4ada-966d-1224e7707826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315D6F98</paraID>
      <start>0</start>
      <end>2</end>
      <status>unmodified</status>
      <modifiedWord/>
      <trackRevisions>false</trackRevisions>
    </reviewItem>
    <reviewItem>
      <errorID>2190f93b-718d-4d84-849c-ed6359d9613c</errorID>
      <errorWord>(</errorWord>
      <group>L1_Format</group>
      <groupName>格式问题</groupName>
      <ability>L2_HalfPunc_CN</ability>
      <abilityName>全半角问题</abilityName>
      <candidateList>
        <item>（</item>
      </candidateList>
      <explain>文本全半角错误。</explain>
      <paraID>315D6F98</paraID>
      <start>293</start>
      <end>294</end>
      <status>unmodified</status>
      <modifiedWord/>
      <trackRevisions>false</trackRevisions>
    </reviewItem>
    <reviewItem>
      <errorID>2cd2437d-7d8a-44e1-be82-90362474b462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4664475E</paraID>
      <start>0</start>
      <end>2</end>
      <status>unmodified</status>
      <modifiedWord/>
      <trackRevisions>false</trackRevisions>
    </reviewItem>
    <reviewItem>
      <errorID>cc11a604-93cc-407a-b712-aff6bf43218d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5458963D</paraID>
      <start>0</start>
      <end>2</end>
      <status>unmodified</status>
      <modifiedWord/>
      <trackRevisions>false</trackRevisions>
    </reviewItem>
    <reviewItem>
      <errorID>7d2c4275-a72e-458b-b652-b81a703df62f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3971C285</paraID>
      <start>0</start>
      <end>2</end>
      <status>unmodified</status>
      <modifiedWord/>
      <trackRevisions>false</trackRevisions>
    </reviewItem>
    <reviewItem>
      <errorID>d9b2e8f7-3bd7-473f-afbe-25279503c304</errorID>
      <errorWord>(</errorWord>
      <group>L1_Format</group>
      <groupName>格式问题</groupName>
      <ability>L2_HalfPunc_CN</ability>
      <abilityName>全半角问题</abilityName>
      <candidateList>
        <item>（</item>
      </candidateList>
      <explain>文本全半角错误。</explain>
      <paraID>3971C285</paraID>
      <start>150</start>
      <end>151</end>
      <status>unmodified</status>
      <modifiedWord/>
      <trackRevisions>false</trackRevisions>
    </reviewItem>
    <reviewItem>
      <errorID>972600c1-9d53-42c9-b899-70d09f404828</errorID>
      <errorWord>)</errorWord>
      <group>L1_Format</group>
      <groupName>格式问题</groupName>
      <ability>L2_HalfPunc_CN</ability>
      <abilityName>全半角问题</abilityName>
      <candidateList>
        <item>）</item>
      </candidateList>
      <explain>文本全半角错误。</explain>
      <paraID>3971C285</paraID>
      <start>162</start>
      <end>163</end>
      <status>unmodified</status>
      <modifiedWord/>
      <trackRevisions>false</trackRevisions>
    </reviewItem>
    <reviewItem>
      <errorID>dd3ca101-0977-4668-9cd4-643fc613af50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5833E44E</paraID>
      <start>0</start>
      <end>2</end>
      <status>unmodified</status>
      <modifiedWord/>
      <trackRevisions>false</trackRevisions>
    </reviewItem>
    <reviewItem>
      <errorID>d3383ad4-a1bc-48ae-9b90-d4c95083c4c9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57E77BCD</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b92c3a4-ee0f-428e-a073-9e7a7c50911b}">
  <ds:schemaRefs/>
</ds:datastoreItem>
</file>

<file path=docProps/app.xml><?xml version="1.0" encoding="utf-8"?>
<Properties xmlns="http://schemas.openxmlformats.org/officeDocument/2006/extended-properties" xmlns:vt="http://schemas.openxmlformats.org/officeDocument/2006/docPropsVTypes">
  <Template>Normal.dotm</Template>
  <Pages>4</Pages>
  <Words>1728</Words>
  <Characters>1906</Characters>
  <Lines>0</Lines>
  <Paragraphs>0</Paragraphs>
  <TotalTime>16</TotalTime>
  <ScaleCrop>false</ScaleCrop>
  <LinksUpToDate>false</LinksUpToDate>
  <CharactersWithSpaces>2027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2026-09-11T03:04:00Z</dcterms:created>
  <dc:creator>Administrator</dc:creator>
  <cp:lastModifiedBy>Coco</cp:lastModifiedBy>
  <cp:lastPrinted>2026-09-21T02:06:20Z</cp:lastPrinted>
  <dcterms:modified xsi:type="dcterms:W3CDTF">2026-09-21T02:06:35Z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eyJoZGlkIjoiZGMyN2E2MTRmYjM2NzM2N2YwMzQyOWU3MDQxMjhiZDciLCJ1c2VySWQiOiIyNDY1NDUzNzIifQ==</vt:lpwstr>
  </property>
  <property fmtid="{D5CDD505-2E9C-101B-9397-08002B2CF9AE}" pid="4" name="ICV">
    <vt:lpwstr>06A47E89A8924A6C9963FF6EDECB0128_13</vt:lpwstr>
  </property>
</Properties>
</file>