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D5F535">
      <w:pPr>
        <w:ind w:firstLine="480" w:firstLineChars="200"/>
        <w:rPr>
          <w:color w:val="000000"/>
          <w:sz w:val="24"/>
          <w:szCs w:val="24"/>
        </w:rPr>
      </w:pPr>
      <w:r>
        <w:rPr>
          <w:rFonts w:hint="eastAsia"/>
          <w:color w:val="000000"/>
          <w:sz w:val="24"/>
          <w:szCs w:val="24"/>
        </w:rPr>
        <w:t>项目情况表</w:t>
      </w:r>
    </w:p>
    <w:tbl>
      <w:tblPr>
        <w:tblStyle w:val="13"/>
        <w:tblpPr w:leftFromText="180" w:rightFromText="180" w:vertAnchor="text" w:horzAnchor="margin" w:tblpXSpec="center" w:tblpY="179"/>
        <w:tblOverlap w:val="never"/>
        <w:tblW w:w="102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8"/>
        <w:gridCol w:w="473"/>
        <w:gridCol w:w="397"/>
        <w:gridCol w:w="465"/>
        <w:gridCol w:w="675"/>
        <w:gridCol w:w="2555"/>
        <w:gridCol w:w="4877"/>
      </w:tblGrid>
      <w:tr w14:paraId="4D0A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88" w:type="dxa"/>
            <w:vAlign w:val="center"/>
          </w:tcPr>
          <w:p w14:paraId="0A270147">
            <w:pPr>
              <w:spacing w:line="240" w:lineRule="atLeast"/>
              <w:jc w:val="center"/>
              <w:rPr>
                <w:color w:val="000000"/>
                <w:szCs w:val="21"/>
              </w:rPr>
            </w:pPr>
            <w:r>
              <w:rPr>
                <w:color w:val="000000"/>
                <w:szCs w:val="21"/>
              </w:rPr>
              <w:t>编号</w:t>
            </w:r>
          </w:p>
        </w:tc>
        <w:tc>
          <w:tcPr>
            <w:tcW w:w="473" w:type="dxa"/>
            <w:vAlign w:val="center"/>
          </w:tcPr>
          <w:p w14:paraId="6EA36EB0">
            <w:pPr>
              <w:spacing w:line="240" w:lineRule="atLeast"/>
              <w:jc w:val="center"/>
              <w:rPr>
                <w:color w:val="000000"/>
                <w:szCs w:val="21"/>
              </w:rPr>
            </w:pPr>
            <w:r>
              <w:rPr>
                <w:color w:val="000000"/>
                <w:szCs w:val="21"/>
              </w:rPr>
              <w:t>项目名称</w:t>
            </w:r>
          </w:p>
        </w:tc>
        <w:tc>
          <w:tcPr>
            <w:tcW w:w="397" w:type="dxa"/>
            <w:vAlign w:val="center"/>
          </w:tcPr>
          <w:p w14:paraId="0388DA99">
            <w:pPr>
              <w:spacing w:line="240" w:lineRule="atLeast"/>
              <w:jc w:val="center"/>
              <w:rPr>
                <w:color w:val="000000"/>
                <w:szCs w:val="21"/>
              </w:rPr>
            </w:pPr>
            <w:r>
              <w:rPr>
                <w:color w:val="000000"/>
                <w:szCs w:val="21"/>
              </w:rPr>
              <w:t>建设地点</w:t>
            </w:r>
          </w:p>
        </w:tc>
        <w:tc>
          <w:tcPr>
            <w:tcW w:w="465" w:type="dxa"/>
            <w:vAlign w:val="center"/>
          </w:tcPr>
          <w:p w14:paraId="77CC4EBF">
            <w:pPr>
              <w:spacing w:line="240" w:lineRule="atLeast"/>
              <w:jc w:val="center"/>
              <w:rPr>
                <w:color w:val="000000"/>
                <w:szCs w:val="21"/>
              </w:rPr>
            </w:pPr>
            <w:r>
              <w:rPr>
                <w:color w:val="000000"/>
                <w:szCs w:val="21"/>
              </w:rPr>
              <w:t>建设单位</w:t>
            </w:r>
          </w:p>
        </w:tc>
        <w:tc>
          <w:tcPr>
            <w:tcW w:w="675" w:type="dxa"/>
            <w:vAlign w:val="center"/>
          </w:tcPr>
          <w:p w14:paraId="4B87B643">
            <w:pPr>
              <w:spacing w:line="240" w:lineRule="atLeast"/>
              <w:jc w:val="center"/>
              <w:rPr>
                <w:color w:val="000000"/>
                <w:szCs w:val="21"/>
              </w:rPr>
            </w:pPr>
            <w:r>
              <w:rPr>
                <w:color w:val="000000"/>
                <w:szCs w:val="21"/>
              </w:rPr>
              <w:t>环境影响评价机构</w:t>
            </w:r>
          </w:p>
        </w:tc>
        <w:tc>
          <w:tcPr>
            <w:tcW w:w="2555" w:type="dxa"/>
            <w:vAlign w:val="center"/>
          </w:tcPr>
          <w:p w14:paraId="20A0AE52">
            <w:pPr>
              <w:spacing w:line="240" w:lineRule="atLeast"/>
              <w:jc w:val="center"/>
              <w:rPr>
                <w:color w:val="000000"/>
                <w:szCs w:val="21"/>
              </w:rPr>
            </w:pPr>
            <w:r>
              <w:rPr>
                <w:color w:val="000000"/>
                <w:szCs w:val="21"/>
              </w:rPr>
              <w:t>项目概况</w:t>
            </w:r>
          </w:p>
        </w:tc>
        <w:tc>
          <w:tcPr>
            <w:tcW w:w="4877" w:type="dxa"/>
            <w:vAlign w:val="center"/>
          </w:tcPr>
          <w:p w14:paraId="500A511E">
            <w:pPr>
              <w:spacing w:line="240" w:lineRule="atLeast"/>
              <w:jc w:val="center"/>
              <w:rPr>
                <w:color w:val="000000"/>
                <w:szCs w:val="21"/>
              </w:rPr>
            </w:pPr>
            <w:r>
              <w:rPr>
                <w:color w:val="000000"/>
                <w:szCs w:val="21"/>
              </w:rPr>
              <w:t>主要环境影响及预防或者减轻不良环境影响的对策和措施</w:t>
            </w:r>
          </w:p>
        </w:tc>
      </w:tr>
      <w:tr w14:paraId="7E5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5AA6E65F">
            <w:pPr>
              <w:spacing w:line="240" w:lineRule="atLeast"/>
              <w:jc w:val="center"/>
              <w:rPr>
                <w:color w:val="000000"/>
                <w:szCs w:val="21"/>
              </w:rPr>
            </w:pPr>
            <w:r>
              <w:rPr>
                <w:color w:val="000000"/>
                <w:szCs w:val="21"/>
              </w:rPr>
              <w:t>1</w:t>
            </w:r>
          </w:p>
        </w:tc>
        <w:tc>
          <w:tcPr>
            <w:tcW w:w="473" w:type="dxa"/>
            <w:vAlign w:val="center"/>
          </w:tcPr>
          <w:p w14:paraId="719E98D6">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东胜气田202</w:t>
            </w:r>
            <w:r>
              <w:rPr>
                <w:rFonts w:hint="eastAsia"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年滚动勘探和气藏评价项目（东胜区）</w:t>
            </w:r>
          </w:p>
        </w:tc>
        <w:tc>
          <w:tcPr>
            <w:tcW w:w="397" w:type="dxa"/>
            <w:vAlign w:val="center"/>
          </w:tcPr>
          <w:p w14:paraId="677BD658">
            <w:pPr>
              <w:spacing w:line="600" w:lineRule="exact"/>
              <w:jc w:val="center"/>
              <w:rPr>
                <w:color w:val="000000"/>
                <w:szCs w:val="21"/>
              </w:rPr>
            </w:pPr>
            <w:r>
              <w:rPr>
                <w:color w:val="000000"/>
                <w:szCs w:val="21"/>
              </w:rPr>
              <w:t>鄂尔多斯市东胜区泊江海子镇什股壕村</w:t>
            </w:r>
          </w:p>
        </w:tc>
        <w:tc>
          <w:tcPr>
            <w:tcW w:w="465" w:type="dxa"/>
            <w:vAlign w:val="center"/>
          </w:tcPr>
          <w:p w14:paraId="572FEC51">
            <w:pPr>
              <w:spacing w:line="600" w:lineRule="exact"/>
              <w:jc w:val="center"/>
              <w:rPr>
                <w:color w:val="000000"/>
                <w:szCs w:val="21"/>
              </w:rPr>
            </w:pPr>
            <w:r>
              <w:rPr>
                <w:color w:val="000000"/>
                <w:szCs w:val="21"/>
              </w:rPr>
              <w:t>中国石油化工股份有限公司华北油气分公司</w:t>
            </w:r>
          </w:p>
          <w:p w14:paraId="1616E168">
            <w:pPr>
              <w:spacing w:line="600" w:lineRule="exact"/>
              <w:jc w:val="center"/>
              <w:rPr>
                <w:color w:val="000000"/>
                <w:szCs w:val="21"/>
              </w:rPr>
            </w:pPr>
            <w:r>
              <w:rPr>
                <w:color w:val="000000"/>
                <w:szCs w:val="21"/>
              </w:rPr>
              <w:t xml:space="preserve">采气二厂 </w:t>
            </w:r>
          </w:p>
        </w:tc>
        <w:tc>
          <w:tcPr>
            <w:tcW w:w="675" w:type="dxa"/>
            <w:vAlign w:val="center"/>
          </w:tcPr>
          <w:p w14:paraId="5D04F640">
            <w:pPr>
              <w:spacing w:line="600" w:lineRule="exact"/>
              <w:jc w:val="center"/>
              <w:rPr>
                <w:color w:val="000000"/>
                <w:szCs w:val="21"/>
              </w:rPr>
            </w:pPr>
            <w:r>
              <w:rPr>
                <w:color w:val="000000"/>
                <w:szCs w:val="21"/>
              </w:rPr>
              <w:t>内蒙古聚力山水环境检测有限公司</w:t>
            </w:r>
          </w:p>
        </w:tc>
        <w:tc>
          <w:tcPr>
            <w:tcW w:w="2555" w:type="dxa"/>
            <w:vAlign w:val="center"/>
          </w:tcPr>
          <w:p w14:paraId="395018EA">
            <w:pPr>
              <w:spacing w:line="360" w:lineRule="auto"/>
              <w:ind w:firstLine="420" w:firstLineChars="200"/>
              <w:rPr>
                <w:rFonts w:hint="eastAsia"/>
                <w:color w:val="000000"/>
                <w:szCs w:val="21"/>
                <w:lang w:val="en-US" w:eastAsia="zh-CN"/>
              </w:rPr>
            </w:pPr>
            <w:r>
              <w:rPr>
                <w:rFonts w:hint="eastAsia"/>
                <w:color w:val="000000"/>
                <w:szCs w:val="21"/>
                <w:lang w:val="en-US" w:eastAsia="zh-CN"/>
              </w:rPr>
              <w:t>一、</w:t>
            </w:r>
            <w:r>
              <w:rPr>
                <w:rFonts w:hint="eastAsia"/>
                <w:color w:val="000000"/>
                <w:szCs w:val="21"/>
              </w:rPr>
              <w:t>该项目</w:t>
            </w:r>
            <w:r>
              <w:rPr>
                <w:rFonts w:hint="eastAsia"/>
                <w:color w:val="000000"/>
                <w:szCs w:val="21"/>
                <w:lang w:val="en-US" w:eastAsia="zh-CN"/>
              </w:rPr>
              <w:t>属于新建项目，位于东胜气田锦66井区东胜区</w:t>
            </w:r>
            <w:r>
              <w:rPr>
                <w:rFonts w:hint="eastAsia"/>
                <w:color w:val="000000"/>
                <w:szCs w:val="21"/>
              </w:rPr>
              <w:t>泊江海子镇什股壕村</w:t>
            </w:r>
            <w:r>
              <w:rPr>
                <w:rFonts w:hint="eastAsia"/>
                <w:color w:val="000000"/>
                <w:szCs w:val="21"/>
                <w:lang w:val="en-US" w:eastAsia="zh-CN"/>
              </w:rPr>
              <w:t>。总用地面积1.26</w:t>
            </w:r>
            <w:r>
              <w:rPr>
                <w:rFonts w:hint="eastAsia"/>
                <w:color w:val="000000"/>
                <w:szCs w:val="21"/>
              </w:rPr>
              <w:t>hm2</w:t>
            </w:r>
            <w:r>
              <w:rPr>
                <w:rFonts w:hint="eastAsia"/>
                <w:color w:val="000000"/>
                <w:szCs w:val="21"/>
                <w:lang w:val="en-US" w:eastAsia="zh-CN"/>
              </w:rPr>
              <w:t>，其中永久用地面积0.24</w:t>
            </w:r>
            <w:r>
              <w:rPr>
                <w:rFonts w:hint="eastAsia"/>
                <w:color w:val="000000"/>
                <w:szCs w:val="21"/>
              </w:rPr>
              <w:t>hm2</w:t>
            </w:r>
            <w:r>
              <w:rPr>
                <w:rFonts w:hint="eastAsia"/>
                <w:color w:val="000000"/>
                <w:szCs w:val="21"/>
                <w:lang w:val="en-US" w:eastAsia="zh-CN"/>
              </w:rPr>
              <w:t>，临时用地面积1.02</w:t>
            </w:r>
            <w:r>
              <w:rPr>
                <w:rFonts w:hint="eastAsia"/>
                <w:color w:val="000000"/>
                <w:szCs w:val="21"/>
              </w:rPr>
              <w:t>hm2</w:t>
            </w:r>
            <w:r>
              <w:rPr>
                <w:rFonts w:hint="eastAsia"/>
                <w:color w:val="000000"/>
                <w:szCs w:val="21"/>
                <w:lang w:val="en-US" w:eastAsia="zh-CN"/>
              </w:rPr>
              <w:t>。项目</w:t>
            </w:r>
            <w:r>
              <w:rPr>
                <w:rFonts w:hint="default"/>
                <w:color w:val="000000"/>
                <w:szCs w:val="21"/>
                <w:lang w:val="en-US" w:eastAsia="zh-CN"/>
              </w:rPr>
              <w:t>总投资</w:t>
            </w:r>
            <w:r>
              <w:rPr>
                <w:rFonts w:hint="eastAsia"/>
                <w:color w:val="000000"/>
                <w:szCs w:val="21"/>
                <w:lang w:val="en-US" w:eastAsia="zh-CN"/>
              </w:rPr>
              <w:t>2535万</w:t>
            </w:r>
            <w:r>
              <w:rPr>
                <w:rFonts w:hint="default"/>
                <w:color w:val="000000"/>
                <w:szCs w:val="21"/>
                <w:lang w:val="en-US" w:eastAsia="zh-CN"/>
              </w:rPr>
              <w:t>元，环保投资</w:t>
            </w:r>
            <w:r>
              <w:rPr>
                <w:rFonts w:hint="eastAsia"/>
                <w:color w:val="000000"/>
                <w:szCs w:val="21"/>
              </w:rPr>
              <w:t>1</w:t>
            </w:r>
            <w:r>
              <w:rPr>
                <w:rFonts w:hint="eastAsia"/>
                <w:color w:val="000000"/>
                <w:szCs w:val="21"/>
                <w:lang w:val="en-US" w:eastAsia="zh-CN"/>
              </w:rPr>
              <w:t>65万元。主要建设内容及规模：部署天然气勘探井2口（J66P25和J66P26），井型为水平井，平均井深4200米，配套建设储运工程、公辅工程及环保工程等。</w:t>
            </w:r>
          </w:p>
          <w:p w14:paraId="0701A18F">
            <w:pPr>
              <w:spacing w:line="360" w:lineRule="auto"/>
              <w:ind w:firstLine="420" w:firstLineChars="200"/>
              <w:rPr>
                <w:color w:val="000000"/>
                <w:szCs w:val="21"/>
              </w:rPr>
            </w:pPr>
          </w:p>
        </w:tc>
        <w:tc>
          <w:tcPr>
            <w:tcW w:w="4877" w:type="dxa"/>
            <w:vAlign w:val="center"/>
          </w:tcPr>
          <w:p w14:paraId="105BB72A">
            <w:pPr>
              <w:spacing w:line="360" w:lineRule="auto"/>
              <w:jc w:val="left"/>
              <w:rPr>
                <w:rFonts w:hint="eastAsia"/>
                <w:color w:val="000000"/>
                <w:szCs w:val="21"/>
              </w:rPr>
            </w:pPr>
            <w:r>
              <w:rPr>
                <w:rFonts w:hint="eastAsia"/>
                <w:color w:val="000000"/>
                <w:szCs w:val="21"/>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09195181">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w:t>
            </w:r>
            <w:r>
              <w:rPr>
                <w:rFonts w:hint="eastAsia"/>
                <w:color w:val="000000"/>
                <w:szCs w:val="21"/>
              </w:rPr>
              <w:t>《报告表》</w:t>
            </w:r>
            <w:r>
              <w:rPr>
                <w:rFonts w:hint="eastAsia"/>
                <w:color w:val="000000"/>
                <w:szCs w:val="21"/>
                <w:lang w:val="en-US" w:eastAsia="zh-CN"/>
              </w:rPr>
              <w:t>中提出的各项环保措施和要求，确保各项污染物稳定达标排放，并须着重做好以下工作：</w:t>
            </w:r>
          </w:p>
          <w:p w14:paraId="61B4DC33">
            <w:pPr>
              <w:spacing w:line="360" w:lineRule="auto"/>
              <w:jc w:val="left"/>
              <w:rPr>
                <w:rFonts w:hint="eastAsia"/>
                <w:color w:val="000000"/>
                <w:szCs w:val="21"/>
                <w:lang w:val="en-US" w:eastAsia="zh-CN"/>
              </w:rPr>
            </w:pPr>
            <w:r>
              <w:rPr>
                <w:rFonts w:hint="eastAsia"/>
                <w:color w:val="000000"/>
                <w:szCs w:val="21"/>
                <w:lang w:val="en-US" w:eastAsia="zh-CN"/>
              </w:rPr>
              <w:t>1、加强施工期环境管理，</w:t>
            </w:r>
            <w:r>
              <w:rPr>
                <w:rFonts w:hint="eastAsia"/>
                <w:color w:val="000000"/>
                <w:szCs w:val="21"/>
              </w:rPr>
              <w:t>施工场地设置围挡，</w:t>
            </w:r>
            <w:r>
              <w:rPr>
                <w:rFonts w:hint="eastAsia"/>
                <w:color w:val="000000"/>
                <w:szCs w:val="21"/>
                <w:lang w:val="en-US" w:eastAsia="zh-CN"/>
              </w:rPr>
              <w:t>配备足够的洒水车、篷布等防尘设备，有效控制施工期挖土、物料装卸、物料运输、堆放、回填过程中产生的扬尘污染。</w:t>
            </w:r>
            <w:r>
              <w:rPr>
                <w:rFonts w:hint="eastAsia"/>
                <w:color w:val="000000"/>
                <w:szCs w:val="21"/>
              </w:rPr>
              <w:t>施工期大气污染物排放执行《大气污染物综合排放标准》（GB16297-1996）表2中无组织排放监控浓度限值。</w:t>
            </w:r>
          </w:p>
          <w:p w14:paraId="5E6375B4">
            <w:pPr>
              <w:spacing w:line="360" w:lineRule="auto"/>
              <w:jc w:val="left"/>
              <w:rPr>
                <w:rFonts w:hint="eastAsia"/>
                <w:color w:val="000000"/>
                <w:szCs w:val="21"/>
                <w:lang w:val="en-US" w:eastAsia="zh-CN"/>
              </w:rPr>
            </w:pPr>
            <w:r>
              <w:rPr>
                <w:rFonts w:hint="eastAsia"/>
                <w:color w:val="000000"/>
                <w:szCs w:val="21"/>
                <w:lang w:val="en-US" w:eastAsia="zh-CN"/>
              </w:rPr>
              <w:t>2、严格</w:t>
            </w:r>
            <w:r>
              <w:rPr>
                <w:rFonts w:hint="eastAsia"/>
                <w:color w:val="000000"/>
                <w:szCs w:val="21"/>
              </w:rPr>
              <w:t>落实</w:t>
            </w:r>
            <w:r>
              <w:rPr>
                <w:rFonts w:hint="eastAsia"/>
                <w:color w:val="000000"/>
                <w:szCs w:val="21"/>
                <w:lang w:val="en-US" w:eastAsia="zh-CN"/>
              </w:rPr>
              <w:t>各项</w:t>
            </w:r>
            <w:r>
              <w:rPr>
                <w:rFonts w:hint="eastAsia"/>
                <w:color w:val="000000"/>
                <w:szCs w:val="21"/>
              </w:rPr>
              <w:t>水污染防治措施。钻井废水</w:t>
            </w:r>
            <w:r>
              <w:rPr>
                <w:rFonts w:hint="eastAsia"/>
                <w:color w:val="000000"/>
                <w:szCs w:val="21"/>
                <w:lang w:val="en-US" w:eastAsia="zh-CN"/>
              </w:rPr>
              <w:t>和压裂返排液循环使用</w:t>
            </w:r>
            <w:r>
              <w:rPr>
                <w:rFonts w:hint="eastAsia"/>
                <w:color w:val="000000"/>
                <w:szCs w:val="21"/>
                <w:lang w:eastAsia="zh-CN"/>
              </w:rPr>
              <w:t>，</w:t>
            </w:r>
            <w:r>
              <w:rPr>
                <w:rFonts w:hint="eastAsia"/>
                <w:color w:val="000000"/>
                <w:szCs w:val="21"/>
                <w:lang w:val="en-US" w:eastAsia="zh-CN"/>
              </w:rPr>
              <w:t>不能循环使用的</w:t>
            </w:r>
            <w:r>
              <w:rPr>
                <w:rFonts w:hint="eastAsia"/>
                <w:color w:val="000000"/>
                <w:szCs w:val="21"/>
              </w:rPr>
              <w:t>在钻井任务结束后由防渗漏、防溢流的运输车辆统一转移至有资质单位处理，不外排</w:t>
            </w:r>
            <w:r>
              <w:rPr>
                <w:rFonts w:hint="eastAsia"/>
                <w:color w:val="000000"/>
                <w:szCs w:val="21"/>
                <w:lang w:eastAsia="zh-CN"/>
              </w:rPr>
              <w:t>。</w:t>
            </w:r>
            <w:r>
              <w:rPr>
                <w:rFonts w:hint="eastAsia"/>
                <w:color w:val="000000"/>
                <w:szCs w:val="21"/>
                <w:lang w:val="en-US" w:eastAsia="zh-CN"/>
              </w:rPr>
              <w:t>施工人员生活污水经收集后拉运至污水处理厂处置。</w:t>
            </w:r>
          </w:p>
          <w:p w14:paraId="09693EB1">
            <w:pPr>
              <w:spacing w:line="360" w:lineRule="auto"/>
              <w:jc w:val="left"/>
              <w:rPr>
                <w:rFonts w:hint="eastAsia"/>
                <w:color w:val="000000"/>
                <w:szCs w:val="21"/>
                <w:lang w:val="en-US" w:eastAsia="zh-CN"/>
              </w:rPr>
            </w:pPr>
            <w:r>
              <w:rPr>
                <w:rFonts w:hint="eastAsia"/>
                <w:color w:val="000000"/>
                <w:szCs w:val="21"/>
                <w:lang w:val="en-US" w:eastAsia="zh-CN"/>
              </w:rPr>
              <w:t>3、施工期合理安排施工时间，避免夜间施工；选用低噪声施工设备，安装基础减振垫，</w:t>
            </w:r>
            <w:r>
              <w:rPr>
                <w:rFonts w:hint="eastAsia"/>
                <w:color w:val="000000"/>
                <w:szCs w:val="21"/>
              </w:rPr>
              <w:t>对设备和车辆进行维护和</w:t>
            </w:r>
            <w:r>
              <w:rPr>
                <w:rFonts w:hint="eastAsia"/>
                <w:color w:val="000000"/>
                <w:szCs w:val="21"/>
                <w:lang w:val="en-US" w:eastAsia="zh-CN"/>
              </w:rPr>
              <w:t>保养</w:t>
            </w:r>
            <w:r>
              <w:rPr>
                <w:rFonts w:hint="eastAsia"/>
                <w:color w:val="000000"/>
                <w:szCs w:val="21"/>
              </w:rPr>
              <w:t>，</w:t>
            </w:r>
            <w:r>
              <w:rPr>
                <w:rFonts w:hint="eastAsia"/>
                <w:color w:val="000000"/>
                <w:szCs w:val="21"/>
                <w:lang w:val="en-US" w:eastAsia="zh-CN"/>
              </w:rPr>
              <w:t>控制车辆时速，</w:t>
            </w:r>
            <w:r>
              <w:rPr>
                <w:rFonts w:hint="eastAsia"/>
                <w:color w:val="000000"/>
                <w:szCs w:val="21"/>
              </w:rPr>
              <w:t>使施工期噪声满足《建筑施工噪声排放标准》（GB12523-2025）</w:t>
            </w:r>
            <w:r>
              <w:rPr>
                <w:rFonts w:hint="eastAsia"/>
                <w:color w:val="000000"/>
                <w:szCs w:val="21"/>
                <w:lang w:val="en-US" w:eastAsia="zh-CN"/>
              </w:rPr>
              <w:t>。</w:t>
            </w:r>
          </w:p>
          <w:p w14:paraId="3F8EE3A5">
            <w:pPr>
              <w:spacing w:line="360" w:lineRule="auto"/>
              <w:jc w:val="left"/>
              <w:rPr>
                <w:rFonts w:hint="eastAsia"/>
                <w:color w:val="000000"/>
                <w:szCs w:val="21"/>
                <w:lang w:val="en-US" w:eastAsia="zh-CN"/>
              </w:rPr>
            </w:pPr>
            <w:r>
              <w:rPr>
                <w:rFonts w:hint="eastAsia"/>
                <w:color w:val="000000"/>
                <w:szCs w:val="21"/>
                <w:lang w:val="en-US" w:eastAsia="zh-CN"/>
              </w:rPr>
              <w:t>4、妥善处置各类固体废弃物。钻井泥浆采用泥浆不落地回收工艺；钻井岩屑经收集后，定期拉运至有资质单位处理。建设单位须严格按照《一般工业固体废物贮存和填埋污染控制标准》（GB18599-2020）处置一般固废，不得乱弃。危废暂存间须严格按照《危险废物贮存污染控制标准》（GB18597-2023）进行设计、建设和管理。危险废物收集和运输等均按照《危险废物收集 贮存 运输技术规范》(HJ2025-2012)要求执行。危废必须由有资质单位处置。施工期结束后，拆除危废暂存间。</w:t>
            </w:r>
          </w:p>
          <w:p w14:paraId="7C58C4C7">
            <w:pPr>
              <w:spacing w:line="360" w:lineRule="auto"/>
              <w:jc w:val="left"/>
              <w:rPr>
                <w:rFonts w:hint="eastAsia"/>
                <w:color w:val="000000"/>
                <w:szCs w:val="21"/>
                <w:lang w:val="en-US" w:eastAsia="zh-CN"/>
              </w:rPr>
            </w:pPr>
            <w:r>
              <w:rPr>
                <w:rFonts w:hint="eastAsia"/>
                <w:color w:val="000000"/>
                <w:szCs w:val="21"/>
                <w:lang w:val="en-US" w:eastAsia="zh-CN"/>
              </w:rPr>
              <w:t>5、加强施工期生态保护和污染防治。严格按照设计划定的施工范围进行施工，尽可能缩小施工作业范围，最大程度避免施工对地表植被的碾压。表土与弃土分开放置，弃土用于回填，表土用于生态恢复时的绿化覆土。井场施工结束后，对临时占地全部进行生态恢复。落实地下水污染源头防控、分区防渗措施，避免泥浆泄漏、污废水泄漏及危废暂存等引起地下水污染。落实土壤污染源头控制、过程防控措施。钻前钻后进行土壤监测，若土壤受到污染，应根据土地利用功能进行评估和修复。</w:t>
            </w:r>
          </w:p>
          <w:p w14:paraId="0829068C">
            <w:pPr>
              <w:spacing w:line="360" w:lineRule="auto"/>
              <w:jc w:val="left"/>
              <w:rPr>
                <w:rFonts w:hint="eastAsia"/>
                <w:color w:val="000000"/>
                <w:szCs w:val="21"/>
                <w:lang w:val="en-US" w:eastAsia="zh-CN"/>
              </w:rPr>
            </w:pPr>
            <w:r>
              <w:rPr>
                <w:rFonts w:hint="eastAsia"/>
                <w:color w:val="000000"/>
                <w:szCs w:val="21"/>
                <w:lang w:val="en-US" w:eastAsia="zh-CN"/>
              </w:rPr>
              <w:t>6、建立健全环境风险应急处理机制，严格落实各项环境风险处理措施、生态平衡保护机制，防止环境风险带来的生态环境破坏。</w:t>
            </w:r>
          </w:p>
          <w:p w14:paraId="49D09F56">
            <w:pPr>
              <w:spacing w:line="360" w:lineRule="auto"/>
              <w:jc w:val="left"/>
              <w:rPr>
                <w:rFonts w:hint="eastAsia"/>
                <w:color w:val="000000"/>
                <w:szCs w:val="21"/>
              </w:rPr>
            </w:pPr>
            <w:r>
              <w:rPr>
                <w:rFonts w:hint="eastAsia"/>
                <w:color w:val="000000"/>
                <w:szCs w:val="21"/>
                <w:lang w:val="en-US" w:eastAsia="zh-CN"/>
              </w:rPr>
              <w:t>三、</w:t>
            </w:r>
            <w:r>
              <w:rPr>
                <w:rFonts w:hint="eastAsia"/>
                <w:color w:val="000000"/>
                <w:szCs w:val="21"/>
              </w:rPr>
              <w:t>你单位应委托有相应资质的设计单位对建设项目重点环保设施进行设计，并在项目施工及运行过程中严格落实环保设施安全生产工作要求。</w:t>
            </w:r>
          </w:p>
          <w:p w14:paraId="4C323394">
            <w:pPr>
              <w:spacing w:line="360" w:lineRule="auto"/>
              <w:jc w:val="left"/>
              <w:rPr>
                <w:rFonts w:hint="eastAsia"/>
                <w:color w:val="000000"/>
                <w:szCs w:val="21"/>
              </w:rPr>
            </w:pPr>
            <w:r>
              <w:rPr>
                <w:rFonts w:hint="eastAsia"/>
                <w:color w:val="000000"/>
                <w:szCs w:val="21"/>
                <w:lang w:val="en-US" w:eastAsia="zh-CN"/>
              </w:rPr>
              <w:t>四、</w:t>
            </w:r>
            <w:r>
              <w:rPr>
                <w:rFonts w:hint="eastAsia"/>
                <w:color w:val="000000"/>
                <w:szCs w:val="21"/>
              </w:rPr>
              <w:t>建设单位在征得林草主管部门、文物主管部门同意后方可开工建设。</w:t>
            </w:r>
          </w:p>
          <w:p w14:paraId="5AA7F9D1">
            <w:pPr>
              <w:spacing w:line="360" w:lineRule="auto"/>
              <w:jc w:val="left"/>
              <w:rPr>
                <w:rFonts w:hint="eastAsia"/>
                <w:color w:val="000000"/>
                <w:szCs w:val="21"/>
              </w:rPr>
            </w:pPr>
            <w:r>
              <w:rPr>
                <w:rFonts w:hint="eastAsia"/>
                <w:color w:val="000000"/>
                <w:szCs w:val="21"/>
                <w:lang w:val="en-US" w:eastAsia="zh-CN"/>
              </w:rPr>
              <w:t>五、</w:t>
            </w:r>
            <w:r>
              <w:rPr>
                <w:rFonts w:hint="eastAsia"/>
                <w:color w:val="000000"/>
                <w:szCs w:val="21"/>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5BD42005">
            <w:pPr>
              <w:spacing w:line="360" w:lineRule="auto"/>
              <w:jc w:val="left"/>
              <w:rPr>
                <w:rFonts w:hint="eastAsia"/>
                <w:color w:val="000000"/>
                <w:szCs w:val="21"/>
              </w:rPr>
            </w:pPr>
            <w:r>
              <w:rPr>
                <w:rFonts w:hint="eastAsia"/>
                <w:color w:val="000000"/>
                <w:szCs w:val="21"/>
                <w:lang w:val="en-US" w:eastAsia="zh-CN"/>
              </w:rPr>
              <w:t>六、</w:t>
            </w:r>
            <w:r>
              <w:rPr>
                <w:rFonts w:hint="eastAsia"/>
                <w:color w:val="000000"/>
                <w:szCs w:val="21"/>
              </w:rPr>
              <w:t>该项目事中事后监管由鄂尔多斯市生态环境综合行政执法支队东胜区大队负责</w:t>
            </w:r>
            <w:r>
              <w:rPr>
                <w:rFonts w:hint="eastAsia"/>
                <w:color w:val="000000"/>
                <w:szCs w:val="21"/>
                <w:lang w:eastAsia="zh-CN"/>
              </w:rPr>
              <w:t>。</w:t>
            </w:r>
          </w:p>
          <w:p w14:paraId="31D66976">
            <w:pPr>
              <w:spacing w:line="360" w:lineRule="auto"/>
              <w:jc w:val="left"/>
              <w:rPr>
                <w:color w:val="000000"/>
                <w:szCs w:val="21"/>
              </w:rPr>
            </w:pPr>
            <w:r>
              <w:rPr>
                <w:rFonts w:hint="eastAsia"/>
                <w:color w:val="000000"/>
                <w:szCs w:val="21"/>
                <w:lang w:val="en-US" w:eastAsia="zh-CN"/>
              </w:rPr>
              <w:t>七、</w:t>
            </w:r>
            <w:r>
              <w:rPr>
                <w:rFonts w:hint="eastAsia"/>
                <w:color w:val="000000"/>
                <w:szCs w:val="21"/>
              </w:rPr>
              <w:t>该项目</w:t>
            </w:r>
            <w:r>
              <w:rPr>
                <w:rFonts w:hint="eastAsia"/>
                <w:color w:val="000000"/>
                <w:szCs w:val="21"/>
                <w:lang w:val="en-US" w:eastAsia="zh-CN"/>
              </w:rPr>
              <w:t>自</w:t>
            </w:r>
            <w:r>
              <w:rPr>
                <w:rFonts w:hint="eastAsia"/>
                <w:color w:val="000000"/>
                <w:szCs w:val="21"/>
              </w:rPr>
              <w:t>批准之日起超过5年方决定开工建设，其</w:t>
            </w:r>
            <w:r>
              <w:rPr>
                <w:rFonts w:hint="eastAsia"/>
                <w:color w:val="000000"/>
                <w:szCs w:val="21"/>
                <w:lang w:val="en-US" w:eastAsia="zh-CN"/>
              </w:rPr>
              <w:t>生态环境影响报告表</w:t>
            </w:r>
            <w:r>
              <w:rPr>
                <w:rFonts w:hint="eastAsia"/>
                <w:color w:val="000000"/>
                <w:szCs w:val="21"/>
              </w:rPr>
              <w:t>应重新审核。如果建设</w:t>
            </w:r>
            <w:r>
              <w:rPr>
                <w:rFonts w:hint="eastAsia"/>
                <w:color w:val="000000"/>
                <w:szCs w:val="21"/>
                <w:lang w:val="en-US" w:eastAsia="zh-CN"/>
              </w:rPr>
              <w:t>项目的性质、</w:t>
            </w:r>
            <w:r>
              <w:rPr>
                <w:rFonts w:hint="eastAsia"/>
                <w:color w:val="000000"/>
                <w:szCs w:val="21"/>
              </w:rPr>
              <w:t>规模、地点、</w:t>
            </w:r>
            <w:r>
              <w:rPr>
                <w:rFonts w:hint="eastAsia"/>
                <w:color w:val="000000"/>
                <w:szCs w:val="21"/>
                <w:lang w:val="en-US" w:eastAsia="zh-CN"/>
              </w:rPr>
              <w:t>采用的生产工艺或者</w:t>
            </w:r>
            <w:r>
              <w:rPr>
                <w:rFonts w:hint="eastAsia"/>
                <w:color w:val="000000"/>
                <w:szCs w:val="21"/>
              </w:rPr>
              <w:t>防治污染</w:t>
            </w:r>
            <w:r>
              <w:rPr>
                <w:rFonts w:hint="eastAsia"/>
                <w:color w:val="000000"/>
                <w:szCs w:val="21"/>
                <w:lang w:eastAsia="zh-CN"/>
              </w:rPr>
              <w:t>、</w:t>
            </w:r>
            <w:r>
              <w:rPr>
                <w:rFonts w:hint="eastAsia"/>
                <w:color w:val="000000"/>
                <w:szCs w:val="21"/>
              </w:rPr>
              <w:t>防止生态破坏的措施发生重大变化时，需重新报批</w:t>
            </w:r>
            <w:r>
              <w:rPr>
                <w:rFonts w:hint="eastAsia"/>
                <w:color w:val="000000"/>
                <w:szCs w:val="21"/>
                <w:lang w:val="en-US" w:eastAsia="zh-CN"/>
              </w:rPr>
              <w:t>生态环境影响报告表</w:t>
            </w:r>
            <w:r>
              <w:rPr>
                <w:rFonts w:hint="eastAsia"/>
                <w:color w:val="000000"/>
                <w:szCs w:val="21"/>
              </w:rPr>
              <w:t xml:space="preserve">。                            </w:t>
            </w:r>
          </w:p>
        </w:tc>
      </w:tr>
      <w:tr w14:paraId="5DAC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788" w:type="dxa"/>
            <w:vAlign w:val="center"/>
          </w:tcPr>
          <w:p w14:paraId="18D312F9">
            <w:pPr>
              <w:spacing w:line="240" w:lineRule="atLeast"/>
              <w:jc w:val="center"/>
              <w:rPr>
                <w:rFonts w:hint="eastAsia" w:eastAsia="宋体"/>
                <w:color w:val="000000"/>
                <w:szCs w:val="21"/>
                <w:lang w:val="en-US" w:eastAsia="zh-CN"/>
              </w:rPr>
            </w:pPr>
            <w:r>
              <w:rPr>
                <w:rFonts w:hint="eastAsia"/>
                <w:color w:val="000000"/>
                <w:szCs w:val="21"/>
                <w:lang w:val="en-US" w:eastAsia="zh-CN"/>
              </w:rPr>
              <w:t>2</w:t>
            </w:r>
          </w:p>
        </w:tc>
        <w:tc>
          <w:tcPr>
            <w:tcW w:w="473" w:type="dxa"/>
            <w:vAlign w:val="center"/>
          </w:tcPr>
          <w:p w14:paraId="5209E61C">
            <w:pPr>
              <w:spacing w:line="600" w:lineRule="exact"/>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东胜气田2025年滚动勘探和气藏评价项目（东胜区）</w:t>
            </w:r>
          </w:p>
        </w:tc>
        <w:tc>
          <w:tcPr>
            <w:tcW w:w="397" w:type="dxa"/>
            <w:vAlign w:val="center"/>
          </w:tcPr>
          <w:p w14:paraId="7D2BB755">
            <w:pPr>
              <w:spacing w:line="600" w:lineRule="exact"/>
              <w:jc w:val="center"/>
              <w:rPr>
                <w:rFonts w:hint="default"/>
                <w:color w:val="000000"/>
                <w:szCs w:val="21"/>
                <w:lang w:val="en-US" w:eastAsia="zh-CN"/>
              </w:rPr>
            </w:pPr>
            <w:r>
              <w:rPr>
                <w:rFonts w:hint="eastAsia"/>
                <w:color w:val="000000"/>
                <w:szCs w:val="21"/>
                <w:lang w:val="en-US" w:eastAsia="zh-CN"/>
              </w:rPr>
              <w:t>鄂尔多斯市</w:t>
            </w:r>
            <w:r>
              <w:rPr>
                <w:rFonts w:hint="default"/>
                <w:color w:val="000000"/>
                <w:szCs w:val="21"/>
                <w:lang w:val="en-US" w:eastAsia="zh-CN"/>
              </w:rPr>
              <w:t>东胜区泊江海子镇巴音敖包村、什股壕村</w:t>
            </w:r>
          </w:p>
          <w:p w14:paraId="40DDB1A7">
            <w:pPr>
              <w:spacing w:line="600" w:lineRule="exact"/>
              <w:jc w:val="center"/>
              <w:rPr>
                <w:rFonts w:hint="default"/>
                <w:color w:val="000000"/>
                <w:szCs w:val="21"/>
                <w:lang w:val="en-US" w:eastAsia="zh-CN"/>
              </w:rPr>
            </w:pPr>
          </w:p>
        </w:tc>
        <w:tc>
          <w:tcPr>
            <w:tcW w:w="465" w:type="dxa"/>
            <w:vAlign w:val="center"/>
          </w:tcPr>
          <w:p w14:paraId="1D116C34">
            <w:pPr>
              <w:spacing w:line="600" w:lineRule="exact"/>
              <w:jc w:val="center"/>
              <w:rPr>
                <w:rFonts w:hint="default"/>
                <w:color w:val="000000"/>
                <w:szCs w:val="21"/>
                <w:lang w:val="en-US" w:eastAsia="zh-CN"/>
              </w:rPr>
            </w:pPr>
            <w:r>
              <w:rPr>
                <w:rFonts w:hint="default"/>
                <w:color w:val="000000"/>
                <w:szCs w:val="21"/>
                <w:lang w:val="en-US" w:eastAsia="zh-CN"/>
              </w:rPr>
              <w:t>中国石油化工股份有限公司华北油气分公司</w:t>
            </w:r>
          </w:p>
          <w:p w14:paraId="6A7834F8">
            <w:pPr>
              <w:spacing w:line="600" w:lineRule="exact"/>
              <w:jc w:val="center"/>
              <w:rPr>
                <w:rFonts w:hint="default"/>
                <w:color w:val="000000"/>
                <w:szCs w:val="21"/>
                <w:lang w:val="en-US" w:eastAsia="zh-CN"/>
              </w:rPr>
            </w:pPr>
            <w:r>
              <w:rPr>
                <w:rFonts w:hint="default"/>
                <w:color w:val="000000"/>
                <w:szCs w:val="21"/>
                <w:lang w:val="en-US" w:eastAsia="zh-CN"/>
              </w:rPr>
              <w:t xml:space="preserve">采气二厂 </w:t>
            </w:r>
          </w:p>
        </w:tc>
        <w:tc>
          <w:tcPr>
            <w:tcW w:w="675" w:type="dxa"/>
            <w:vAlign w:val="center"/>
          </w:tcPr>
          <w:p w14:paraId="643EB018">
            <w:pPr>
              <w:spacing w:line="600" w:lineRule="exact"/>
              <w:jc w:val="center"/>
              <w:rPr>
                <w:rFonts w:hint="default"/>
                <w:color w:val="000000"/>
                <w:szCs w:val="21"/>
                <w:lang w:val="en-US" w:eastAsia="zh-CN"/>
              </w:rPr>
            </w:pPr>
            <w:r>
              <w:rPr>
                <w:rFonts w:hint="default"/>
                <w:color w:val="000000"/>
                <w:szCs w:val="21"/>
                <w:lang w:val="en-US" w:eastAsia="zh-CN"/>
              </w:rPr>
              <w:t>内蒙古聚力山水环境检测有限公司</w:t>
            </w:r>
          </w:p>
        </w:tc>
        <w:tc>
          <w:tcPr>
            <w:tcW w:w="2555" w:type="dxa"/>
            <w:vAlign w:val="center"/>
          </w:tcPr>
          <w:p w14:paraId="2DFDDC2E">
            <w:pPr>
              <w:spacing w:line="360" w:lineRule="auto"/>
              <w:ind w:firstLine="420" w:firstLineChars="200"/>
              <w:rPr>
                <w:color w:val="000000"/>
                <w:szCs w:val="21"/>
              </w:rPr>
            </w:pPr>
            <w:r>
              <w:rPr>
                <w:rFonts w:hint="eastAsia"/>
                <w:color w:val="000000"/>
                <w:szCs w:val="21"/>
                <w:lang w:val="en-US" w:eastAsia="zh-CN"/>
              </w:rPr>
              <w:t>一、</w:t>
            </w:r>
            <w:r>
              <w:rPr>
                <w:rFonts w:hint="eastAsia"/>
                <w:color w:val="000000"/>
                <w:szCs w:val="21"/>
              </w:rPr>
              <w:t>该项目</w:t>
            </w:r>
            <w:r>
              <w:rPr>
                <w:rFonts w:hint="eastAsia"/>
                <w:color w:val="000000"/>
                <w:szCs w:val="21"/>
                <w:lang w:val="en-US" w:eastAsia="zh-CN"/>
              </w:rPr>
              <w:t>属于新建项目，位于东胜气田锦66井区东胜区泊江海子镇巴音敖包村和什股壕村。总用地面积1.26</w:t>
            </w:r>
            <w:r>
              <w:rPr>
                <w:rFonts w:hint="eastAsia"/>
                <w:color w:val="000000"/>
                <w:szCs w:val="21"/>
              </w:rPr>
              <w:t>hm2</w:t>
            </w:r>
            <w:r>
              <w:rPr>
                <w:rFonts w:hint="eastAsia"/>
                <w:color w:val="000000"/>
                <w:szCs w:val="21"/>
                <w:lang w:val="en-US" w:eastAsia="zh-CN"/>
              </w:rPr>
              <w:t>，其中永久用地面积0.24</w:t>
            </w:r>
            <w:r>
              <w:rPr>
                <w:rFonts w:hint="eastAsia"/>
                <w:color w:val="000000"/>
                <w:szCs w:val="21"/>
              </w:rPr>
              <w:t>hm2</w:t>
            </w:r>
            <w:r>
              <w:rPr>
                <w:rFonts w:hint="eastAsia"/>
                <w:color w:val="000000"/>
                <w:szCs w:val="21"/>
                <w:lang w:val="en-US" w:eastAsia="zh-CN"/>
              </w:rPr>
              <w:t>，临时用地面积1.02</w:t>
            </w:r>
            <w:r>
              <w:rPr>
                <w:rFonts w:hint="eastAsia"/>
                <w:color w:val="000000"/>
                <w:szCs w:val="21"/>
              </w:rPr>
              <w:t>hm2</w:t>
            </w:r>
            <w:r>
              <w:rPr>
                <w:rFonts w:hint="eastAsia"/>
                <w:color w:val="000000"/>
                <w:szCs w:val="21"/>
                <w:lang w:val="en-US" w:eastAsia="zh-CN"/>
              </w:rPr>
              <w:t>。项目</w:t>
            </w:r>
            <w:r>
              <w:rPr>
                <w:rFonts w:hint="default"/>
                <w:color w:val="000000"/>
                <w:szCs w:val="21"/>
                <w:lang w:val="en-US" w:eastAsia="zh-CN"/>
              </w:rPr>
              <w:t>总投资</w:t>
            </w:r>
            <w:r>
              <w:rPr>
                <w:rFonts w:hint="eastAsia"/>
                <w:color w:val="000000"/>
                <w:szCs w:val="21"/>
                <w:lang w:val="en-US" w:eastAsia="zh-CN"/>
              </w:rPr>
              <w:t>2530万</w:t>
            </w:r>
            <w:r>
              <w:rPr>
                <w:rFonts w:hint="default"/>
                <w:color w:val="000000"/>
                <w:szCs w:val="21"/>
                <w:lang w:val="en-US" w:eastAsia="zh-CN"/>
              </w:rPr>
              <w:t>元，环保投资</w:t>
            </w:r>
            <w:r>
              <w:rPr>
                <w:rFonts w:hint="eastAsia"/>
                <w:color w:val="000000"/>
                <w:szCs w:val="21"/>
              </w:rPr>
              <w:t>1</w:t>
            </w:r>
            <w:r>
              <w:rPr>
                <w:rFonts w:hint="eastAsia"/>
                <w:color w:val="000000"/>
                <w:szCs w:val="21"/>
                <w:lang w:val="en-US" w:eastAsia="zh-CN"/>
              </w:rPr>
              <w:t>64万元。主要建设内容及规模：</w:t>
            </w:r>
            <w:r>
              <w:rPr>
                <w:rFonts w:hint="eastAsia"/>
                <w:color w:val="000000"/>
                <w:szCs w:val="21"/>
              </w:rPr>
              <w:t>部署天然气勘探井2口（J66-11和J66P27）</w:t>
            </w:r>
            <w:r>
              <w:rPr>
                <w:rFonts w:hint="eastAsia"/>
                <w:color w:val="000000"/>
                <w:szCs w:val="21"/>
                <w:lang w:val="en-US" w:eastAsia="zh-CN"/>
              </w:rPr>
              <w:t>,井型为水平井，平均井深4200米，配套建设储运工程、公辅工程及环保工程等。</w:t>
            </w:r>
          </w:p>
        </w:tc>
        <w:tc>
          <w:tcPr>
            <w:tcW w:w="4877" w:type="dxa"/>
            <w:vAlign w:val="center"/>
          </w:tcPr>
          <w:p w14:paraId="297C81AC">
            <w:pPr>
              <w:spacing w:line="360" w:lineRule="auto"/>
              <w:jc w:val="left"/>
              <w:rPr>
                <w:rFonts w:hint="eastAsia"/>
                <w:color w:val="000000"/>
                <w:szCs w:val="21"/>
                <w:lang w:val="en-US" w:eastAsia="zh-CN"/>
              </w:rPr>
            </w:pPr>
            <w:r>
              <w:rPr>
                <w:rFonts w:hint="eastAsia"/>
                <w:color w:val="000000"/>
                <w:szCs w:val="21"/>
                <w:lang w:val="en-US" w:eastAsia="zh-CN"/>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0133F5A">
            <w:pPr>
              <w:spacing w:line="360" w:lineRule="auto"/>
              <w:jc w:val="left"/>
              <w:rPr>
                <w:rFonts w:hint="eastAsia"/>
                <w:color w:val="000000"/>
                <w:szCs w:val="21"/>
                <w:lang w:val="en-US" w:eastAsia="zh-CN"/>
              </w:rPr>
            </w:pPr>
            <w:r>
              <w:rPr>
                <w:rFonts w:hint="eastAsia"/>
                <w:color w:val="000000"/>
                <w:szCs w:val="21"/>
                <w:lang w:val="en-US" w:eastAsia="zh-CN"/>
              </w:rPr>
              <w:t>二、在项目工程设计、建设和环境管理中，你单位必须严格落实《报告表》中提出的各项环保措施和要求，确保各项污染物稳定达标排放，并须着重做好以下工作：</w:t>
            </w:r>
          </w:p>
          <w:p w14:paraId="7A67221E">
            <w:pPr>
              <w:spacing w:line="360" w:lineRule="auto"/>
              <w:jc w:val="left"/>
              <w:rPr>
                <w:rFonts w:hint="eastAsia"/>
                <w:color w:val="000000"/>
                <w:szCs w:val="21"/>
                <w:lang w:val="en-US" w:eastAsia="zh-CN"/>
              </w:rPr>
            </w:pPr>
            <w:r>
              <w:rPr>
                <w:rFonts w:hint="eastAsia"/>
                <w:color w:val="000000"/>
                <w:szCs w:val="21"/>
                <w:lang w:val="en-US" w:eastAsia="zh-CN"/>
              </w:rPr>
              <w:t>1、加强施工期环境管理，施工场地设置围挡，配备足够的洒水车、篷布等防尘设备，有效控制施工期挖土、物料装卸、物料运输、堆放、回填过程中产生的扬尘污染。施工期大气污染物排放执行《大气污染物综合排放标准》（GB16297-1996）表2中无组织排放监控浓度限值。</w:t>
            </w:r>
          </w:p>
          <w:p w14:paraId="01B3107C">
            <w:pPr>
              <w:spacing w:line="360" w:lineRule="auto"/>
              <w:jc w:val="left"/>
              <w:rPr>
                <w:rFonts w:hint="eastAsia"/>
                <w:color w:val="000000"/>
                <w:szCs w:val="21"/>
                <w:lang w:val="en-US" w:eastAsia="zh-CN"/>
              </w:rPr>
            </w:pPr>
            <w:r>
              <w:rPr>
                <w:rFonts w:hint="eastAsia"/>
                <w:color w:val="000000"/>
                <w:szCs w:val="21"/>
                <w:lang w:val="en-US" w:eastAsia="zh-CN"/>
              </w:rPr>
              <w:t>2、严格落实各项水污染防治措施。钻井废水和压裂返排液循环使用，不能循环使用的在钻井任务结束后由防渗漏、防溢流的运输车辆统一转移至有资质单位处理，不外排。施工人员生活污水经收集后拉运至污水处理厂处置。</w:t>
            </w:r>
          </w:p>
          <w:p w14:paraId="09155D49">
            <w:pPr>
              <w:spacing w:line="360" w:lineRule="auto"/>
              <w:jc w:val="left"/>
              <w:rPr>
                <w:rFonts w:hint="eastAsia"/>
                <w:color w:val="000000"/>
                <w:szCs w:val="21"/>
                <w:lang w:val="en-US" w:eastAsia="zh-CN"/>
              </w:rPr>
            </w:pPr>
            <w:r>
              <w:rPr>
                <w:rFonts w:hint="eastAsia"/>
                <w:color w:val="000000"/>
                <w:szCs w:val="21"/>
                <w:lang w:val="en-US" w:eastAsia="zh-CN"/>
              </w:rPr>
              <w:t>3、施工期合理安排施工时间，避免夜间施工；选用低噪声施工设备，安装基础减振垫，对设备和车辆进行维护和保养，控制车辆时速，使施工期噪声满足《建筑施工噪声排放标准》（GB12523-2025）。</w:t>
            </w:r>
          </w:p>
          <w:p w14:paraId="431D99C0">
            <w:pPr>
              <w:spacing w:line="360" w:lineRule="auto"/>
              <w:jc w:val="left"/>
              <w:rPr>
                <w:rFonts w:hint="eastAsia"/>
                <w:color w:val="000000"/>
                <w:szCs w:val="21"/>
                <w:lang w:val="en-US" w:eastAsia="zh-CN"/>
              </w:rPr>
            </w:pPr>
            <w:r>
              <w:rPr>
                <w:rFonts w:hint="eastAsia"/>
                <w:color w:val="000000"/>
                <w:szCs w:val="21"/>
                <w:lang w:val="en-US" w:eastAsia="zh-CN"/>
              </w:rPr>
              <w:t>4、妥善处置各类固体废弃物。钻井泥浆采用泥浆不落地回收工艺；钻井岩屑经收集后，定期拉运至有资质单位处理。建设单位须严格按照《一般工业固体废物贮存和填埋污染控制标准》（GB18599-2020）处置一般固废，不得乱弃。危废暂存间须严格按照《危险废物贮存污染控制标准》（GB18597-2023）进行设计、建设和管理。危险废物收集和运输等均按照《危险废物收集 贮存 运输技术规范》(HJ2025-2012)要求执行。危废必须由有资质单位处置。施工期结束后，拆除危废暂存间。</w:t>
            </w:r>
          </w:p>
          <w:p w14:paraId="233D712F">
            <w:pPr>
              <w:spacing w:line="360" w:lineRule="auto"/>
              <w:jc w:val="left"/>
              <w:rPr>
                <w:rFonts w:hint="eastAsia"/>
                <w:color w:val="000000"/>
                <w:szCs w:val="21"/>
                <w:lang w:val="en-US" w:eastAsia="zh-CN"/>
              </w:rPr>
            </w:pPr>
            <w:bookmarkStart w:id="0" w:name="_GoBack"/>
            <w:bookmarkEnd w:id="0"/>
            <w:r>
              <w:rPr>
                <w:rFonts w:hint="eastAsia"/>
                <w:color w:val="000000"/>
                <w:szCs w:val="21"/>
                <w:lang w:val="en-US" w:eastAsia="zh-CN"/>
              </w:rPr>
              <w:t>5、加强施工期生态保护和污染防治。严格按照设计划定的施工范围进行施工，尽可能缩小施工作业范围，最大程度避免施工对地表植被的碾压。表土与弃土分开放置，弃土用于回填，表土用于生态恢复时的绿化覆土。井场施工结束后，对临时占地全部进行生态恢复。落实地下水污染源头防控、分区防渗措施，避免泥浆泄漏、污废水泄漏及危废暂存等引起地下水污染。落实土壤污染源头控制、过程防控措施。钻前钻后进行土壤监测，若土壤受到污染，应根据土地利用功能进行评估和修复。</w:t>
            </w:r>
          </w:p>
          <w:p w14:paraId="68A47079">
            <w:pPr>
              <w:spacing w:line="360" w:lineRule="auto"/>
              <w:jc w:val="left"/>
              <w:rPr>
                <w:rFonts w:hint="eastAsia"/>
                <w:color w:val="000000"/>
                <w:szCs w:val="21"/>
                <w:lang w:val="en-US" w:eastAsia="zh-CN"/>
              </w:rPr>
            </w:pPr>
            <w:r>
              <w:rPr>
                <w:rFonts w:hint="eastAsia"/>
                <w:color w:val="000000"/>
                <w:szCs w:val="21"/>
                <w:lang w:val="en-US" w:eastAsia="zh-CN"/>
              </w:rPr>
              <w:t>6、建立健全环境风险应急处理机制，严格落实各项环境风险处理措施、生态平衡保护机制，防止环境风险带来的生态环境破坏。</w:t>
            </w:r>
          </w:p>
          <w:p w14:paraId="1953DD48">
            <w:pPr>
              <w:spacing w:line="360" w:lineRule="auto"/>
              <w:jc w:val="left"/>
              <w:rPr>
                <w:rFonts w:hint="eastAsia"/>
                <w:color w:val="000000"/>
                <w:szCs w:val="21"/>
                <w:lang w:val="en-US" w:eastAsia="zh-CN"/>
              </w:rPr>
            </w:pPr>
            <w:r>
              <w:rPr>
                <w:rFonts w:hint="eastAsia"/>
                <w:color w:val="000000"/>
                <w:szCs w:val="21"/>
                <w:lang w:val="en-US" w:eastAsia="zh-CN"/>
              </w:rPr>
              <w:t>三、你单位应委托有相应资质的设计单位对建设项目重点环保设施进行设计，并在项目施工及运行过程中严格落实环保设施安全生产工作要求。</w:t>
            </w:r>
          </w:p>
          <w:p w14:paraId="368BEA54">
            <w:pPr>
              <w:spacing w:line="360" w:lineRule="auto"/>
              <w:jc w:val="left"/>
              <w:rPr>
                <w:rFonts w:hint="eastAsia"/>
                <w:color w:val="000000"/>
                <w:szCs w:val="21"/>
                <w:lang w:val="en-US" w:eastAsia="zh-CN"/>
              </w:rPr>
            </w:pPr>
            <w:r>
              <w:rPr>
                <w:rFonts w:hint="eastAsia"/>
                <w:color w:val="000000"/>
                <w:szCs w:val="21"/>
                <w:lang w:val="en-US" w:eastAsia="zh-CN"/>
              </w:rPr>
              <w:t>四、建设单位在征得林草主管部门、文物主管部门同意后方可开工建设。</w:t>
            </w:r>
          </w:p>
          <w:p w14:paraId="462B083F">
            <w:pPr>
              <w:spacing w:line="360" w:lineRule="auto"/>
              <w:jc w:val="left"/>
              <w:rPr>
                <w:rFonts w:hint="eastAsia"/>
                <w:color w:val="000000"/>
                <w:szCs w:val="21"/>
                <w:lang w:val="en-US" w:eastAsia="zh-CN"/>
              </w:rPr>
            </w:pPr>
            <w:r>
              <w:rPr>
                <w:rFonts w:hint="eastAsia"/>
                <w:color w:val="000000"/>
                <w:szCs w:val="21"/>
                <w:lang w:val="en-US" w:eastAsia="zh-CN"/>
              </w:rPr>
              <w:t>五、你单位在该项目环保申报过程中如有瞒报、假报情形，则是严重的违法行为，须承担因此产生的一切后果。项目建设必须严格执行环境保护“三同时”制度。项目竣工后，须按照规定程序实施竣工环境保护验收。</w:t>
            </w:r>
          </w:p>
          <w:p w14:paraId="69D33A37">
            <w:pPr>
              <w:spacing w:line="360" w:lineRule="auto"/>
              <w:jc w:val="left"/>
              <w:rPr>
                <w:rFonts w:hint="eastAsia"/>
                <w:color w:val="000000"/>
                <w:szCs w:val="21"/>
                <w:lang w:val="en-US" w:eastAsia="zh-CN"/>
              </w:rPr>
            </w:pPr>
            <w:r>
              <w:rPr>
                <w:rFonts w:hint="eastAsia"/>
                <w:color w:val="000000"/>
                <w:szCs w:val="21"/>
                <w:lang w:val="en-US" w:eastAsia="zh-CN"/>
              </w:rPr>
              <w:t>六、该项目事中事后监管由鄂尔多斯市生态环境综合行政执法支队东胜区大队负责。</w:t>
            </w:r>
          </w:p>
          <w:p w14:paraId="22C07058">
            <w:pPr>
              <w:spacing w:line="360" w:lineRule="auto"/>
              <w:jc w:val="left"/>
              <w:rPr>
                <w:rFonts w:hint="eastAsia"/>
                <w:color w:val="000000"/>
                <w:szCs w:val="21"/>
                <w:lang w:val="en-US" w:eastAsia="zh-CN"/>
              </w:rPr>
            </w:pPr>
            <w:r>
              <w:rPr>
                <w:rFonts w:hint="eastAsia"/>
                <w:color w:val="000000"/>
                <w:szCs w:val="21"/>
                <w:lang w:val="en-US" w:eastAsia="zh-CN"/>
              </w:rPr>
              <w:t xml:space="preserve">七、该项目自批准之日起超过5年方决定开工建设，其生态环境影响报告表应重新审核。如果建设项目的性质、规模、地点、采用的生产工艺或者防治污染、防止生态破坏的措施发生重大变化时，需重新报批生态环境影响报告表。 </w:t>
            </w:r>
          </w:p>
        </w:tc>
      </w:tr>
    </w:tbl>
    <w:p w14:paraId="6DB52701"/>
    <w:sectPr>
      <w:pgSz w:w="11906" w:h="16838"/>
      <w:pgMar w:top="1440" w:right="1134" w:bottom="144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VkNTk1MmVhODkwYTdlM2UzNDI2NDIyNmU0MzQwNDkifQ=="/>
  </w:docVars>
  <w:rsids>
    <w:rsidRoot w:val="007E3F49"/>
    <w:rsid w:val="00655DD2"/>
    <w:rsid w:val="007E3F49"/>
    <w:rsid w:val="008B4FF3"/>
    <w:rsid w:val="00A14109"/>
    <w:rsid w:val="00AC4964"/>
    <w:rsid w:val="00D56621"/>
    <w:rsid w:val="00ED3C94"/>
    <w:rsid w:val="00FE0A91"/>
    <w:rsid w:val="018868AB"/>
    <w:rsid w:val="049F3351"/>
    <w:rsid w:val="15947A84"/>
    <w:rsid w:val="15C90A19"/>
    <w:rsid w:val="19B76A12"/>
    <w:rsid w:val="1A630C1F"/>
    <w:rsid w:val="1EC0622B"/>
    <w:rsid w:val="1EDD74A0"/>
    <w:rsid w:val="23022A8E"/>
    <w:rsid w:val="29AC6982"/>
    <w:rsid w:val="30463BE9"/>
    <w:rsid w:val="37170E1C"/>
    <w:rsid w:val="3DC33FDB"/>
    <w:rsid w:val="3E062DA7"/>
    <w:rsid w:val="430F14CF"/>
    <w:rsid w:val="43DC2BDE"/>
    <w:rsid w:val="44A80449"/>
    <w:rsid w:val="497150DD"/>
    <w:rsid w:val="49D847BF"/>
    <w:rsid w:val="4A7E49A9"/>
    <w:rsid w:val="4AD11E12"/>
    <w:rsid w:val="4DE41872"/>
    <w:rsid w:val="4E8B271B"/>
    <w:rsid w:val="4ED23258"/>
    <w:rsid w:val="54973A8B"/>
    <w:rsid w:val="59565E50"/>
    <w:rsid w:val="5A3C1252"/>
    <w:rsid w:val="5E371149"/>
    <w:rsid w:val="5FA6709B"/>
    <w:rsid w:val="605C25FF"/>
    <w:rsid w:val="641136E8"/>
    <w:rsid w:val="6C323809"/>
    <w:rsid w:val="6C3D1353"/>
    <w:rsid w:val="7F061C2B"/>
    <w:rsid w:val="7FC628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next w:val="1"/>
    <w:qFormat/>
    <w:uiPriority w:val="99"/>
    <w:pPr>
      <w:ind w:left="420" w:leftChars="200"/>
    </w:pPr>
  </w:style>
  <w:style w:type="paragraph" w:styleId="4">
    <w:name w:val="Normal Indent"/>
    <w:basedOn w:val="1"/>
    <w:next w:val="5"/>
    <w:autoRedefine/>
    <w:semiHidden/>
    <w:unhideWhenUsed/>
    <w:qFormat/>
    <w:uiPriority w:val="99"/>
    <w:pPr>
      <w:ind w:firstLine="420" w:firstLineChars="200"/>
    </w:pPr>
  </w:style>
  <w:style w:type="paragraph" w:styleId="5">
    <w:name w:val="table of figures"/>
    <w:basedOn w:val="1"/>
    <w:next w:val="1"/>
    <w:qFormat/>
    <w:uiPriority w:val="0"/>
    <w:pPr>
      <w:ind w:left="200" w:leftChars="200" w:hanging="200" w:hangingChars="200"/>
    </w:pPr>
  </w:style>
  <w:style w:type="paragraph" w:styleId="6">
    <w:name w:val="annotation text"/>
    <w:basedOn w:val="1"/>
    <w:qFormat/>
    <w:uiPriority w:val="0"/>
    <w:pPr>
      <w:jc w:val="left"/>
    </w:pPr>
  </w:style>
  <w:style w:type="paragraph" w:styleId="7">
    <w:name w:val="Body Text"/>
    <w:basedOn w:val="1"/>
    <w:qFormat/>
    <w:uiPriority w:val="99"/>
    <w:pPr>
      <w:spacing w:after="120"/>
    </w:pPr>
    <w:rPr>
      <w:rFonts w:ascii="Calibri" w:hAnsi="Calibri"/>
      <w:szCs w:val="22"/>
    </w:rPr>
  </w:style>
  <w:style w:type="paragraph" w:styleId="8">
    <w:name w:val="Plain Text"/>
    <w:basedOn w:val="1"/>
    <w:qFormat/>
    <w:uiPriority w:val="0"/>
    <w:rPr>
      <w:rFonts w:ascii="宋体" w:hAnsi="Courier New"/>
      <w:szCs w:val="21"/>
    </w:rPr>
  </w:style>
  <w:style w:type="paragraph" w:styleId="9">
    <w:name w:val="footer"/>
    <w:basedOn w:val="1"/>
    <w:link w:val="23"/>
    <w:autoRedefine/>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22"/>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toc 2"/>
    <w:basedOn w:val="1"/>
    <w:next w:val="1"/>
    <w:unhideWhenUsed/>
    <w:qFormat/>
    <w:uiPriority w:val="39"/>
    <w:pPr>
      <w:ind w:left="420" w:leftChars="200"/>
    </w:pPr>
  </w:style>
  <w:style w:type="paragraph" w:styleId="12">
    <w:name w:val="Body Text 2"/>
    <w:basedOn w:val="1"/>
    <w:next w:val="1"/>
    <w:qFormat/>
    <w:uiPriority w:val="0"/>
    <w:pPr>
      <w:spacing w:after="120" w:line="480" w:lineRule="auto"/>
    </w:pPr>
  </w:style>
  <w:style w:type="character" w:styleId="15">
    <w:name w:val="annotation reference"/>
    <w:basedOn w:val="14"/>
    <w:semiHidden/>
    <w:unhideWhenUsed/>
    <w:qFormat/>
    <w:uiPriority w:val="99"/>
    <w:rPr>
      <w:sz w:val="21"/>
      <w:szCs w:val="21"/>
    </w:rPr>
  </w:style>
  <w:style w:type="paragraph" w:customStyle="1" w:styleId="16">
    <w:name w:val="正文样式"/>
    <w:basedOn w:val="1"/>
    <w:qFormat/>
    <w:uiPriority w:val="0"/>
    <w:pPr>
      <w:spacing w:line="520" w:lineRule="exact"/>
      <w:ind w:firstLine="562"/>
    </w:pPr>
    <w:rPr>
      <w:rFonts w:cs="宋体"/>
      <w:sz w:val="28"/>
      <w:szCs w:val="28"/>
    </w:rPr>
  </w:style>
  <w:style w:type="paragraph" w:customStyle="1" w:styleId="17">
    <w:name w:val="xl27"/>
    <w:basedOn w:val="1"/>
    <w:next w:val="6"/>
    <w:qFormat/>
    <w:uiPriority w:val="0"/>
    <w:pPr>
      <w:widowControl/>
      <w:spacing w:before="280" w:after="280"/>
      <w:jc w:val="center"/>
    </w:pPr>
    <w:rPr>
      <w:rFonts w:hAnsi="宋体" w:cs="宋体"/>
    </w:rPr>
  </w:style>
  <w:style w:type="paragraph" w:customStyle="1" w:styleId="18">
    <w:name w:val="Default"/>
    <w:basedOn w:val="19"/>
    <w:next w:val="20"/>
    <w:qFormat/>
    <w:uiPriority w:val="0"/>
    <w:pPr>
      <w:adjustRightInd w:val="0"/>
    </w:pPr>
    <w:rPr>
      <w:rFonts w:ascii="宋体" w:cs="宋体"/>
      <w:color w:val="000000"/>
      <w:sz w:val="24"/>
      <w:lang w:val="en-US"/>
    </w:rPr>
  </w:style>
  <w:style w:type="paragraph" w:customStyle="1" w:styleId="19">
    <w:name w:val="文本"/>
    <w:basedOn w:val="1"/>
    <w:next w:val="1"/>
    <w:qFormat/>
    <w:uiPriority w:val="0"/>
    <w:pPr>
      <w:autoSpaceDE w:val="0"/>
      <w:autoSpaceDN w:val="0"/>
      <w:ind w:firstLine="480"/>
    </w:pPr>
    <w:rPr>
      <w:lang w:val="zh-CN"/>
    </w:rPr>
  </w:style>
  <w:style w:type="paragraph" w:customStyle="1" w:styleId="20">
    <w:name w:val="表格文字"/>
    <w:basedOn w:val="7"/>
    <w:next w:val="1"/>
    <w:qFormat/>
    <w:uiPriority w:val="0"/>
    <w:pPr>
      <w:jc w:val="center"/>
    </w:pPr>
    <w:rPr>
      <w:rFonts w:ascii="Arial Narrow" w:hAnsi="Arial Narrow" w:eastAsia="汉鼎简书宋"/>
    </w:rPr>
  </w:style>
  <w:style w:type="paragraph" w:customStyle="1" w:styleId="21">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
    <w:name w:val="页眉 字符"/>
    <w:basedOn w:val="14"/>
    <w:link w:val="10"/>
    <w:autoRedefine/>
    <w:qFormat/>
    <w:uiPriority w:val="99"/>
    <w:rPr>
      <w:sz w:val="18"/>
      <w:szCs w:val="18"/>
    </w:rPr>
  </w:style>
  <w:style w:type="character" w:customStyle="1" w:styleId="23">
    <w:name w:val="页脚 字符"/>
    <w:basedOn w:val="14"/>
    <w:link w:val="9"/>
    <w:autoRedefine/>
    <w:qFormat/>
    <w:uiPriority w:val="99"/>
    <w:rPr>
      <w:sz w:val="18"/>
      <w:szCs w:val="18"/>
    </w:rPr>
  </w:style>
  <w:style w:type="character" w:customStyle="1" w:styleId="24">
    <w:name w:val="NormalCharacter"/>
    <w:autoRedefine/>
    <w:semiHidden/>
    <w:qFormat/>
    <w:uiPriority w:val="99"/>
  </w:style>
  <w:style w:type="paragraph" w:customStyle="1" w:styleId="25">
    <w:name w:val="图表"/>
    <w:basedOn w:val="3"/>
    <w:autoRedefine/>
    <w:qFormat/>
    <w:uiPriority w:val="0"/>
    <w:pPr>
      <w:widowControl/>
      <w:autoSpaceDE w:val="0"/>
      <w:autoSpaceDN w:val="0"/>
      <w:adjustRightInd w:val="0"/>
      <w:snapToGrid w:val="0"/>
      <w:spacing w:after="0" w:line="360" w:lineRule="auto"/>
      <w:ind w:left="0" w:leftChars="0"/>
      <w:jc w:val="center"/>
    </w:pPr>
    <w:rPr>
      <w:b/>
    </w:rPr>
  </w:style>
  <w:style w:type="paragraph" w:customStyle="1" w:styleId="26">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27">
    <w:name w:val="Table Paragraph"/>
    <w:basedOn w:val="1"/>
    <w:qFormat/>
    <w:uiPriority w:val="1"/>
    <w:rPr>
      <w:rFonts w:ascii="宋体" w:hAnsi="宋体" w:eastAsia="宋体" w:cs="宋体"/>
      <w:lang w:val="zh-CN" w:eastAsia="zh-CN" w:bidi="zh-CN"/>
    </w:rPr>
  </w:style>
  <w:style w:type="paragraph" w:customStyle="1" w:styleId="28">
    <w:name w:val="正文-Z"/>
    <w:basedOn w:val="1"/>
    <w:qFormat/>
    <w:uiPriority w:val="0"/>
    <w:pPr>
      <w:spacing w:line="360" w:lineRule="auto"/>
      <w:ind w:firstLine="420" w:firstLineChars="200"/>
    </w:pPr>
    <w:rPr>
      <w:rFonts w:eastAsiaTheme="minorEastAsia"/>
      <w:sz w:val="24"/>
    </w:rPr>
  </w:style>
  <w:style w:type="paragraph" w:customStyle="1" w:styleId="29">
    <w:name w:val="李-正文"/>
    <w:basedOn w:val="1"/>
    <w:qFormat/>
    <w:uiPriority w:val="0"/>
    <w:pPr>
      <w:spacing w:line="360" w:lineRule="auto"/>
      <w:ind w:firstLine="560" w:firstLineChars="200"/>
    </w:pPr>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1764</Words>
  <Characters>1936</Characters>
  <Lines>11</Lines>
  <Paragraphs>3</Paragraphs>
  <TotalTime>0</TotalTime>
  <ScaleCrop>false</ScaleCrop>
  <LinksUpToDate>false</LinksUpToDate>
  <CharactersWithSpaces>1969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2023-11-07T01:29:00Z</dcterms:created>
  <dc:creator>Administrator</dc:creator>
  <cp:lastModifiedBy>Coco</cp:lastModifiedBy>
  <dcterms:modified xsi:type="dcterms:W3CDTF">2026-09-17T08:08:31Z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8A8837DC28804F048B97D671515894C8_12</vt:lpwstr>
  </property>
  <property fmtid="{D5CDD505-2E9C-101B-9397-08002B2CF9AE}" pid="4" name="KSOTemplateDocerSaveRecord">
    <vt:lpwstr>eyJoZGlkIjoiZGMyN2E2MTRmYjM2NzM2N2YwMzQyOWU3MDQxMjhiZDciLCJ1c2VySWQiOiIyNDY1NDUzNzIifQ==</vt:lpwstr>
  </property>
</Properties>
</file>