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4"/>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东胜区高级中学建设项目</w:t>
            </w:r>
          </w:p>
        </w:tc>
        <w:tc>
          <w:tcPr>
            <w:tcW w:w="397" w:type="dxa"/>
            <w:vAlign w:val="center"/>
          </w:tcPr>
          <w:p w14:paraId="677BD658">
            <w:pPr>
              <w:spacing w:line="600" w:lineRule="exact"/>
              <w:jc w:val="center"/>
              <w:rPr>
                <w:color w:val="000000"/>
                <w:szCs w:val="21"/>
              </w:rPr>
            </w:pPr>
            <w:r>
              <w:rPr>
                <w:rFonts w:hint="default"/>
                <w:color w:val="000000"/>
                <w:szCs w:val="21"/>
                <w:lang w:val="en-US" w:eastAsia="zh-CN"/>
              </w:rPr>
              <w:t>东胜区罕台镇罕台五路南、蓝天路东、罕</w:t>
            </w:r>
            <w:r>
              <w:rPr>
                <w:rFonts w:hint="eastAsia"/>
                <w:color w:val="000000"/>
                <w:szCs w:val="21"/>
                <w:lang w:val="en-US" w:eastAsia="zh-CN"/>
              </w:rPr>
              <w:t>台</w:t>
            </w:r>
            <w:r>
              <w:rPr>
                <w:rFonts w:hint="default"/>
                <w:color w:val="000000"/>
                <w:szCs w:val="21"/>
                <w:lang w:val="en-US" w:eastAsia="zh-CN"/>
              </w:rPr>
              <w:t>东九路北、新世纪南路西、铜川镇碾盘梁沟</w:t>
            </w:r>
          </w:p>
        </w:tc>
        <w:tc>
          <w:tcPr>
            <w:tcW w:w="465" w:type="dxa"/>
            <w:vAlign w:val="center"/>
          </w:tcPr>
          <w:p w14:paraId="25BCC080">
            <w:pPr>
              <w:spacing w:line="600" w:lineRule="exact"/>
              <w:jc w:val="center"/>
              <w:rPr>
                <w:color w:val="000000"/>
                <w:szCs w:val="21"/>
              </w:rPr>
            </w:pPr>
            <w:r>
              <w:rPr>
                <w:rFonts w:hint="default"/>
                <w:color w:val="000000"/>
                <w:szCs w:val="21"/>
                <w:lang w:val="en-US" w:eastAsia="zh-CN"/>
              </w:rPr>
              <w:t>鄂尔多斯市东胜区教育体育局</w:t>
            </w:r>
          </w:p>
        </w:tc>
        <w:tc>
          <w:tcPr>
            <w:tcW w:w="675" w:type="dxa"/>
            <w:vAlign w:val="center"/>
          </w:tcPr>
          <w:p w14:paraId="5D04F640">
            <w:pPr>
              <w:spacing w:line="600" w:lineRule="exact"/>
              <w:jc w:val="center"/>
              <w:rPr>
                <w:color w:val="000000"/>
                <w:szCs w:val="21"/>
              </w:rPr>
            </w:pPr>
            <w:r>
              <w:rPr>
                <w:rFonts w:hint="default"/>
                <w:color w:val="000000"/>
                <w:szCs w:val="21"/>
                <w:lang w:val="en-US" w:eastAsia="zh-CN"/>
              </w:rPr>
              <w:fldChar w:fldCharType="begin"/>
            </w:r>
            <w:r>
              <w:rPr>
                <w:rFonts w:hint="default"/>
                <w:color w:val="000000"/>
                <w:szCs w:val="21"/>
                <w:lang w:val="en-US" w:eastAsia="zh-CN"/>
              </w:rPr>
              <w:instrText xml:space="preserve"> HYPERLINK "javascript:viewHomeCompanyInfoView('189750761784093106')" </w:instrText>
            </w:r>
            <w:r>
              <w:rPr>
                <w:rFonts w:hint="default"/>
                <w:color w:val="000000"/>
                <w:szCs w:val="21"/>
                <w:lang w:val="en-US" w:eastAsia="zh-CN"/>
              </w:rPr>
              <w:fldChar w:fldCharType="separate"/>
            </w:r>
            <w:r>
              <w:rPr>
                <w:rFonts w:hint="default"/>
                <w:color w:val="000000"/>
                <w:szCs w:val="21"/>
                <w:lang w:val="en-US" w:eastAsia="zh-CN"/>
              </w:rPr>
              <w:t>内蒙古汇枫环保科技有限公司</w:t>
            </w:r>
            <w:r>
              <w:rPr>
                <w:rFonts w:hint="default"/>
                <w:color w:val="000000"/>
                <w:szCs w:val="21"/>
                <w:lang w:val="en-US" w:eastAsia="zh-CN"/>
              </w:rPr>
              <w:fldChar w:fldCharType="end"/>
            </w:r>
          </w:p>
        </w:tc>
        <w:tc>
          <w:tcPr>
            <w:tcW w:w="2555" w:type="dxa"/>
            <w:vAlign w:val="center"/>
          </w:tcPr>
          <w:p w14:paraId="05AD7ACD">
            <w:pPr>
              <w:spacing w:line="360" w:lineRule="auto"/>
              <w:ind w:firstLine="420" w:firstLineChars="200"/>
              <w:rPr>
                <w:rFonts w:hint="default"/>
                <w:color w:val="000000"/>
                <w:szCs w:val="21"/>
                <w:lang w:val="en-US" w:eastAsia="zh-CN"/>
              </w:rPr>
            </w:pPr>
            <w:r>
              <w:rPr>
                <w:rFonts w:hint="default"/>
                <w:color w:val="000000"/>
                <w:szCs w:val="21"/>
                <w:lang w:val="en-US" w:eastAsia="zh-CN"/>
              </w:rPr>
              <w:t>一、</w:t>
            </w:r>
            <w:r>
              <w:rPr>
                <w:rFonts w:hint="default"/>
                <w:color w:val="000000"/>
                <w:szCs w:val="21"/>
              </w:rPr>
              <w:t>该项目属于</w:t>
            </w:r>
            <w:r>
              <w:rPr>
                <w:rFonts w:hint="default"/>
                <w:color w:val="000000"/>
                <w:szCs w:val="21"/>
                <w:lang w:eastAsia="zh-CN"/>
              </w:rPr>
              <w:t>新</w:t>
            </w:r>
            <w:r>
              <w:rPr>
                <w:rFonts w:hint="default"/>
                <w:color w:val="000000"/>
                <w:szCs w:val="21"/>
              </w:rPr>
              <w:t>建项目，</w:t>
            </w:r>
            <w:r>
              <w:rPr>
                <w:rFonts w:hint="default"/>
                <w:color w:val="000000"/>
                <w:szCs w:val="21"/>
                <w:lang w:val="en-US" w:eastAsia="zh-CN"/>
              </w:rPr>
              <w:t>位于东胜区罕台镇罕台五路南、蓝天路东、罕合东九路北、新世纪南路西。项目总占地面积80832.21平方米，总投资31500万元，其中环保投资413.2万元。主要建设内容及规模：项目拟建教学楼1栋、宿舍2栋、食堂1栋及其他附属设施，</w:t>
            </w:r>
            <w:bookmarkStart w:id="0" w:name="_GoBack"/>
            <w:bookmarkEnd w:id="0"/>
            <w:r>
              <w:rPr>
                <w:rFonts w:hint="default"/>
                <w:color w:val="000000"/>
                <w:szCs w:val="21"/>
                <w:lang w:val="en-US" w:eastAsia="zh-CN"/>
              </w:rPr>
              <w:t>教学楼内配套生物实验室2间</w:t>
            </w:r>
            <w:r>
              <w:rPr>
                <w:rFonts w:hint="eastAsia"/>
                <w:color w:val="000000"/>
                <w:szCs w:val="21"/>
                <w:lang w:val="en-US" w:eastAsia="zh-CN"/>
              </w:rPr>
              <w:t>、</w:t>
            </w:r>
            <w:r>
              <w:rPr>
                <w:rFonts w:hint="default"/>
                <w:color w:val="000000"/>
                <w:szCs w:val="21"/>
                <w:lang w:val="en-US" w:eastAsia="zh-CN"/>
              </w:rPr>
              <w:t>化学实验室2间，化学实验室准备间设置5平方米危废暂存间1间，配套建设公辅工程和环保工程，建成后容纳班级数量为64个，可容纳3200人就学。</w:t>
            </w:r>
          </w:p>
          <w:p w14:paraId="7D8F2B30">
            <w:pPr>
              <w:spacing w:line="360" w:lineRule="auto"/>
              <w:ind w:firstLine="420" w:firstLineChars="200"/>
              <w:rPr>
                <w:color w:val="000000"/>
                <w:szCs w:val="21"/>
              </w:rPr>
            </w:pPr>
          </w:p>
        </w:tc>
        <w:tc>
          <w:tcPr>
            <w:tcW w:w="4877" w:type="dxa"/>
            <w:vAlign w:val="center"/>
          </w:tcPr>
          <w:p w14:paraId="1324558D">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0BD702E">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0B67EBAA">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48FEC3ED">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施工期大气污染物排放执行《大气污染物综合排放标准》（GB16297-1996）表2中无组织排放监控浓度限值。</w:t>
            </w:r>
          </w:p>
          <w:p w14:paraId="7499F9A6">
            <w:pPr>
              <w:spacing w:line="360" w:lineRule="auto"/>
              <w:jc w:val="left"/>
              <w:rPr>
                <w:rFonts w:hint="eastAsia"/>
                <w:color w:val="000000"/>
                <w:szCs w:val="21"/>
              </w:rPr>
            </w:pPr>
            <w:r>
              <w:rPr>
                <w:rFonts w:hint="eastAsia"/>
                <w:color w:val="000000"/>
                <w:szCs w:val="21"/>
                <w:lang w:val="en-US" w:eastAsia="zh-CN"/>
              </w:rPr>
              <w:t>2、施工人员生活污水</w:t>
            </w:r>
            <w:r>
              <w:rPr>
                <w:rFonts w:hint="eastAsia"/>
                <w:color w:val="000000"/>
                <w:szCs w:val="21"/>
                <w:lang w:eastAsia="zh-CN"/>
              </w:rPr>
              <w:t>经</w:t>
            </w:r>
            <w:r>
              <w:rPr>
                <w:rFonts w:hint="eastAsia"/>
                <w:color w:val="000000"/>
                <w:szCs w:val="21"/>
                <w:lang w:val="en-US" w:eastAsia="zh-CN"/>
              </w:rPr>
              <w:t>临时</w:t>
            </w:r>
            <w:r>
              <w:rPr>
                <w:rFonts w:hint="eastAsia"/>
                <w:color w:val="000000"/>
                <w:szCs w:val="21"/>
              </w:rPr>
              <w:t>化粪池沉淀后</w:t>
            </w:r>
            <w:r>
              <w:rPr>
                <w:rFonts w:hint="eastAsia"/>
                <w:color w:val="000000"/>
                <w:szCs w:val="21"/>
                <w:lang w:val="en-US" w:eastAsia="zh-CN"/>
              </w:rPr>
              <w:t>进入</w:t>
            </w:r>
            <w:r>
              <w:rPr>
                <w:rFonts w:hint="eastAsia"/>
                <w:color w:val="000000"/>
                <w:szCs w:val="21"/>
              </w:rPr>
              <w:t>市政污水管网。</w:t>
            </w:r>
          </w:p>
          <w:p w14:paraId="04FFE225">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3、选用低噪声施工设备，合理安排作业时间，施工车辆出入应尽量远离敏感点。施工期噪声执行《建筑施工噪声排放标准》（GB12523-2025）。</w:t>
            </w:r>
          </w:p>
          <w:p w14:paraId="6A9449A2">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5CAA8B9D">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29831E51">
            <w:pPr>
              <w:spacing w:line="360" w:lineRule="auto"/>
              <w:jc w:val="left"/>
              <w:rPr>
                <w:rFonts w:hint="eastAsia"/>
                <w:color w:val="000000"/>
                <w:szCs w:val="21"/>
                <w:lang w:val="en-US" w:eastAsia="zh-CN"/>
              </w:rPr>
            </w:pPr>
            <w:r>
              <w:rPr>
                <w:rFonts w:hint="eastAsia"/>
                <w:color w:val="000000"/>
                <w:szCs w:val="21"/>
                <w:lang w:val="en-US" w:eastAsia="zh-CN"/>
              </w:rPr>
              <w:t>1、大气污染防治措施。运营期实验室</w:t>
            </w:r>
            <w:r>
              <w:rPr>
                <w:rFonts w:hint="eastAsia"/>
                <w:color w:val="000000"/>
                <w:szCs w:val="21"/>
                <w:lang w:eastAsia="zh-CN"/>
              </w:rPr>
              <w:t>废气</w:t>
            </w:r>
            <w:r>
              <w:rPr>
                <w:rFonts w:hint="eastAsia"/>
                <w:color w:val="000000"/>
                <w:szCs w:val="21"/>
                <w:lang w:val="en-US" w:eastAsia="zh-CN"/>
              </w:rPr>
              <w:t>由集气罩收集，经管道引至楼顶由1根25米高排气筒排放，执行《大气污染物综合排放标准》（GB16297-1996）表2中二级标准限值；本项目排气筒高度没有高出周围200m半径范围的建筑5m以上，按其高度对应的表列排放速率标准值严格50%执行。无组织废气排放执行《大气污染物综合排放标准》（GB16297-1996）表2中无组织排放监控浓度限值。厂区内非甲烷总烃无组织排放执行《挥发性有机物无组织排放控制标准》（GB37822-2019）限值。食堂油烟经集气罩收集，静电式油烟净化器净化后由1根19.6米高排气筒排放，执行《饮食业油烟排放标准（试行）》(GB18483-2001）表2中大型规模排放浓度限值。</w:t>
            </w:r>
          </w:p>
          <w:p w14:paraId="4F1F1120">
            <w:pPr>
              <w:spacing w:line="360" w:lineRule="auto"/>
              <w:jc w:val="left"/>
              <w:rPr>
                <w:rFonts w:hint="eastAsia"/>
                <w:color w:val="000000"/>
                <w:szCs w:val="21"/>
                <w:lang w:val="en-US" w:eastAsia="zh-CN"/>
              </w:rPr>
            </w:pPr>
            <w:r>
              <w:rPr>
                <w:rFonts w:hint="eastAsia"/>
                <w:color w:val="000000"/>
                <w:szCs w:val="21"/>
                <w:lang w:val="en-US" w:eastAsia="zh-CN"/>
              </w:rPr>
              <w:t>2、水污染防治措施。运营期生活污水、经隔油池处理的食堂废水及实验室普通废水经化粪池沉淀满足《污水综合排放标准》（GB8978-1996）三级标准后排入市政污水管网。</w:t>
            </w:r>
          </w:p>
          <w:p w14:paraId="6811F946">
            <w:pPr>
              <w:spacing w:line="360" w:lineRule="auto"/>
              <w:jc w:val="left"/>
              <w:rPr>
                <w:rFonts w:hint="eastAsia"/>
                <w:color w:val="000000"/>
                <w:szCs w:val="21"/>
                <w:lang w:val="en-US" w:eastAsia="zh-CN"/>
              </w:rPr>
            </w:pPr>
            <w:r>
              <w:rPr>
                <w:rFonts w:hint="eastAsia"/>
                <w:color w:val="000000"/>
                <w:szCs w:val="21"/>
                <w:lang w:val="en-US" w:eastAsia="zh-CN"/>
              </w:rPr>
              <w:t>3、噪声污染防治措施。运营期</w:t>
            </w:r>
            <w:r>
              <w:rPr>
                <w:rFonts w:hint="eastAsia"/>
                <w:color w:val="000000"/>
                <w:szCs w:val="21"/>
                <w:lang w:eastAsia="zh-CN"/>
              </w:rPr>
              <w:t>校园边</w:t>
            </w:r>
            <w:r>
              <w:rPr>
                <w:rFonts w:hint="eastAsia"/>
                <w:color w:val="000000"/>
                <w:szCs w:val="21"/>
              </w:rPr>
              <w:t>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r>
              <w:rPr>
                <w:rFonts w:hint="eastAsia"/>
                <w:color w:val="000000"/>
                <w:szCs w:val="21"/>
                <w:lang w:val="en-US" w:eastAsia="zh-CN"/>
              </w:rPr>
              <w:t>限值。敏感点噪声满足《声环境质量标准》（GB3096-2008）中2类标准限值。</w:t>
            </w:r>
          </w:p>
          <w:p w14:paraId="7FE6C4A2">
            <w:pPr>
              <w:spacing w:line="360" w:lineRule="auto"/>
              <w:jc w:val="left"/>
              <w:rPr>
                <w:rFonts w:hint="eastAsia"/>
                <w:color w:val="000000"/>
                <w:szCs w:val="21"/>
                <w:lang w:val="en-US" w:eastAsia="zh-CN"/>
              </w:rPr>
            </w:pPr>
            <w:r>
              <w:rPr>
                <w:rFonts w:hint="eastAsia"/>
                <w:color w:val="000000"/>
                <w:szCs w:val="21"/>
                <w:lang w:val="en-US" w:eastAsia="zh-CN"/>
              </w:rPr>
              <w:t>4、妥善处置各类固体废弃物。建设单位须严格按照《一般工业固体废物贮存和填埋污染控制标准》（GB18599-2020）处置一般固废，不得乱弃。危废暂存间须严格按照《危险废物贮存污染控制标准》（GB18597-2023）进行设计、建设和管理。危险废物收集和运输等均按照《危险废物收集 贮存 运输技术规范》(HJ2025-2012)要求执行。危废必须由有资质单位处置。液态危险废物置于废液桶内，废液桶下设置防渗漏托盘，单个托盘可容纳渗漏量大于废液桶容积。</w:t>
            </w:r>
          </w:p>
          <w:p w14:paraId="691EEE9B">
            <w:pPr>
              <w:spacing w:line="360" w:lineRule="auto"/>
              <w:jc w:val="left"/>
              <w:rPr>
                <w:rFonts w:hint="eastAsia"/>
                <w:color w:val="000000"/>
                <w:szCs w:val="21"/>
              </w:rPr>
            </w:pPr>
            <w:r>
              <w:rPr>
                <w:rFonts w:hint="eastAsia"/>
                <w:color w:val="000000"/>
                <w:szCs w:val="21"/>
                <w:lang w:val="en-US" w:eastAsia="zh-CN"/>
              </w:rPr>
              <w:t>5、强化环境风险防范，制定突发生态环境事件应急预案，落实环境风险事故防范措施，提高事故风险防范和污染控制能力。</w:t>
            </w:r>
          </w:p>
          <w:p w14:paraId="159F92FF">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14:paraId="4D950A17">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2EF04734">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w:t>
            </w:r>
            <w:r>
              <w:rPr>
                <w:rFonts w:hint="eastAsia"/>
                <w:color w:val="000000"/>
                <w:szCs w:val="21"/>
                <w:lang w:eastAsia="zh-CN"/>
              </w:rPr>
              <w:t>“</w:t>
            </w:r>
            <w:r>
              <w:rPr>
                <w:rFonts w:hint="eastAsia"/>
                <w:color w:val="000000"/>
                <w:szCs w:val="21"/>
              </w:rPr>
              <w:t>三同时</w:t>
            </w:r>
            <w:r>
              <w:rPr>
                <w:rFonts w:hint="eastAsia"/>
                <w:color w:val="000000"/>
                <w:szCs w:val="21"/>
                <w:lang w:eastAsia="zh-CN"/>
              </w:rPr>
              <w:t>”</w:t>
            </w:r>
            <w:r>
              <w:rPr>
                <w:rFonts w:hint="eastAsia"/>
                <w:color w:val="000000"/>
                <w:szCs w:val="21"/>
              </w:rPr>
              <w:t>制度。项目竣工后，须按照规定程序实施竣工环境保护验收。</w:t>
            </w:r>
          </w:p>
          <w:p w14:paraId="7813C044">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该项目</w:t>
            </w:r>
            <w:r>
              <w:rPr>
                <w:rFonts w:hint="eastAsia"/>
                <w:color w:val="000000"/>
                <w:szCs w:val="21"/>
                <w:lang w:val="en-US" w:eastAsia="zh-CN"/>
              </w:rPr>
              <w:t>自</w:t>
            </w:r>
            <w:r>
              <w:rPr>
                <w:rFonts w:hint="eastAsia"/>
                <w:color w:val="000000"/>
                <w:szCs w:val="21"/>
              </w:rPr>
              <w:t>批准之日起超过5年方决定开工建设，其</w:t>
            </w:r>
            <w:r>
              <w:rPr>
                <w:rFonts w:hint="eastAsia"/>
                <w:color w:val="000000"/>
                <w:szCs w:val="21"/>
                <w:lang w:val="en-US" w:eastAsia="zh-CN"/>
              </w:rPr>
              <w:t>生态环境影响报告表</w:t>
            </w:r>
            <w:r>
              <w:rPr>
                <w:rFonts w:hint="eastAsia"/>
                <w:color w:val="000000"/>
                <w:szCs w:val="21"/>
              </w:rPr>
              <w:t>应重新审核。如果建设</w:t>
            </w:r>
            <w:r>
              <w:rPr>
                <w:rFonts w:hint="eastAsia"/>
                <w:color w:val="000000"/>
                <w:szCs w:val="21"/>
                <w:lang w:val="en-US" w:eastAsia="zh-CN"/>
              </w:rPr>
              <w:t>项目的性质、</w:t>
            </w:r>
            <w:r>
              <w:rPr>
                <w:rFonts w:hint="eastAsia"/>
                <w:color w:val="000000"/>
                <w:szCs w:val="21"/>
              </w:rPr>
              <w:t>规模、地点、</w:t>
            </w:r>
            <w:r>
              <w:rPr>
                <w:rFonts w:hint="eastAsia"/>
                <w:color w:val="000000"/>
                <w:szCs w:val="21"/>
                <w:lang w:val="en-US" w:eastAsia="zh-CN"/>
              </w:rPr>
              <w:t>采用的生产工艺或者</w:t>
            </w:r>
            <w:r>
              <w:rPr>
                <w:rFonts w:hint="eastAsia"/>
                <w:color w:val="000000"/>
                <w:szCs w:val="21"/>
              </w:rPr>
              <w:t>防治污染</w:t>
            </w:r>
            <w:r>
              <w:rPr>
                <w:rFonts w:hint="eastAsia"/>
                <w:color w:val="000000"/>
                <w:szCs w:val="21"/>
                <w:lang w:eastAsia="zh-CN"/>
              </w:rPr>
              <w:t>、</w:t>
            </w:r>
            <w:r>
              <w:rPr>
                <w:rFonts w:hint="eastAsia"/>
                <w:color w:val="000000"/>
                <w:szCs w:val="21"/>
              </w:rPr>
              <w:t>防止生态破坏的措施发生重大变化时，需重新报批</w:t>
            </w:r>
            <w:r>
              <w:rPr>
                <w:rFonts w:hint="eastAsia"/>
                <w:color w:val="000000"/>
                <w:szCs w:val="21"/>
                <w:lang w:val="en-US" w:eastAsia="zh-CN"/>
              </w:rPr>
              <w:t>生态环境影响报告表</w:t>
            </w:r>
            <w:r>
              <w:rPr>
                <w:rFonts w:hint="eastAsia"/>
                <w:color w:val="000000"/>
                <w:szCs w:val="21"/>
              </w:rPr>
              <w:t xml:space="preserve">。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7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A630C1F"/>
    <w:rsid w:val="1EC0622B"/>
    <w:rsid w:val="1EDD74A0"/>
    <w:rsid w:val="23022A8E"/>
    <w:rsid w:val="29AC6982"/>
    <w:rsid w:val="30463BE9"/>
    <w:rsid w:val="37170E1C"/>
    <w:rsid w:val="3DC33FDB"/>
    <w:rsid w:val="3E062DA7"/>
    <w:rsid w:val="430F14CF"/>
    <w:rsid w:val="43DC2BDE"/>
    <w:rsid w:val="44A80449"/>
    <w:rsid w:val="497150DD"/>
    <w:rsid w:val="49D847BF"/>
    <w:rsid w:val="4A7E49A9"/>
    <w:rsid w:val="4AD11E12"/>
    <w:rsid w:val="4DE41872"/>
    <w:rsid w:val="4E8B271B"/>
    <w:rsid w:val="4ED23258"/>
    <w:rsid w:val="54973A8B"/>
    <w:rsid w:val="59565E50"/>
    <w:rsid w:val="5A3C1252"/>
    <w:rsid w:val="5E371149"/>
    <w:rsid w:val="5FA6709B"/>
    <w:rsid w:val="605C25FF"/>
    <w:rsid w:val="641136E8"/>
    <w:rsid w:val="6C323809"/>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样式"/>
    <w:basedOn w:val="1"/>
    <w:qFormat/>
    <w:uiPriority w:val="0"/>
    <w:pPr>
      <w:spacing w:line="520" w:lineRule="exact"/>
      <w:ind w:firstLine="562"/>
    </w:pPr>
    <w:rPr>
      <w:rFonts w:cs="宋体"/>
      <w:sz w:val="28"/>
      <w:szCs w:val="28"/>
    </w:rPr>
  </w:style>
  <w:style w:type="paragraph" w:styleId="3">
    <w:name w:val="Normal Indent"/>
    <w:basedOn w:val="1"/>
    <w:next w:val="4"/>
    <w:autoRedefine/>
    <w:semiHidden/>
    <w:unhideWhenUsed/>
    <w:qFormat/>
    <w:uiPriority w:val="99"/>
    <w:pPr>
      <w:ind w:firstLine="420" w:firstLineChars="200"/>
    </w:pPr>
  </w:style>
  <w:style w:type="paragraph" w:styleId="4">
    <w:name w:val="table of figures"/>
    <w:basedOn w:val="1"/>
    <w:next w:val="1"/>
    <w:qFormat/>
    <w:uiPriority w:val="0"/>
    <w:pPr>
      <w:ind w:left="200" w:leftChars="200" w:hanging="200" w:hangingChars="200"/>
    </w:pPr>
  </w:style>
  <w:style w:type="paragraph" w:styleId="5">
    <w:name w:val="annotation text"/>
    <w:basedOn w:val="1"/>
    <w:qFormat/>
    <w:uiPriority w:val="0"/>
    <w:pPr>
      <w:jc w:val="left"/>
    </w:pPr>
  </w:style>
  <w:style w:type="paragraph" w:styleId="6">
    <w:name w:val="Body Text"/>
    <w:basedOn w:val="1"/>
    <w:qFormat/>
    <w:uiPriority w:val="99"/>
    <w:pPr>
      <w:spacing w:after="120"/>
    </w:pPr>
    <w:rPr>
      <w:rFonts w:ascii="Calibri" w:hAnsi="Calibri"/>
      <w:szCs w:val="22"/>
    </w:rPr>
  </w:style>
  <w:style w:type="paragraph" w:styleId="7">
    <w:name w:val="Body Text Indent"/>
    <w:basedOn w:val="1"/>
    <w:qFormat/>
    <w:uiPriority w:val="99"/>
    <w:pPr>
      <w:ind w:left="420" w:leftChars="200"/>
    </w:pPr>
  </w:style>
  <w:style w:type="paragraph" w:styleId="8">
    <w:name w:val="Plain Text"/>
    <w:basedOn w:val="1"/>
    <w:qFormat/>
    <w:uiPriority w:val="0"/>
    <w:rPr>
      <w:rFonts w:ascii="宋体" w:hAnsi="Courier New"/>
      <w:szCs w:val="21"/>
    </w:rPr>
  </w:style>
  <w:style w:type="paragraph" w:styleId="9">
    <w:name w:val="footer"/>
    <w:basedOn w:val="1"/>
    <w:link w:val="2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toc 2"/>
    <w:basedOn w:val="1"/>
    <w:next w:val="1"/>
    <w:unhideWhenUsed/>
    <w:qFormat/>
    <w:uiPriority w:val="39"/>
    <w:pPr>
      <w:ind w:left="420" w:leftChars="200"/>
    </w:pPr>
  </w:style>
  <w:style w:type="paragraph" w:styleId="12">
    <w:name w:val="Body Text 2"/>
    <w:basedOn w:val="1"/>
    <w:next w:val="1"/>
    <w:qFormat/>
    <w:uiPriority w:val="0"/>
    <w:pPr>
      <w:spacing w:after="120" w:line="480" w:lineRule="auto"/>
    </w:pPr>
  </w:style>
  <w:style w:type="paragraph" w:styleId="13">
    <w:name w:val="Body Text First Indent 2"/>
    <w:basedOn w:val="7"/>
    <w:next w:val="1"/>
    <w:qFormat/>
    <w:uiPriority w:val="99"/>
    <w:pPr>
      <w:spacing w:line="240" w:lineRule="auto"/>
      <w:ind w:firstLine="420"/>
    </w:pPr>
  </w:style>
  <w:style w:type="character" w:styleId="16">
    <w:name w:val="annotation reference"/>
    <w:basedOn w:val="15"/>
    <w:semiHidden/>
    <w:unhideWhenUsed/>
    <w:qFormat/>
    <w:uiPriority w:val="99"/>
    <w:rPr>
      <w:sz w:val="21"/>
      <w:szCs w:val="21"/>
    </w:rPr>
  </w:style>
  <w:style w:type="paragraph" w:customStyle="1" w:styleId="17">
    <w:name w:val="xl27"/>
    <w:basedOn w:val="1"/>
    <w:next w:val="5"/>
    <w:qFormat/>
    <w:uiPriority w:val="0"/>
    <w:pPr>
      <w:widowControl/>
      <w:spacing w:before="280" w:after="280"/>
      <w:jc w:val="center"/>
    </w:pPr>
    <w:rPr>
      <w:rFonts w:hAnsi="宋体" w:cs="宋体"/>
    </w:rPr>
  </w:style>
  <w:style w:type="paragraph" w:customStyle="1" w:styleId="18">
    <w:name w:val="Default"/>
    <w:basedOn w:val="19"/>
    <w:next w:val="20"/>
    <w:qFormat/>
    <w:uiPriority w:val="0"/>
    <w:pPr>
      <w:adjustRightInd w:val="0"/>
    </w:pPr>
    <w:rPr>
      <w:rFonts w:ascii="宋体" w:cs="宋体"/>
      <w:color w:val="000000"/>
      <w:sz w:val="24"/>
      <w:lang w:val="en-US"/>
    </w:rPr>
  </w:style>
  <w:style w:type="paragraph" w:customStyle="1" w:styleId="19">
    <w:name w:val="文本"/>
    <w:basedOn w:val="1"/>
    <w:next w:val="1"/>
    <w:qFormat/>
    <w:uiPriority w:val="0"/>
    <w:pPr>
      <w:autoSpaceDE w:val="0"/>
      <w:autoSpaceDN w:val="0"/>
      <w:ind w:firstLine="480"/>
    </w:pPr>
    <w:rPr>
      <w:lang w:val="zh-CN"/>
    </w:rPr>
  </w:style>
  <w:style w:type="paragraph" w:customStyle="1" w:styleId="20">
    <w:name w:val="表格文字"/>
    <w:basedOn w:val="6"/>
    <w:next w:val="1"/>
    <w:qFormat/>
    <w:uiPriority w:val="0"/>
    <w:pPr>
      <w:jc w:val="center"/>
    </w:pPr>
    <w:rPr>
      <w:rFonts w:ascii="Arial Narrow" w:hAnsi="Arial Narrow" w:eastAsia="汉鼎简书宋"/>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页眉 字符"/>
    <w:basedOn w:val="15"/>
    <w:link w:val="10"/>
    <w:autoRedefine/>
    <w:qFormat/>
    <w:uiPriority w:val="99"/>
    <w:rPr>
      <w:sz w:val="18"/>
      <w:szCs w:val="18"/>
    </w:rPr>
  </w:style>
  <w:style w:type="character" w:customStyle="1" w:styleId="23">
    <w:name w:val="页脚 字符"/>
    <w:basedOn w:val="15"/>
    <w:link w:val="9"/>
    <w:autoRedefine/>
    <w:qFormat/>
    <w:uiPriority w:val="99"/>
    <w:rPr>
      <w:sz w:val="18"/>
      <w:szCs w:val="18"/>
    </w:rPr>
  </w:style>
  <w:style w:type="character" w:customStyle="1" w:styleId="24">
    <w:name w:val="NormalCharacter"/>
    <w:autoRedefine/>
    <w:semiHidden/>
    <w:qFormat/>
    <w:uiPriority w:val="99"/>
  </w:style>
  <w:style w:type="paragraph" w:customStyle="1" w:styleId="25">
    <w:name w:val="图表"/>
    <w:basedOn w:val="7"/>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6">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7">
    <w:name w:val="Table Paragraph"/>
    <w:basedOn w:val="1"/>
    <w:qFormat/>
    <w:uiPriority w:val="1"/>
    <w:rPr>
      <w:rFonts w:ascii="宋体" w:hAnsi="宋体" w:eastAsia="宋体" w:cs="宋体"/>
      <w:lang w:val="zh-CN" w:eastAsia="zh-CN" w:bidi="zh-CN"/>
    </w:rPr>
  </w:style>
  <w:style w:type="paragraph" w:customStyle="1" w:styleId="28">
    <w:name w:val="正文-Z"/>
    <w:basedOn w:val="1"/>
    <w:qFormat/>
    <w:uiPriority w:val="0"/>
    <w:pPr>
      <w:spacing w:line="360" w:lineRule="auto"/>
      <w:ind w:firstLine="420" w:firstLineChars="200"/>
    </w:pPr>
    <w:rPr>
      <w:rFonts w:eastAsiaTheme="minorEastAsia"/>
      <w:sz w:val="24"/>
    </w:rPr>
  </w:style>
  <w:style w:type="paragraph" w:customStyle="1" w:styleId="29">
    <w:name w:val="李-正文"/>
    <w:basedOn w:val="1"/>
    <w:qFormat/>
    <w:uiPriority w:val="0"/>
    <w:pPr>
      <w:spacing w:line="360" w:lineRule="auto"/>
      <w:ind w:firstLine="560" w:firstLineChars="20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1678</Words>
  <Characters>1844</Characters>
  <Lines>11</Lines>
  <Paragraphs>3</Paragraphs>
  <TotalTime>5</TotalTime>
  <ScaleCrop>false</ScaleCrop>
  <LinksUpToDate>false</LinksUpToDate>
  <CharactersWithSpaces>1875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2026-09-15T02:55:26Z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