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鄂尔多斯市东胜区碾盘梁沟上游段河道治理工</w:t>
            </w:r>
            <w:r>
              <w:rPr>
                <w:rFonts w:hint="eastAsia" w:cs="Times New Roman"/>
                <w:color w:val="auto"/>
                <w:sz w:val="24"/>
                <w:szCs w:val="24"/>
                <w:highlight w:val="none"/>
                <w:lang w:val="en-US" w:eastAsia="zh-CN"/>
              </w:rPr>
              <w:t>程</w:t>
            </w:r>
          </w:p>
        </w:tc>
        <w:tc>
          <w:tcPr>
            <w:tcW w:w="397" w:type="dxa"/>
            <w:vAlign w:val="center"/>
          </w:tcPr>
          <w:p w14:paraId="677BD658">
            <w:pPr>
              <w:spacing w:line="600" w:lineRule="exact"/>
              <w:jc w:val="center"/>
              <w:rPr>
                <w:color w:val="000000"/>
                <w:szCs w:val="21"/>
              </w:rPr>
            </w:pPr>
            <w:r>
              <w:rPr>
                <w:rFonts w:hint="default"/>
                <w:color w:val="000000"/>
                <w:szCs w:val="21"/>
                <w:lang w:val="en-US" w:eastAsia="zh-CN"/>
              </w:rPr>
              <w:t>内蒙古自治区鄂尔多斯市东胜区民族街道办事处、铜川镇碾盘梁沟</w:t>
            </w:r>
          </w:p>
        </w:tc>
        <w:tc>
          <w:tcPr>
            <w:tcW w:w="465" w:type="dxa"/>
            <w:vAlign w:val="center"/>
          </w:tcPr>
          <w:p w14:paraId="25BCC080">
            <w:pPr>
              <w:spacing w:line="600" w:lineRule="exact"/>
              <w:jc w:val="center"/>
              <w:rPr>
                <w:color w:val="000000"/>
                <w:szCs w:val="21"/>
              </w:rPr>
            </w:pPr>
            <w:r>
              <w:rPr>
                <w:rFonts w:hint="default"/>
                <w:color w:val="000000"/>
                <w:szCs w:val="21"/>
                <w:lang w:val="en-US" w:eastAsia="zh-CN"/>
              </w:rPr>
              <w:t>国能包头能源有限责任公司万利一矿</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内蒙古浩廷环保科技有限公司</w:t>
            </w:r>
          </w:p>
        </w:tc>
        <w:tc>
          <w:tcPr>
            <w:tcW w:w="2555" w:type="dxa"/>
            <w:vAlign w:val="center"/>
          </w:tcPr>
          <w:p w14:paraId="0F6023CE">
            <w:pPr>
              <w:spacing w:line="360" w:lineRule="auto"/>
              <w:ind w:firstLine="420" w:firstLineChars="200"/>
              <w:rPr>
                <w:rFonts w:hint="default"/>
                <w:color w:val="000000"/>
                <w:szCs w:val="21"/>
                <w:lang w:val="en-US" w:eastAsia="zh-CN"/>
              </w:rPr>
            </w:pPr>
            <w:r>
              <w:rPr>
                <w:rFonts w:hint="default"/>
                <w:color w:val="000000"/>
                <w:szCs w:val="21"/>
                <w:lang w:val="en-US" w:eastAsia="zh-CN"/>
              </w:rPr>
              <w:t>一、该项目位于东胜区民族街道办事处、铜川镇碾盘梁沟。总用地面积54565m</w:t>
            </w:r>
            <w:r>
              <w:rPr>
                <w:rFonts w:hint="default"/>
                <w:color w:val="000000"/>
                <w:szCs w:val="21"/>
                <w:vertAlign w:val="superscript"/>
                <w:lang w:val="en-US" w:eastAsia="zh-CN"/>
              </w:rPr>
              <w:t>2</w:t>
            </w:r>
            <w:r>
              <w:rPr>
                <w:rFonts w:hint="default"/>
                <w:color w:val="000000"/>
                <w:szCs w:val="21"/>
                <w:lang w:val="en-US" w:eastAsia="zh-CN"/>
              </w:rPr>
              <w:t>，其中永久用地面积29250m</w:t>
            </w:r>
            <w:r>
              <w:rPr>
                <w:rFonts w:hint="default"/>
                <w:color w:val="000000"/>
                <w:szCs w:val="21"/>
                <w:vertAlign w:val="superscript"/>
                <w:lang w:val="en-US" w:eastAsia="zh-CN"/>
              </w:rPr>
              <w:t>2</w:t>
            </w:r>
            <w:r>
              <w:rPr>
                <w:rFonts w:hint="default"/>
                <w:color w:val="000000"/>
                <w:szCs w:val="21"/>
                <w:lang w:val="en-US" w:eastAsia="zh-CN"/>
              </w:rPr>
              <w:t>，临时用地面积25315m</w:t>
            </w:r>
            <w:r>
              <w:rPr>
                <w:rFonts w:hint="default"/>
                <w:color w:val="000000"/>
                <w:szCs w:val="21"/>
                <w:vertAlign w:val="superscript"/>
                <w:lang w:val="en-US" w:eastAsia="zh-CN"/>
              </w:rPr>
              <w:t>2</w:t>
            </w:r>
            <w:r>
              <w:rPr>
                <w:rFonts w:hint="default"/>
                <w:color w:val="000000"/>
                <w:szCs w:val="21"/>
                <w:lang w:val="en-US" w:eastAsia="zh-CN"/>
              </w:rPr>
              <w:t>。项目总投资2620.79万元，环保投资142万元。主要建设内容及规模：河道治理总长度为2.91km（中心桩），起于碾盘梁沟与</w:t>
            </w:r>
            <w:bookmarkStart w:id="0" w:name="_GoBack"/>
            <w:bookmarkEnd w:id="0"/>
            <w:r>
              <w:rPr>
                <w:rFonts w:hint="default"/>
                <w:color w:val="000000"/>
                <w:szCs w:val="21"/>
                <w:lang w:val="en-US" w:eastAsia="zh-CN"/>
              </w:rPr>
              <w:t>东胜环城路交汇处，终于宋家渠汇入碾盘梁沟处；左岸新建钢筋混凝土墙式护岸1.708km，新建格宾石笼坡式护岸0.764km；右岸新建钢筋混凝土墙式护岸2.676km；河道疏浚长度为2.91km，平均疏浚深度为0.5m；新建箱涵2座。建成后工程防洪标准为10年一遇。</w:t>
            </w:r>
          </w:p>
          <w:p w14:paraId="534A7D8B">
            <w:pPr>
              <w:spacing w:line="360" w:lineRule="auto"/>
              <w:ind w:firstLine="420" w:firstLineChars="200"/>
              <w:rPr>
                <w:color w:val="000000"/>
                <w:szCs w:val="21"/>
              </w:rPr>
            </w:pPr>
          </w:p>
        </w:tc>
        <w:tc>
          <w:tcPr>
            <w:tcW w:w="4877" w:type="dxa"/>
            <w:vAlign w:val="center"/>
          </w:tcPr>
          <w:p w14:paraId="0B86D8EA">
            <w:pPr>
              <w:spacing w:line="360" w:lineRule="auto"/>
              <w:jc w:val="left"/>
              <w:rPr>
                <w:rFonts w:hint="eastAsia" w:eastAsia="宋体"/>
                <w:color w:val="000000"/>
                <w:szCs w:val="21"/>
              </w:rPr>
            </w:pPr>
            <w:r>
              <w:rPr>
                <w:rFonts w:hint="eastAsia" w:eastAsia="宋体"/>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28B306A3">
            <w:pPr>
              <w:spacing w:line="360" w:lineRule="auto"/>
              <w:jc w:val="left"/>
              <w:rPr>
                <w:rFonts w:hint="eastAsia" w:eastAsia="宋体"/>
                <w:color w:val="000000"/>
                <w:szCs w:val="21"/>
                <w:lang w:val="en-US" w:eastAsia="zh-CN"/>
              </w:rPr>
            </w:pPr>
            <w:r>
              <w:rPr>
                <w:rFonts w:hint="eastAsia" w:eastAsia="宋体"/>
                <w:color w:val="000000"/>
                <w:szCs w:val="21"/>
                <w:lang w:val="en-US" w:eastAsia="zh-CN"/>
              </w:rPr>
              <w:t>二、在项目工程设计、建设和环境管理中，你单位必须严格落实</w:t>
            </w:r>
            <w:r>
              <w:rPr>
                <w:rFonts w:hint="eastAsia" w:eastAsia="宋体"/>
                <w:color w:val="000000"/>
                <w:szCs w:val="21"/>
              </w:rPr>
              <w:t>《报告表》</w:t>
            </w:r>
            <w:r>
              <w:rPr>
                <w:rFonts w:hint="eastAsia" w:eastAsia="宋体"/>
                <w:color w:val="000000"/>
                <w:szCs w:val="21"/>
                <w:lang w:val="en-US" w:eastAsia="zh-CN"/>
              </w:rPr>
              <w:t>中提出的各项环保措施和要求，确保各项污染物稳定达标排放，并须着重做好以下工作：</w:t>
            </w:r>
          </w:p>
          <w:p w14:paraId="02A93574">
            <w:pPr>
              <w:spacing w:line="360" w:lineRule="auto"/>
              <w:jc w:val="left"/>
              <w:rPr>
                <w:rFonts w:hint="eastAsia" w:eastAsia="宋体"/>
                <w:color w:val="000000"/>
                <w:szCs w:val="21"/>
                <w:lang w:val="en-US" w:eastAsia="zh-CN"/>
              </w:rPr>
            </w:pPr>
            <w:r>
              <w:rPr>
                <w:rFonts w:hint="eastAsia" w:eastAsia="宋体"/>
                <w:color w:val="000000"/>
                <w:szCs w:val="21"/>
                <w:lang w:val="en-US" w:eastAsia="zh-CN"/>
              </w:rPr>
              <w:t>（一）严格落实施工期污染防治措施</w:t>
            </w:r>
          </w:p>
          <w:p w14:paraId="132D892C">
            <w:pPr>
              <w:spacing w:line="360" w:lineRule="auto"/>
              <w:jc w:val="left"/>
              <w:rPr>
                <w:rFonts w:hint="eastAsia" w:eastAsia="宋体"/>
                <w:color w:val="000000"/>
                <w:szCs w:val="21"/>
                <w:lang w:val="en-US" w:eastAsia="zh-CN"/>
              </w:rPr>
            </w:pPr>
            <w:r>
              <w:rPr>
                <w:rFonts w:hint="eastAsia" w:eastAsia="宋体"/>
                <w:color w:val="000000"/>
                <w:szCs w:val="21"/>
                <w:lang w:val="en-US" w:eastAsia="zh-CN"/>
              </w:rPr>
              <w:t>1、加强施工期环境管理，</w:t>
            </w:r>
            <w:r>
              <w:rPr>
                <w:rFonts w:hint="eastAsia" w:eastAsia="宋体"/>
                <w:color w:val="000000"/>
                <w:szCs w:val="21"/>
              </w:rPr>
              <w:t>施工场地设置围挡，</w:t>
            </w:r>
            <w:r>
              <w:rPr>
                <w:rFonts w:hint="eastAsia" w:eastAsia="宋体"/>
                <w:color w:val="000000"/>
                <w:szCs w:val="21"/>
                <w:lang w:val="en-US" w:eastAsia="zh-CN"/>
              </w:rPr>
              <w:t>配备足够的洒水车、篷布等防尘设备，有效控制施工期挖土、物料装卸、物料运输、堆放、回填过程中产生的扬尘污染。</w:t>
            </w:r>
            <w:r>
              <w:rPr>
                <w:rFonts w:hint="eastAsia" w:eastAsia="宋体"/>
                <w:color w:val="000000"/>
                <w:szCs w:val="21"/>
              </w:rPr>
              <w:t>施工期大气污染物排放执行《大气污染物综合排放标准》（GB</w:t>
            </w:r>
            <w:r>
              <w:rPr>
                <w:rFonts w:hint="eastAsia" w:eastAsia="宋体"/>
                <w:color w:val="000000"/>
                <w:szCs w:val="21"/>
                <w:lang w:val="en-US" w:eastAsia="zh-CN"/>
              </w:rPr>
              <w:t xml:space="preserve"> </w:t>
            </w:r>
            <w:r>
              <w:rPr>
                <w:rFonts w:hint="eastAsia" w:eastAsia="宋体"/>
                <w:color w:val="000000"/>
                <w:szCs w:val="21"/>
              </w:rPr>
              <w:t>16297-1996）表2中无组织排放监控浓度限值。</w:t>
            </w:r>
          </w:p>
          <w:p w14:paraId="2F682D3E">
            <w:pPr>
              <w:spacing w:line="360" w:lineRule="auto"/>
              <w:jc w:val="left"/>
              <w:rPr>
                <w:rFonts w:hint="eastAsia" w:eastAsia="宋体"/>
                <w:color w:val="000000"/>
                <w:szCs w:val="21"/>
                <w:lang w:val="en-US" w:eastAsia="zh-CN"/>
              </w:rPr>
            </w:pPr>
            <w:r>
              <w:rPr>
                <w:rFonts w:hint="eastAsia" w:eastAsia="宋体"/>
                <w:color w:val="000000"/>
                <w:szCs w:val="21"/>
                <w:lang w:val="en-US" w:eastAsia="zh-CN"/>
              </w:rPr>
              <w:t>2、施工废水经临时隔油池、临时沉淀池处理后回用，不外排。施工人员生活污水经收集后拉运至污水处理厂处置。</w:t>
            </w:r>
          </w:p>
          <w:p w14:paraId="19C7000E">
            <w:pPr>
              <w:spacing w:line="360" w:lineRule="auto"/>
              <w:jc w:val="left"/>
              <w:rPr>
                <w:rFonts w:hint="eastAsia" w:eastAsia="宋体"/>
                <w:color w:val="000000"/>
                <w:szCs w:val="21"/>
                <w:lang w:val="en-US" w:eastAsia="zh-CN"/>
              </w:rPr>
            </w:pPr>
            <w:r>
              <w:rPr>
                <w:rFonts w:hint="eastAsia" w:eastAsia="宋体"/>
                <w:color w:val="000000"/>
                <w:szCs w:val="21"/>
                <w:lang w:val="en-US" w:eastAsia="zh-CN"/>
              </w:rPr>
              <w:t>3、</w:t>
            </w:r>
            <w:r>
              <w:rPr>
                <w:rFonts w:hint="eastAsia" w:eastAsia="宋体"/>
                <w:color w:val="000000"/>
                <w:szCs w:val="21"/>
              </w:rPr>
              <w:t>通过采取合理安排施工时间，选取低噪声设备，对设备和车辆进行维护和</w:t>
            </w:r>
            <w:r>
              <w:rPr>
                <w:rFonts w:hint="eastAsia" w:eastAsia="宋体"/>
                <w:color w:val="000000"/>
                <w:szCs w:val="21"/>
                <w:lang w:val="en-US" w:eastAsia="zh-CN"/>
              </w:rPr>
              <w:t>保养</w:t>
            </w:r>
            <w:r>
              <w:rPr>
                <w:rFonts w:hint="eastAsia" w:eastAsia="宋体"/>
                <w:color w:val="000000"/>
                <w:szCs w:val="21"/>
              </w:rPr>
              <w:t>等措施，使施工期噪声满足《建筑施工噪声排放标准》（GB12523-2025）</w:t>
            </w:r>
            <w:r>
              <w:rPr>
                <w:rFonts w:hint="eastAsia" w:eastAsia="宋体"/>
                <w:color w:val="000000"/>
                <w:szCs w:val="21"/>
                <w:lang w:val="en-US" w:eastAsia="zh-CN"/>
              </w:rPr>
              <w:t>。</w:t>
            </w:r>
          </w:p>
          <w:p w14:paraId="03FC24E9">
            <w:pPr>
              <w:spacing w:line="360" w:lineRule="auto"/>
              <w:jc w:val="left"/>
              <w:rPr>
                <w:rFonts w:hint="eastAsia" w:eastAsia="宋体"/>
                <w:color w:val="000000"/>
                <w:szCs w:val="21"/>
                <w:lang w:val="en-US" w:eastAsia="zh-CN"/>
              </w:rPr>
            </w:pPr>
            <w:r>
              <w:rPr>
                <w:rFonts w:hint="eastAsia" w:eastAsia="宋体"/>
                <w:color w:val="000000"/>
                <w:szCs w:val="21"/>
                <w:lang w:val="en-US" w:eastAsia="zh-CN"/>
              </w:rPr>
              <w:t>4、妥善处置各类固体废弃物。河道清淤底泥回用于堤防、护岸填筑；建筑垃圾、废弃土方运至鄂尔多斯市东胜区北郊建筑垃圾消纳场处置；</w:t>
            </w:r>
            <w:r>
              <w:rPr>
                <w:rFonts w:hint="eastAsia" w:eastAsia="宋体"/>
                <w:color w:val="000000"/>
                <w:szCs w:val="21"/>
              </w:rPr>
              <w:t>生活垃圾集中收集后定期由环卫部门清运</w:t>
            </w:r>
            <w:r>
              <w:rPr>
                <w:rFonts w:hint="eastAsia" w:eastAsia="宋体"/>
                <w:color w:val="000000"/>
                <w:szCs w:val="21"/>
                <w:lang w:eastAsia="zh-CN"/>
              </w:rPr>
              <w:t>；</w:t>
            </w:r>
            <w:r>
              <w:rPr>
                <w:rFonts w:hint="eastAsia" w:eastAsia="宋体"/>
                <w:color w:val="000000"/>
                <w:szCs w:val="21"/>
                <w:lang w:val="en-US" w:eastAsia="zh-CN"/>
              </w:rPr>
              <w:t>河道清理垃圾集中收集后运至生活垃圾填埋场进行处理。严格按照《一般工业固体废物贮存和填埋污染控制标准》（GB 18599-2020）处置一般固废，不得乱弃。</w:t>
            </w:r>
          </w:p>
          <w:p w14:paraId="0382F2B9">
            <w:pPr>
              <w:spacing w:line="360" w:lineRule="auto"/>
              <w:jc w:val="left"/>
              <w:rPr>
                <w:rFonts w:hint="eastAsia" w:eastAsia="宋体"/>
                <w:color w:val="000000"/>
                <w:szCs w:val="21"/>
                <w:lang w:val="en-US" w:eastAsia="zh-CN"/>
              </w:rPr>
            </w:pPr>
            <w:r>
              <w:rPr>
                <w:rFonts w:hint="eastAsia" w:eastAsia="宋体"/>
                <w:color w:val="000000"/>
                <w:szCs w:val="21"/>
                <w:lang w:val="en-US" w:eastAsia="zh-CN"/>
              </w:rPr>
              <w:t>5、加强施工期生态保护和污染防治。</w:t>
            </w:r>
            <w:r>
              <w:rPr>
                <w:rFonts w:hint="eastAsia" w:eastAsia="宋体"/>
                <w:color w:val="000000"/>
                <w:szCs w:val="21"/>
              </w:rPr>
              <w:t>土石方开挖过程中严格按照设计要求施工，尽可能缩小施工活动范围，</w:t>
            </w:r>
            <w:r>
              <w:rPr>
                <w:rFonts w:hint="eastAsia" w:eastAsia="宋体"/>
                <w:color w:val="000000"/>
                <w:szCs w:val="21"/>
                <w:lang w:val="en-US" w:eastAsia="zh-CN"/>
              </w:rPr>
              <w:t>尽量减少占地，</w:t>
            </w:r>
            <w:r>
              <w:rPr>
                <w:rFonts w:hint="eastAsia" w:eastAsia="宋体"/>
                <w:color w:val="000000"/>
                <w:szCs w:val="21"/>
              </w:rPr>
              <w:t>减少植被破坏面积。</w:t>
            </w:r>
            <w:r>
              <w:rPr>
                <w:rFonts w:hint="eastAsia" w:eastAsia="宋体"/>
                <w:color w:val="000000"/>
                <w:szCs w:val="21"/>
                <w:lang w:val="en-US" w:eastAsia="zh-CN"/>
              </w:rPr>
              <w:t>表土与弃土分开放置，弃土用于回填，表土用于生态恢复时的绿化覆土。合理安排施工工序，分期、分段施工，减少对植被和土壤的破坏，防止水土流失，减小对生态环境的影响。禁止将施工废水排入河道，禁止汛期施工。施工结束及时进行土地整治，对地表原有植被进行恢复。</w:t>
            </w:r>
          </w:p>
          <w:p w14:paraId="1BB596E7">
            <w:pPr>
              <w:spacing w:line="360" w:lineRule="auto"/>
              <w:jc w:val="left"/>
              <w:rPr>
                <w:rFonts w:hint="eastAsia" w:eastAsia="宋体"/>
                <w:color w:val="000000"/>
                <w:szCs w:val="21"/>
                <w:lang w:val="en-US" w:eastAsia="zh-CN"/>
              </w:rPr>
            </w:pPr>
            <w:r>
              <w:rPr>
                <w:rFonts w:hint="eastAsia" w:eastAsia="宋体"/>
                <w:color w:val="000000"/>
                <w:szCs w:val="21"/>
                <w:lang w:val="en-US" w:eastAsia="zh-CN"/>
              </w:rPr>
              <w:t>（二）严格落实运营期污染防治措施</w:t>
            </w:r>
          </w:p>
          <w:p w14:paraId="18B2264B">
            <w:pPr>
              <w:spacing w:line="360" w:lineRule="auto"/>
              <w:jc w:val="left"/>
              <w:rPr>
                <w:rFonts w:hint="eastAsia" w:eastAsia="宋体"/>
                <w:color w:val="000000"/>
                <w:szCs w:val="21"/>
                <w:lang w:val="en-US" w:eastAsia="zh-CN"/>
              </w:rPr>
            </w:pPr>
            <w:r>
              <w:rPr>
                <w:rFonts w:hint="eastAsia" w:eastAsia="宋体"/>
                <w:color w:val="000000"/>
                <w:szCs w:val="21"/>
                <w:lang w:val="en-US" w:eastAsia="zh-CN"/>
              </w:rPr>
              <w:t>1、运营期加强临时用地范围内植被管护，保证动植物及生态功能不低于施工前水平；多选择本土植物种类，防止物种侵袭等生态风险。加强水土保持措施，加强雨季护岸工程巡护，尤其是极端天气，避免造成洪水对护岸工程的影响。</w:t>
            </w:r>
          </w:p>
          <w:p w14:paraId="5698E1B4">
            <w:pPr>
              <w:spacing w:line="360" w:lineRule="auto"/>
              <w:jc w:val="left"/>
              <w:rPr>
                <w:rFonts w:hint="eastAsia" w:eastAsia="宋体"/>
                <w:color w:val="000000"/>
                <w:szCs w:val="21"/>
              </w:rPr>
            </w:pPr>
            <w:r>
              <w:rPr>
                <w:rFonts w:hint="eastAsia" w:eastAsia="宋体"/>
                <w:color w:val="000000"/>
                <w:szCs w:val="21"/>
                <w:lang w:val="en-US" w:eastAsia="zh-CN"/>
              </w:rPr>
              <w:t>2、</w:t>
            </w:r>
            <w:r>
              <w:rPr>
                <w:rFonts w:hint="eastAsia" w:eastAsia="宋体"/>
                <w:color w:val="000000"/>
                <w:szCs w:val="21"/>
              </w:rPr>
              <w:t>建立健全环境风险应急处理机制，严格落实各项环境风险处理措施、生态平衡保护机制，防止环境风险带来的生态环境破坏。</w:t>
            </w:r>
          </w:p>
          <w:p w14:paraId="76CD4428">
            <w:pPr>
              <w:spacing w:line="360" w:lineRule="auto"/>
              <w:jc w:val="left"/>
              <w:rPr>
                <w:rFonts w:hint="eastAsia" w:eastAsia="宋体"/>
                <w:color w:val="000000"/>
                <w:szCs w:val="21"/>
              </w:rPr>
            </w:pPr>
            <w:r>
              <w:rPr>
                <w:rFonts w:hint="eastAsia" w:eastAsia="宋体"/>
                <w:color w:val="000000"/>
                <w:szCs w:val="21"/>
                <w:lang w:val="en-US" w:eastAsia="zh-CN"/>
              </w:rPr>
              <w:t>三、</w:t>
            </w:r>
            <w:r>
              <w:rPr>
                <w:rFonts w:hint="eastAsia" w:eastAsia="宋体"/>
                <w:color w:val="000000"/>
                <w:szCs w:val="21"/>
              </w:rPr>
              <w:t>你单位应委托有相应资质的设计单位对建设项目重点环保设施进行设计，并在项目施工及运行过程中严格落实环保设施安全生产工作要求。</w:t>
            </w:r>
          </w:p>
          <w:p w14:paraId="163A6704">
            <w:pPr>
              <w:spacing w:line="360" w:lineRule="auto"/>
              <w:jc w:val="left"/>
              <w:rPr>
                <w:rFonts w:hint="eastAsia" w:eastAsia="宋体"/>
                <w:color w:val="000000"/>
                <w:szCs w:val="21"/>
              </w:rPr>
            </w:pPr>
            <w:r>
              <w:rPr>
                <w:rFonts w:hint="eastAsia" w:eastAsia="宋体"/>
                <w:color w:val="000000"/>
                <w:szCs w:val="21"/>
                <w:lang w:val="en-US" w:eastAsia="zh-CN"/>
              </w:rPr>
              <w:t>四、</w:t>
            </w:r>
            <w:r>
              <w:rPr>
                <w:rFonts w:hint="eastAsia" w:eastAsia="宋体"/>
                <w:color w:val="000000"/>
                <w:szCs w:val="21"/>
              </w:rPr>
              <w:t>建设单位在征得林草主管部门、文物主管部门同意后方可开工建设。</w:t>
            </w:r>
          </w:p>
          <w:p w14:paraId="1F4DDFF7">
            <w:pPr>
              <w:spacing w:line="360" w:lineRule="auto"/>
              <w:jc w:val="left"/>
              <w:rPr>
                <w:rFonts w:hint="eastAsia" w:eastAsia="宋体"/>
                <w:color w:val="000000"/>
                <w:szCs w:val="21"/>
              </w:rPr>
            </w:pPr>
            <w:r>
              <w:rPr>
                <w:rFonts w:hint="eastAsia" w:eastAsia="宋体"/>
                <w:color w:val="000000"/>
                <w:szCs w:val="21"/>
                <w:lang w:val="en-US" w:eastAsia="zh-CN"/>
              </w:rPr>
              <w:t>五、</w:t>
            </w:r>
            <w:r>
              <w:rPr>
                <w:rFonts w:hint="eastAsia" w:eastAsia="宋体"/>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138C73FC">
            <w:pPr>
              <w:spacing w:line="360" w:lineRule="auto"/>
              <w:jc w:val="left"/>
              <w:rPr>
                <w:rFonts w:hint="eastAsia" w:eastAsia="宋体"/>
                <w:color w:val="000000"/>
                <w:szCs w:val="21"/>
              </w:rPr>
            </w:pPr>
            <w:r>
              <w:rPr>
                <w:rFonts w:hint="eastAsia" w:eastAsia="宋体"/>
                <w:color w:val="000000"/>
                <w:szCs w:val="21"/>
                <w:lang w:val="en-US" w:eastAsia="zh-CN"/>
              </w:rPr>
              <w:t>六、</w:t>
            </w:r>
            <w:r>
              <w:rPr>
                <w:rFonts w:hint="eastAsia" w:eastAsia="宋体"/>
                <w:color w:val="000000"/>
                <w:szCs w:val="21"/>
              </w:rPr>
              <w:t>该项目事中事后监管由鄂尔多斯市生态环境综合行政执法支队东胜区大队负责</w:t>
            </w:r>
            <w:r>
              <w:rPr>
                <w:rFonts w:hint="eastAsia" w:eastAsia="宋体"/>
                <w:color w:val="000000"/>
                <w:szCs w:val="21"/>
                <w:lang w:eastAsia="zh-CN"/>
              </w:rPr>
              <w:t>。</w:t>
            </w:r>
          </w:p>
          <w:p w14:paraId="31D66976">
            <w:pPr>
              <w:spacing w:line="360" w:lineRule="auto"/>
              <w:jc w:val="left"/>
              <w:rPr>
                <w:color w:val="000000"/>
                <w:szCs w:val="21"/>
              </w:rPr>
            </w:pPr>
            <w:r>
              <w:rPr>
                <w:rFonts w:hint="eastAsia" w:eastAsia="宋体"/>
                <w:color w:val="000000"/>
                <w:szCs w:val="21"/>
                <w:lang w:val="en-US" w:eastAsia="zh-CN"/>
              </w:rPr>
              <w:t>七、</w:t>
            </w:r>
            <w:r>
              <w:rPr>
                <w:rFonts w:hint="eastAsia" w:eastAsia="宋体"/>
                <w:color w:val="000000"/>
                <w:szCs w:val="21"/>
              </w:rPr>
              <w:t>该项目</w:t>
            </w:r>
            <w:r>
              <w:rPr>
                <w:rFonts w:hint="eastAsia" w:eastAsia="宋体"/>
                <w:color w:val="000000"/>
                <w:szCs w:val="21"/>
                <w:lang w:val="en-US" w:eastAsia="zh-CN"/>
              </w:rPr>
              <w:t>自</w:t>
            </w:r>
            <w:r>
              <w:rPr>
                <w:rFonts w:hint="eastAsia" w:eastAsia="宋体"/>
                <w:color w:val="000000"/>
                <w:szCs w:val="21"/>
              </w:rPr>
              <w:t>批准之日起超过5年方决定开工建设，其</w:t>
            </w:r>
            <w:r>
              <w:rPr>
                <w:rFonts w:hint="eastAsia" w:eastAsia="宋体"/>
                <w:color w:val="000000"/>
                <w:szCs w:val="21"/>
                <w:lang w:val="en-US" w:eastAsia="zh-CN"/>
              </w:rPr>
              <w:t>生态环境影响报告表</w:t>
            </w:r>
            <w:r>
              <w:rPr>
                <w:rFonts w:hint="eastAsia" w:eastAsia="宋体"/>
                <w:color w:val="000000"/>
                <w:szCs w:val="21"/>
              </w:rPr>
              <w:t>应重新审核。如果建设</w:t>
            </w:r>
            <w:r>
              <w:rPr>
                <w:rFonts w:hint="eastAsia" w:eastAsia="宋体"/>
                <w:color w:val="000000"/>
                <w:szCs w:val="21"/>
                <w:lang w:val="en-US" w:eastAsia="zh-CN"/>
              </w:rPr>
              <w:t>项目的性质、</w:t>
            </w:r>
            <w:r>
              <w:rPr>
                <w:rFonts w:hint="eastAsia" w:eastAsia="宋体"/>
                <w:color w:val="000000"/>
                <w:szCs w:val="21"/>
              </w:rPr>
              <w:t>规模、地点、</w:t>
            </w:r>
            <w:r>
              <w:rPr>
                <w:rFonts w:hint="eastAsia" w:eastAsia="宋体"/>
                <w:color w:val="000000"/>
                <w:szCs w:val="21"/>
                <w:lang w:val="en-US" w:eastAsia="zh-CN"/>
              </w:rPr>
              <w:t>采用的生产工艺或者</w:t>
            </w:r>
            <w:r>
              <w:rPr>
                <w:rFonts w:hint="eastAsia" w:eastAsia="宋体"/>
                <w:color w:val="000000"/>
                <w:szCs w:val="21"/>
              </w:rPr>
              <w:t>防治污染</w:t>
            </w:r>
            <w:r>
              <w:rPr>
                <w:rFonts w:hint="eastAsia" w:eastAsia="宋体"/>
                <w:color w:val="000000"/>
                <w:szCs w:val="21"/>
                <w:lang w:eastAsia="zh-CN"/>
              </w:rPr>
              <w:t>、</w:t>
            </w:r>
            <w:r>
              <w:rPr>
                <w:rFonts w:hint="eastAsia" w:eastAsia="宋体"/>
                <w:color w:val="000000"/>
                <w:szCs w:val="21"/>
              </w:rPr>
              <w:t>防止生态破坏的措施发生重大变化时，需重新报批</w:t>
            </w:r>
            <w:r>
              <w:rPr>
                <w:rFonts w:hint="eastAsia" w:eastAsia="宋体"/>
                <w:color w:val="000000"/>
                <w:szCs w:val="21"/>
                <w:lang w:val="en-US" w:eastAsia="zh-CN"/>
              </w:rPr>
              <w:t>生态环境影响报告表</w:t>
            </w:r>
            <w:r>
              <w:rPr>
                <w:rFonts w:hint="eastAsia" w:eastAsia="宋体"/>
                <w:color w:val="000000"/>
                <w:szCs w:val="21"/>
              </w:rPr>
              <w:t>。</w:t>
            </w:r>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A630C1F"/>
    <w:rsid w:val="1EDD74A0"/>
    <w:rsid w:val="23022A8E"/>
    <w:rsid w:val="29AC6982"/>
    <w:rsid w:val="30463BE9"/>
    <w:rsid w:val="37170E1C"/>
    <w:rsid w:val="3DC33FDB"/>
    <w:rsid w:val="3E062DA7"/>
    <w:rsid w:val="430F14CF"/>
    <w:rsid w:val="43DC2BDE"/>
    <w:rsid w:val="44A80449"/>
    <w:rsid w:val="497150DD"/>
    <w:rsid w:val="49D847BF"/>
    <w:rsid w:val="4A7E49A9"/>
    <w:rsid w:val="4AD11E12"/>
    <w:rsid w:val="4DE41872"/>
    <w:rsid w:val="4E8B271B"/>
    <w:rsid w:val="4ED23258"/>
    <w:rsid w:val="54973A8B"/>
    <w:rsid w:val="59565E50"/>
    <w:rsid w:val="5A3C1252"/>
    <w:rsid w:val="5E371149"/>
    <w:rsid w:val="5FA6709B"/>
    <w:rsid w:val="605C25FF"/>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footer"/>
    <w:basedOn w:val="1"/>
    <w:link w:val="2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character" w:styleId="15">
    <w:name w:val="annotation reference"/>
    <w:basedOn w:val="14"/>
    <w:semiHidden/>
    <w:unhideWhenUsed/>
    <w:qFormat/>
    <w:uiPriority w:val="99"/>
    <w:rPr>
      <w:sz w:val="21"/>
      <w:szCs w:val="21"/>
    </w:rPr>
  </w:style>
  <w:style w:type="paragraph" w:customStyle="1" w:styleId="16">
    <w:name w:val="正文样式"/>
    <w:basedOn w:val="1"/>
    <w:qFormat/>
    <w:uiPriority w:val="0"/>
    <w:pPr>
      <w:spacing w:line="520" w:lineRule="exact"/>
      <w:ind w:firstLine="562"/>
    </w:pPr>
    <w:rPr>
      <w:rFonts w:cs="宋体"/>
      <w:sz w:val="28"/>
      <w:szCs w:val="28"/>
    </w:rPr>
  </w:style>
  <w:style w:type="paragraph" w:customStyle="1" w:styleId="17">
    <w:name w:val="xl27"/>
    <w:basedOn w:val="1"/>
    <w:next w:val="6"/>
    <w:qFormat/>
    <w:uiPriority w:val="0"/>
    <w:pPr>
      <w:widowControl/>
      <w:spacing w:before="280" w:after="280"/>
      <w:jc w:val="center"/>
    </w:pPr>
    <w:rPr>
      <w:rFonts w:hAnsi="宋体" w:cs="宋体"/>
    </w:rPr>
  </w:style>
  <w:style w:type="paragraph" w:customStyle="1" w:styleId="18">
    <w:name w:val="Default"/>
    <w:basedOn w:val="19"/>
    <w:next w:val="20"/>
    <w:qFormat/>
    <w:uiPriority w:val="0"/>
    <w:pPr>
      <w:adjustRightInd w:val="0"/>
    </w:pPr>
    <w:rPr>
      <w:rFonts w:ascii="宋体" w:cs="宋体"/>
      <w:color w:val="000000"/>
      <w:sz w:val="24"/>
      <w:lang w:val="en-US"/>
    </w:rPr>
  </w:style>
  <w:style w:type="paragraph" w:customStyle="1" w:styleId="19">
    <w:name w:val="文本"/>
    <w:basedOn w:val="1"/>
    <w:next w:val="1"/>
    <w:qFormat/>
    <w:uiPriority w:val="0"/>
    <w:pPr>
      <w:autoSpaceDE w:val="0"/>
      <w:autoSpaceDN w:val="0"/>
      <w:ind w:firstLine="480"/>
    </w:pPr>
    <w:rPr>
      <w:lang w:val="zh-CN"/>
    </w:rPr>
  </w:style>
  <w:style w:type="paragraph" w:customStyle="1" w:styleId="20">
    <w:name w:val="表格文字"/>
    <w:basedOn w:val="7"/>
    <w:next w:val="1"/>
    <w:qFormat/>
    <w:uiPriority w:val="0"/>
    <w:pPr>
      <w:jc w:val="center"/>
    </w:pPr>
    <w:rPr>
      <w:rFonts w:ascii="Arial Narrow" w:hAnsi="Arial Narrow" w:eastAsia="汉鼎简书宋"/>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页眉 字符"/>
    <w:basedOn w:val="14"/>
    <w:link w:val="10"/>
    <w:autoRedefine/>
    <w:qFormat/>
    <w:uiPriority w:val="99"/>
    <w:rPr>
      <w:sz w:val="18"/>
      <w:szCs w:val="18"/>
    </w:rPr>
  </w:style>
  <w:style w:type="character" w:customStyle="1" w:styleId="23">
    <w:name w:val="页脚 字符"/>
    <w:basedOn w:val="14"/>
    <w:link w:val="9"/>
    <w:autoRedefine/>
    <w:qFormat/>
    <w:uiPriority w:val="99"/>
    <w:rPr>
      <w:sz w:val="18"/>
      <w:szCs w:val="18"/>
    </w:rPr>
  </w:style>
  <w:style w:type="character" w:customStyle="1" w:styleId="24">
    <w:name w:val="NormalCharacter"/>
    <w:autoRedefine/>
    <w:semiHidden/>
    <w:qFormat/>
    <w:uiPriority w:val="99"/>
  </w:style>
  <w:style w:type="paragraph" w:customStyle="1" w:styleId="2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6">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正文-Z"/>
    <w:basedOn w:val="1"/>
    <w:qFormat/>
    <w:uiPriority w:val="0"/>
    <w:pPr>
      <w:spacing w:line="360" w:lineRule="auto"/>
      <w:ind w:firstLine="420" w:firstLineChars="200"/>
    </w:pPr>
    <w:rPr>
      <w:rFonts w:eastAsiaTheme="minorEastAsia"/>
      <w:sz w:val="24"/>
    </w:rPr>
  </w:style>
  <w:style w:type="paragraph" w:customStyle="1" w:styleId="29">
    <w:name w:val="李-正文"/>
    <w:basedOn w:val="1"/>
    <w:qFormat/>
    <w:uiPriority w:val="0"/>
    <w:pPr>
      <w:spacing w:line="360" w:lineRule="auto"/>
      <w:ind w:firstLine="56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1604</Words>
  <Characters>1709</Characters>
  <Lines>11</Lines>
  <Paragraphs>3</Paragraphs>
  <TotalTime>4</TotalTime>
  <ScaleCrop>false</ScaleCrop>
  <LinksUpToDate>false</LinksUpToDate>
  <CharactersWithSpaces>1742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2026-09-01T10:55:39Z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