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国能包头能源有限责任公司万利一矿混凝土搅拌站项目</w:t>
            </w:r>
            <w:bookmarkStart w:id="0" w:name="_GoBack"/>
            <w:bookmarkEnd w:id="0"/>
          </w:p>
        </w:tc>
        <w:tc>
          <w:tcPr>
            <w:tcW w:w="397" w:type="dxa"/>
            <w:vAlign w:val="center"/>
          </w:tcPr>
          <w:p w14:paraId="677BD658">
            <w:pPr>
              <w:spacing w:line="600" w:lineRule="exact"/>
              <w:jc w:val="center"/>
              <w:rPr>
                <w:color w:val="000000"/>
                <w:szCs w:val="21"/>
              </w:rPr>
            </w:pPr>
            <w:r>
              <w:rPr>
                <w:rFonts w:hint="default"/>
                <w:color w:val="000000"/>
                <w:szCs w:val="21"/>
                <w:lang w:val="en-US" w:eastAsia="zh-CN"/>
              </w:rPr>
              <w:t>鄂尔多斯市东胜区万利镇国能包头能源有限责任公司万利一矿工业广场现有空地</w:t>
            </w:r>
          </w:p>
        </w:tc>
        <w:tc>
          <w:tcPr>
            <w:tcW w:w="465" w:type="dxa"/>
            <w:vAlign w:val="center"/>
          </w:tcPr>
          <w:p w14:paraId="25BCC080">
            <w:pPr>
              <w:spacing w:line="600" w:lineRule="exact"/>
              <w:jc w:val="center"/>
              <w:rPr>
                <w:color w:val="000000"/>
                <w:szCs w:val="21"/>
              </w:rPr>
            </w:pPr>
            <w:r>
              <w:rPr>
                <w:rFonts w:hint="default"/>
                <w:color w:val="000000"/>
                <w:szCs w:val="21"/>
                <w:lang w:val="en-US" w:eastAsia="zh-CN"/>
              </w:rPr>
              <w:t>国能包头能源有限责任公司万利一矿</w:t>
            </w:r>
          </w:p>
        </w:tc>
        <w:tc>
          <w:tcPr>
            <w:tcW w:w="675" w:type="dxa"/>
            <w:vAlign w:val="center"/>
          </w:tcPr>
          <w:p w14:paraId="5D04F640">
            <w:pPr>
              <w:spacing w:line="600" w:lineRule="exact"/>
              <w:jc w:val="center"/>
              <w:rPr>
                <w:color w:val="000000"/>
                <w:szCs w:val="21"/>
              </w:rPr>
            </w:pPr>
            <w:r>
              <w:rPr>
                <w:rFonts w:hint="default"/>
                <w:color w:val="000000"/>
                <w:szCs w:val="21"/>
                <w:lang w:val="en-US" w:eastAsia="zh-CN"/>
              </w:rPr>
              <w:t>内蒙古意丰环保科技有限公司</w:t>
            </w:r>
          </w:p>
        </w:tc>
        <w:tc>
          <w:tcPr>
            <w:tcW w:w="2555" w:type="dxa"/>
            <w:vAlign w:val="center"/>
          </w:tcPr>
          <w:p w14:paraId="375EEF2B">
            <w:pPr>
              <w:spacing w:line="360" w:lineRule="auto"/>
              <w:ind w:firstLine="420" w:firstLineChars="200"/>
              <w:rPr>
                <w:rFonts w:hint="default"/>
                <w:color w:val="000000"/>
                <w:szCs w:val="21"/>
                <w:lang w:val="en-US" w:eastAsia="zh-CN"/>
              </w:rPr>
            </w:pPr>
            <w:r>
              <w:rPr>
                <w:rFonts w:hint="default"/>
                <w:color w:val="000000"/>
                <w:szCs w:val="21"/>
                <w:lang w:val="en-US" w:eastAsia="zh-CN"/>
              </w:rPr>
              <w:t>一、</w:t>
            </w:r>
            <w:r>
              <w:rPr>
                <w:rFonts w:hint="default"/>
                <w:color w:val="000000"/>
                <w:szCs w:val="21"/>
              </w:rPr>
              <w:t>该项目</w:t>
            </w:r>
            <w:r>
              <w:rPr>
                <w:rFonts w:hint="default"/>
                <w:color w:val="000000"/>
                <w:szCs w:val="21"/>
                <w:lang w:eastAsia="zh-CN"/>
              </w:rPr>
              <w:t>属于</w:t>
            </w:r>
            <w:r>
              <w:rPr>
                <w:rFonts w:hint="default"/>
                <w:color w:val="000000"/>
                <w:szCs w:val="21"/>
                <w:lang w:val="en-US" w:eastAsia="zh-CN"/>
              </w:rPr>
              <w:t>扩建</w:t>
            </w:r>
            <w:r>
              <w:rPr>
                <w:rFonts w:hint="default"/>
                <w:color w:val="000000"/>
                <w:szCs w:val="21"/>
                <w:lang w:eastAsia="zh-CN"/>
              </w:rPr>
              <w:t>项目，</w:t>
            </w:r>
            <w:r>
              <w:rPr>
                <w:rFonts w:hint="default"/>
                <w:color w:val="000000"/>
                <w:szCs w:val="21"/>
                <w:lang w:val="en-US" w:eastAsia="zh-CN"/>
              </w:rPr>
              <w:t>位于东胜区万利镇国能包头能源有限责任公司万利一矿工业广场现有空地。项目总</w:t>
            </w:r>
            <w:r>
              <w:rPr>
                <w:rFonts w:hint="default"/>
                <w:color w:val="000000"/>
                <w:szCs w:val="21"/>
                <w:lang w:eastAsia="zh-CN"/>
              </w:rPr>
              <w:t>占地面积</w:t>
            </w:r>
            <w:r>
              <w:rPr>
                <w:rFonts w:hint="default"/>
                <w:color w:val="000000"/>
                <w:szCs w:val="21"/>
                <w:lang w:val="en-US" w:eastAsia="zh-CN"/>
              </w:rPr>
              <w:t>1111.85</w:t>
            </w:r>
            <w:r>
              <w:rPr>
                <w:rFonts w:hint="default"/>
                <w:color w:val="000000"/>
                <w:szCs w:val="21"/>
                <w:lang w:eastAsia="zh-CN"/>
              </w:rPr>
              <w:t>平方米，</w:t>
            </w:r>
            <w:r>
              <w:rPr>
                <w:rFonts w:hint="default"/>
                <w:color w:val="000000"/>
                <w:szCs w:val="21"/>
                <w:lang w:val="en-US" w:eastAsia="zh-CN"/>
              </w:rPr>
              <w:t>总投资770万元，其中环保投资279万元。建设内容及规模：扩建</w:t>
            </w:r>
            <w:r>
              <w:rPr>
                <w:rFonts w:hint="default"/>
                <w:color w:val="000000"/>
                <w:szCs w:val="21"/>
              </w:rPr>
              <w:t>1条全封闭C30混凝土</w:t>
            </w:r>
            <w:r>
              <w:rPr>
                <w:rFonts w:hint="eastAsia"/>
                <w:color w:val="000000"/>
                <w:szCs w:val="21"/>
                <w:lang w:val="en-US" w:eastAsia="zh-CN"/>
              </w:rPr>
              <w:t>搅拌站</w:t>
            </w:r>
            <w:r>
              <w:rPr>
                <w:rFonts w:hint="default"/>
                <w:color w:val="000000"/>
                <w:szCs w:val="21"/>
              </w:rPr>
              <w:t>生产线，主要</w:t>
            </w:r>
            <w:r>
              <w:rPr>
                <w:rFonts w:hint="default"/>
                <w:color w:val="000000"/>
                <w:szCs w:val="21"/>
                <w:lang w:val="en-US" w:eastAsia="zh-CN"/>
              </w:rPr>
              <w:t>包括</w:t>
            </w:r>
            <w:r>
              <w:rPr>
                <w:rFonts w:hint="default"/>
                <w:color w:val="000000"/>
                <w:szCs w:val="21"/>
              </w:rPr>
              <w:t>全封闭120型拌合楼1座、全封闭砂石料场1座、全封闭水泥筒仓2座、全封闭上料仓1座、全封闭</w:t>
            </w:r>
            <w:r>
              <w:rPr>
                <w:rFonts w:hint="default"/>
                <w:color w:val="000000"/>
                <w:szCs w:val="21"/>
                <w:lang w:eastAsia="zh-CN"/>
              </w:rPr>
              <w:t>输送皮带</w:t>
            </w:r>
            <w:r>
              <w:rPr>
                <w:rFonts w:hint="default"/>
                <w:color w:val="000000"/>
                <w:szCs w:val="21"/>
              </w:rPr>
              <w:t>1条、全封闭蓄水罐2座，</w:t>
            </w:r>
            <w:r>
              <w:rPr>
                <w:rFonts w:hint="default"/>
                <w:color w:val="000000"/>
                <w:szCs w:val="21"/>
                <w:lang w:val="en-US" w:eastAsia="zh-CN"/>
              </w:rPr>
              <w:t>配套建设相关公辅工程和环保工程。项目建成后，</w:t>
            </w:r>
            <w:r>
              <w:rPr>
                <w:rFonts w:hint="default"/>
                <w:color w:val="000000"/>
                <w:szCs w:val="21"/>
                <w:lang w:eastAsia="zh-CN"/>
              </w:rPr>
              <w:t>年产</w:t>
            </w:r>
            <w:r>
              <w:rPr>
                <w:rFonts w:hint="default"/>
                <w:color w:val="000000"/>
                <w:szCs w:val="21"/>
              </w:rPr>
              <w:t>C30</w:t>
            </w:r>
            <w:r>
              <w:rPr>
                <w:rFonts w:hint="default"/>
                <w:color w:val="000000"/>
                <w:szCs w:val="21"/>
                <w:lang w:val="en-US" w:eastAsia="zh-CN"/>
              </w:rPr>
              <w:t>混凝土</w:t>
            </w:r>
            <w:r>
              <w:rPr>
                <w:rFonts w:hint="default"/>
                <w:color w:val="000000"/>
                <w:szCs w:val="21"/>
              </w:rPr>
              <w:t>700800</w:t>
            </w:r>
            <w:r>
              <w:rPr>
                <w:rFonts w:hint="default"/>
                <w:color w:val="000000"/>
                <w:szCs w:val="21"/>
                <w:lang w:val="en-US" w:eastAsia="zh-CN"/>
              </w:rPr>
              <w:t>立方米</w:t>
            </w:r>
            <w:r>
              <w:rPr>
                <w:rFonts w:hint="default"/>
                <w:color w:val="000000"/>
                <w:szCs w:val="21"/>
                <w:lang w:eastAsia="zh-CN"/>
              </w:rPr>
              <w:t>。</w:t>
            </w:r>
          </w:p>
          <w:p w14:paraId="534A7D8B">
            <w:pPr>
              <w:spacing w:line="360" w:lineRule="auto"/>
              <w:ind w:firstLine="420" w:firstLineChars="200"/>
              <w:rPr>
                <w:color w:val="000000"/>
                <w:szCs w:val="21"/>
              </w:rPr>
            </w:pPr>
          </w:p>
        </w:tc>
        <w:tc>
          <w:tcPr>
            <w:tcW w:w="4877" w:type="dxa"/>
            <w:vAlign w:val="center"/>
          </w:tcPr>
          <w:p w14:paraId="690ABCF8">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63A0AA35">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3BB1F751">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32BE530A">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267FF651">
            <w:pPr>
              <w:spacing w:line="360" w:lineRule="auto"/>
              <w:jc w:val="left"/>
              <w:rPr>
                <w:rFonts w:hint="eastAsia"/>
                <w:color w:val="000000"/>
                <w:szCs w:val="21"/>
                <w:lang w:val="en-US" w:eastAsia="zh-CN"/>
              </w:rPr>
            </w:pPr>
            <w:r>
              <w:rPr>
                <w:rFonts w:hint="eastAsia"/>
                <w:color w:val="000000"/>
                <w:szCs w:val="21"/>
                <w:lang w:val="en-US" w:eastAsia="zh-CN"/>
              </w:rPr>
              <w:t>2、施工人员生活污水依托煤矿现有污水处理设施处理。</w:t>
            </w:r>
          </w:p>
          <w:p w14:paraId="5FE883D1">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3、选用低噪声施工设备，合理安排作业时间，避免夜间施工，控制车辆时速。施工期噪声执行《建筑施工噪声排放标准》（GB12523-2025）。</w:t>
            </w:r>
          </w:p>
          <w:p w14:paraId="3066A45D">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0696E8AD">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5CCE6AA0">
            <w:pPr>
              <w:spacing w:line="360" w:lineRule="auto"/>
              <w:jc w:val="left"/>
              <w:rPr>
                <w:rFonts w:hint="eastAsia"/>
                <w:color w:val="000000"/>
                <w:szCs w:val="21"/>
                <w:lang w:val="en-US" w:eastAsia="zh-CN"/>
              </w:rPr>
            </w:pPr>
            <w:r>
              <w:rPr>
                <w:rFonts w:hint="eastAsia"/>
                <w:color w:val="000000"/>
                <w:szCs w:val="21"/>
                <w:lang w:val="en-US" w:eastAsia="zh-CN"/>
              </w:rPr>
              <w:t>1、大气污染防治措施。运营期物料储存、装卸、输送、生产过程全封闭。筒仓粉尘经袋式除尘器处理后由20米高仓顶排放，搅拌粉尘经袋式除尘器处理后由15米高排气筒排放，有组织粉尘排放满足《水泥工业大气污染物排放标准》（GB 4915-2013）（含2025年修改单）表1散装水泥中转站及水泥制品生产排放限值；无组织粉尘排放满足表3大气污染物无组织排放限值。</w:t>
            </w:r>
          </w:p>
          <w:p w14:paraId="5C157B8B">
            <w:pPr>
              <w:spacing w:line="360" w:lineRule="auto"/>
              <w:jc w:val="left"/>
              <w:rPr>
                <w:rFonts w:hint="eastAsia"/>
                <w:color w:val="000000"/>
                <w:szCs w:val="21"/>
                <w:lang w:val="en-US" w:eastAsia="zh-CN"/>
              </w:rPr>
            </w:pPr>
            <w:r>
              <w:rPr>
                <w:rFonts w:hint="eastAsia"/>
                <w:color w:val="000000"/>
                <w:szCs w:val="21"/>
                <w:lang w:val="en-US" w:eastAsia="zh-CN"/>
              </w:rPr>
              <w:t>2、水污染防治措施。运营期不新增生活污水，生产废水全部回用于生产，不外排。</w:t>
            </w:r>
          </w:p>
          <w:p w14:paraId="00DE35A9">
            <w:pPr>
              <w:spacing w:line="360" w:lineRule="auto"/>
              <w:jc w:val="left"/>
              <w:rPr>
                <w:rFonts w:hint="eastAsia"/>
                <w:color w:val="000000"/>
                <w:szCs w:val="21"/>
              </w:rPr>
            </w:pPr>
            <w:r>
              <w:rPr>
                <w:rFonts w:hint="eastAsia"/>
                <w:color w:val="000000"/>
                <w:szCs w:val="21"/>
                <w:lang w:val="en-US" w:eastAsia="zh-CN"/>
              </w:rPr>
              <w:t>3、噪声污染防治措施。通过采取选用低噪声设备、基础减振、厂房隔声等措施，</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14:paraId="4328C38D">
            <w:pPr>
              <w:spacing w:line="360" w:lineRule="auto"/>
              <w:jc w:val="left"/>
              <w:rPr>
                <w:rFonts w:hint="eastAsia"/>
                <w:color w:val="000000"/>
                <w:szCs w:val="21"/>
                <w:lang w:val="en-US" w:eastAsia="zh-CN"/>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危险废物暂存于煤矿现有危废贮存库，执行《危险废物贮存污染控制标准》（GB18597-2023）。</w:t>
            </w:r>
            <w:r>
              <w:rPr>
                <w:rFonts w:hint="eastAsia"/>
                <w:color w:val="000000"/>
                <w:szCs w:val="21"/>
              </w:rPr>
              <w:t>危险废物收集和运输等均按照《危险废物收集 贮存 运输技术规范》</w:t>
            </w:r>
            <w:r>
              <w:rPr>
                <w:rFonts w:hint="eastAsia"/>
                <w:color w:val="000000"/>
                <w:szCs w:val="21"/>
                <w:lang w:val="en-US" w:eastAsia="zh-CN"/>
              </w:rPr>
              <w:t>（</w:t>
            </w:r>
            <w:r>
              <w:rPr>
                <w:rFonts w:hint="eastAsia"/>
                <w:color w:val="000000"/>
                <w:szCs w:val="21"/>
              </w:rPr>
              <w:t>HJ2025-2012</w:t>
            </w:r>
            <w:r>
              <w:rPr>
                <w:rFonts w:hint="eastAsia"/>
                <w:color w:val="000000"/>
                <w:szCs w:val="21"/>
                <w:lang w:val="en-US" w:eastAsia="zh-CN"/>
              </w:rPr>
              <w:t>）</w:t>
            </w:r>
            <w:r>
              <w:rPr>
                <w:rFonts w:hint="eastAsia"/>
                <w:color w:val="000000"/>
                <w:szCs w:val="21"/>
              </w:rPr>
              <w:t>要求执行。危废必须由有资质单位处置。非正常情况下</w:t>
            </w:r>
            <w:r>
              <w:rPr>
                <w:rFonts w:hint="eastAsia"/>
                <w:color w:val="000000"/>
                <w:szCs w:val="21"/>
                <w:lang w:val="en-US" w:eastAsia="zh-CN"/>
              </w:rPr>
              <w:t>泄漏</w:t>
            </w:r>
            <w:r>
              <w:rPr>
                <w:rFonts w:hint="eastAsia"/>
                <w:color w:val="000000"/>
                <w:szCs w:val="21"/>
              </w:rPr>
              <w:t>的危险废物进入废液</w:t>
            </w:r>
            <w:r>
              <w:rPr>
                <w:rFonts w:hint="eastAsia"/>
                <w:color w:val="000000"/>
                <w:szCs w:val="21"/>
                <w:lang w:val="en-US" w:eastAsia="zh-CN"/>
              </w:rPr>
              <w:t>收集</w:t>
            </w:r>
            <w:r>
              <w:rPr>
                <w:rFonts w:hint="eastAsia"/>
                <w:color w:val="000000"/>
                <w:szCs w:val="21"/>
              </w:rPr>
              <w:t>池中，收集后交由有资质单位处置。</w:t>
            </w:r>
          </w:p>
          <w:p w14:paraId="6F383336">
            <w:pPr>
              <w:spacing w:line="360" w:lineRule="auto"/>
              <w:jc w:val="left"/>
              <w:rPr>
                <w:rFonts w:hint="eastAsia"/>
                <w:color w:val="000000"/>
                <w:szCs w:val="21"/>
              </w:rPr>
            </w:pPr>
            <w:r>
              <w:rPr>
                <w:rFonts w:hint="eastAsia"/>
                <w:color w:val="000000"/>
                <w:szCs w:val="21"/>
                <w:lang w:val="en-US" w:eastAsia="zh-CN"/>
              </w:rPr>
              <w:t>5、强化环境风险防范，制定突发生态环境事件应急预案，落实环境风险事故防范措施，提高事故风险防范和污染控制能力。</w:t>
            </w:r>
          </w:p>
          <w:p w14:paraId="1EB47352">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2039B868">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69E750FA">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w:t>
            </w:r>
            <w:r>
              <w:rPr>
                <w:rFonts w:hint="eastAsia"/>
                <w:color w:val="000000"/>
                <w:szCs w:val="21"/>
                <w:lang w:eastAsia="zh-CN"/>
              </w:rPr>
              <w:t>“</w:t>
            </w:r>
            <w:r>
              <w:rPr>
                <w:rFonts w:hint="eastAsia"/>
                <w:color w:val="000000"/>
                <w:szCs w:val="21"/>
              </w:rPr>
              <w:t>三同时</w:t>
            </w:r>
            <w:r>
              <w:rPr>
                <w:rFonts w:hint="eastAsia"/>
                <w:color w:val="000000"/>
                <w:szCs w:val="21"/>
                <w:lang w:eastAsia="zh-CN"/>
              </w:rPr>
              <w:t>”</w:t>
            </w:r>
            <w:r>
              <w:rPr>
                <w:rFonts w:hint="eastAsia"/>
                <w:color w:val="000000"/>
                <w:szCs w:val="21"/>
              </w:rPr>
              <w:t>制度。项目竣工后，须按照规定程序实施竣工环境保护验收。</w:t>
            </w:r>
          </w:p>
          <w:p w14:paraId="3F2E3CB2">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该项目</w:t>
            </w:r>
            <w:r>
              <w:rPr>
                <w:rFonts w:hint="eastAsia"/>
                <w:color w:val="000000"/>
                <w:szCs w:val="21"/>
                <w:lang w:val="en-US" w:eastAsia="zh-CN"/>
              </w:rPr>
              <w:t>自</w:t>
            </w:r>
            <w:r>
              <w:rPr>
                <w:rFonts w:hint="eastAsia"/>
                <w:color w:val="000000"/>
                <w:szCs w:val="21"/>
              </w:rPr>
              <w:t>批准之日起超过5年方决定开工建设，其</w:t>
            </w:r>
            <w:r>
              <w:rPr>
                <w:rFonts w:hint="eastAsia"/>
                <w:color w:val="000000"/>
                <w:szCs w:val="21"/>
                <w:lang w:val="en-US" w:eastAsia="zh-CN"/>
              </w:rPr>
              <w:t>生态环境影响报告表</w:t>
            </w:r>
            <w:r>
              <w:rPr>
                <w:rFonts w:hint="eastAsia"/>
                <w:color w:val="000000"/>
                <w:szCs w:val="21"/>
              </w:rPr>
              <w:t>应重新审核。如果建设</w:t>
            </w:r>
            <w:r>
              <w:rPr>
                <w:rFonts w:hint="eastAsia"/>
                <w:color w:val="000000"/>
                <w:szCs w:val="21"/>
                <w:lang w:val="en-US" w:eastAsia="zh-CN"/>
              </w:rPr>
              <w:t>项目的性质、</w:t>
            </w:r>
            <w:r>
              <w:rPr>
                <w:rFonts w:hint="eastAsia"/>
                <w:color w:val="000000"/>
                <w:szCs w:val="21"/>
              </w:rPr>
              <w:t>规模、地点、</w:t>
            </w:r>
            <w:r>
              <w:rPr>
                <w:rFonts w:hint="eastAsia"/>
                <w:color w:val="000000"/>
                <w:szCs w:val="21"/>
                <w:lang w:val="en-US" w:eastAsia="zh-CN"/>
              </w:rPr>
              <w:t>采用的生产工艺或者</w:t>
            </w:r>
            <w:r>
              <w:rPr>
                <w:rFonts w:hint="eastAsia"/>
                <w:color w:val="000000"/>
                <w:szCs w:val="21"/>
              </w:rPr>
              <w:t>防治污染</w:t>
            </w:r>
            <w:r>
              <w:rPr>
                <w:rFonts w:hint="eastAsia"/>
                <w:color w:val="000000"/>
                <w:szCs w:val="21"/>
                <w:lang w:eastAsia="zh-CN"/>
              </w:rPr>
              <w:t>、</w:t>
            </w:r>
            <w:r>
              <w:rPr>
                <w:rFonts w:hint="eastAsia"/>
                <w:color w:val="000000"/>
                <w:szCs w:val="21"/>
              </w:rPr>
              <w:t>防止生态破坏的措施发生重大变化时，需重新报批</w:t>
            </w:r>
            <w:r>
              <w:rPr>
                <w:rFonts w:hint="eastAsia"/>
                <w:color w:val="000000"/>
                <w:szCs w:val="21"/>
                <w:lang w:val="en-US" w:eastAsia="zh-CN"/>
              </w:rPr>
              <w:t>生态环境影响报告表</w:t>
            </w:r>
            <w:r>
              <w:rPr>
                <w:rFonts w:hint="eastAsia"/>
                <w:color w:val="000000"/>
                <w:szCs w:val="21"/>
              </w:rPr>
              <w:t xml:space="preserve">。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A630C1F"/>
    <w:rsid w:val="1EDD74A0"/>
    <w:rsid w:val="23022A8E"/>
    <w:rsid w:val="29AC6982"/>
    <w:rsid w:val="30463BE9"/>
    <w:rsid w:val="37170E1C"/>
    <w:rsid w:val="3E062DA7"/>
    <w:rsid w:val="430F14CF"/>
    <w:rsid w:val="43DC2BDE"/>
    <w:rsid w:val="44A80449"/>
    <w:rsid w:val="497150DD"/>
    <w:rsid w:val="49D847BF"/>
    <w:rsid w:val="4A7E49A9"/>
    <w:rsid w:val="4AD11E12"/>
    <w:rsid w:val="4DE41872"/>
    <w:rsid w:val="4E8B271B"/>
    <w:rsid w:val="4ED23258"/>
    <w:rsid w:val="54973A8B"/>
    <w:rsid w:val="59565E50"/>
    <w:rsid w:val="5A3C1252"/>
    <w:rsid w:val="5E371149"/>
    <w:rsid w:val="5FA6709B"/>
    <w:rsid w:val="605C25FF"/>
    <w:rsid w:val="641136E8"/>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next w:val="1"/>
    <w:qFormat/>
    <w:uiPriority w:val="0"/>
    <w:pPr>
      <w:jc w:val="left"/>
    </w:pPr>
  </w:style>
  <w:style w:type="paragraph" w:styleId="7">
    <w:name w:val="Body Text"/>
    <w:basedOn w:val="1"/>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footer"/>
    <w:basedOn w:val="1"/>
    <w:link w:val="2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pPr>
      <w:spacing w:after="120" w:line="480" w:lineRule="auto"/>
    </w:pPr>
  </w:style>
  <w:style w:type="paragraph" w:customStyle="1" w:styleId="15">
    <w:name w:val="正文样式"/>
    <w:basedOn w:val="1"/>
    <w:qFormat/>
    <w:uiPriority w:val="0"/>
    <w:pPr>
      <w:spacing w:line="520" w:lineRule="exact"/>
      <w:ind w:firstLine="562"/>
    </w:pPr>
    <w:rPr>
      <w:rFonts w:cs="宋体"/>
      <w:sz w:val="28"/>
      <w:szCs w:val="28"/>
    </w:rPr>
  </w:style>
  <w:style w:type="paragraph" w:customStyle="1" w:styleId="16">
    <w:name w:val="xl27"/>
    <w:basedOn w:val="1"/>
    <w:next w:val="6"/>
    <w:qFormat/>
    <w:uiPriority w:val="0"/>
    <w:pPr>
      <w:widowControl/>
      <w:spacing w:before="280" w:after="280"/>
      <w:jc w:val="center"/>
    </w:pPr>
    <w:rPr>
      <w:rFonts w:hAnsi="宋体" w:cs="宋体"/>
    </w:rPr>
  </w:style>
  <w:style w:type="paragraph" w:customStyle="1" w:styleId="17">
    <w:name w:val="Default"/>
    <w:basedOn w:val="18"/>
    <w:next w:val="19"/>
    <w:qFormat/>
    <w:uiPriority w:val="0"/>
    <w:pPr>
      <w:adjustRightInd w:val="0"/>
    </w:pPr>
    <w:rPr>
      <w:rFonts w:ascii="宋体" w:cs="宋体"/>
      <w:color w:val="000000"/>
      <w:sz w:val="24"/>
      <w:lang w:val="en-US"/>
    </w:rPr>
  </w:style>
  <w:style w:type="paragraph" w:customStyle="1" w:styleId="18">
    <w:name w:val="文本"/>
    <w:basedOn w:val="1"/>
    <w:next w:val="1"/>
    <w:qFormat/>
    <w:uiPriority w:val="0"/>
    <w:pPr>
      <w:autoSpaceDE w:val="0"/>
      <w:autoSpaceDN w:val="0"/>
      <w:ind w:firstLine="480"/>
    </w:pPr>
    <w:rPr>
      <w:lang w:val="zh-CN"/>
    </w:rPr>
  </w:style>
  <w:style w:type="paragraph" w:customStyle="1" w:styleId="19">
    <w:name w:val="表格文字"/>
    <w:basedOn w:val="7"/>
    <w:next w:val="1"/>
    <w:qFormat/>
    <w:uiPriority w:val="0"/>
    <w:pPr>
      <w:jc w:val="center"/>
    </w:pPr>
    <w:rPr>
      <w:rFonts w:ascii="Arial Narrow" w:hAnsi="Arial Narrow" w:eastAsia="汉鼎简书宋"/>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页眉 字符"/>
    <w:basedOn w:val="14"/>
    <w:link w:val="10"/>
    <w:autoRedefine/>
    <w:qFormat/>
    <w:uiPriority w:val="99"/>
    <w:rPr>
      <w:sz w:val="18"/>
      <w:szCs w:val="18"/>
    </w:rPr>
  </w:style>
  <w:style w:type="character" w:customStyle="1" w:styleId="22">
    <w:name w:val="页脚 字符"/>
    <w:basedOn w:val="14"/>
    <w:link w:val="9"/>
    <w:autoRedefine/>
    <w:qFormat/>
    <w:uiPriority w:val="99"/>
    <w:rPr>
      <w:sz w:val="18"/>
      <w:szCs w:val="18"/>
    </w:rPr>
  </w:style>
  <w:style w:type="character" w:customStyle="1" w:styleId="23">
    <w:name w:val="NormalCharacter"/>
    <w:autoRedefine/>
    <w:semiHidden/>
    <w:qFormat/>
    <w:uiPriority w:val="99"/>
  </w:style>
  <w:style w:type="paragraph" w:customStyle="1" w:styleId="24">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5">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正文-Z"/>
    <w:basedOn w:val="1"/>
    <w:qFormat/>
    <w:uiPriority w:val="0"/>
    <w:pPr>
      <w:spacing w:line="360" w:lineRule="auto"/>
      <w:ind w:firstLine="420" w:firstLineChars="200"/>
    </w:pPr>
    <w:rPr>
      <w:rFonts w:eastAsiaTheme="minorEastAsia"/>
      <w:sz w:val="24"/>
    </w:rPr>
  </w:style>
  <w:style w:type="paragraph" w:customStyle="1" w:styleId="28">
    <w:name w:val="李-正文"/>
    <w:basedOn w:val="1"/>
    <w:qFormat/>
    <w:uiPriority w:val="0"/>
    <w:pPr>
      <w:spacing w:line="360" w:lineRule="auto"/>
      <w:ind w:firstLine="560" w:firstLineChars="20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1603</Words>
  <Characters>1694</Characters>
  <Lines>11</Lines>
  <Paragraphs>3</Paragraphs>
  <TotalTime>0</TotalTime>
  <ScaleCrop>false</ScaleCrop>
  <LinksUpToDate>false</LinksUpToDate>
  <CharactersWithSpaces>1725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2026-08-28T02:09:13Z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