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6B02A3">
      <w:pPr>
        <w:rPr>
          <w:rFonts w:hint="eastAsia" w:ascii="黑体" w:hAnsi="黑体" w:eastAsia="黑体"/>
          <w:snapToGrid w:val="0"/>
          <w:sz w:val="30"/>
          <w:szCs w:val="30"/>
          <w:highlight w:val="none"/>
          <w:lang w:eastAsia="zh-CN"/>
        </w:rPr>
        <w:sectPr>
          <w:footerReference r:id="rId5" w:type="default"/>
          <w:pgSz w:w="11906" w:h="16838"/>
          <w:pgMar w:top="1701" w:right="1531" w:bottom="1701" w:left="1531" w:header="851" w:footer="1077" w:gutter="0"/>
          <w:pgNumType w:fmt="decimal" w:start="1"/>
          <w:cols w:space="720" w:num="1"/>
          <w:docGrid w:linePitch="312" w:charSpace="0"/>
        </w:sectPr>
      </w:pPr>
      <w:r>
        <w:rPr>
          <w:rFonts w:hint="eastAsia" w:ascii="仿宋_GB2312" w:hAnsi="仿宋_GB2312" w:eastAsia="仿宋_GB2312" w:cs="仿宋_GB2312"/>
          <w:sz w:val="36"/>
          <w:szCs w:val="36"/>
          <w:highlight w:val="none"/>
          <w:lang w:eastAsia="zh-CN"/>
        </w:rPr>
        <w:drawing>
          <wp:anchor distT="0" distB="0" distL="114300" distR="114300" simplePos="0" relativeHeight="251701248" behindDoc="1" locked="0" layoutInCell="1" allowOverlap="1">
            <wp:simplePos x="0" y="0"/>
            <wp:positionH relativeFrom="column">
              <wp:posOffset>80010</wp:posOffset>
            </wp:positionH>
            <wp:positionV relativeFrom="paragraph">
              <wp:posOffset>358140</wp:posOffset>
            </wp:positionV>
            <wp:extent cx="5608320" cy="7736205"/>
            <wp:effectExtent l="0" t="0" r="11430" b="17145"/>
            <wp:wrapNone/>
            <wp:docPr id="6" name="图片 6" descr="万里一矿混凝土搅拌站项目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万里一矿混凝土搅拌站项目_05"/>
                    <pic:cNvPicPr>
                      <a:picLocks noChangeAspect="1"/>
                    </pic:cNvPicPr>
                  </pic:nvPicPr>
                  <pic:blipFill>
                    <a:blip r:embed="rId10"/>
                    <a:stretch>
                      <a:fillRect/>
                    </a:stretch>
                  </pic:blipFill>
                  <pic:spPr>
                    <a:xfrm>
                      <a:off x="0" y="0"/>
                      <a:ext cx="5608320" cy="7736205"/>
                    </a:xfrm>
                    <a:prstGeom prst="rect">
                      <a:avLst/>
                    </a:prstGeom>
                  </pic:spPr>
                </pic:pic>
              </a:graphicData>
            </a:graphic>
          </wp:anchor>
        </w:drawing>
      </w:r>
    </w:p>
    <w:p w14:paraId="17961B49">
      <w:pPr>
        <w:pStyle w:val="12"/>
        <w:ind w:left="0" w:leftChars="0" w:firstLine="0" w:firstLineChars="0"/>
        <w:jc w:val="center"/>
        <w:outlineLvl w:val="0"/>
        <w:rPr>
          <w:rFonts w:hint="eastAsia" w:ascii="黑体" w:hAnsi="黑体" w:eastAsia="黑体"/>
          <w:snapToGrid w:val="0"/>
          <w:sz w:val="30"/>
          <w:szCs w:val="30"/>
          <w:highlight w:val="none"/>
        </w:rPr>
      </w:pPr>
      <w:bookmarkStart w:id="2" w:name="_GoBack"/>
      <w:bookmarkEnd w:id="2"/>
      <w:r>
        <w:rPr>
          <w:rFonts w:hint="eastAsia" w:ascii="黑体" w:hAnsi="黑体" w:eastAsia="黑体"/>
          <w:snapToGrid w:val="0"/>
          <w:sz w:val="30"/>
          <w:szCs w:val="30"/>
          <w:highlight w:val="none"/>
        </w:rPr>
        <w:t>一、建设项目基本情况</w:t>
      </w:r>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382"/>
        <w:gridCol w:w="1637"/>
        <w:gridCol w:w="2212"/>
        <w:gridCol w:w="2639"/>
      </w:tblGrid>
      <w:tr w14:paraId="626FC8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209A6534">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建设项目名称</w:t>
            </w:r>
          </w:p>
        </w:tc>
        <w:tc>
          <w:tcPr>
            <w:tcW w:w="6488" w:type="dxa"/>
            <w:gridSpan w:val="3"/>
            <w:noWrap w:val="0"/>
            <w:vAlign w:val="center"/>
          </w:tcPr>
          <w:p w14:paraId="3ABB82C9">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u w:val="none"/>
              </w:rPr>
              <w:t>国能包头能源有限责任公司万利一矿混凝土搅拌站项目</w:t>
            </w:r>
          </w:p>
        </w:tc>
      </w:tr>
      <w:tr w14:paraId="77A8E6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63A17F65">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项目代码</w:t>
            </w:r>
          </w:p>
        </w:tc>
        <w:tc>
          <w:tcPr>
            <w:tcW w:w="6488" w:type="dxa"/>
            <w:gridSpan w:val="3"/>
            <w:noWrap w:val="0"/>
            <w:vAlign w:val="center"/>
          </w:tcPr>
          <w:p w14:paraId="616301C9">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无</w:t>
            </w:r>
          </w:p>
        </w:tc>
      </w:tr>
      <w:tr w14:paraId="6EA80A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602682D6">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建设单位联系人</w:t>
            </w:r>
          </w:p>
        </w:tc>
        <w:tc>
          <w:tcPr>
            <w:tcW w:w="1637" w:type="dxa"/>
            <w:noWrap w:val="0"/>
            <w:vAlign w:val="center"/>
          </w:tcPr>
          <w:p w14:paraId="11A747AC">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马乐</w:t>
            </w:r>
          </w:p>
        </w:tc>
        <w:tc>
          <w:tcPr>
            <w:tcW w:w="2212" w:type="dxa"/>
            <w:noWrap w:val="0"/>
            <w:vAlign w:val="center"/>
          </w:tcPr>
          <w:p w14:paraId="41F59675">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联系方式</w:t>
            </w:r>
          </w:p>
        </w:tc>
        <w:tc>
          <w:tcPr>
            <w:tcW w:w="2639" w:type="dxa"/>
            <w:noWrap w:val="0"/>
            <w:vAlign w:val="center"/>
          </w:tcPr>
          <w:p w14:paraId="5DD3EC64">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15044896316</w:t>
            </w:r>
          </w:p>
        </w:tc>
      </w:tr>
      <w:tr w14:paraId="70D5E9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313B0F03">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建设地点</w:t>
            </w:r>
          </w:p>
        </w:tc>
        <w:tc>
          <w:tcPr>
            <w:tcW w:w="6488" w:type="dxa"/>
            <w:gridSpan w:val="3"/>
            <w:noWrap w:val="0"/>
            <w:vAlign w:val="center"/>
          </w:tcPr>
          <w:p w14:paraId="14143732">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内蒙古自治区鄂尔多斯市东胜区万利镇</w:t>
            </w:r>
            <w:r>
              <w:rPr>
                <w:rFonts w:hint="default" w:ascii="Times New Roman" w:hAnsi="Times New Roman" w:cs="Times New Roman" w:eastAsiaTheme="minorEastAsia"/>
                <w:sz w:val="24"/>
                <w:szCs w:val="24"/>
                <w:highlight w:val="none"/>
                <w:u w:val="none"/>
              </w:rPr>
              <w:t>国能包头能源有限责任公司万利一矿</w:t>
            </w:r>
            <w:r>
              <w:rPr>
                <w:rFonts w:hint="default" w:ascii="Times New Roman" w:hAnsi="Times New Roman" w:cs="Times New Roman" w:eastAsiaTheme="minorEastAsia"/>
                <w:sz w:val="24"/>
                <w:szCs w:val="24"/>
                <w:highlight w:val="none"/>
                <w:u w:val="none"/>
                <w:lang w:val="en-US" w:eastAsia="zh-CN"/>
              </w:rPr>
              <w:t>工业广场</w:t>
            </w:r>
            <w:r>
              <w:rPr>
                <w:rFonts w:hint="eastAsia" w:cs="Times New Roman" w:eastAsiaTheme="minorEastAsia"/>
                <w:sz w:val="24"/>
                <w:szCs w:val="24"/>
                <w:highlight w:val="none"/>
                <w:u w:val="none"/>
                <w:lang w:val="en-US" w:eastAsia="zh-CN"/>
              </w:rPr>
              <w:t>现有空地</w:t>
            </w:r>
          </w:p>
        </w:tc>
      </w:tr>
      <w:tr w14:paraId="157C58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4957E977">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地理坐标</w:t>
            </w:r>
          </w:p>
        </w:tc>
        <w:tc>
          <w:tcPr>
            <w:tcW w:w="6488" w:type="dxa"/>
            <w:gridSpan w:val="3"/>
            <w:noWrap w:val="0"/>
            <w:vAlign w:val="center"/>
          </w:tcPr>
          <w:p w14:paraId="423CCA4A">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w:t>
            </w:r>
            <w:r>
              <w:rPr>
                <w:rFonts w:hint="default" w:ascii="Times New Roman" w:hAnsi="Times New Roman" w:cs="Times New Roman" w:eastAsiaTheme="minorEastAsia"/>
                <w:color w:val="000000" w:themeColor="text1"/>
                <w:sz w:val="24"/>
                <w:szCs w:val="24"/>
                <w:highlight w:val="none"/>
                <w:u w:val="single"/>
                <w:lang w:val="en-US" w:eastAsia="zh-CN"/>
                <w14:textFill>
                  <w14:solidFill>
                    <w14:schemeClr w14:val="tx1"/>
                  </w14:solidFill>
                </w14:textFill>
              </w:rPr>
              <w:t>110</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度</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0</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分</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36.552</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秒，</w:t>
            </w:r>
            <w:r>
              <w:rPr>
                <w:rFonts w:hint="default" w:ascii="Times New Roman" w:hAnsi="Times New Roman" w:cs="Times New Roman" w:eastAsiaTheme="minorEastAsia"/>
                <w:color w:val="000000" w:themeColor="text1"/>
                <w:sz w:val="24"/>
                <w:szCs w:val="24"/>
                <w:highlight w:val="none"/>
                <w:u w:val="single"/>
                <w:lang w:val="en-US" w:eastAsia="zh-CN"/>
                <w14:textFill>
                  <w14:solidFill>
                    <w14:schemeClr w14:val="tx1"/>
                  </w14:solidFill>
                </w14:textFill>
              </w:rPr>
              <w:t>39</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度</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54</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分</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56.010</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秒）</w:t>
            </w:r>
          </w:p>
        </w:tc>
      </w:tr>
      <w:tr w14:paraId="10F29E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382" w:type="dxa"/>
            <w:noWrap w:val="0"/>
            <w:tcMar>
              <w:top w:w="16" w:type="dxa"/>
              <w:left w:w="16" w:type="dxa"/>
              <w:right w:w="16" w:type="dxa"/>
            </w:tcMar>
            <w:vAlign w:val="center"/>
          </w:tcPr>
          <w:p w14:paraId="30D96CD0">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国民经济</w:t>
            </w:r>
          </w:p>
          <w:p w14:paraId="578BA96D">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行业类别</w:t>
            </w:r>
          </w:p>
        </w:tc>
        <w:tc>
          <w:tcPr>
            <w:tcW w:w="1637" w:type="dxa"/>
            <w:noWrap w:val="0"/>
            <w:vAlign w:val="center"/>
          </w:tcPr>
          <w:p w14:paraId="643DF888">
            <w:pPr>
              <w:keepNext w:val="0"/>
              <w:keepLines w:val="0"/>
              <w:pageBreakBefore w:val="0"/>
              <w:kinsoku/>
              <w:wordWrap/>
              <w:overflowPunct/>
              <w:topLinePunct w:val="0"/>
              <w:bidi w:val="0"/>
              <w:adjustRightInd w:val="0"/>
              <w:snapToGrid w:val="0"/>
              <w:spacing w:line="360" w:lineRule="auto"/>
              <w:ind w:firstLine="0" w:firstLineChars="0"/>
              <w:jc w:val="both"/>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30</w:t>
            </w:r>
            <w:r>
              <w:rPr>
                <w:rFonts w:hint="eastAsia" w:cs="Times New Roman" w:eastAsiaTheme="minorEastAsia"/>
                <w:sz w:val="24"/>
                <w:szCs w:val="24"/>
                <w:highlight w:val="none"/>
                <w:lang w:val="en-US" w:eastAsia="zh-CN"/>
              </w:rPr>
              <w:t>21</w:t>
            </w:r>
            <w:r>
              <w:rPr>
                <w:rFonts w:hint="default" w:ascii="Times New Roman" w:hAnsi="Times New Roman" w:cs="Times New Roman" w:eastAsiaTheme="minorEastAsia"/>
                <w:sz w:val="24"/>
                <w:szCs w:val="24"/>
                <w:highlight w:val="none"/>
                <w:lang w:val="en-US" w:eastAsia="zh-CN"/>
              </w:rPr>
              <w:t>水泥制品制造</w:t>
            </w:r>
          </w:p>
        </w:tc>
        <w:tc>
          <w:tcPr>
            <w:tcW w:w="2212" w:type="dxa"/>
            <w:noWrap w:val="0"/>
            <w:vAlign w:val="center"/>
          </w:tcPr>
          <w:p w14:paraId="160DACC0">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bookmarkStart w:id="0" w:name="_Hlk49843745"/>
            <w:r>
              <w:rPr>
                <w:rFonts w:hint="default" w:ascii="Times New Roman" w:hAnsi="Times New Roman" w:cs="Times New Roman" w:eastAsiaTheme="minorEastAsia"/>
                <w:sz w:val="24"/>
                <w:szCs w:val="24"/>
                <w:highlight w:val="none"/>
              </w:rPr>
              <w:t>建设项目</w:t>
            </w:r>
          </w:p>
          <w:p w14:paraId="77F75405">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行业类别</w:t>
            </w:r>
            <w:bookmarkEnd w:id="0"/>
          </w:p>
        </w:tc>
        <w:tc>
          <w:tcPr>
            <w:tcW w:w="2639" w:type="dxa"/>
            <w:noWrap w:val="0"/>
            <w:vAlign w:val="center"/>
          </w:tcPr>
          <w:p w14:paraId="6E06B68C">
            <w:pPr>
              <w:keepNext w:val="0"/>
              <w:keepLines w:val="0"/>
              <w:pageBreakBefore w:val="0"/>
              <w:kinsoku/>
              <w:wordWrap/>
              <w:overflowPunct/>
              <w:topLinePunct w:val="0"/>
              <w:bidi w:val="0"/>
              <w:adjustRightInd w:val="0"/>
              <w:snapToGrid w:val="0"/>
              <w:spacing w:line="360" w:lineRule="auto"/>
              <w:ind w:firstLine="0" w:firstLineChars="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二十七、非金属矿物制品业</w:t>
            </w:r>
            <w:r>
              <w:rPr>
                <w:rFonts w:hint="eastAsia" w:cs="Times New Roman" w:eastAsiaTheme="minorEastAsia"/>
                <w:sz w:val="24"/>
                <w:szCs w:val="24"/>
                <w:highlight w:val="none"/>
                <w:lang w:val="en-US" w:eastAsia="zh-CN"/>
              </w:rPr>
              <w:t>55</w:t>
            </w:r>
            <w:r>
              <w:rPr>
                <w:rFonts w:hint="default" w:ascii="Times New Roman" w:hAnsi="Times New Roman" w:cs="Times New Roman" w:eastAsiaTheme="minorEastAsia"/>
                <w:sz w:val="24"/>
                <w:szCs w:val="24"/>
                <w:highlight w:val="none"/>
                <w:lang w:val="en-US" w:eastAsia="zh-CN"/>
              </w:rPr>
              <w:t>石膏、水泥制品及类似制品制造</w:t>
            </w:r>
            <w:r>
              <w:rPr>
                <w:rFonts w:hint="eastAsia" w:cs="Times New Roman" w:eastAsiaTheme="minorEastAsia"/>
                <w:sz w:val="24"/>
                <w:szCs w:val="24"/>
                <w:highlight w:val="none"/>
                <w:lang w:val="en-US" w:eastAsia="zh-CN"/>
              </w:rPr>
              <w:t>；商品混凝土</w:t>
            </w:r>
          </w:p>
        </w:tc>
      </w:tr>
      <w:tr w14:paraId="0B6771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382" w:type="dxa"/>
            <w:noWrap w:val="0"/>
            <w:tcMar>
              <w:top w:w="16" w:type="dxa"/>
              <w:left w:w="16" w:type="dxa"/>
              <w:right w:w="16" w:type="dxa"/>
            </w:tcMar>
            <w:vAlign w:val="center"/>
          </w:tcPr>
          <w:p w14:paraId="39D62E59">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建设性质</w:t>
            </w:r>
          </w:p>
        </w:tc>
        <w:tc>
          <w:tcPr>
            <w:tcW w:w="1637" w:type="dxa"/>
            <w:noWrap w:val="0"/>
            <w:vAlign w:val="center"/>
          </w:tcPr>
          <w:p w14:paraId="70CFD49D">
            <w:pPr>
              <w:keepNext w:val="0"/>
              <w:keepLines w:val="0"/>
              <w:pageBreakBefore w:val="0"/>
              <w:kinsoku/>
              <w:wordWrap/>
              <w:overflowPunct/>
              <w:topLinePunct w:val="0"/>
              <w:bidi w:val="0"/>
              <w:adjustRightInd w:val="0"/>
              <w:snapToGrid w:val="0"/>
              <w:spacing w:line="360" w:lineRule="auto"/>
              <w:ind w:firstLine="0" w:firstLineChars="0"/>
              <w:jc w:val="left"/>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新建（迁建）</w:t>
            </w:r>
          </w:p>
          <w:p w14:paraId="01DC9C40">
            <w:pPr>
              <w:keepNext w:val="0"/>
              <w:keepLines w:val="0"/>
              <w:pageBreakBefore w:val="0"/>
              <w:kinsoku/>
              <w:wordWrap/>
              <w:overflowPunct/>
              <w:topLinePunct w:val="0"/>
              <w:bidi w:val="0"/>
              <w:adjustRightInd w:val="0"/>
              <w:snapToGrid w:val="0"/>
              <w:spacing w:line="360" w:lineRule="auto"/>
              <w:ind w:firstLine="0" w:firstLineChars="0"/>
              <w:jc w:val="left"/>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□改建</w:t>
            </w:r>
          </w:p>
          <w:p w14:paraId="71DEA74A">
            <w:pPr>
              <w:keepNext w:val="0"/>
              <w:keepLines w:val="0"/>
              <w:pageBreakBefore w:val="0"/>
              <w:kinsoku/>
              <w:wordWrap/>
              <w:overflowPunct/>
              <w:topLinePunct w:val="0"/>
              <w:bidi w:val="0"/>
              <w:adjustRightInd w:val="0"/>
              <w:snapToGrid w:val="0"/>
              <w:spacing w:line="360" w:lineRule="auto"/>
              <w:ind w:firstLine="0" w:firstLineChars="0"/>
              <w:jc w:val="left"/>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扩建</w:t>
            </w:r>
          </w:p>
          <w:p w14:paraId="633BCC29">
            <w:pPr>
              <w:keepNext w:val="0"/>
              <w:keepLines w:val="0"/>
              <w:pageBreakBefore w:val="0"/>
              <w:kinsoku/>
              <w:wordWrap/>
              <w:overflowPunct/>
              <w:topLinePunct w:val="0"/>
              <w:bidi w:val="0"/>
              <w:adjustRightInd w:val="0"/>
              <w:snapToGrid w:val="0"/>
              <w:spacing w:line="360" w:lineRule="auto"/>
              <w:ind w:firstLine="0" w:firstLineChars="0"/>
              <w:jc w:val="left"/>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技术改造</w:t>
            </w:r>
          </w:p>
        </w:tc>
        <w:tc>
          <w:tcPr>
            <w:tcW w:w="2212" w:type="dxa"/>
            <w:noWrap w:val="0"/>
            <w:vAlign w:val="center"/>
          </w:tcPr>
          <w:p w14:paraId="0EDAAE4B">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建设项目</w:t>
            </w:r>
          </w:p>
          <w:p w14:paraId="6EA2F283">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申报情形</w:t>
            </w:r>
          </w:p>
        </w:tc>
        <w:tc>
          <w:tcPr>
            <w:tcW w:w="2639" w:type="dxa"/>
            <w:noWrap w:val="0"/>
            <w:vAlign w:val="center"/>
          </w:tcPr>
          <w:p w14:paraId="722071E3">
            <w:pPr>
              <w:keepNext w:val="0"/>
              <w:keepLines w:val="0"/>
              <w:pageBreakBefore w:val="0"/>
              <w:kinsoku/>
              <w:wordWrap/>
              <w:overflowPunct/>
              <w:topLinePunct w:val="0"/>
              <w:bidi w:val="0"/>
              <w:adjustRightInd w:val="0"/>
              <w:snapToGrid w:val="0"/>
              <w:spacing w:line="360" w:lineRule="auto"/>
              <w:ind w:firstLine="0" w:firstLineChars="0"/>
              <w:jc w:val="left"/>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首次申报项目</w:t>
            </w:r>
          </w:p>
          <w:p w14:paraId="3F4C3280">
            <w:pPr>
              <w:keepNext w:val="0"/>
              <w:keepLines w:val="0"/>
              <w:pageBreakBefore w:val="0"/>
              <w:kinsoku/>
              <w:wordWrap/>
              <w:overflowPunct/>
              <w:topLinePunct w:val="0"/>
              <w:bidi w:val="0"/>
              <w:adjustRightInd w:val="0"/>
              <w:snapToGrid w:val="0"/>
              <w:spacing w:line="360" w:lineRule="auto"/>
              <w:ind w:firstLine="0" w:firstLineChars="0"/>
              <w:jc w:val="left"/>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不予批准后再次申报项目</w:t>
            </w:r>
          </w:p>
          <w:p w14:paraId="5486F68D">
            <w:pPr>
              <w:keepNext w:val="0"/>
              <w:keepLines w:val="0"/>
              <w:pageBreakBefore w:val="0"/>
              <w:kinsoku/>
              <w:wordWrap/>
              <w:overflowPunct/>
              <w:topLinePunct w:val="0"/>
              <w:bidi w:val="0"/>
              <w:adjustRightInd w:val="0"/>
              <w:snapToGrid w:val="0"/>
              <w:spacing w:line="360" w:lineRule="auto"/>
              <w:ind w:firstLine="0" w:firstLineChars="0"/>
              <w:jc w:val="left"/>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超五年重新审核项目</w:t>
            </w:r>
          </w:p>
          <w:p w14:paraId="405FE81C">
            <w:pPr>
              <w:keepNext w:val="0"/>
              <w:keepLines w:val="0"/>
              <w:pageBreakBefore w:val="0"/>
              <w:kinsoku/>
              <w:wordWrap/>
              <w:overflowPunct/>
              <w:topLinePunct w:val="0"/>
              <w:bidi w:val="0"/>
              <w:adjustRightInd w:val="0"/>
              <w:snapToGrid w:val="0"/>
              <w:spacing w:line="360" w:lineRule="auto"/>
              <w:ind w:firstLine="0" w:firstLineChars="0"/>
              <w:jc w:val="left"/>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重大变动重新报批项目</w:t>
            </w:r>
          </w:p>
        </w:tc>
      </w:tr>
      <w:tr w14:paraId="0FCE7D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382" w:type="dxa"/>
            <w:noWrap w:val="0"/>
            <w:tcMar>
              <w:top w:w="16" w:type="dxa"/>
              <w:left w:w="16" w:type="dxa"/>
              <w:right w:w="16" w:type="dxa"/>
            </w:tcMar>
            <w:vAlign w:val="center"/>
          </w:tcPr>
          <w:p w14:paraId="31F5BCC8">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项目审批（核准/备案）部门（选填）</w:t>
            </w:r>
          </w:p>
        </w:tc>
        <w:tc>
          <w:tcPr>
            <w:tcW w:w="1637" w:type="dxa"/>
            <w:noWrap w:val="0"/>
            <w:vAlign w:val="center"/>
          </w:tcPr>
          <w:p w14:paraId="6495EB4B">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无</w:t>
            </w:r>
          </w:p>
        </w:tc>
        <w:tc>
          <w:tcPr>
            <w:tcW w:w="2212" w:type="dxa"/>
            <w:noWrap w:val="0"/>
            <w:vAlign w:val="center"/>
          </w:tcPr>
          <w:p w14:paraId="42AE8DBF">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项目审批（核准/</w:t>
            </w:r>
          </w:p>
          <w:p w14:paraId="3D2F2E6D">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备案）文号（选填）</w:t>
            </w:r>
          </w:p>
        </w:tc>
        <w:tc>
          <w:tcPr>
            <w:tcW w:w="2639" w:type="dxa"/>
            <w:noWrap w:val="0"/>
            <w:vAlign w:val="center"/>
          </w:tcPr>
          <w:p w14:paraId="1DE193E1">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无</w:t>
            </w:r>
          </w:p>
        </w:tc>
      </w:tr>
      <w:tr w14:paraId="0AC2A9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6DE1319B">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总投资（万元）</w:t>
            </w:r>
          </w:p>
        </w:tc>
        <w:tc>
          <w:tcPr>
            <w:tcW w:w="1637" w:type="dxa"/>
            <w:noWrap w:val="0"/>
            <w:vAlign w:val="center"/>
          </w:tcPr>
          <w:p w14:paraId="17683A92">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770</w:t>
            </w:r>
          </w:p>
        </w:tc>
        <w:tc>
          <w:tcPr>
            <w:tcW w:w="2212" w:type="dxa"/>
            <w:noWrap w:val="0"/>
            <w:tcMar>
              <w:top w:w="16" w:type="dxa"/>
              <w:left w:w="16" w:type="dxa"/>
              <w:right w:w="16" w:type="dxa"/>
            </w:tcMar>
            <w:vAlign w:val="center"/>
          </w:tcPr>
          <w:p w14:paraId="3A56BE13">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环保投资（万元）</w:t>
            </w:r>
          </w:p>
        </w:tc>
        <w:tc>
          <w:tcPr>
            <w:tcW w:w="2639" w:type="dxa"/>
            <w:noWrap w:val="0"/>
            <w:vAlign w:val="center"/>
          </w:tcPr>
          <w:p w14:paraId="014D542E">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color w:val="auto"/>
                <w:sz w:val="24"/>
                <w:szCs w:val="24"/>
                <w:highlight w:val="none"/>
                <w:lang w:val="en-US" w:eastAsia="zh-CN"/>
              </w:rPr>
            </w:pPr>
            <w:r>
              <w:rPr>
                <w:rFonts w:hint="eastAsia" w:cs="Times New Roman" w:eastAsiaTheme="minorEastAsia"/>
                <w:color w:val="auto"/>
                <w:sz w:val="24"/>
                <w:szCs w:val="24"/>
                <w:highlight w:val="none"/>
                <w:lang w:val="en-US" w:eastAsia="zh-CN"/>
              </w:rPr>
              <w:t>279</w:t>
            </w:r>
          </w:p>
        </w:tc>
      </w:tr>
      <w:tr w14:paraId="3EAC16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7F3EB89F">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环保投资占比（%）</w:t>
            </w:r>
          </w:p>
        </w:tc>
        <w:tc>
          <w:tcPr>
            <w:tcW w:w="1637" w:type="dxa"/>
            <w:noWrap w:val="0"/>
            <w:vAlign w:val="center"/>
          </w:tcPr>
          <w:p w14:paraId="0BCC59E6">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color w:val="auto"/>
                <w:sz w:val="24"/>
                <w:szCs w:val="24"/>
                <w:highlight w:val="none"/>
                <w:lang w:val="en-US" w:eastAsia="zh-CN"/>
              </w:rPr>
            </w:pPr>
            <w:r>
              <w:rPr>
                <w:rFonts w:hint="eastAsia" w:cs="Times New Roman" w:eastAsiaTheme="minorEastAsia"/>
                <w:color w:val="auto"/>
                <w:sz w:val="24"/>
                <w:szCs w:val="24"/>
                <w:highlight w:val="none"/>
                <w:lang w:val="en-US" w:eastAsia="zh-CN"/>
              </w:rPr>
              <w:t>36.23</w:t>
            </w:r>
          </w:p>
        </w:tc>
        <w:tc>
          <w:tcPr>
            <w:tcW w:w="2212" w:type="dxa"/>
            <w:noWrap w:val="0"/>
            <w:tcMar>
              <w:top w:w="16" w:type="dxa"/>
              <w:left w:w="16" w:type="dxa"/>
              <w:right w:w="16" w:type="dxa"/>
            </w:tcMar>
            <w:vAlign w:val="center"/>
          </w:tcPr>
          <w:p w14:paraId="4EBB0982">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施工工期</w:t>
            </w:r>
          </w:p>
        </w:tc>
        <w:tc>
          <w:tcPr>
            <w:tcW w:w="2639" w:type="dxa"/>
            <w:noWrap w:val="0"/>
            <w:vAlign w:val="center"/>
          </w:tcPr>
          <w:p w14:paraId="00B81316">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6个月</w:t>
            </w:r>
          </w:p>
        </w:tc>
      </w:tr>
      <w:tr w14:paraId="4E56C8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731E6B8E">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是否开工建设</w:t>
            </w:r>
          </w:p>
        </w:tc>
        <w:tc>
          <w:tcPr>
            <w:tcW w:w="1637" w:type="dxa"/>
            <w:noWrap w:val="0"/>
            <w:vAlign w:val="center"/>
          </w:tcPr>
          <w:p w14:paraId="0C49C0A3">
            <w:pPr>
              <w:keepNext w:val="0"/>
              <w:keepLines w:val="0"/>
              <w:pageBreakBefore w:val="0"/>
              <w:kinsoku/>
              <w:wordWrap/>
              <w:overflowPunct/>
              <w:topLinePunct w:val="0"/>
              <w:bidi w:val="0"/>
              <w:adjustRightInd w:val="0"/>
              <w:snapToGrid w:val="0"/>
              <w:spacing w:line="360" w:lineRule="auto"/>
              <w:ind w:firstLine="0" w:firstLineChars="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否</w:t>
            </w:r>
          </w:p>
          <w:p w14:paraId="75B3A3CB">
            <w:pPr>
              <w:keepNext w:val="0"/>
              <w:keepLines w:val="0"/>
              <w:pageBreakBefore w:val="0"/>
              <w:kinsoku/>
              <w:wordWrap/>
              <w:overflowPunct/>
              <w:topLinePunct w:val="0"/>
              <w:bidi w:val="0"/>
              <w:adjustRightInd w:val="0"/>
              <w:snapToGrid w:val="0"/>
              <w:spacing w:line="360" w:lineRule="auto"/>
              <w:ind w:firstLine="0" w:firstLineChars="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是</w:t>
            </w:r>
          </w:p>
        </w:tc>
        <w:tc>
          <w:tcPr>
            <w:tcW w:w="2212" w:type="dxa"/>
            <w:noWrap w:val="0"/>
            <w:tcMar>
              <w:top w:w="16" w:type="dxa"/>
              <w:left w:w="16" w:type="dxa"/>
              <w:right w:w="16" w:type="dxa"/>
            </w:tcMar>
            <w:vAlign w:val="center"/>
          </w:tcPr>
          <w:p w14:paraId="027CEE9F">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pacing w:val="-6"/>
                <w:sz w:val="24"/>
                <w:szCs w:val="24"/>
                <w:highlight w:val="none"/>
              </w:rPr>
              <w:t>用地面积（</w:t>
            </w:r>
            <w:r>
              <w:rPr>
                <w:rFonts w:hint="eastAsia" w:cs="Times New Roman" w:eastAsiaTheme="minorEastAsia"/>
                <w:spacing w:val="-6"/>
                <w:sz w:val="24"/>
                <w:szCs w:val="24"/>
                <w:highlight w:val="none"/>
                <w:lang w:val="en-US" w:eastAsia="zh-CN"/>
              </w:rPr>
              <w:t>m</w:t>
            </w:r>
            <w:r>
              <w:rPr>
                <w:rFonts w:hint="default" w:ascii="Times New Roman" w:hAnsi="Times New Roman" w:cs="Times New Roman" w:eastAsiaTheme="minorEastAsia"/>
                <w:spacing w:val="-6"/>
                <w:sz w:val="24"/>
                <w:szCs w:val="24"/>
                <w:highlight w:val="none"/>
                <w:vertAlign w:val="superscript"/>
              </w:rPr>
              <w:t>2</w:t>
            </w:r>
            <w:r>
              <w:rPr>
                <w:rFonts w:hint="default" w:ascii="Times New Roman" w:hAnsi="Times New Roman" w:cs="Times New Roman" w:eastAsiaTheme="minorEastAsia"/>
                <w:spacing w:val="-6"/>
                <w:sz w:val="24"/>
                <w:szCs w:val="24"/>
                <w:highlight w:val="none"/>
              </w:rPr>
              <w:t>）</w:t>
            </w:r>
          </w:p>
        </w:tc>
        <w:tc>
          <w:tcPr>
            <w:tcW w:w="2639" w:type="dxa"/>
            <w:noWrap w:val="0"/>
            <w:vAlign w:val="center"/>
          </w:tcPr>
          <w:p w14:paraId="7A6A3156">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sz w:val="24"/>
                <w:szCs w:val="24"/>
                <w:highlight w:val="none"/>
                <w:lang w:val="en-US" w:eastAsia="zh-CN"/>
              </w:rPr>
            </w:pPr>
            <w:r>
              <w:rPr>
                <w:rFonts w:hint="eastAsia" w:cs="Times New Roman" w:eastAsiaTheme="minorEastAsia"/>
                <w:sz w:val="24"/>
                <w:szCs w:val="24"/>
                <w:highlight w:val="none"/>
                <w:lang w:val="en-US" w:eastAsia="zh-CN"/>
              </w:rPr>
              <w:t>1118.85m</w:t>
            </w:r>
            <w:r>
              <w:rPr>
                <w:rFonts w:hint="eastAsia" w:cs="Times New Roman" w:eastAsiaTheme="minorEastAsia"/>
                <w:sz w:val="24"/>
                <w:szCs w:val="24"/>
                <w:highlight w:val="none"/>
                <w:vertAlign w:val="superscript"/>
                <w:lang w:val="en-US" w:eastAsia="zh-CN"/>
              </w:rPr>
              <w:t>2</w:t>
            </w:r>
          </w:p>
        </w:tc>
      </w:tr>
      <w:tr w14:paraId="71F081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noWrap w:val="0"/>
            <w:vAlign w:val="center"/>
          </w:tcPr>
          <w:p w14:paraId="641A3A31">
            <w:pPr>
              <w:keepNext w:val="0"/>
              <w:keepLines w:val="0"/>
              <w:pageBreakBefore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kern w:val="0"/>
                <w:sz w:val="24"/>
                <w:szCs w:val="24"/>
                <w:highlight w:val="none"/>
              </w:rPr>
            </w:pPr>
            <w:r>
              <w:rPr>
                <w:rFonts w:hint="default" w:ascii="Times New Roman" w:hAnsi="Times New Roman" w:cs="Times New Roman" w:eastAsiaTheme="minorEastAsia"/>
                <w:kern w:val="0"/>
                <w:sz w:val="24"/>
                <w:szCs w:val="24"/>
                <w:highlight w:val="none"/>
              </w:rPr>
              <w:t>专项评价设置情况</w:t>
            </w:r>
          </w:p>
        </w:tc>
        <w:tc>
          <w:tcPr>
            <w:tcW w:w="6488" w:type="dxa"/>
            <w:gridSpan w:val="3"/>
            <w:noWrap w:val="0"/>
            <w:vAlign w:val="center"/>
          </w:tcPr>
          <w:p w14:paraId="76A244FB">
            <w:pPr>
              <w:pStyle w:val="43"/>
              <w:spacing w:line="360" w:lineRule="auto"/>
              <w:ind w:firstLine="480"/>
              <w:jc w:val="center"/>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表1-1</w:t>
            </w:r>
            <w:r>
              <w:rPr>
                <w:rFonts w:hint="eastAsia" w:cs="Times New Roman" w:eastAsiaTheme="minorEastAsia"/>
                <w:b/>
                <w:bCs/>
                <w:color w:val="auto"/>
                <w:sz w:val="24"/>
                <w:szCs w:val="24"/>
                <w:lang w:val="en-US" w:eastAsia="zh-CN"/>
              </w:rPr>
              <w:t>-1</w:t>
            </w:r>
            <w:r>
              <w:rPr>
                <w:rFonts w:hint="default" w:ascii="Times New Roman" w:hAnsi="Times New Roman" w:cs="Times New Roman" w:eastAsiaTheme="minorEastAsia"/>
                <w:b/>
                <w:bCs/>
                <w:color w:val="auto"/>
                <w:sz w:val="24"/>
                <w:szCs w:val="24"/>
              </w:rPr>
              <w:t>项目专项评价设置情况判定表</w:t>
            </w:r>
          </w:p>
          <w:tbl>
            <w:tblPr>
              <w:tblStyle w:val="1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06"/>
              <w:gridCol w:w="2234"/>
              <w:gridCol w:w="2213"/>
              <w:gridCol w:w="1004"/>
            </w:tblGrid>
            <w:tr w14:paraId="0BB2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44" w:type="pct"/>
                  <w:vAlign w:val="center"/>
                </w:tcPr>
                <w:p w14:paraId="24D3FD1D">
                  <w:pPr>
                    <w:pStyle w:val="44"/>
                    <w:spacing w:line="360" w:lineRule="auto"/>
                    <w:ind w:left="0" w:leftChars="0" w:firstLine="0" w:firstLine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专项评价类别</w:t>
                  </w:r>
                </w:p>
              </w:tc>
              <w:tc>
                <w:tcPr>
                  <w:tcW w:w="1785" w:type="pct"/>
                  <w:vAlign w:val="center"/>
                </w:tcPr>
                <w:p w14:paraId="37889D8A">
                  <w:pPr>
                    <w:pStyle w:val="44"/>
                    <w:spacing w:line="360" w:lineRule="auto"/>
                    <w:ind w:left="0" w:leftChars="0" w:firstLine="0" w:firstLine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设置原则</w:t>
                  </w:r>
                </w:p>
              </w:tc>
              <w:tc>
                <w:tcPr>
                  <w:tcW w:w="1768" w:type="pct"/>
                  <w:vAlign w:val="center"/>
                </w:tcPr>
                <w:p w14:paraId="7B347A04">
                  <w:pPr>
                    <w:pStyle w:val="44"/>
                    <w:spacing w:line="360" w:lineRule="auto"/>
                    <w:ind w:left="0" w:leftChars="0" w:firstLine="0" w:firstLine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本项目情况</w:t>
                  </w:r>
                </w:p>
              </w:tc>
              <w:tc>
                <w:tcPr>
                  <w:tcW w:w="802" w:type="pct"/>
                  <w:vAlign w:val="center"/>
                </w:tcPr>
                <w:p w14:paraId="2C7D01BB">
                  <w:pPr>
                    <w:pStyle w:val="44"/>
                    <w:spacing w:line="360" w:lineRule="auto"/>
                    <w:ind w:left="0" w:leftChars="0" w:firstLine="0" w:firstLine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是否设置专项</w:t>
                  </w:r>
                </w:p>
              </w:tc>
            </w:tr>
            <w:tr w14:paraId="13DF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44" w:type="pct"/>
                  <w:vAlign w:val="center"/>
                </w:tcPr>
                <w:p w14:paraId="7448093B">
                  <w:pPr>
                    <w:pStyle w:val="44"/>
                    <w:spacing w:line="360" w:lineRule="auto"/>
                    <w:ind w:left="0" w:leftChars="0" w:firstLine="0" w:firstLineChars="0"/>
                    <w:jc w:val="center"/>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大气</w:t>
                  </w:r>
                </w:p>
              </w:tc>
              <w:tc>
                <w:tcPr>
                  <w:tcW w:w="1785" w:type="pct"/>
                  <w:vAlign w:val="center"/>
                </w:tcPr>
                <w:p w14:paraId="6A5DC65D">
                  <w:pPr>
                    <w:pStyle w:val="44"/>
                    <w:spacing w:line="360" w:lineRule="auto"/>
                    <w:ind w:left="0" w:leftChars="0" w:firstLine="0" w:firstLineChars="0"/>
                    <w:jc w:val="center"/>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排放废气含有有毒有害污染物、二噁英、苯并芘、氰化物、氯气且厂界外500米范围内有环境空气保护目标的建设项目。</w:t>
                  </w:r>
                </w:p>
              </w:tc>
              <w:tc>
                <w:tcPr>
                  <w:tcW w:w="1768" w:type="pct"/>
                  <w:vAlign w:val="center"/>
                </w:tcPr>
                <w:p w14:paraId="5DF119A7">
                  <w:pPr>
                    <w:pStyle w:val="44"/>
                    <w:spacing w:line="360" w:lineRule="auto"/>
                    <w:ind w:left="0" w:leftChars="0" w:firstLine="0" w:firstLineChars="0"/>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本项目排放废气</w:t>
                  </w:r>
                  <w:r>
                    <w:rPr>
                      <w:rFonts w:hint="eastAsia" w:asciiTheme="minorEastAsia" w:hAnsiTheme="minorEastAsia" w:eastAsiaTheme="minorEastAsia" w:cstheme="minorEastAsia"/>
                      <w:color w:val="auto"/>
                      <w:sz w:val="24"/>
                      <w:szCs w:val="24"/>
                      <w:lang w:val="en-US" w:eastAsia="zh-CN"/>
                    </w:rPr>
                    <w:t>中无有毒有害污染物</w:t>
                  </w:r>
                  <w:r>
                    <w:rPr>
                      <w:rFonts w:hint="eastAsia" w:asciiTheme="minorEastAsia" w:hAnsiTheme="minorEastAsia" w:eastAsiaTheme="minorEastAsia" w:cstheme="minorEastAsia"/>
                      <w:bCs/>
                      <w:color w:val="auto"/>
                      <w:sz w:val="24"/>
                      <w:szCs w:val="24"/>
                    </w:rPr>
                    <w:t>、二噁英、苯并芘、氰化物、氯气</w:t>
                  </w:r>
                  <w:r>
                    <w:rPr>
                      <w:rFonts w:hint="eastAsia" w:asciiTheme="minorEastAsia" w:hAnsiTheme="minorEastAsia" w:eastAsiaTheme="minorEastAsia" w:cstheme="minorEastAsia"/>
                      <w:color w:val="auto"/>
                      <w:sz w:val="24"/>
                      <w:szCs w:val="24"/>
                      <w:lang w:val="en-US" w:eastAsia="zh-CN"/>
                    </w:rPr>
                    <w:t>等物质</w:t>
                  </w:r>
                  <w:r>
                    <w:rPr>
                      <w:rFonts w:hint="eastAsia" w:asciiTheme="minorEastAsia" w:hAnsiTheme="minorEastAsia" w:eastAsiaTheme="minorEastAsia" w:cstheme="minorEastAsia"/>
                      <w:color w:val="auto"/>
                      <w:sz w:val="24"/>
                      <w:szCs w:val="24"/>
                      <w:highlight w:val="none"/>
                      <w:lang w:eastAsia="zh-CN"/>
                    </w:rPr>
                    <w:t>。</w:t>
                  </w:r>
                </w:p>
              </w:tc>
              <w:tc>
                <w:tcPr>
                  <w:tcW w:w="802" w:type="pct"/>
                  <w:vAlign w:val="center"/>
                </w:tcPr>
                <w:p w14:paraId="514B6F80">
                  <w:pPr>
                    <w:pStyle w:val="44"/>
                    <w:spacing w:line="360" w:lineRule="auto"/>
                    <w:ind w:left="0" w:leftChars="0" w:firstLine="0" w:firstLineChars="0"/>
                    <w:jc w:val="center"/>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否</w:t>
                  </w:r>
                </w:p>
              </w:tc>
            </w:tr>
            <w:tr w14:paraId="14F67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44" w:type="pct"/>
                  <w:vAlign w:val="center"/>
                </w:tcPr>
                <w:p w14:paraId="63A38ECE">
                  <w:pPr>
                    <w:pStyle w:val="44"/>
                    <w:spacing w:line="360" w:lineRule="auto"/>
                    <w:ind w:left="0" w:leftChars="0" w:firstLine="0" w:firstLineChars="0"/>
                    <w:jc w:val="center"/>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地表水</w:t>
                  </w:r>
                </w:p>
              </w:tc>
              <w:tc>
                <w:tcPr>
                  <w:tcW w:w="1785" w:type="pct"/>
                  <w:vAlign w:val="center"/>
                </w:tcPr>
                <w:p w14:paraId="2BFEB19B">
                  <w:pPr>
                    <w:pStyle w:val="44"/>
                    <w:spacing w:line="360" w:lineRule="auto"/>
                    <w:ind w:left="0" w:leftChars="0" w:firstLine="0" w:firstLineChars="0"/>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新增工业废水直排建设项目（槽罐车外送污水处理厂的除外）；新增废水直排的污水集中处理厂</w:t>
                  </w:r>
                </w:p>
              </w:tc>
              <w:tc>
                <w:tcPr>
                  <w:tcW w:w="1768" w:type="pct"/>
                  <w:vAlign w:val="center"/>
                </w:tcPr>
                <w:p w14:paraId="288E1F67">
                  <w:pPr>
                    <w:pStyle w:val="44"/>
                    <w:spacing w:line="360" w:lineRule="auto"/>
                    <w:ind w:left="0" w:leftChars="0" w:firstLine="0" w:firstLine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项目无新增生活污水，厂区生活废水依托现有井下沉淀池处置，不外排。</w:t>
                  </w:r>
                </w:p>
              </w:tc>
              <w:tc>
                <w:tcPr>
                  <w:tcW w:w="802" w:type="pct"/>
                  <w:vAlign w:val="center"/>
                </w:tcPr>
                <w:p w14:paraId="579BC749">
                  <w:pPr>
                    <w:pStyle w:val="44"/>
                    <w:spacing w:line="360" w:lineRule="auto"/>
                    <w:ind w:left="0" w:leftChars="0" w:firstLine="0" w:firstLineChars="0"/>
                    <w:jc w:val="center"/>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lang w:val="en-US" w:eastAsia="zh-CN"/>
                    </w:rPr>
                    <w:t>否</w:t>
                  </w:r>
                </w:p>
              </w:tc>
            </w:tr>
            <w:tr w14:paraId="4DF4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44" w:type="pct"/>
                  <w:vAlign w:val="center"/>
                </w:tcPr>
                <w:p w14:paraId="0A8A1BCE">
                  <w:pPr>
                    <w:pStyle w:val="44"/>
                    <w:spacing w:line="360" w:lineRule="auto"/>
                    <w:ind w:left="0" w:leftChars="0" w:firstLine="0" w:firstLineChars="0"/>
                    <w:jc w:val="center"/>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风险环境</w:t>
                  </w:r>
                </w:p>
              </w:tc>
              <w:tc>
                <w:tcPr>
                  <w:tcW w:w="1785" w:type="pct"/>
                  <w:vAlign w:val="center"/>
                </w:tcPr>
                <w:p w14:paraId="781E7DDB">
                  <w:pPr>
                    <w:pStyle w:val="44"/>
                    <w:spacing w:line="360" w:lineRule="auto"/>
                    <w:ind w:left="0" w:leftChars="0" w:firstLine="0" w:firstLineChars="0"/>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有毒有害和易燃易爆危险物质存储量超过临界量的建设项目</w:t>
                  </w:r>
                  <w:r>
                    <w:rPr>
                      <w:rFonts w:hint="eastAsia" w:asciiTheme="minorEastAsia" w:hAnsiTheme="minorEastAsia" w:eastAsiaTheme="minorEastAsia" w:cstheme="minorEastAsia"/>
                      <w:color w:val="auto"/>
                      <w:sz w:val="24"/>
                      <w:szCs w:val="24"/>
                      <w:lang w:eastAsia="zh-CN"/>
                    </w:rPr>
                    <w:t>。</w:t>
                  </w:r>
                </w:p>
              </w:tc>
              <w:tc>
                <w:tcPr>
                  <w:tcW w:w="1768" w:type="pct"/>
                  <w:vAlign w:val="center"/>
                </w:tcPr>
                <w:p w14:paraId="52C0AAFA">
                  <w:pPr>
                    <w:pStyle w:val="44"/>
                    <w:spacing w:line="360" w:lineRule="auto"/>
                    <w:ind w:left="0" w:leftChars="0" w:firstLine="0" w:firstLineChars="0"/>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本项目不涉及有毒有害和易燃易爆危险物质</w:t>
                  </w:r>
                  <w:r>
                    <w:rPr>
                      <w:rFonts w:hint="eastAsia" w:asciiTheme="minorEastAsia" w:hAnsiTheme="minorEastAsia" w:eastAsiaTheme="minorEastAsia" w:cstheme="minorEastAsia"/>
                      <w:color w:val="auto"/>
                      <w:sz w:val="24"/>
                      <w:szCs w:val="24"/>
                      <w:lang w:eastAsia="zh-CN"/>
                    </w:rPr>
                    <w:t>。</w:t>
                  </w:r>
                </w:p>
              </w:tc>
              <w:tc>
                <w:tcPr>
                  <w:tcW w:w="802" w:type="pct"/>
                  <w:vAlign w:val="center"/>
                </w:tcPr>
                <w:p w14:paraId="375BF772">
                  <w:pPr>
                    <w:pStyle w:val="44"/>
                    <w:spacing w:line="360" w:lineRule="auto"/>
                    <w:ind w:left="0" w:leftChars="0" w:firstLine="0" w:firstLineChars="0"/>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bCs/>
                      <w:color w:val="auto"/>
                      <w:sz w:val="24"/>
                      <w:szCs w:val="24"/>
                      <w:lang w:val="en-US" w:eastAsia="zh-CN"/>
                    </w:rPr>
                    <w:t>否</w:t>
                  </w:r>
                </w:p>
              </w:tc>
            </w:tr>
            <w:tr w14:paraId="6D5EF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44" w:type="pct"/>
                  <w:vAlign w:val="center"/>
                </w:tcPr>
                <w:p w14:paraId="733893A9">
                  <w:pPr>
                    <w:pStyle w:val="44"/>
                    <w:spacing w:line="360" w:lineRule="auto"/>
                    <w:ind w:left="0" w:leftChars="0" w:firstLine="0" w:firstLineChars="0"/>
                    <w:jc w:val="center"/>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生态</w:t>
                  </w:r>
                </w:p>
              </w:tc>
              <w:tc>
                <w:tcPr>
                  <w:tcW w:w="1785" w:type="pct"/>
                  <w:vAlign w:val="center"/>
                </w:tcPr>
                <w:p w14:paraId="403A7417">
                  <w:pPr>
                    <w:pStyle w:val="44"/>
                    <w:spacing w:line="360" w:lineRule="auto"/>
                    <w:ind w:left="0" w:leftChars="0" w:firstLine="0" w:firstLineChars="0"/>
                    <w:jc w:val="center"/>
                    <w:rPr>
                      <w:rFonts w:hint="eastAsia" w:asciiTheme="minorEastAsia" w:hAnsiTheme="minorEastAsia" w:eastAsiaTheme="minorEastAsia" w:cstheme="minorEastAsia"/>
                      <w:color w:val="auto"/>
                      <w:kern w:val="0"/>
                      <w:sz w:val="24"/>
                      <w:szCs w:val="24"/>
                      <w:lang w:eastAsia="zh-CN" w:bidi="ar"/>
                    </w:rPr>
                  </w:pPr>
                  <w:r>
                    <w:rPr>
                      <w:rFonts w:hint="eastAsia" w:asciiTheme="minorEastAsia" w:hAnsiTheme="minorEastAsia" w:eastAsiaTheme="minorEastAsia" w:cstheme="minorEastAsia"/>
                      <w:color w:val="auto"/>
                      <w:kern w:val="0"/>
                      <w:sz w:val="24"/>
                      <w:szCs w:val="24"/>
                      <w:lang w:bidi="ar"/>
                    </w:rPr>
                    <w:t>取水口下游500米范围内有重要水生生物的自然产卵场、索饵场、越冬场和洄游通道的新增河道取水的污染类建设项目</w:t>
                  </w:r>
                  <w:r>
                    <w:rPr>
                      <w:rFonts w:hint="eastAsia" w:asciiTheme="minorEastAsia" w:hAnsiTheme="minorEastAsia" w:eastAsiaTheme="minorEastAsia" w:cstheme="minorEastAsia"/>
                      <w:color w:val="auto"/>
                      <w:kern w:val="0"/>
                      <w:sz w:val="24"/>
                      <w:szCs w:val="24"/>
                      <w:lang w:eastAsia="zh-CN" w:bidi="ar"/>
                    </w:rPr>
                    <w:t>。</w:t>
                  </w:r>
                </w:p>
              </w:tc>
              <w:tc>
                <w:tcPr>
                  <w:tcW w:w="1768" w:type="pct"/>
                  <w:shd w:val="clear" w:color="auto" w:fill="auto"/>
                  <w:vAlign w:val="center"/>
                </w:tcPr>
                <w:p w14:paraId="5C880626">
                  <w:pPr>
                    <w:pStyle w:val="45"/>
                    <w:adjustRightInd/>
                    <w:snapToGrid/>
                    <w:spacing w:line="360" w:lineRule="auto"/>
                    <w:ind w:left="0" w:leftChars="0" w:firstLine="0" w:firstLineChars="0"/>
                    <w:jc w:val="center"/>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本项目</w:t>
                  </w:r>
                  <w:r>
                    <w:rPr>
                      <w:rFonts w:hint="eastAsia" w:asciiTheme="minorEastAsia" w:hAnsiTheme="minorEastAsia" w:eastAsiaTheme="minorEastAsia" w:cstheme="minorEastAsia"/>
                      <w:color w:val="auto"/>
                      <w:sz w:val="24"/>
                      <w:szCs w:val="24"/>
                      <w:highlight w:val="none"/>
                    </w:rPr>
                    <w:t>生产用水</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生活用水均</w:t>
                  </w:r>
                  <w:r>
                    <w:rPr>
                      <w:rFonts w:hint="eastAsia" w:asciiTheme="minorEastAsia" w:hAnsiTheme="minorEastAsia" w:eastAsiaTheme="minorEastAsia" w:cstheme="minorEastAsia"/>
                      <w:color w:val="auto"/>
                      <w:sz w:val="24"/>
                      <w:szCs w:val="24"/>
                      <w:highlight w:val="none"/>
                    </w:rPr>
                    <w:t>来</w:t>
                  </w:r>
                  <w:r>
                    <w:rPr>
                      <w:rFonts w:hint="eastAsia" w:asciiTheme="minorEastAsia" w:hAnsiTheme="minorEastAsia" w:eastAsiaTheme="minorEastAsia" w:cstheme="minorEastAsia"/>
                      <w:color w:val="auto"/>
                      <w:sz w:val="24"/>
                      <w:szCs w:val="24"/>
                      <w:highlight w:val="none"/>
                      <w:lang w:val="en-US" w:eastAsia="zh-CN"/>
                    </w:rPr>
                    <w:t>自厂区矿井水</w:t>
                  </w:r>
                  <w:r>
                    <w:rPr>
                      <w:rFonts w:hint="eastAsia" w:asciiTheme="minorEastAsia" w:hAnsiTheme="minorEastAsia" w:eastAsiaTheme="minorEastAsia" w:cstheme="minorEastAsia"/>
                      <w:color w:val="auto"/>
                      <w:sz w:val="24"/>
                      <w:szCs w:val="24"/>
                    </w:rPr>
                    <w:t>。</w:t>
                  </w:r>
                </w:p>
              </w:tc>
              <w:tc>
                <w:tcPr>
                  <w:tcW w:w="802" w:type="pct"/>
                  <w:vAlign w:val="center"/>
                </w:tcPr>
                <w:p w14:paraId="061B6B06">
                  <w:pPr>
                    <w:pStyle w:val="44"/>
                    <w:spacing w:line="360" w:lineRule="auto"/>
                    <w:ind w:left="0" w:leftChars="0" w:firstLine="0" w:firstLineChars="0"/>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bCs/>
                      <w:color w:val="auto"/>
                      <w:sz w:val="24"/>
                      <w:szCs w:val="24"/>
                      <w:lang w:val="en-US" w:eastAsia="zh-CN"/>
                    </w:rPr>
                    <w:t>否</w:t>
                  </w:r>
                </w:p>
              </w:tc>
            </w:tr>
            <w:tr w14:paraId="64B2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44" w:type="pct"/>
                  <w:vAlign w:val="center"/>
                </w:tcPr>
                <w:p w14:paraId="0E85C1BA">
                  <w:pPr>
                    <w:pStyle w:val="44"/>
                    <w:spacing w:line="360" w:lineRule="auto"/>
                    <w:ind w:left="0" w:leftChars="0" w:firstLine="0" w:firstLineChars="0"/>
                    <w:jc w:val="center"/>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海洋</w:t>
                  </w:r>
                </w:p>
              </w:tc>
              <w:tc>
                <w:tcPr>
                  <w:tcW w:w="1785" w:type="pct"/>
                  <w:vAlign w:val="center"/>
                </w:tcPr>
                <w:p w14:paraId="3A27A33E">
                  <w:pPr>
                    <w:pStyle w:val="44"/>
                    <w:spacing w:line="360" w:lineRule="auto"/>
                    <w:ind w:left="0" w:leftChars="0" w:firstLine="0" w:firstLineChars="0"/>
                    <w:jc w:val="center"/>
                    <w:rPr>
                      <w:rFonts w:hint="eastAsia" w:asciiTheme="minorEastAsia" w:hAnsiTheme="minorEastAsia" w:eastAsiaTheme="minorEastAsia" w:cstheme="minorEastAsia"/>
                      <w:color w:val="auto"/>
                      <w:kern w:val="0"/>
                      <w:sz w:val="24"/>
                      <w:szCs w:val="24"/>
                      <w:lang w:eastAsia="zh-CN" w:bidi="ar"/>
                    </w:rPr>
                  </w:pPr>
                  <w:r>
                    <w:rPr>
                      <w:rFonts w:hint="eastAsia" w:asciiTheme="minorEastAsia" w:hAnsiTheme="minorEastAsia" w:eastAsiaTheme="minorEastAsia" w:cstheme="minorEastAsia"/>
                      <w:color w:val="auto"/>
                      <w:kern w:val="0"/>
                      <w:sz w:val="24"/>
                      <w:szCs w:val="24"/>
                      <w:lang w:bidi="ar"/>
                    </w:rPr>
                    <w:t>直接向海排放污染物的海洋工程建设项目</w:t>
                  </w:r>
                  <w:r>
                    <w:rPr>
                      <w:rFonts w:hint="eastAsia" w:asciiTheme="minorEastAsia" w:hAnsiTheme="minorEastAsia" w:eastAsiaTheme="minorEastAsia" w:cstheme="minorEastAsia"/>
                      <w:color w:val="auto"/>
                      <w:kern w:val="0"/>
                      <w:sz w:val="24"/>
                      <w:szCs w:val="24"/>
                      <w:lang w:eastAsia="zh-CN" w:bidi="ar"/>
                    </w:rPr>
                    <w:t>。</w:t>
                  </w:r>
                </w:p>
              </w:tc>
              <w:tc>
                <w:tcPr>
                  <w:tcW w:w="1768" w:type="pct"/>
                  <w:vAlign w:val="center"/>
                </w:tcPr>
                <w:p w14:paraId="6E355041">
                  <w:pPr>
                    <w:pStyle w:val="44"/>
                    <w:spacing w:line="360" w:lineRule="auto"/>
                    <w:ind w:left="0" w:leftChars="0" w:firstLine="0" w:firstLineChars="0"/>
                    <w:jc w:val="center"/>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不涉及</w:t>
                  </w:r>
                </w:p>
              </w:tc>
              <w:tc>
                <w:tcPr>
                  <w:tcW w:w="802" w:type="pct"/>
                  <w:vAlign w:val="center"/>
                </w:tcPr>
                <w:p w14:paraId="5C1082A4">
                  <w:pPr>
                    <w:pStyle w:val="44"/>
                    <w:spacing w:line="360" w:lineRule="auto"/>
                    <w:ind w:left="0" w:leftChars="0" w:firstLine="0" w:firstLineChars="0"/>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bCs/>
                      <w:color w:val="auto"/>
                      <w:sz w:val="24"/>
                      <w:szCs w:val="24"/>
                      <w:lang w:val="en-US" w:eastAsia="zh-CN"/>
                    </w:rPr>
                    <w:t>否</w:t>
                  </w:r>
                </w:p>
              </w:tc>
            </w:tr>
          </w:tbl>
          <w:p w14:paraId="087BF230">
            <w:pPr>
              <w:keepNext w:val="0"/>
              <w:keepLines w:val="0"/>
              <w:pageBreakBefore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kern w:val="0"/>
                <w:sz w:val="24"/>
                <w:szCs w:val="24"/>
                <w:highlight w:val="none"/>
                <w:lang w:eastAsia="zh-CN"/>
              </w:rPr>
            </w:pPr>
          </w:p>
        </w:tc>
      </w:tr>
      <w:tr w14:paraId="72C2F1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noWrap w:val="0"/>
            <w:vAlign w:val="center"/>
          </w:tcPr>
          <w:p w14:paraId="21F0EBFE">
            <w:pPr>
              <w:keepNext w:val="0"/>
              <w:keepLines w:val="0"/>
              <w:pageBreakBefore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sz w:val="24"/>
                <w:szCs w:val="24"/>
                <w:highlight w:val="none"/>
              </w:rPr>
              <w:t>规划情况</w:t>
            </w:r>
          </w:p>
        </w:tc>
        <w:tc>
          <w:tcPr>
            <w:tcW w:w="6488" w:type="dxa"/>
            <w:gridSpan w:val="3"/>
            <w:noWrap w:val="0"/>
            <w:vAlign w:val="center"/>
          </w:tcPr>
          <w:p w14:paraId="306B8A31">
            <w:pPr>
              <w:spacing w:line="360" w:lineRule="auto"/>
              <w:ind w:firstLine="480" w:firstLineChars="200"/>
              <w:rPr>
                <w:rFonts w:hint="default" w:cs="Times New Roman" w:eastAsiaTheme="minorEastAsia"/>
                <w:color w:val="auto"/>
                <w:kern w:val="0"/>
                <w:sz w:val="24"/>
                <w:szCs w:val="24"/>
                <w:highlight w:val="none"/>
                <w:lang w:val="en-US" w:eastAsia="zh-CN"/>
              </w:rPr>
            </w:pPr>
            <w:r>
              <w:rPr>
                <w:rFonts w:hint="eastAsia" w:cs="Times New Roman" w:eastAsiaTheme="minorEastAsia"/>
                <w:color w:val="auto"/>
                <w:kern w:val="0"/>
                <w:sz w:val="24"/>
                <w:szCs w:val="24"/>
                <w:highlight w:val="none"/>
                <w:lang w:val="en-US" w:eastAsia="zh-CN"/>
              </w:rPr>
              <w:t>规划名称：</w:t>
            </w:r>
            <w:r>
              <w:rPr>
                <w:rFonts w:ascii="宋体" w:hAnsi="宋体" w:eastAsia="宋体" w:cs="宋体"/>
                <w:color w:val="auto"/>
                <w:sz w:val="24"/>
                <w:szCs w:val="24"/>
                <w:highlight w:val="none"/>
              </w:rPr>
              <w:t>《内蒙古鄂尔多斯万利矿区总体规划》</w:t>
            </w:r>
          </w:p>
          <w:p w14:paraId="61133E82">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cs="Times New Roman" w:eastAsiaTheme="minorEastAsia"/>
                <w:color w:val="auto"/>
                <w:kern w:val="0"/>
                <w:sz w:val="24"/>
                <w:szCs w:val="24"/>
                <w:highlight w:val="none"/>
                <w:lang w:val="en-US" w:eastAsia="zh-CN"/>
              </w:rPr>
              <w:t>审批机关：</w:t>
            </w:r>
            <w:r>
              <w:rPr>
                <w:rFonts w:hint="eastAsia" w:asciiTheme="minorEastAsia" w:hAnsiTheme="minorEastAsia" w:eastAsiaTheme="minorEastAsia" w:cstheme="minorEastAsia"/>
                <w:color w:val="auto"/>
                <w:sz w:val="24"/>
                <w:szCs w:val="24"/>
                <w:highlight w:val="none"/>
              </w:rPr>
              <w:t>国家发展和改革委员会</w:t>
            </w:r>
          </w:p>
          <w:p w14:paraId="3D9EB6E2">
            <w:pPr>
              <w:pStyle w:val="5"/>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审批文件：</w:t>
            </w:r>
            <w:r>
              <w:rPr>
                <w:rFonts w:ascii="宋体" w:hAnsi="宋体" w:eastAsia="宋体" w:cs="宋体"/>
                <w:color w:val="auto"/>
                <w:sz w:val="24"/>
                <w:szCs w:val="24"/>
                <w:highlight w:val="none"/>
              </w:rPr>
              <w:t>《国家发展改革委关于内蒙古万利矿区总体规划（修编）的批复》</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发改能源</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430号</w:t>
            </w:r>
            <w:r>
              <w:rPr>
                <w:rFonts w:hint="eastAsia" w:ascii="宋体" w:hAnsi="宋体" w:cs="宋体"/>
                <w:color w:val="auto"/>
                <w:sz w:val="24"/>
                <w:szCs w:val="24"/>
                <w:highlight w:val="none"/>
                <w:lang w:eastAsia="zh-CN"/>
              </w:rPr>
              <w:t>）</w:t>
            </w:r>
          </w:p>
        </w:tc>
      </w:tr>
      <w:tr w14:paraId="42BF17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noWrap w:val="0"/>
            <w:vAlign w:val="center"/>
          </w:tcPr>
          <w:p w14:paraId="3A74F4F6">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规划环境影响</w:t>
            </w:r>
          </w:p>
          <w:p w14:paraId="34081AD0">
            <w:pPr>
              <w:keepNext w:val="0"/>
              <w:keepLines w:val="0"/>
              <w:pageBreakBefore w:val="0"/>
              <w:kinsoku/>
              <w:wordWrap/>
              <w:overflowPunct/>
              <w:topLinePunct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sz w:val="24"/>
                <w:szCs w:val="24"/>
                <w:highlight w:val="none"/>
              </w:rPr>
              <w:t>评价情况</w:t>
            </w:r>
          </w:p>
        </w:tc>
        <w:tc>
          <w:tcPr>
            <w:tcW w:w="6488" w:type="dxa"/>
            <w:gridSpan w:val="3"/>
            <w:noWrap w:val="0"/>
            <w:vAlign w:val="center"/>
          </w:tcPr>
          <w:p w14:paraId="60D54298">
            <w:pPr>
              <w:keepNext w:val="0"/>
              <w:keepLines w:val="0"/>
              <w:pageBreakBefore w:val="0"/>
              <w:kinsoku/>
              <w:wordWrap/>
              <w:overflowPunct/>
              <w:topLinePunct w:val="0"/>
              <w:autoSpaceDE w:val="0"/>
              <w:autoSpaceDN w:val="0"/>
              <w:bidi w:val="0"/>
              <w:adjustRightInd w:val="0"/>
              <w:snapToGrid w:val="0"/>
              <w:spacing w:line="360" w:lineRule="auto"/>
              <w:ind w:firstLine="480" w:firstLineChars="200"/>
              <w:jc w:val="center"/>
              <w:textAlignment w:val="auto"/>
              <w:rPr>
                <w:rFonts w:hint="default" w:ascii="Times New Roman" w:hAnsi="Times New Roman" w:cs="Times New Roman" w:eastAsiaTheme="minorEastAsia"/>
                <w:color w:val="auto"/>
                <w:kern w:val="0"/>
                <w:sz w:val="24"/>
                <w:szCs w:val="24"/>
                <w:highlight w:val="none"/>
                <w:lang w:eastAsia="zh-CN"/>
              </w:rPr>
            </w:pPr>
            <w:r>
              <w:rPr>
                <w:rFonts w:hint="default" w:ascii="Times New Roman" w:hAnsi="Times New Roman" w:cs="Times New Roman" w:eastAsiaTheme="minorEastAsia"/>
                <w:color w:val="auto"/>
                <w:kern w:val="0"/>
                <w:sz w:val="24"/>
                <w:szCs w:val="24"/>
                <w:highlight w:val="none"/>
                <w:lang w:eastAsia="zh-CN"/>
              </w:rPr>
              <w:t>万利矿区已编制完成《内蒙古自治区鄂尔多斯市东胜煤田万利煤炭矿区总体规划</w:t>
            </w:r>
            <w:r>
              <w:rPr>
                <w:rFonts w:hint="eastAsia" w:cs="Times New Roman" w:eastAsiaTheme="minorEastAsia"/>
                <w:color w:val="auto"/>
                <w:kern w:val="0"/>
                <w:sz w:val="24"/>
                <w:szCs w:val="24"/>
                <w:highlight w:val="none"/>
                <w:lang w:eastAsia="zh-CN"/>
              </w:rPr>
              <w:t>（</w:t>
            </w:r>
            <w:r>
              <w:rPr>
                <w:rFonts w:hint="default" w:ascii="Times New Roman" w:hAnsi="Times New Roman" w:cs="Times New Roman" w:eastAsiaTheme="minorEastAsia"/>
                <w:color w:val="auto"/>
                <w:kern w:val="0"/>
                <w:sz w:val="24"/>
                <w:szCs w:val="24"/>
                <w:highlight w:val="none"/>
                <w:lang w:eastAsia="zh-CN"/>
              </w:rPr>
              <w:t>修编</w:t>
            </w:r>
            <w:r>
              <w:rPr>
                <w:rFonts w:hint="eastAsia" w:cs="Times New Roman" w:eastAsiaTheme="minorEastAsia"/>
                <w:color w:val="auto"/>
                <w:kern w:val="0"/>
                <w:sz w:val="24"/>
                <w:szCs w:val="24"/>
                <w:highlight w:val="none"/>
                <w:lang w:eastAsia="zh-CN"/>
              </w:rPr>
              <w:t>）</w:t>
            </w:r>
            <w:r>
              <w:rPr>
                <w:rFonts w:hint="default" w:ascii="Times New Roman" w:hAnsi="Times New Roman" w:cs="Times New Roman" w:eastAsiaTheme="minorEastAsia"/>
                <w:color w:val="auto"/>
                <w:kern w:val="0"/>
                <w:sz w:val="24"/>
                <w:szCs w:val="24"/>
                <w:highlight w:val="none"/>
                <w:lang w:eastAsia="zh-CN"/>
              </w:rPr>
              <w:t>环境影响报告书》</w:t>
            </w:r>
            <w:r>
              <w:rPr>
                <w:rFonts w:hint="eastAsia" w:cs="Times New Roman" w:eastAsiaTheme="minorEastAsia"/>
                <w:color w:val="auto"/>
                <w:kern w:val="0"/>
                <w:sz w:val="24"/>
                <w:szCs w:val="24"/>
                <w:highlight w:val="none"/>
                <w:lang w:eastAsia="zh-CN"/>
              </w:rPr>
              <w:t>，</w:t>
            </w:r>
            <w:r>
              <w:rPr>
                <w:rFonts w:hint="default" w:ascii="Times New Roman" w:hAnsi="Times New Roman" w:cs="Times New Roman" w:eastAsiaTheme="minorEastAsia"/>
                <w:color w:val="auto"/>
                <w:kern w:val="0"/>
                <w:sz w:val="24"/>
                <w:szCs w:val="24"/>
                <w:highlight w:val="none"/>
                <w:lang w:eastAsia="zh-CN"/>
              </w:rPr>
              <w:t>20</w:t>
            </w:r>
            <w:r>
              <w:rPr>
                <w:rFonts w:hint="default" w:ascii="Times New Roman" w:hAnsi="Times New Roman" w:cs="Times New Roman" w:eastAsiaTheme="minorEastAsia"/>
                <w:color w:val="auto"/>
                <w:kern w:val="0"/>
                <w:sz w:val="24"/>
                <w:szCs w:val="24"/>
                <w:highlight w:val="none"/>
                <w:lang w:val="en-US" w:eastAsia="zh-CN"/>
              </w:rPr>
              <w:t>23</w:t>
            </w:r>
            <w:r>
              <w:rPr>
                <w:rFonts w:hint="default" w:ascii="Times New Roman" w:hAnsi="Times New Roman" w:cs="Times New Roman" w:eastAsiaTheme="minorEastAsia"/>
                <w:color w:val="auto"/>
                <w:kern w:val="0"/>
                <w:sz w:val="24"/>
                <w:szCs w:val="24"/>
                <w:highlight w:val="none"/>
                <w:lang w:eastAsia="zh-CN"/>
              </w:rPr>
              <w:t>年</w:t>
            </w:r>
            <w:r>
              <w:rPr>
                <w:rFonts w:hint="default" w:ascii="Times New Roman" w:hAnsi="Times New Roman" w:cs="Times New Roman" w:eastAsiaTheme="minorEastAsia"/>
                <w:color w:val="auto"/>
                <w:kern w:val="0"/>
                <w:sz w:val="24"/>
                <w:szCs w:val="24"/>
                <w:highlight w:val="none"/>
                <w:lang w:val="en-US" w:eastAsia="zh-CN"/>
              </w:rPr>
              <w:t>2</w:t>
            </w:r>
            <w:r>
              <w:rPr>
                <w:rFonts w:hint="default" w:ascii="Times New Roman" w:hAnsi="Times New Roman" w:cs="Times New Roman" w:eastAsiaTheme="minorEastAsia"/>
                <w:color w:val="auto"/>
                <w:kern w:val="0"/>
                <w:sz w:val="24"/>
                <w:szCs w:val="24"/>
                <w:highlight w:val="none"/>
                <w:lang w:eastAsia="zh-CN"/>
              </w:rPr>
              <w:t>月</w:t>
            </w:r>
            <w:r>
              <w:rPr>
                <w:rFonts w:hint="default" w:ascii="Times New Roman" w:hAnsi="Times New Roman" w:cs="Times New Roman" w:eastAsiaTheme="minorEastAsia"/>
                <w:color w:val="auto"/>
                <w:kern w:val="0"/>
                <w:sz w:val="24"/>
                <w:szCs w:val="24"/>
                <w:highlight w:val="none"/>
                <w:lang w:val="en-US" w:eastAsia="zh-CN"/>
              </w:rPr>
              <w:t>7</w:t>
            </w:r>
            <w:r>
              <w:rPr>
                <w:rFonts w:hint="default" w:ascii="Times New Roman" w:hAnsi="Times New Roman" w:cs="Times New Roman" w:eastAsiaTheme="minorEastAsia"/>
                <w:color w:val="auto"/>
                <w:kern w:val="0"/>
                <w:sz w:val="24"/>
                <w:szCs w:val="24"/>
                <w:highlight w:val="none"/>
                <w:lang w:eastAsia="zh-CN"/>
              </w:rPr>
              <w:t>日，生态环境部对《内蒙古自治区鄂尔多斯市东胜煤田万利煤炭矿区总体规划</w:t>
            </w:r>
            <w:r>
              <w:rPr>
                <w:rFonts w:hint="eastAsia" w:cs="Times New Roman" w:eastAsiaTheme="minorEastAsia"/>
                <w:color w:val="auto"/>
                <w:kern w:val="0"/>
                <w:sz w:val="24"/>
                <w:szCs w:val="24"/>
                <w:highlight w:val="none"/>
                <w:lang w:eastAsia="zh-CN"/>
              </w:rPr>
              <w:t>（</w:t>
            </w:r>
            <w:r>
              <w:rPr>
                <w:rFonts w:hint="default" w:ascii="Times New Roman" w:hAnsi="Times New Roman" w:cs="Times New Roman" w:eastAsiaTheme="minorEastAsia"/>
                <w:color w:val="auto"/>
                <w:kern w:val="0"/>
                <w:sz w:val="24"/>
                <w:szCs w:val="24"/>
                <w:highlight w:val="none"/>
                <w:lang w:eastAsia="zh-CN"/>
              </w:rPr>
              <w:t>修编</w:t>
            </w:r>
            <w:r>
              <w:rPr>
                <w:rFonts w:hint="eastAsia" w:cs="Times New Roman" w:eastAsiaTheme="minorEastAsia"/>
                <w:color w:val="auto"/>
                <w:kern w:val="0"/>
                <w:sz w:val="24"/>
                <w:szCs w:val="24"/>
                <w:highlight w:val="none"/>
                <w:lang w:eastAsia="zh-CN"/>
              </w:rPr>
              <w:t>）</w:t>
            </w:r>
            <w:r>
              <w:rPr>
                <w:rFonts w:hint="default" w:ascii="Times New Roman" w:hAnsi="Times New Roman" w:cs="Times New Roman" w:eastAsiaTheme="minorEastAsia"/>
                <w:color w:val="auto"/>
                <w:kern w:val="0"/>
                <w:sz w:val="24"/>
                <w:szCs w:val="24"/>
                <w:highlight w:val="none"/>
                <w:lang w:eastAsia="zh-CN"/>
              </w:rPr>
              <w:t>环境影响报告书》出具了关于《内蒙古自治区鄂尔多斯市东胜煤田万利煤炭矿区总体规划</w:t>
            </w:r>
            <w:r>
              <w:rPr>
                <w:rFonts w:hint="eastAsia" w:cs="Times New Roman" w:eastAsiaTheme="minorEastAsia"/>
                <w:color w:val="auto"/>
                <w:kern w:val="0"/>
                <w:sz w:val="24"/>
                <w:szCs w:val="24"/>
                <w:highlight w:val="none"/>
                <w:lang w:eastAsia="zh-CN"/>
              </w:rPr>
              <w:t>（</w:t>
            </w:r>
            <w:r>
              <w:rPr>
                <w:rFonts w:hint="default" w:ascii="Times New Roman" w:hAnsi="Times New Roman" w:cs="Times New Roman" w:eastAsiaTheme="minorEastAsia"/>
                <w:color w:val="auto"/>
                <w:kern w:val="0"/>
                <w:sz w:val="24"/>
                <w:szCs w:val="24"/>
                <w:highlight w:val="none"/>
                <w:lang w:eastAsia="zh-CN"/>
              </w:rPr>
              <w:t>修编</w:t>
            </w:r>
            <w:r>
              <w:rPr>
                <w:rFonts w:hint="eastAsia" w:cs="Times New Roman" w:eastAsiaTheme="minorEastAsia"/>
                <w:color w:val="auto"/>
                <w:kern w:val="0"/>
                <w:sz w:val="24"/>
                <w:szCs w:val="24"/>
                <w:highlight w:val="none"/>
                <w:lang w:eastAsia="zh-CN"/>
              </w:rPr>
              <w:t>）</w:t>
            </w:r>
            <w:r>
              <w:rPr>
                <w:rFonts w:hint="default" w:ascii="Times New Roman" w:hAnsi="Times New Roman" w:cs="Times New Roman" w:eastAsiaTheme="minorEastAsia"/>
                <w:color w:val="auto"/>
                <w:kern w:val="0"/>
                <w:sz w:val="24"/>
                <w:szCs w:val="24"/>
                <w:highlight w:val="none"/>
                <w:lang w:eastAsia="zh-CN"/>
              </w:rPr>
              <w:t>环境影响报告书》的审查意见</w:t>
            </w:r>
            <w:r>
              <w:rPr>
                <w:rFonts w:hint="eastAsia" w:cs="Times New Roman" w:eastAsiaTheme="minorEastAsia"/>
                <w:color w:val="auto"/>
                <w:kern w:val="0"/>
                <w:sz w:val="24"/>
                <w:szCs w:val="24"/>
                <w:highlight w:val="none"/>
                <w:lang w:eastAsia="zh-CN"/>
              </w:rPr>
              <w:t>，</w:t>
            </w:r>
            <w:r>
              <w:rPr>
                <w:rFonts w:hint="default" w:ascii="Times New Roman" w:hAnsi="Times New Roman" w:cs="Times New Roman" w:eastAsiaTheme="minorEastAsia"/>
                <w:color w:val="auto"/>
                <w:kern w:val="0"/>
                <w:sz w:val="24"/>
                <w:szCs w:val="24"/>
                <w:highlight w:val="none"/>
                <w:lang w:eastAsia="zh-CN"/>
              </w:rPr>
              <w:t>环审</w:t>
            </w:r>
            <w:r>
              <w:rPr>
                <w:rFonts w:hint="eastAsia" w:cs="Times New Roman" w:eastAsiaTheme="minorEastAsia"/>
                <w:color w:val="auto"/>
                <w:kern w:val="0"/>
                <w:sz w:val="24"/>
                <w:szCs w:val="24"/>
                <w:highlight w:val="none"/>
                <w:lang w:eastAsia="zh-CN"/>
              </w:rPr>
              <w:t>〔</w:t>
            </w:r>
            <w:r>
              <w:rPr>
                <w:rFonts w:hint="eastAsia" w:cs="Times New Roman" w:eastAsiaTheme="minorEastAsia"/>
                <w:color w:val="auto"/>
                <w:kern w:val="0"/>
                <w:sz w:val="24"/>
                <w:szCs w:val="24"/>
                <w:highlight w:val="none"/>
                <w:lang w:val="en-US" w:eastAsia="zh-CN"/>
              </w:rPr>
              <w:t>2023</w:t>
            </w:r>
            <w:r>
              <w:rPr>
                <w:rFonts w:hint="eastAsia" w:cs="Times New Roman" w:eastAsiaTheme="minorEastAsia"/>
                <w:color w:val="auto"/>
                <w:kern w:val="0"/>
                <w:sz w:val="24"/>
                <w:szCs w:val="24"/>
                <w:highlight w:val="none"/>
                <w:lang w:eastAsia="zh-CN"/>
              </w:rPr>
              <w:t>〕</w:t>
            </w:r>
            <w:r>
              <w:rPr>
                <w:rFonts w:hint="default" w:ascii="Times New Roman" w:hAnsi="Times New Roman" w:cs="Times New Roman" w:eastAsiaTheme="minorEastAsia"/>
                <w:color w:val="auto"/>
                <w:kern w:val="0"/>
                <w:sz w:val="24"/>
                <w:szCs w:val="24"/>
                <w:highlight w:val="none"/>
                <w:lang w:eastAsia="zh-CN"/>
              </w:rPr>
              <w:t>78号</w:t>
            </w:r>
            <w:r>
              <w:rPr>
                <w:rFonts w:hint="eastAsia" w:cs="Times New Roman" w:eastAsiaTheme="minorEastAsia"/>
                <w:color w:val="auto"/>
                <w:kern w:val="0"/>
                <w:sz w:val="24"/>
                <w:szCs w:val="24"/>
                <w:highlight w:val="none"/>
                <w:lang w:eastAsia="zh-CN"/>
              </w:rPr>
              <w:t>。</w:t>
            </w:r>
          </w:p>
        </w:tc>
      </w:tr>
      <w:tr w14:paraId="14B6CC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noWrap w:val="0"/>
            <w:vAlign w:val="center"/>
          </w:tcPr>
          <w:p w14:paraId="5E4DF05B">
            <w:pPr>
              <w:keepNext w:val="0"/>
              <w:keepLines w:val="0"/>
              <w:pageBreakBefore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规划及规划环境</w:t>
            </w:r>
          </w:p>
          <w:p w14:paraId="1DD91178">
            <w:pPr>
              <w:keepNext w:val="0"/>
              <w:keepLines w:val="0"/>
              <w:pageBreakBefore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影响评价符合性分析</w:t>
            </w:r>
          </w:p>
        </w:tc>
        <w:tc>
          <w:tcPr>
            <w:tcW w:w="6488" w:type="dxa"/>
            <w:gridSpan w:val="3"/>
            <w:noWrap w:val="0"/>
            <w:vAlign w:val="center"/>
          </w:tcPr>
          <w:p w14:paraId="071523D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line="360" w:lineRule="auto"/>
              <w:ind w:right="0" w:firstLine="480" w:firstLineChars="200"/>
              <w:jc w:val="left"/>
              <w:textAlignment w:val="auto"/>
              <w:rPr>
                <w:rFonts w:hint="default" w:eastAsia="宋体"/>
                <w:color w:val="auto"/>
                <w:highlight w:val="none"/>
                <w:lang w:val="en-US" w:eastAsia="zh-CN"/>
              </w:rPr>
            </w:pPr>
            <w:r>
              <w:rPr>
                <w:rFonts w:hint="eastAsia"/>
                <w:color w:val="auto"/>
                <w:highlight w:val="none"/>
                <w:lang w:val="en-US" w:eastAsia="zh-CN"/>
              </w:rPr>
              <w:t>本项目与</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rPr>
              <w:t>国家发展改革委关于内蒙古万利矿区总体规划</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修编</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的批复</w:t>
            </w:r>
            <w:r>
              <w:rPr>
                <w:rFonts w:ascii="宋体" w:hAnsi="宋体" w:eastAsia="宋体" w:cs="宋体"/>
                <w:color w:val="auto"/>
                <w:sz w:val="24"/>
                <w:szCs w:val="24"/>
                <w:highlight w:val="none"/>
              </w:rPr>
              <w:t>》</w:t>
            </w:r>
            <w:r>
              <w:rPr>
                <w:rFonts w:hint="eastAsia" w:ascii="宋体" w:hAnsi="宋体" w:cs="宋体"/>
                <w:color w:val="auto"/>
                <w:sz w:val="24"/>
                <w:szCs w:val="24"/>
                <w:highlight w:val="none"/>
                <w:lang w:eastAsia="zh-CN"/>
              </w:rPr>
              <w:t>（发改能源</w:t>
            </w:r>
            <w:r>
              <w:rPr>
                <w:rFonts w:hint="eastAsia" w:cs="Times New Roman" w:eastAsiaTheme="minorEastAsia"/>
                <w:color w:val="auto"/>
                <w:kern w:val="0"/>
                <w:sz w:val="24"/>
                <w:szCs w:val="24"/>
                <w:highlight w:val="none"/>
                <w:lang w:eastAsia="zh-CN"/>
              </w:rPr>
              <w:t>〔</w:t>
            </w:r>
            <w:r>
              <w:rPr>
                <w:rFonts w:hint="eastAsia" w:cs="Times New Roman" w:eastAsiaTheme="minorEastAsia"/>
                <w:color w:val="auto"/>
                <w:kern w:val="0"/>
                <w:sz w:val="24"/>
                <w:szCs w:val="24"/>
                <w:highlight w:val="none"/>
                <w:lang w:val="en-US" w:eastAsia="zh-CN"/>
              </w:rPr>
              <w:t>2026</w:t>
            </w:r>
            <w:r>
              <w:rPr>
                <w:rFonts w:hint="eastAsia" w:cs="Times New Roman" w:eastAsiaTheme="minorEastAsia"/>
                <w:color w:val="auto"/>
                <w:kern w:val="0"/>
                <w:sz w:val="24"/>
                <w:szCs w:val="24"/>
                <w:highlight w:val="none"/>
                <w:lang w:eastAsia="zh-CN"/>
              </w:rPr>
              <w:t>〕</w:t>
            </w:r>
            <w:r>
              <w:rPr>
                <w:rFonts w:hint="eastAsia" w:ascii="宋体" w:hAnsi="宋体" w:cs="宋体"/>
                <w:color w:val="auto"/>
                <w:sz w:val="24"/>
                <w:szCs w:val="24"/>
                <w:highlight w:val="none"/>
                <w:lang w:eastAsia="zh-CN"/>
              </w:rPr>
              <w:t>430号）</w:t>
            </w:r>
            <w:r>
              <w:rPr>
                <w:rFonts w:hint="eastAsia" w:ascii="宋体" w:hAnsi="宋体" w:cs="宋体"/>
                <w:color w:val="auto"/>
                <w:sz w:val="24"/>
                <w:szCs w:val="24"/>
                <w:highlight w:val="none"/>
                <w:lang w:val="en-US" w:eastAsia="zh-CN"/>
              </w:rPr>
              <w:t>符合性分析见下表。</w:t>
            </w:r>
          </w:p>
          <w:p w14:paraId="6FFF968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Lines="0" w:beforeAutospacing="0" w:after="0" w:afterLines="0" w:afterAutospacing="0" w:line="240" w:lineRule="auto"/>
              <w:ind w:right="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eastAsia"/>
                <w:b/>
                <w:bCs/>
                <w:color w:val="auto"/>
                <w:highlight w:val="none"/>
                <w:lang w:val="en-US" w:eastAsia="zh-CN"/>
              </w:rPr>
              <w:t>表1-1-2与</w:t>
            </w:r>
            <w:r>
              <w:rPr>
                <w:rFonts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rPr>
              <w:t>国家发展改革委关于内蒙古万利矿区总体规划</w:t>
            </w:r>
            <w:r>
              <w:rPr>
                <w:rFonts w:hint="eastAsia" w:ascii="宋体" w:hAnsi="宋体" w:cs="宋体"/>
                <w:b/>
                <w:bCs/>
                <w:color w:val="auto"/>
                <w:sz w:val="24"/>
                <w:szCs w:val="24"/>
                <w:highlight w:val="none"/>
                <w:lang w:eastAsia="zh-CN"/>
              </w:rPr>
              <w:t>（</w:t>
            </w:r>
            <w:r>
              <w:rPr>
                <w:rFonts w:hint="eastAsia" w:ascii="宋体" w:hAnsi="宋体" w:eastAsia="宋体" w:cs="宋体"/>
                <w:b/>
                <w:bCs/>
                <w:color w:val="auto"/>
                <w:sz w:val="24"/>
                <w:szCs w:val="24"/>
                <w:highlight w:val="none"/>
              </w:rPr>
              <w:t>修编</w:t>
            </w:r>
            <w:r>
              <w:rPr>
                <w:rFonts w:hint="eastAsia" w:ascii="宋体" w:hAnsi="宋体" w:cs="宋体"/>
                <w:b/>
                <w:bCs/>
                <w:color w:val="auto"/>
                <w:sz w:val="24"/>
                <w:szCs w:val="24"/>
                <w:highlight w:val="none"/>
                <w:lang w:eastAsia="zh-CN"/>
              </w:rPr>
              <w:t>）</w:t>
            </w:r>
            <w:r>
              <w:rPr>
                <w:rFonts w:hint="eastAsia" w:ascii="宋体" w:hAnsi="宋体" w:eastAsia="宋体" w:cs="宋体"/>
                <w:b/>
                <w:bCs/>
                <w:color w:val="auto"/>
                <w:sz w:val="24"/>
                <w:szCs w:val="24"/>
                <w:highlight w:val="none"/>
              </w:rPr>
              <w:t>的批复</w:t>
            </w:r>
            <w:r>
              <w:rPr>
                <w:rFonts w:ascii="宋体" w:hAnsi="宋体" w:eastAsia="宋体" w:cs="宋体"/>
                <w:b/>
                <w:bCs/>
                <w:color w:val="auto"/>
                <w:sz w:val="24"/>
                <w:szCs w:val="24"/>
                <w:highlight w:val="none"/>
              </w:rPr>
              <w:t>》</w:t>
            </w:r>
            <w:r>
              <w:rPr>
                <w:rFonts w:hint="eastAsia" w:ascii="宋体" w:hAnsi="宋体" w:cs="宋体"/>
                <w:b/>
                <w:bCs/>
                <w:color w:val="auto"/>
                <w:sz w:val="24"/>
                <w:szCs w:val="24"/>
                <w:highlight w:val="none"/>
                <w:lang w:val="en-US" w:eastAsia="zh-CN"/>
              </w:rPr>
              <w:t>符合性分析</w:t>
            </w:r>
          </w:p>
          <w:tbl>
            <w:tblPr>
              <w:tblStyle w:val="15"/>
              <w:tblW w:w="62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9"/>
              <w:gridCol w:w="1743"/>
            </w:tblGrid>
            <w:tr w14:paraId="51D1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29" w:type="dxa"/>
                  <w:vAlign w:val="center"/>
                </w:tcPr>
                <w:p w14:paraId="791D30BC">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right="0"/>
                    <w:jc w:val="center"/>
                    <w:textAlignment w:val="auto"/>
                    <w:rPr>
                      <w:rFonts w:hint="default" w:ascii="Times New Roman" w:hAnsi="Times New Roman" w:cs="Times New Roman" w:eastAsiaTheme="minorEastAsia"/>
                      <w:b w:val="0"/>
                      <w:bCs w:val="0"/>
                      <w:color w:val="auto"/>
                      <w:sz w:val="24"/>
                      <w:szCs w:val="24"/>
                      <w:highlight w:val="none"/>
                      <w:vertAlign w:val="baseline"/>
                      <w:lang w:val="en-US" w:eastAsia="zh-CN"/>
                    </w:rPr>
                  </w:pPr>
                  <w:r>
                    <w:rPr>
                      <w:rFonts w:hint="eastAsia" w:cs="Times New Roman" w:eastAsiaTheme="minorEastAsia"/>
                      <w:b w:val="0"/>
                      <w:bCs w:val="0"/>
                      <w:color w:val="auto"/>
                      <w:sz w:val="24"/>
                      <w:szCs w:val="24"/>
                      <w:highlight w:val="none"/>
                      <w:vertAlign w:val="baseline"/>
                      <w:lang w:val="en-US" w:eastAsia="zh-CN"/>
                    </w:rPr>
                    <w:t>批复要求</w:t>
                  </w:r>
                </w:p>
              </w:tc>
              <w:tc>
                <w:tcPr>
                  <w:tcW w:w="1743" w:type="dxa"/>
                  <w:vAlign w:val="center"/>
                </w:tcPr>
                <w:p w14:paraId="7A8671BA">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right="0"/>
                    <w:jc w:val="center"/>
                    <w:textAlignment w:val="auto"/>
                    <w:rPr>
                      <w:rFonts w:hint="default" w:ascii="Times New Roman" w:hAnsi="Times New Roman" w:cs="Times New Roman" w:eastAsiaTheme="minorEastAsia"/>
                      <w:b w:val="0"/>
                      <w:bCs w:val="0"/>
                      <w:color w:val="auto"/>
                      <w:sz w:val="24"/>
                      <w:szCs w:val="24"/>
                      <w:highlight w:val="none"/>
                      <w:vertAlign w:val="baseline"/>
                      <w:lang w:val="en-US" w:eastAsia="zh-CN"/>
                    </w:rPr>
                  </w:pPr>
                  <w:r>
                    <w:rPr>
                      <w:rFonts w:hint="eastAsia" w:cs="Times New Roman" w:eastAsiaTheme="minorEastAsia"/>
                      <w:b w:val="0"/>
                      <w:bCs w:val="0"/>
                      <w:color w:val="auto"/>
                      <w:sz w:val="24"/>
                      <w:szCs w:val="24"/>
                      <w:highlight w:val="none"/>
                      <w:vertAlign w:val="baseline"/>
                      <w:lang w:val="en-US" w:eastAsia="zh-CN"/>
                    </w:rPr>
                    <w:t>本项目情况</w:t>
                  </w:r>
                </w:p>
              </w:tc>
            </w:tr>
            <w:tr w14:paraId="203F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9" w:type="dxa"/>
                  <w:vAlign w:val="center"/>
                </w:tcPr>
                <w:p w14:paraId="6E00703A">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right="0" w:firstLine="548" w:firstLineChars="200"/>
                    <w:jc w:val="both"/>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asciiTheme="minorEastAsia" w:hAnsiTheme="minorEastAsia" w:eastAsiaTheme="minorEastAsia" w:cstheme="minorEastAsia"/>
                      <w:color w:val="auto"/>
                      <w:spacing w:val="17"/>
                      <w:sz w:val="24"/>
                      <w:szCs w:val="24"/>
                      <w:highlight w:val="none"/>
                    </w:rPr>
                    <w:t>一、为科学合理开发利用煤炭资源，保障能源安全稳定供</w:t>
                  </w:r>
                  <w:r>
                    <w:rPr>
                      <w:rFonts w:hint="eastAsia" w:asciiTheme="minorEastAsia" w:hAnsiTheme="minorEastAsia" w:eastAsiaTheme="minorEastAsia" w:cstheme="minorEastAsia"/>
                      <w:color w:val="auto"/>
                      <w:spacing w:val="8"/>
                      <w:sz w:val="24"/>
                      <w:szCs w:val="24"/>
                      <w:highlight w:val="none"/>
                    </w:rPr>
                    <w:t>应，促进区域经济社会发展，同意你局组织编制的</w:t>
                  </w:r>
                  <w:r>
                    <w:rPr>
                      <w:rFonts w:hint="eastAsia" w:asciiTheme="minorEastAsia" w:hAnsiTheme="minorEastAsia" w:eastAsiaTheme="minorEastAsia" w:cstheme="minorEastAsia"/>
                      <w:color w:val="auto"/>
                      <w:spacing w:val="7"/>
                      <w:sz w:val="24"/>
                      <w:szCs w:val="24"/>
                      <w:highlight w:val="none"/>
                    </w:rPr>
                    <w:t>万利矿区总体</w:t>
                  </w:r>
                  <w:r>
                    <w:rPr>
                      <w:rFonts w:hint="eastAsia" w:asciiTheme="minorEastAsia" w:hAnsiTheme="minorEastAsia" w:eastAsiaTheme="minorEastAsia" w:cstheme="minorEastAsia"/>
                      <w:color w:val="auto"/>
                      <w:spacing w:val="30"/>
                      <w:sz w:val="24"/>
                      <w:szCs w:val="24"/>
                      <w:highlight w:val="none"/>
                    </w:rPr>
                    <w:t>规划</w:t>
                  </w:r>
                  <w:r>
                    <w:rPr>
                      <w:rFonts w:hint="eastAsia" w:asciiTheme="minorEastAsia" w:hAnsiTheme="minorEastAsia" w:eastAsiaTheme="minorEastAsia" w:cstheme="minorEastAsia"/>
                      <w:color w:val="auto"/>
                      <w:spacing w:val="30"/>
                      <w:sz w:val="24"/>
                      <w:szCs w:val="24"/>
                      <w:highlight w:val="none"/>
                      <w:lang w:eastAsia="zh-CN"/>
                    </w:rPr>
                    <w:t>（</w:t>
                  </w:r>
                  <w:r>
                    <w:rPr>
                      <w:rFonts w:hint="eastAsia" w:asciiTheme="minorEastAsia" w:hAnsiTheme="minorEastAsia" w:eastAsiaTheme="minorEastAsia" w:cstheme="minorEastAsia"/>
                      <w:color w:val="auto"/>
                      <w:spacing w:val="30"/>
                      <w:sz w:val="24"/>
                      <w:szCs w:val="24"/>
                      <w:highlight w:val="none"/>
                    </w:rPr>
                    <w:t>修编</w:t>
                  </w:r>
                  <w:r>
                    <w:rPr>
                      <w:rFonts w:hint="eastAsia" w:asciiTheme="minorEastAsia" w:hAnsiTheme="minorEastAsia" w:eastAsiaTheme="minorEastAsia" w:cstheme="minorEastAsia"/>
                      <w:color w:val="auto"/>
                      <w:spacing w:val="30"/>
                      <w:sz w:val="24"/>
                      <w:szCs w:val="24"/>
                      <w:highlight w:val="none"/>
                      <w:lang w:eastAsia="zh-CN"/>
                    </w:rPr>
                    <w:t>）</w:t>
                  </w:r>
                  <w:r>
                    <w:rPr>
                      <w:rFonts w:hint="eastAsia" w:asciiTheme="minorEastAsia" w:hAnsiTheme="minorEastAsia" w:eastAsiaTheme="minorEastAsia" w:cstheme="minorEastAsia"/>
                      <w:color w:val="auto"/>
                      <w:spacing w:val="30"/>
                      <w:sz w:val="24"/>
                      <w:szCs w:val="24"/>
                      <w:highlight w:val="none"/>
                    </w:rPr>
                    <w:t>。本规划是万利矿区内煤炭资源开发的指导性文</w:t>
                  </w:r>
                  <w:r>
                    <w:rPr>
                      <w:rFonts w:hint="eastAsia" w:asciiTheme="minorEastAsia" w:hAnsiTheme="minorEastAsia" w:eastAsiaTheme="minorEastAsia" w:cstheme="minorEastAsia"/>
                      <w:color w:val="auto"/>
                      <w:spacing w:val="-3"/>
                      <w:sz w:val="24"/>
                      <w:szCs w:val="24"/>
                      <w:highlight w:val="none"/>
                    </w:rPr>
                    <w:t>件，是煤矿项目核准、建设、生产的基本依据。</w:t>
                  </w:r>
                </w:p>
              </w:tc>
              <w:tc>
                <w:tcPr>
                  <w:tcW w:w="1743" w:type="dxa"/>
                  <w:vAlign w:val="center"/>
                </w:tcPr>
                <w:p w14:paraId="637633FD">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right="0"/>
                    <w:jc w:val="center"/>
                    <w:textAlignment w:val="auto"/>
                    <w:rPr>
                      <w:rFonts w:hint="default" w:ascii="Times New Roman" w:hAnsi="Times New Roman" w:cs="Times New Roman" w:eastAsiaTheme="minorEastAsia"/>
                      <w:b w:val="0"/>
                      <w:bCs w:val="0"/>
                      <w:color w:val="auto"/>
                      <w:sz w:val="24"/>
                      <w:szCs w:val="24"/>
                      <w:highlight w:val="none"/>
                      <w:vertAlign w:val="baseline"/>
                      <w:lang w:val="en-US" w:eastAsia="zh-CN"/>
                    </w:rPr>
                  </w:pPr>
                  <w:r>
                    <w:rPr>
                      <w:rFonts w:hint="eastAsia" w:cs="Times New Roman" w:eastAsiaTheme="minorEastAsia"/>
                      <w:b w:val="0"/>
                      <w:bCs w:val="0"/>
                      <w:color w:val="auto"/>
                      <w:sz w:val="24"/>
                      <w:szCs w:val="24"/>
                      <w:highlight w:val="none"/>
                      <w:vertAlign w:val="baseline"/>
                      <w:lang w:val="en-US" w:eastAsia="zh-CN"/>
                    </w:rPr>
                    <w:t>本项目不涉及</w:t>
                  </w:r>
                </w:p>
              </w:tc>
            </w:tr>
            <w:tr w14:paraId="7F603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9" w:type="dxa"/>
                  <w:vAlign w:val="center"/>
                </w:tcPr>
                <w:p w14:paraId="4476040A">
                  <w:pPr>
                    <w:pStyle w:val="6"/>
                    <w:keepNext w:val="0"/>
                    <w:keepLines w:val="0"/>
                    <w:pageBreakBefore w:val="0"/>
                    <w:widowControl/>
                    <w:kinsoku/>
                    <w:wordWrap/>
                    <w:overflowPunct/>
                    <w:topLinePunct w:val="0"/>
                    <w:autoSpaceDE/>
                    <w:autoSpaceDN/>
                    <w:bidi w:val="0"/>
                    <w:adjustRightInd w:val="0"/>
                    <w:snapToGrid w:val="0"/>
                    <w:spacing w:line="360" w:lineRule="auto"/>
                    <w:ind w:left="0" w:leftChars="0" w:right="35" w:firstLine="444" w:firstLineChars="200"/>
                    <w:jc w:val="both"/>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asciiTheme="minorEastAsia" w:hAnsiTheme="minorEastAsia" w:eastAsiaTheme="minorEastAsia" w:cstheme="minorEastAsia"/>
                      <w:color w:val="auto"/>
                      <w:spacing w:val="-9"/>
                      <w:sz w:val="24"/>
                      <w:szCs w:val="24"/>
                      <w:highlight w:val="none"/>
                    </w:rPr>
                    <w:t>二、万利矿区为国家规划矿区。矿区内规划新</w:t>
                  </w:r>
                  <w:r>
                    <w:rPr>
                      <w:rFonts w:hint="eastAsia" w:asciiTheme="minorEastAsia" w:hAnsiTheme="minorEastAsia" w:eastAsiaTheme="minorEastAsia" w:cstheme="minorEastAsia"/>
                      <w:color w:val="auto"/>
                      <w:spacing w:val="-10"/>
                      <w:sz w:val="24"/>
                      <w:szCs w:val="24"/>
                      <w:highlight w:val="none"/>
                    </w:rPr>
                    <w:t>建、扩建煤矿</w:t>
                  </w:r>
                  <w:r>
                    <w:rPr>
                      <w:rFonts w:hint="eastAsia" w:asciiTheme="minorEastAsia" w:hAnsiTheme="minorEastAsia" w:eastAsiaTheme="minorEastAsia" w:cstheme="minorEastAsia"/>
                      <w:color w:val="auto"/>
                      <w:spacing w:val="-21"/>
                      <w:sz w:val="24"/>
                      <w:szCs w:val="24"/>
                      <w:highlight w:val="none"/>
                    </w:rPr>
                    <w:t>项目应严格执行国家有关规定，履行煤矿项目建设程序。</w:t>
                  </w:r>
                </w:p>
              </w:tc>
              <w:tc>
                <w:tcPr>
                  <w:tcW w:w="1743" w:type="dxa"/>
                  <w:vAlign w:val="center"/>
                </w:tcPr>
                <w:p w14:paraId="78A0210E">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right="0"/>
                    <w:jc w:val="center"/>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cs="Times New Roman" w:eastAsiaTheme="minorEastAsia"/>
                      <w:b w:val="0"/>
                      <w:bCs w:val="0"/>
                      <w:color w:val="auto"/>
                      <w:sz w:val="24"/>
                      <w:szCs w:val="24"/>
                      <w:highlight w:val="none"/>
                      <w:vertAlign w:val="baseline"/>
                      <w:lang w:val="en-US" w:eastAsia="zh-CN"/>
                    </w:rPr>
                    <w:t>本项目不涉及</w:t>
                  </w:r>
                </w:p>
              </w:tc>
            </w:tr>
            <w:tr w14:paraId="1CF5B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9" w:type="dxa"/>
                  <w:vAlign w:val="center"/>
                </w:tcPr>
                <w:p w14:paraId="504F3C75">
                  <w:pPr>
                    <w:pStyle w:val="6"/>
                    <w:keepNext w:val="0"/>
                    <w:keepLines w:val="0"/>
                    <w:pageBreakBefore w:val="0"/>
                    <w:widowControl/>
                    <w:kinsoku/>
                    <w:wordWrap/>
                    <w:overflowPunct/>
                    <w:topLinePunct w:val="0"/>
                    <w:autoSpaceDE/>
                    <w:autoSpaceDN/>
                    <w:bidi w:val="0"/>
                    <w:adjustRightInd w:val="0"/>
                    <w:snapToGrid w:val="0"/>
                    <w:spacing w:line="360" w:lineRule="auto"/>
                    <w:ind w:right="38" w:firstLine="580"/>
                    <w:jc w:val="both"/>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asciiTheme="minorEastAsia" w:hAnsiTheme="minorEastAsia" w:eastAsiaTheme="minorEastAsia" w:cstheme="minorEastAsia"/>
                      <w:color w:val="auto"/>
                      <w:spacing w:val="-10"/>
                      <w:sz w:val="24"/>
                      <w:szCs w:val="24"/>
                      <w:highlight w:val="none"/>
                    </w:rPr>
                    <w:t>三、矿区北以6-2煤层露头线、G210与G</w:t>
                  </w:r>
                  <w:r>
                    <w:rPr>
                      <w:rFonts w:hint="eastAsia" w:asciiTheme="minorEastAsia" w:hAnsiTheme="minorEastAsia" w:eastAsiaTheme="minorEastAsia" w:cstheme="minorEastAsia"/>
                      <w:color w:val="auto"/>
                      <w:spacing w:val="-11"/>
                      <w:sz w:val="24"/>
                      <w:szCs w:val="24"/>
                      <w:highlight w:val="none"/>
                    </w:rPr>
                    <w:t>109连接线为界，东以战国秦昭襄王长城保护边界为界，南以部分煤矿采矿权边界</w:t>
                  </w:r>
                  <w:r>
                    <w:rPr>
                      <w:rFonts w:hint="eastAsia" w:asciiTheme="minorEastAsia" w:hAnsiTheme="minorEastAsia" w:eastAsiaTheme="minorEastAsia" w:cstheme="minorEastAsia"/>
                      <w:color w:val="auto"/>
                      <w:spacing w:val="-12"/>
                      <w:sz w:val="24"/>
                      <w:szCs w:val="24"/>
                      <w:highlight w:val="none"/>
                    </w:rPr>
                    <w:t>为界，西以鄂尔多斯市中心城区禁采区边界、高头窑矿区东边界</w:t>
                  </w:r>
                  <w:r>
                    <w:rPr>
                      <w:rFonts w:hint="eastAsia" w:asciiTheme="minorEastAsia" w:hAnsiTheme="minorEastAsia" w:eastAsiaTheme="minorEastAsia" w:cstheme="minorEastAsia"/>
                      <w:color w:val="auto"/>
                      <w:sz w:val="24"/>
                      <w:szCs w:val="24"/>
                      <w:highlight w:val="none"/>
                    </w:rPr>
                    <w:t>为界，西南边界距红碱淖国家级自然保护区49公里。矿区面积</w:t>
                  </w:r>
                  <w:r>
                    <w:rPr>
                      <w:rFonts w:hint="eastAsia" w:asciiTheme="minorEastAsia" w:hAnsiTheme="minorEastAsia" w:eastAsiaTheme="minorEastAsia" w:cstheme="minorEastAsia"/>
                      <w:color w:val="auto"/>
                      <w:spacing w:val="-7"/>
                      <w:sz w:val="24"/>
                      <w:szCs w:val="24"/>
                      <w:highlight w:val="none"/>
                    </w:rPr>
                    <w:t>1030平方公里，煤炭资源量101亿吨。</w:t>
                  </w:r>
                </w:p>
              </w:tc>
              <w:tc>
                <w:tcPr>
                  <w:tcW w:w="1743" w:type="dxa"/>
                  <w:vAlign w:val="center"/>
                </w:tcPr>
                <w:p w14:paraId="2585DFE6">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right="0"/>
                    <w:jc w:val="center"/>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cs="Times New Roman" w:eastAsiaTheme="minorEastAsia"/>
                      <w:b w:val="0"/>
                      <w:bCs w:val="0"/>
                      <w:color w:val="auto"/>
                      <w:sz w:val="24"/>
                      <w:szCs w:val="24"/>
                      <w:highlight w:val="none"/>
                      <w:vertAlign w:val="baseline"/>
                      <w:lang w:val="en-US" w:eastAsia="zh-CN"/>
                    </w:rPr>
                    <w:t>本项目不涉及</w:t>
                  </w:r>
                </w:p>
              </w:tc>
            </w:tr>
            <w:tr w14:paraId="72642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9" w:type="dxa"/>
                  <w:vAlign w:val="center"/>
                </w:tcPr>
                <w:p w14:paraId="134E568B">
                  <w:pPr>
                    <w:pStyle w:val="6"/>
                    <w:keepNext w:val="0"/>
                    <w:keepLines w:val="0"/>
                    <w:pageBreakBefore w:val="0"/>
                    <w:widowControl/>
                    <w:kinsoku/>
                    <w:wordWrap/>
                    <w:overflowPunct/>
                    <w:topLinePunct w:val="0"/>
                    <w:autoSpaceDE/>
                    <w:autoSpaceDN/>
                    <w:bidi w:val="0"/>
                    <w:adjustRightInd w:val="0"/>
                    <w:snapToGrid w:val="0"/>
                    <w:spacing w:line="360" w:lineRule="auto"/>
                    <w:ind w:left="0" w:leftChars="0" w:right="57" w:firstLine="488" w:firstLineChars="200"/>
                    <w:jc w:val="both"/>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asciiTheme="minorEastAsia" w:hAnsiTheme="minorEastAsia" w:eastAsiaTheme="minorEastAsia" w:cstheme="minorEastAsia"/>
                      <w:color w:val="auto"/>
                      <w:spacing w:val="2"/>
                      <w:sz w:val="24"/>
                      <w:szCs w:val="24"/>
                      <w:highlight w:val="none"/>
                    </w:rPr>
                    <w:t>四、矿区划分为22个井</w:t>
                  </w:r>
                  <w:r>
                    <w:rPr>
                      <w:rFonts w:hint="eastAsia" w:asciiTheme="minorEastAsia" w:hAnsiTheme="minorEastAsia" w:eastAsiaTheme="minorEastAsia" w:cstheme="minorEastAsia"/>
                      <w:color w:val="auto"/>
                      <w:spacing w:val="2"/>
                      <w:sz w:val="24"/>
                      <w:szCs w:val="24"/>
                      <w:highlight w:val="none"/>
                      <w:lang w:eastAsia="zh-CN"/>
                    </w:rPr>
                    <w:t>（</w:t>
                  </w:r>
                  <w:r>
                    <w:rPr>
                      <w:rFonts w:hint="eastAsia" w:asciiTheme="minorEastAsia" w:hAnsiTheme="minorEastAsia" w:eastAsiaTheme="minorEastAsia" w:cstheme="minorEastAsia"/>
                      <w:color w:val="auto"/>
                      <w:spacing w:val="2"/>
                      <w:sz w:val="24"/>
                      <w:szCs w:val="24"/>
                      <w:highlight w:val="none"/>
                    </w:rPr>
                    <w:t>矿</w:t>
                  </w:r>
                  <w:r>
                    <w:rPr>
                      <w:rFonts w:hint="eastAsia" w:asciiTheme="minorEastAsia" w:hAnsiTheme="minorEastAsia" w:eastAsiaTheme="minorEastAsia" w:cstheme="minorEastAsia"/>
                      <w:color w:val="auto"/>
                      <w:spacing w:val="2"/>
                      <w:sz w:val="24"/>
                      <w:szCs w:val="24"/>
                      <w:highlight w:val="none"/>
                      <w:lang w:eastAsia="zh-CN"/>
                    </w:rPr>
                    <w:t>）</w:t>
                  </w:r>
                  <w:r>
                    <w:rPr>
                      <w:rFonts w:hint="eastAsia" w:asciiTheme="minorEastAsia" w:hAnsiTheme="minorEastAsia" w:eastAsiaTheme="minorEastAsia" w:cstheme="minorEastAsia"/>
                      <w:color w:val="auto"/>
                      <w:spacing w:val="2"/>
                      <w:sz w:val="24"/>
                      <w:szCs w:val="24"/>
                      <w:highlight w:val="none"/>
                    </w:rPr>
                    <w:t>田、5个资源整合区和1个勘查</w:t>
                  </w:r>
                  <w:r>
                    <w:rPr>
                      <w:rFonts w:hint="eastAsia" w:asciiTheme="minorEastAsia" w:hAnsiTheme="minorEastAsia" w:eastAsiaTheme="minorEastAsia" w:cstheme="minorEastAsia"/>
                      <w:color w:val="auto"/>
                      <w:spacing w:val="-3"/>
                      <w:sz w:val="24"/>
                      <w:szCs w:val="24"/>
                      <w:highlight w:val="none"/>
                    </w:rPr>
                    <w:t>区，规划煤矿规模合计13040万吨/年。其中：生产煤矿18处，分别为塔拉壕矿井1200万吨/年、万利一矿</w:t>
                  </w:r>
                  <w:r>
                    <w:rPr>
                      <w:rFonts w:hint="eastAsia" w:asciiTheme="minorEastAsia" w:hAnsiTheme="minorEastAsia" w:eastAsiaTheme="minorEastAsia" w:cstheme="minorEastAsia"/>
                      <w:color w:val="auto"/>
                      <w:spacing w:val="-9"/>
                      <w:sz w:val="24"/>
                      <w:szCs w:val="24"/>
                      <w:highlight w:val="none"/>
                    </w:rPr>
                    <w:t>1000万吨/年、高家梁一号矿井850万</w:t>
                  </w:r>
                  <w:r>
                    <w:rPr>
                      <w:rFonts w:hint="eastAsia" w:asciiTheme="minorEastAsia" w:hAnsiTheme="minorEastAsia" w:eastAsiaTheme="minorEastAsia" w:cstheme="minorEastAsia"/>
                      <w:color w:val="auto"/>
                      <w:spacing w:val="-10"/>
                      <w:sz w:val="24"/>
                      <w:szCs w:val="24"/>
                      <w:highlight w:val="none"/>
                    </w:rPr>
                    <w:t>吨/年、潮脑梁露天矿800万</w:t>
                  </w:r>
                  <w:r>
                    <w:rPr>
                      <w:rFonts w:hint="eastAsia" w:asciiTheme="minorEastAsia" w:hAnsiTheme="minorEastAsia" w:eastAsiaTheme="minorEastAsia" w:cstheme="minorEastAsia"/>
                      <w:color w:val="auto"/>
                      <w:spacing w:val="-14"/>
                      <w:sz w:val="24"/>
                      <w:szCs w:val="24"/>
                      <w:highlight w:val="none"/>
                    </w:rPr>
                    <w:t>吨/年、杨家村矿井600万吨/年、李家壕矿井600万吨/年、铧尖露</w:t>
                  </w:r>
                  <w:r>
                    <w:rPr>
                      <w:rFonts w:hint="eastAsia" w:asciiTheme="minorEastAsia" w:hAnsiTheme="minorEastAsia" w:eastAsiaTheme="minorEastAsia" w:cstheme="minorEastAsia"/>
                      <w:color w:val="auto"/>
                      <w:spacing w:val="-9"/>
                      <w:sz w:val="24"/>
                      <w:szCs w:val="24"/>
                      <w:highlight w:val="none"/>
                    </w:rPr>
                    <w:t>天矿600万吨/年、宏丰露天矿500万吨/年、前进露天矿500万</w:t>
                  </w:r>
                  <w:r>
                    <w:rPr>
                      <w:rFonts w:hint="eastAsia" w:asciiTheme="minorEastAsia" w:hAnsiTheme="minorEastAsia" w:eastAsiaTheme="minorEastAsia" w:cstheme="minorEastAsia"/>
                      <w:color w:val="auto"/>
                      <w:spacing w:val="-10"/>
                      <w:sz w:val="24"/>
                      <w:szCs w:val="24"/>
                      <w:highlight w:val="none"/>
                    </w:rPr>
                    <w:t>吨/</w:t>
                  </w:r>
                  <w:r>
                    <w:rPr>
                      <w:rFonts w:hint="eastAsia" w:asciiTheme="minorEastAsia" w:hAnsiTheme="minorEastAsia" w:eastAsiaTheme="minorEastAsia" w:cstheme="minorEastAsia"/>
                      <w:color w:val="auto"/>
                      <w:spacing w:val="-9"/>
                      <w:sz w:val="24"/>
                      <w:szCs w:val="24"/>
                      <w:highlight w:val="none"/>
                    </w:rPr>
                    <w:t>年、巴隆图露天矿500万吨/年、民达露天矿500</w:t>
                  </w:r>
                  <w:r>
                    <w:rPr>
                      <w:rFonts w:hint="eastAsia" w:asciiTheme="minorEastAsia" w:hAnsiTheme="minorEastAsia" w:eastAsiaTheme="minorEastAsia" w:cstheme="minorEastAsia"/>
                      <w:color w:val="auto"/>
                      <w:spacing w:val="-10"/>
                      <w:sz w:val="24"/>
                      <w:szCs w:val="24"/>
                      <w:highlight w:val="none"/>
                    </w:rPr>
                    <w:t>万吨/年、纳源露</w:t>
                  </w:r>
                  <w:r>
                    <w:rPr>
                      <w:rFonts w:hint="eastAsia" w:asciiTheme="minorEastAsia" w:hAnsiTheme="minorEastAsia" w:eastAsiaTheme="minorEastAsia" w:cstheme="minorEastAsia"/>
                      <w:color w:val="auto"/>
                      <w:spacing w:val="-4"/>
                      <w:sz w:val="24"/>
                      <w:szCs w:val="24"/>
                      <w:highlight w:val="none"/>
                    </w:rPr>
                    <w:t>天矿500万吨/年、乌兰哈达露天矿500万</w:t>
                  </w:r>
                  <w:r>
                    <w:rPr>
                      <w:rFonts w:hint="eastAsia" w:asciiTheme="minorEastAsia" w:hAnsiTheme="minorEastAsia" w:eastAsiaTheme="minorEastAsia" w:cstheme="minorEastAsia"/>
                      <w:color w:val="auto"/>
                      <w:spacing w:val="-5"/>
                      <w:sz w:val="24"/>
                      <w:szCs w:val="24"/>
                      <w:highlight w:val="none"/>
                    </w:rPr>
                    <w:t>吨/年、范家村矿井420</w:t>
                  </w:r>
                  <w:r>
                    <w:rPr>
                      <w:rFonts w:hint="eastAsia" w:asciiTheme="minorEastAsia" w:hAnsiTheme="minorEastAsia" w:eastAsiaTheme="minorEastAsia" w:cstheme="minorEastAsia"/>
                      <w:color w:val="auto"/>
                      <w:spacing w:val="-14"/>
                      <w:sz w:val="24"/>
                      <w:szCs w:val="24"/>
                      <w:highlight w:val="none"/>
                    </w:rPr>
                    <w:t>万吨/年、宏鑫矿井400万吨/年、宏测矿井240万吨/年、碾盘梁煤</w:t>
                  </w:r>
                  <w:r>
                    <w:rPr>
                      <w:rFonts w:hint="eastAsia" w:asciiTheme="minorEastAsia" w:hAnsiTheme="minorEastAsia" w:eastAsiaTheme="minorEastAsia" w:cstheme="minorEastAsia"/>
                      <w:color w:val="auto"/>
                      <w:spacing w:val="-13"/>
                      <w:sz w:val="24"/>
                      <w:szCs w:val="24"/>
                      <w:highlight w:val="none"/>
                    </w:rPr>
                    <w:t>矿一井180万吨/年、盛鑫矿井150万吨/年。</w:t>
                  </w:r>
                  <w:r>
                    <w:rPr>
                      <w:rFonts w:hint="eastAsia" w:asciiTheme="minorEastAsia" w:hAnsiTheme="minorEastAsia" w:eastAsiaTheme="minorEastAsia" w:cstheme="minorEastAsia"/>
                      <w:color w:val="auto"/>
                      <w:spacing w:val="6"/>
                      <w:sz w:val="24"/>
                      <w:szCs w:val="24"/>
                      <w:highlight w:val="none"/>
                    </w:rPr>
                    <w:t>规划扩建煤矿1处，为王家塔矿井由800万吨/年扩建至1000</w:t>
                  </w:r>
                  <w:r>
                    <w:rPr>
                      <w:rFonts w:hint="eastAsia" w:asciiTheme="minorEastAsia" w:hAnsiTheme="minorEastAsia" w:eastAsiaTheme="minorEastAsia" w:cstheme="minorEastAsia"/>
                      <w:color w:val="auto"/>
                      <w:spacing w:val="3"/>
                      <w:sz w:val="24"/>
                      <w:szCs w:val="24"/>
                      <w:highlight w:val="none"/>
                    </w:rPr>
                    <w:t>万吨/年</w:t>
                  </w:r>
                  <w:r>
                    <w:rPr>
                      <w:rFonts w:hint="eastAsia" w:asciiTheme="minorEastAsia" w:hAnsiTheme="minorEastAsia" w:eastAsiaTheme="minorEastAsia" w:cstheme="minorEastAsia"/>
                      <w:color w:val="auto"/>
                      <w:spacing w:val="3"/>
                      <w:sz w:val="24"/>
                      <w:szCs w:val="24"/>
                      <w:highlight w:val="none"/>
                      <w:lang w:eastAsia="zh-CN"/>
                    </w:rPr>
                    <w:t>（</w:t>
                  </w:r>
                  <w:r>
                    <w:rPr>
                      <w:rFonts w:hint="eastAsia" w:asciiTheme="minorEastAsia" w:hAnsiTheme="minorEastAsia" w:eastAsiaTheme="minorEastAsia" w:cstheme="minorEastAsia"/>
                      <w:color w:val="auto"/>
                      <w:spacing w:val="3"/>
                      <w:sz w:val="24"/>
                      <w:szCs w:val="24"/>
                      <w:highlight w:val="none"/>
                    </w:rPr>
                    <w:t>其中储备产能40万吨/年</w:t>
                  </w:r>
                  <w:r>
                    <w:rPr>
                      <w:rFonts w:hint="eastAsia" w:asciiTheme="minorEastAsia" w:hAnsiTheme="minorEastAsia" w:eastAsiaTheme="minorEastAsia" w:cstheme="minorEastAsia"/>
                      <w:color w:val="auto"/>
                      <w:spacing w:val="3"/>
                      <w:sz w:val="24"/>
                      <w:szCs w:val="24"/>
                      <w:highlight w:val="none"/>
                      <w:lang w:eastAsia="zh-CN"/>
                    </w:rPr>
                    <w:t>）</w:t>
                  </w:r>
                  <w:r>
                    <w:rPr>
                      <w:rFonts w:hint="eastAsia" w:asciiTheme="minorEastAsia" w:hAnsiTheme="minorEastAsia" w:eastAsiaTheme="minorEastAsia" w:cstheme="minorEastAsia"/>
                      <w:color w:val="auto"/>
                      <w:spacing w:val="3"/>
                      <w:sz w:val="24"/>
                      <w:szCs w:val="24"/>
                      <w:highlight w:val="none"/>
                    </w:rPr>
                    <w:t>。</w:t>
                  </w:r>
                  <w:r>
                    <w:rPr>
                      <w:rFonts w:hint="eastAsia" w:asciiTheme="minorEastAsia" w:hAnsiTheme="minorEastAsia" w:eastAsiaTheme="minorEastAsia" w:cstheme="minorEastAsia"/>
                      <w:color w:val="auto"/>
                      <w:spacing w:val="-3"/>
                      <w:sz w:val="24"/>
                      <w:szCs w:val="24"/>
                      <w:highlight w:val="none"/>
                    </w:rPr>
                    <w:t>规划新建煤矿3处，分别为高家梁矿井1000万吨/年</w:t>
                  </w:r>
                  <w:r>
                    <w:rPr>
                      <w:rFonts w:hint="eastAsia" w:asciiTheme="minorEastAsia" w:hAnsiTheme="minorEastAsia" w:eastAsiaTheme="minorEastAsia" w:cstheme="minorEastAsia"/>
                      <w:color w:val="auto"/>
                      <w:spacing w:val="-3"/>
                      <w:sz w:val="24"/>
                      <w:szCs w:val="24"/>
                      <w:highlight w:val="none"/>
                      <w:lang w:eastAsia="zh-CN"/>
                    </w:rPr>
                    <w:t>（</w:t>
                  </w:r>
                  <w:r>
                    <w:rPr>
                      <w:rFonts w:hint="eastAsia" w:asciiTheme="minorEastAsia" w:hAnsiTheme="minorEastAsia" w:eastAsiaTheme="minorEastAsia" w:cstheme="minorEastAsia"/>
                      <w:color w:val="auto"/>
                      <w:spacing w:val="-3"/>
                      <w:sz w:val="24"/>
                      <w:szCs w:val="24"/>
                      <w:highlight w:val="none"/>
                    </w:rPr>
                    <w:t>其中储备产能200万吨/年</w:t>
                  </w:r>
                  <w:r>
                    <w:rPr>
                      <w:rFonts w:hint="eastAsia" w:asciiTheme="minorEastAsia" w:hAnsiTheme="minorEastAsia" w:eastAsiaTheme="minorEastAsia" w:cstheme="minorEastAsia"/>
                      <w:color w:val="auto"/>
                      <w:spacing w:val="-3"/>
                      <w:sz w:val="24"/>
                      <w:szCs w:val="24"/>
                      <w:highlight w:val="none"/>
                      <w:lang w:eastAsia="zh-CN"/>
                    </w:rPr>
                    <w:t>）</w:t>
                  </w:r>
                  <w:r>
                    <w:rPr>
                      <w:rFonts w:hint="eastAsia" w:asciiTheme="minorEastAsia" w:hAnsiTheme="minorEastAsia" w:eastAsiaTheme="minorEastAsia" w:cstheme="minorEastAsia"/>
                      <w:color w:val="auto"/>
                      <w:spacing w:val="-3"/>
                      <w:sz w:val="24"/>
                      <w:szCs w:val="24"/>
                      <w:highlight w:val="none"/>
                    </w:rPr>
                    <w:t>、板洞梁矿井500万吨/年</w:t>
                  </w:r>
                  <w:r>
                    <w:rPr>
                      <w:rFonts w:hint="eastAsia" w:asciiTheme="minorEastAsia" w:hAnsiTheme="minorEastAsia" w:eastAsiaTheme="minorEastAsia" w:cstheme="minorEastAsia"/>
                      <w:color w:val="auto"/>
                      <w:spacing w:val="-3"/>
                      <w:sz w:val="24"/>
                      <w:szCs w:val="24"/>
                      <w:highlight w:val="none"/>
                      <w:lang w:eastAsia="zh-CN"/>
                    </w:rPr>
                    <w:t>（</w:t>
                  </w:r>
                  <w:r>
                    <w:rPr>
                      <w:rFonts w:hint="eastAsia" w:asciiTheme="minorEastAsia" w:hAnsiTheme="minorEastAsia" w:eastAsiaTheme="minorEastAsia" w:cstheme="minorEastAsia"/>
                      <w:color w:val="auto"/>
                      <w:spacing w:val="-3"/>
                      <w:sz w:val="24"/>
                      <w:szCs w:val="24"/>
                      <w:highlight w:val="none"/>
                    </w:rPr>
                    <w:t>其中储备产能1</w:t>
                  </w:r>
                  <w:r>
                    <w:rPr>
                      <w:rFonts w:hint="eastAsia" w:asciiTheme="minorEastAsia" w:hAnsiTheme="minorEastAsia" w:eastAsiaTheme="minorEastAsia" w:cstheme="minorEastAsia"/>
                      <w:color w:val="auto"/>
                      <w:spacing w:val="-4"/>
                      <w:sz w:val="24"/>
                      <w:szCs w:val="24"/>
                      <w:highlight w:val="none"/>
                    </w:rPr>
                    <w:t>00</w:t>
                  </w:r>
                  <w:r>
                    <w:rPr>
                      <w:rFonts w:hint="eastAsia" w:asciiTheme="minorEastAsia" w:hAnsiTheme="minorEastAsia" w:eastAsiaTheme="minorEastAsia" w:cstheme="minorEastAsia"/>
                      <w:color w:val="auto"/>
                      <w:spacing w:val="-3"/>
                      <w:sz w:val="24"/>
                      <w:szCs w:val="24"/>
                      <w:highlight w:val="none"/>
                    </w:rPr>
                    <w:t>万吨/年</w:t>
                  </w:r>
                  <w:r>
                    <w:rPr>
                      <w:rFonts w:hint="eastAsia" w:asciiTheme="minorEastAsia" w:hAnsiTheme="minorEastAsia" w:eastAsiaTheme="minorEastAsia" w:cstheme="minorEastAsia"/>
                      <w:color w:val="auto"/>
                      <w:spacing w:val="-3"/>
                      <w:sz w:val="24"/>
                      <w:szCs w:val="24"/>
                      <w:highlight w:val="none"/>
                      <w:lang w:eastAsia="zh-CN"/>
                    </w:rPr>
                    <w:t>）</w:t>
                  </w:r>
                  <w:r>
                    <w:rPr>
                      <w:rFonts w:hint="eastAsia" w:asciiTheme="minorEastAsia" w:hAnsiTheme="minorEastAsia" w:eastAsiaTheme="minorEastAsia" w:cstheme="minorEastAsia"/>
                      <w:color w:val="auto"/>
                      <w:spacing w:val="-3"/>
                      <w:sz w:val="24"/>
                      <w:szCs w:val="24"/>
                      <w:highlight w:val="none"/>
                    </w:rPr>
                    <w:t>、潮脑梁南露天矿500万吨/年</w:t>
                  </w:r>
                  <w:r>
                    <w:rPr>
                      <w:rFonts w:hint="eastAsia" w:asciiTheme="minorEastAsia" w:hAnsiTheme="minorEastAsia" w:eastAsiaTheme="minorEastAsia" w:cstheme="minorEastAsia"/>
                      <w:color w:val="auto"/>
                      <w:spacing w:val="-3"/>
                      <w:sz w:val="24"/>
                      <w:szCs w:val="24"/>
                      <w:highlight w:val="none"/>
                      <w:lang w:eastAsia="zh-CN"/>
                    </w:rPr>
                    <w:t>（</w:t>
                  </w:r>
                  <w:r>
                    <w:rPr>
                      <w:rFonts w:hint="eastAsia" w:asciiTheme="minorEastAsia" w:hAnsiTheme="minorEastAsia" w:eastAsiaTheme="minorEastAsia" w:cstheme="minorEastAsia"/>
                      <w:color w:val="auto"/>
                      <w:spacing w:val="-3"/>
                      <w:sz w:val="24"/>
                      <w:szCs w:val="24"/>
                      <w:highlight w:val="none"/>
                    </w:rPr>
                    <w:t>其中储备产</w:t>
                  </w:r>
                  <w:r>
                    <w:rPr>
                      <w:rFonts w:hint="eastAsia" w:asciiTheme="minorEastAsia" w:hAnsiTheme="minorEastAsia" w:eastAsiaTheme="minorEastAsia" w:cstheme="minorEastAsia"/>
                      <w:color w:val="auto"/>
                      <w:spacing w:val="-4"/>
                      <w:sz w:val="24"/>
                      <w:szCs w:val="24"/>
                      <w:highlight w:val="none"/>
                    </w:rPr>
                    <w:t>能100万吨/</w:t>
                  </w:r>
                  <w:r>
                    <w:rPr>
                      <w:rFonts w:hint="eastAsia" w:asciiTheme="minorEastAsia" w:hAnsiTheme="minorEastAsia" w:eastAsiaTheme="minorEastAsia" w:cstheme="minorEastAsia"/>
                      <w:color w:val="auto"/>
                      <w:spacing w:val="-11"/>
                      <w:sz w:val="24"/>
                      <w:szCs w:val="24"/>
                      <w:highlight w:val="none"/>
                    </w:rPr>
                    <w:t>年</w:t>
                  </w:r>
                  <w:r>
                    <w:rPr>
                      <w:rFonts w:hint="eastAsia" w:asciiTheme="minorEastAsia" w:hAnsiTheme="minorEastAsia" w:eastAsiaTheme="minorEastAsia" w:cstheme="minorEastAsia"/>
                      <w:color w:val="auto"/>
                      <w:spacing w:val="-11"/>
                      <w:sz w:val="24"/>
                      <w:szCs w:val="24"/>
                      <w:highlight w:val="none"/>
                      <w:lang w:eastAsia="zh-CN"/>
                    </w:rPr>
                    <w:t>）</w:t>
                  </w:r>
                  <w:r>
                    <w:rPr>
                      <w:rFonts w:hint="eastAsia" w:asciiTheme="minorEastAsia" w:hAnsiTheme="minorEastAsia" w:eastAsiaTheme="minorEastAsia" w:cstheme="minorEastAsia"/>
                      <w:color w:val="auto"/>
                      <w:spacing w:val="-11"/>
                      <w:sz w:val="24"/>
                      <w:szCs w:val="24"/>
                      <w:highlight w:val="none"/>
                    </w:rPr>
                    <w:t>。</w:t>
                  </w:r>
                  <w:r>
                    <w:rPr>
                      <w:rFonts w:hint="eastAsia" w:asciiTheme="minorEastAsia" w:hAnsiTheme="minorEastAsia" w:eastAsiaTheme="minorEastAsia" w:cstheme="minorEastAsia"/>
                      <w:color w:val="auto"/>
                      <w:spacing w:val="-1"/>
                      <w:sz w:val="24"/>
                      <w:szCs w:val="24"/>
                      <w:highlight w:val="none"/>
                    </w:rPr>
                    <w:t>勘查区待进一步勘查后确定开发方式。矿区范围及井</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矿</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0"/>
                      <w:sz w:val="24"/>
                      <w:szCs w:val="24"/>
                      <w:highlight w:val="none"/>
                    </w:rPr>
                    <w:t>田划分详见附件1、附件2。</w:t>
                  </w:r>
                </w:p>
              </w:tc>
              <w:tc>
                <w:tcPr>
                  <w:tcW w:w="1743" w:type="dxa"/>
                  <w:vAlign w:val="center"/>
                </w:tcPr>
                <w:p w14:paraId="6BD82294">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right="0"/>
                    <w:jc w:val="center"/>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cs="Times New Roman" w:eastAsiaTheme="minorEastAsia"/>
                      <w:b w:val="0"/>
                      <w:bCs w:val="0"/>
                      <w:color w:val="auto"/>
                      <w:sz w:val="24"/>
                      <w:szCs w:val="24"/>
                      <w:highlight w:val="none"/>
                      <w:vertAlign w:val="baseline"/>
                      <w:lang w:val="en-US" w:eastAsia="zh-CN"/>
                    </w:rPr>
                    <w:t>本项目不涉及</w:t>
                  </w:r>
                </w:p>
              </w:tc>
            </w:tr>
            <w:tr w14:paraId="72579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9" w:type="dxa"/>
                  <w:vAlign w:val="center"/>
                </w:tcPr>
                <w:p w14:paraId="3F2B22D1">
                  <w:pPr>
                    <w:pStyle w:val="6"/>
                    <w:keepNext w:val="0"/>
                    <w:keepLines w:val="0"/>
                    <w:pageBreakBefore w:val="0"/>
                    <w:widowControl/>
                    <w:kinsoku/>
                    <w:wordWrap/>
                    <w:overflowPunct/>
                    <w:topLinePunct w:val="0"/>
                    <w:autoSpaceDE/>
                    <w:autoSpaceDN/>
                    <w:bidi w:val="0"/>
                    <w:adjustRightInd w:val="0"/>
                    <w:snapToGrid w:val="0"/>
                    <w:spacing w:line="360" w:lineRule="auto"/>
                    <w:ind w:right="132" w:firstLine="520" w:firstLineChars="200"/>
                    <w:jc w:val="both"/>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asciiTheme="minorEastAsia" w:hAnsiTheme="minorEastAsia" w:eastAsiaTheme="minorEastAsia" w:cstheme="minorEastAsia"/>
                      <w:color w:val="auto"/>
                      <w:spacing w:val="10"/>
                      <w:sz w:val="24"/>
                      <w:szCs w:val="24"/>
                      <w:highlight w:val="none"/>
                    </w:rPr>
                    <w:t>五、矿区内5个资源整合区，由你局按照国家有关法律法规</w:t>
                  </w:r>
                  <w:r>
                    <w:rPr>
                      <w:rFonts w:hint="eastAsia" w:asciiTheme="minorEastAsia" w:hAnsiTheme="minorEastAsia" w:eastAsiaTheme="minorEastAsia" w:cstheme="minorEastAsia"/>
                      <w:color w:val="auto"/>
                      <w:spacing w:val="-13"/>
                      <w:sz w:val="24"/>
                      <w:szCs w:val="24"/>
                      <w:highlight w:val="none"/>
                    </w:rPr>
                    <w:t>和内蒙古自治区人民政府有关要求，审批该区域开发规划并组织</w:t>
                  </w:r>
                  <w:r>
                    <w:rPr>
                      <w:rFonts w:hint="eastAsia" w:asciiTheme="minorEastAsia" w:hAnsiTheme="minorEastAsia" w:eastAsiaTheme="minorEastAsia" w:cstheme="minorEastAsia"/>
                      <w:color w:val="auto"/>
                      <w:spacing w:val="-23"/>
                      <w:sz w:val="24"/>
                      <w:szCs w:val="24"/>
                      <w:highlight w:val="none"/>
                    </w:rPr>
                    <w:t>实施，提高资源开发利用水平。</w:t>
                  </w:r>
                </w:p>
              </w:tc>
              <w:tc>
                <w:tcPr>
                  <w:tcW w:w="1743" w:type="dxa"/>
                  <w:vAlign w:val="center"/>
                </w:tcPr>
                <w:p w14:paraId="70D084DF">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right="0"/>
                    <w:jc w:val="center"/>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cs="Times New Roman" w:eastAsiaTheme="minorEastAsia"/>
                      <w:b w:val="0"/>
                      <w:bCs w:val="0"/>
                      <w:color w:val="auto"/>
                      <w:sz w:val="24"/>
                      <w:szCs w:val="24"/>
                      <w:highlight w:val="none"/>
                      <w:vertAlign w:val="baseline"/>
                      <w:lang w:val="en-US" w:eastAsia="zh-CN"/>
                    </w:rPr>
                    <w:t>本项目不涉及</w:t>
                  </w:r>
                </w:p>
              </w:tc>
            </w:tr>
            <w:tr w14:paraId="02D0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9" w:type="dxa"/>
                  <w:vAlign w:val="center"/>
                </w:tcPr>
                <w:p w14:paraId="2900FF81">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right="0" w:firstLine="436" w:firstLineChars="200"/>
                    <w:jc w:val="both"/>
                    <w:textAlignment w:val="auto"/>
                    <w:rPr>
                      <w:rFonts w:hint="eastAsia" w:ascii="Times New Roman" w:hAnsi="Times New Roman" w:cs="Times New Roman" w:eastAsiaTheme="minorEastAsia"/>
                      <w:b w:val="0"/>
                      <w:bCs w:val="0"/>
                      <w:color w:val="auto"/>
                      <w:sz w:val="24"/>
                      <w:szCs w:val="24"/>
                      <w:highlight w:val="none"/>
                      <w:vertAlign w:val="baseline"/>
                      <w:lang w:eastAsia="zh-CN"/>
                    </w:rPr>
                  </w:pPr>
                  <w:r>
                    <w:rPr>
                      <w:rFonts w:hint="eastAsia" w:asciiTheme="minorEastAsia" w:hAnsiTheme="minorEastAsia" w:eastAsiaTheme="minorEastAsia" w:cstheme="minorEastAsia"/>
                      <w:color w:val="auto"/>
                      <w:spacing w:val="-11"/>
                      <w:sz w:val="24"/>
                      <w:szCs w:val="24"/>
                      <w:highlight w:val="none"/>
                    </w:rPr>
                    <w:t>六、新建、扩建煤矿必须配套建设相应规模的选煤厂，</w:t>
                  </w:r>
                  <w:r>
                    <w:rPr>
                      <w:rFonts w:hint="eastAsia" w:asciiTheme="minorEastAsia" w:hAnsiTheme="minorEastAsia" w:eastAsiaTheme="minorEastAsia" w:cstheme="minorEastAsia"/>
                      <w:color w:val="auto"/>
                      <w:spacing w:val="-12"/>
                      <w:sz w:val="24"/>
                      <w:szCs w:val="24"/>
                      <w:highlight w:val="none"/>
                    </w:rPr>
                    <w:t>对原</w:t>
                  </w:r>
                  <w:r>
                    <w:rPr>
                      <w:rFonts w:hint="eastAsia" w:asciiTheme="minorEastAsia" w:hAnsiTheme="minorEastAsia" w:eastAsiaTheme="minorEastAsia" w:cstheme="minorEastAsia"/>
                      <w:color w:val="auto"/>
                      <w:spacing w:val="-22"/>
                      <w:sz w:val="24"/>
                      <w:szCs w:val="24"/>
                      <w:highlight w:val="none"/>
                    </w:rPr>
                    <w:t>煤进行洗选，鼓励具备条件的煤矿采用干法分选工艺</w:t>
                  </w:r>
                  <w:r>
                    <w:rPr>
                      <w:rFonts w:hint="eastAsia" w:asciiTheme="minorEastAsia" w:hAnsiTheme="minorEastAsia" w:eastAsiaTheme="minorEastAsia" w:cstheme="minorEastAsia"/>
                      <w:color w:val="auto"/>
                      <w:spacing w:val="-22"/>
                      <w:sz w:val="24"/>
                      <w:szCs w:val="24"/>
                      <w:highlight w:val="none"/>
                      <w:lang w:eastAsia="zh-CN"/>
                    </w:rPr>
                    <w:t>。</w:t>
                  </w:r>
                </w:p>
              </w:tc>
              <w:tc>
                <w:tcPr>
                  <w:tcW w:w="1743" w:type="dxa"/>
                  <w:vAlign w:val="center"/>
                </w:tcPr>
                <w:p w14:paraId="54FC4514">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right="0"/>
                    <w:jc w:val="center"/>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cs="Times New Roman" w:eastAsiaTheme="minorEastAsia"/>
                      <w:b w:val="0"/>
                      <w:bCs w:val="0"/>
                      <w:color w:val="auto"/>
                      <w:sz w:val="24"/>
                      <w:szCs w:val="24"/>
                      <w:highlight w:val="none"/>
                      <w:vertAlign w:val="baseline"/>
                      <w:lang w:val="en-US" w:eastAsia="zh-CN"/>
                    </w:rPr>
                    <w:t>本项目不涉及</w:t>
                  </w:r>
                </w:p>
              </w:tc>
            </w:tr>
            <w:tr w14:paraId="4C9F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9" w:type="dxa"/>
                  <w:vAlign w:val="center"/>
                </w:tcPr>
                <w:p w14:paraId="128A374B">
                  <w:pPr>
                    <w:pStyle w:val="6"/>
                    <w:keepNext w:val="0"/>
                    <w:keepLines w:val="0"/>
                    <w:pageBreakBefore w:val="0"/>
                    <w:widowControl/>
                    <w:kinsoku/>
                    <w:wordWrap/>
                    <w:overflowPunct/>
                    <w:topLinePunct w:val="0"/>
                    <w:autoSpaceDE/>
                    <w:autoSpaceDN/>
                    <w:bidi w:val="0"/>
                    <w:adjustRightInd w:val="0"/>
                    <w:snapToGrid w:val="0"/>
                    <w:spacing w:line="360" w:lineRule="auto"/>
                    <w:ind w:right="90" w:firstLine="464" w:firstLineChars="200"/>
                    <w:jc w:val="both"/>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asciiTheme="minorEastAsia" w:hAnsiTheme="minorEastAsia" w:eastAsiaTheme="minorEastAsia" w:cstheme="minorEastAsia"/>
                      <w:color w:val="auto"/>
                      <w:spacing w:val="-4"/>
                      <w:sz w:val="24"/>
                      <w:szCs w:val="24"/>
                      <w:highlight w:val="none"/>
                    </w:rPr>
                    <w:t>七、矿区供电电源主要引自东胜北郊220千伏变电站、马莲</w:t>
                  </w:r>
                  <w:r>
                    <w:rPr>
                      <w:rFonts w:hint="eastAsia" w:asciiTheme="minorEastAsia" w:hAnsiTheme="minorEastAsia" w:eastAsiaTheme="minorEastAsia" w:cstheme="minorEastAsia"/>
                      <w:color w:val="auto"/>
                      <w:spacing w:val="-16"/>
                      <w:sz w:val="24"/>
                      <w:szCs w:val="24"/>
                      <w:highlight w:val="none"/>
                    </w:rPr>
                    <w:t>220千伏变电站。供水水源取自煤矿排水和地下水，生产用水优先</w:t>
                  </w:r>
                  <w:r>
                    <w:rPr>
                      <w:rFonts w:hint="eastAsia" w:asciiTheme="minorEastAsia" w:hAnsiTheme="minorEastAsia" w:eastAsiaTheme="minorEastAsia" w:cstheme="minorEastAsia"/>
                      <w:color w:val="auto"/>
                      <w:spacing w:val="-11"/>
                      <w:sz w:val="24"/>
                      <w:szCs w:val="24"/>
                      <w:highlight w:val="none"/>
                    </w:rPr>
                    <w:t>利用处理后的煤矿排水和生活污水。煤炭资</w:t>
                  </w:r>
                  <w:r>
                    <w:rPr>
                      <w:rFonts w:hint="eastAsia" w:asciiTheme="minorEastAsia" w:hAnsiTheme="minorEastAsia" w:eastAsiaTheme="minorEastAsia" w:cstheme="minorEastAsia"/>
                      <w:color w:val="auto"/>
                      <w:spacing w:val="-12"/>
                      <w:sz w:val="24"/>
                      <w:szCs w:val="24"/>
                      <w:highlight w:val="none"/>
                    </w:rPr>
                    <w:t>源开发应采取保水、</w:t>
                  </w:r>
                  <w:r>
                    <w:rPr>
                      <w:rFonts w:hint="eastAsia" w:asciiTheme="minorEastAsia" w:hAnsiTheme="minorEastAsia" w:eastAsiaTheme="minorEastAsia" w:cstheme="minorEastAsia"/>
                      <w:color w:val="auto"/>
                      <w:spacing w:val="-23"/>
                      <w:sz w:val="24"/>
                      <w:szCs w:val="24"/>
                      <w:highlight w:val="none"/>
                    </w:rPr>
                    <w:t>节水措施。</w:t>
                  </w:r>
                </w:p>
              </w:tc>
              <w:tc>
                <w:tcPr>
                  <w:tcW w:w="1743" w:type="dxa"/>
                  <w:vAlign w:val="center"/>
                </w:tcPr>
                <w:p w14:paraId="5617D75C">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right="0"/>
                    <w:jc w:val="center"/>
                    <w:textAlignment w:val="auto"/>
                    <w:rPr>
                      <w:rFonts w:hint="eastAsia" w:ascii="Times New Roman" w:hAnsi="Times New Roman" w:eastAsia="宋体" w:cs="Times New Roman"/>
                      <w:b w:val="0"/>
                      <w:bCs w:val="0"/>
                      <w:color w:val="auto"/>
                      <w:sz w:val="24"/>
                      <w:szCs w:val="24"/>
                      <w:highlight w:val="none"/>
                      <w:vertAlign w:val="baseline"/>
                      <w:lang w:eastAsia="zh-CN"/>
                    </w:rPr>
                  </w:pPr>
                  <w:r>
                    <w:rPr>
                      <w:rFonts w:hint="eastAsia" w:ascii="宋体" w:hAnsi="宋体" w:eastAsia="宋体" w:cs="宋体"/>
                      <w:color w:val="auto"/>
                      <w:sz w:val="24"/>
                      <w:szCs w:val="24"/>
                      <w:highlight w:val="none"/>
                    </w:rPr>
                    <w:t>本项目用电由煤矿现有变电站接出；生产用水由煤矿矿井水供应；项目无新增劳动定员，不增加生活用水</w:t>
                  </w:r>
                </w:p>
              </w:tc>
            </w:tr>
            <w:tr w14:paraId="6D6F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9" w:type="dxa"/>
                  <w:vAlign w:val="center"/>
                </w:tcPr>
                <w:p w14:paraId="68E3823A">
                  <w:pPr>
                    <w:pStyle w:val="6"/>
                    <w:keepNext w:val="0"/>
                    <w:keepLines w:val="0"/>
                    <w:pageBreakBefore w:val="0"/>
                    <w:widowControl/>
                    <w:kinsoku/>
                    <w:wordWrap/>
                    <w:overflowPunct/>
                    <w:topLinePunct w:val="0"/>
                    <w:autoSpaceDE/>
                    <w:autoSpaceDN/>
                    <w:bidi w:val="0"/>
                    <w:adjustRightInd w:val="0"/>
                    <w:snapToGrid w:val="0"/>
                    <w:spacing w:line="360" w:lineRule="auto"/>
                    <w:ind w:right="80" w:firstLine="440" w:firstLineChars="200"/>
                    <w:jc w:val="both"/>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asciiTheme="minorEastAsia" w:hAnsiTheme="minorEastAsia" w:eastAsiaTheme="minorEastAsia" w:cstheme="minorEastAsia"/>
                      <w:color w:val="auto"/>
                      <w:spacing w:val="-10"/>
                      <w:sz w:val="24"/>
                      <w:szCs w:val="24"/>
                      <w:highlight w:val="none"/>
                    </w:rPr>
                    <w:t>八、矿区辅助设施依托现有设施，根据生产开发需要补充完</w:t>
                  </w:r>
                  <w:r>
                    <w:rPr>
                      <w:rFonts w:hint="eastAsia" w:asciiTheme="minorEastAsia" w:hAnsiTheme="minorEastAsia" w:eastAsiaTheme="minorEastAsia" w:cstheme="minorEastAsia"/>
                      <w:color w:val="auto"/>
                      <w:spacing w:val="-4"/>
                      <w:sz w:val="24"/>
                      <w:szCs w:val="24"/>
                      <w:highlight w:val="none"/>
                    </w:rPr>
                    <w:t>善。生活服务设施依托社会统筹解决。</w:t>
                  </w:r>
                </w:p>
              </w:tc>
              <w:tc>
                <w:tcPr>
                  <w:tcW w:w="1743" w:type="dxa"/>
                  <w:vAlign w:val="center"/>
                </w:tcPr>
                <w:p w14:paraId="1852518F">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right="0"/>
                    <w:jc w:val="center"/>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cs="Times New Roman" w:eastAsiaTheme="minorEastAsia"/>
                      <w:b w:val="0"/>
                      <w:bCs w:val="0"/>
                      <w:color w:val="auto"/>
                      <w:sz w:val="24"/>
                      <w:szCs w:val="24"/>
                      <w:highlight w:val="none"/>
                      <w:vertAlign w:val="baseline"/>
                      <w:lang w:val="en-US" w:eastAsia="zh-CN"/>
                    </w:rPr>
                    <w:t>本项目不涉及</w:t>
                  </w:r>
                </w:p>
              </w:tc>
            </w:tr>
            <w:tr w14:paraId="5A936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9" w:type="dxa"/>
                  <w:vAlign w:val="center"/>
                </w:tcPr>
                <w:p w14:paraId="19D85B1B">
                  <w:pPr>
                    <w:pStyle w:val="6"/>
                    <w:keepNext w:val="0"/>
                    <w:keepLines w:val="0"/>
                    <w:pageBreakBefore w:val="0"/>
                    <w:widowControl/>
                    <w:kinsoku/>
                    <w:wordWrap/>
                    <w:overflowPunct/>
                    <w:topLinePunct w:val="0"/>
                    <w:autoSpaceDE/>
                    <w:autoSpaceDN/>
                    <w:bidi w:val="0"/>
                    <w:adjustRightInd w:val="0"/>
                    <w:snapToGrid w:val="0"/>
                    <w:spacing w:line="360" w:lineRule="auto"/>
                    <w:ind w:right="91" w:firstLine="468" w:firstLineChars="200"/>
                    <w:jc w:val="both"/>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asciiTheme="minorEastAsia" w:hAnsiTheme="minorEastAsia" w:eastAsiaTheme="minorEastAsia" w:cstheme="minorEastAsia"/>
                      <w:color w:val="auto"/>
                      <w:spacing w:val="-3"/>
                      <w:sz w:val="24"/>
                      <w:szCs w:val="24"/>
                      <w:highlight w:val="none"/>
                    </w:rPr>
                    <w:t>九、矿区开发应统筹全国煤炭供需平衡，煤</w:t>
                  </w:r>
                  <w:r>
                    <w:rPr>
                      <w:rFonts w:hint="eastAsia" w:asciiTheme="minorEastAsia" w:hAnsiTheme="minorEastAsia" w:eastAsiaTheme="minorEastAsia" w:cstheme="minorEastAsia"/>
                      <w:color w:val="auto"/>
                      <w:spacing w:val="-4"/>
                      <w:sz w:val="24"/>
                      <w:szCs w:val="24"/>
                      <w:highlight w:val="none"/>
                    </w:rPr>
                    <w:t>矿项目根据国家</w:t>
                  </w:r>
                  <w:r>
                    <w:rPr>
                      <w:rFonts w:hint="eastAsia" w:asciiTheme="minorEastAsia" w:hAnsiTheme="minorEastAsia" w:eastAsiaTheme="minorEastAsia" w:cstheme="minorEastAsia"/>
                      <w:color w:val="auto"/>
                      <w:spacing w:val="-20"/>
                      <w:sz w:val="24"/>
                      <w:szCs w:val="24"/>
                      <w:highlight w:val="none"/>
                    </w:rPr>
                    <w:t>煤炭发展规划和市场需求有序实施。</w:t>
                  </w:r>
                </w:p>
              </w:tc>
              <w:tc>
                <w:tcPr>
                  <w:tcW w:w="1743" w:type="dxa"/>
                  <w:vAlign w:val="center"/>
                </w:tcPr>
                <w:p w14:paraId="4564725F">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right="0"/>
                    <w:jc w:val="center"/>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cs="Times New Roman" w:eastAsiaTheme="minorEastAsia"/>
                      <w:b w:val="0"/>
                      <w:bCs w:val="0"/>
                      <w:color w:val="auto"/>
                      <w:sz w:val="24"/>
                      <w:szCs w:val="24"/>
                      <w:highlight w:val="none"/>
                      <w:vertAlign w:val="baseline"/>
                      <w:lang w:val="en-US" w:eastAsia="zh-CN"/>
                    </w:rPr>
                    <w:t>本项目不涉及</w:t>
                  </w:r>
                </w:p>
              </w:tc>
            </w:tr>
            <w:tr w14:paraId="0CB8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9" w:type="dxa"/>
                  <w:vAlign w:val="center"/>
                </w:tcPr>
                <w:p w14:paraId="21C2ED60">
                  <w:pPr>
                    <w:pStyle w:val="6"/>
                    <w:keepNext w:val="0"/>
                    <w:keepLines w:val="0"/>
                    <w:pageBreakBefore w:val="0"/>
                    <w:widowControl/>
                    <w:kinsoku/>
                    <w:wordWrap/>
                    <w:overflowPunct/>
                    <w:topLinePunct w:val="0"/>
                    <w:autoSpaceDE/>
                    <w:autoSpaceDN/>
                    <w:bidi w:val="0"/>
                    <w:adjustRightInd w:val="0"/>
                    <w:snapToGrid w:val="0"/>
                    <w:spacing w:line="360" w:lineRule="auto"/>
                    <w:ind w:right="87" w:firstLine="488" w:firstLineChars="200"/>
                    <w:jc w:val="both"/>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asciiTheme="minorEastAsia" w:hAnsiTheme="minorEastAsia" w:eastAsiaTheme="minorEastAsia" w:cstheme="minorEastAsia"/>
                      <w:color w:val="auto"/>
                      <w:spacing w:val="2"/>
                      <w:sz w:val="24"/>
                      <w:szCs w:val="24"/>
                      <w:highlight w:val="none"/>
                    </w:rPr>
                    <w:t>十、矿区内煤矿应在本规划确定的产能规模内</w:t>
                  </w:r>
                  <w:r>
                    <w:rPr>
                      <w:rFonts w:hint="eastAsia" w:asciiTheme="minorEastAsia" w:hAnsiTheme="minorEastAsia" w:eastAsiaTheme="minorEastAsia" w:cstheme="minorEastAsia"/>
                      <w:color w:val="auto"/>
                      <w:spacing w:val="1"/>
                      <w:sz w:val="24"/>
                      <w:szCs w:val="24"/>
                      <w:highlight w:val="none"/>
                    </w:rPr>
                    <w:t>组织建设生</w:t>
                  </w:r>
                  <w:r>
                    <w:rPr>
                      <w:rFonts w:hint="eastAsia" w:asciiTheme="minorEastAsia" w:hAnsiTheme="minorEastAsia" w:eastAsiaTheme="minorEastAsia" w:cstheme="minorEastAsia"/>
                      <w:color w:val="auto"/>
                      <w:spacing w:val="-11"/>
                      <w:sz w:val="24"/>
                      <w:szCs w:val="24"/>
                      <w:highlight w:val="none"/>
                    </w:rPr>
                    <w:t>产。通过项目改扩建、技术改造、生产能力核定等</w:t>
                  </w:r>
                  <w:r>
                    <w:rPr>
                      <w:rFonts w:hint="eastAsia" w:asciiTheme="minorEastAsia" w:hAnsiTheme="minorEastAsia" w:eastAsiaTheme="minorEastAsia" w:cstheme="minorEastAsia"/>
                      <w:color w:val="auto"/>
                      <w:spacing w:val="-12"/>
                      <w:sz w:val="24"/>
                      <w:szCs w:val="24"/>
                      <w:highlight w:val="none"/>
                    </w:rPr>
                    <w:t>方式增加产能超出规划确定规模的，应先组织修编或局部调整煤炭矿区总体规</w:t>
                  </w:r>
                  <w:r>
                    <w:rPr>
                      <w:rFonts w:hint="eastAsia" w:asciiTheme="minorEastAsia" w:hAnsiTheme="minorEastAsia" w:eastAsiaTheme="minorEastAsia" w:cstheme="minorEastAsia"/>
                      <w:color w:val="auto"/>
                      <w:spacing w:val="-21"/>
                      <w:sz w:val="24"/>
                      <w:szCs w:val="24"/>
                      <w:highlight w:val="none"/>
                    </w:rPr>
                    <w:t>划并报我委审批或同意。</w:t>
                  </w:r>
                </w:p>
              </w:tc>
              <w:tc>
                <w:tcPr>
                  <w:tcW w:w="1743" w:type="dxa"/>
                  <w:vAlign w:val="center"/>
                </w:tcPr>
                <w:p w14:paraId="7D979912">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right="0"/>
                    <w:jc w:val="center"/>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cs="Times New Roman" w:eastAsiaTheme="minorEastAsia"/>
                      <w:b w:val="0"/>
                      <w:bCs w:val="0"/>
                      <w:color w:val="auto"/>
                      <w:sz w:val="24"/>
                      <w:szCs w:val="24"/>
                      <w:highlight w:val="none"/>
                      <w:vertAlign w:val="baseline"/>
                      <w:lang w:val="en-US" w:eastAsia="zh-CN"/>
                    </w:rPr>
                    <w:t>本项目不涉及</w:t>
                  </w:r>
                </w:p>
              </w:tc>
            </w:tr>
            <w:tr w14:paraId="2368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9" w:type="dxa"/>
                  <w:vAlign w:val="center"/>
                </w:tcPr>
                <w:p w14:paraId="51301373">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right="0" w:firstLine="508" w:firstLineChars="200"/>
                    <w:jc w:val="both"/>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asciiTheme="minorEastAsia" w:hAnsiTheme="minorEastAsia" w:eastAsiaTheme="minorEastAsia" w:cstheme="minorEastAsia"/>
                      <w:color w:val="auto"/>
                      <w:spacing w:val="7"/>
                      <w:sz w:val="24"/>
                      <w:szCs w:val="24"/>
                      <w:highlight w:val="none"/>
                    </w:rPr>
                    <w:t>十一、矿区生产建设中，要严格执行国家有关规定，做好煤</w:t>
                  </w:r>
                  <w:r>
                    <w:rPr>
                      <w:rFonts w:hint="eastAsia" w:asciiTheme="minorEastAsia" w:hAnsiTheme="minorEastAsia" w:eastAsiaTheme="minorEastAsia" w:cstheme="minorEastAsia"/>
                      <w:color w:val="auto"/>
                      <w:spacing w:val="-21"/>
                      <w:sz w:val="24"/>
                      <w:szCs w:val="24"/>
                      <w:highlight w:val="none"/>
                    </w:rPr>
                    <w:t>炭资源回采率管理、安全生产、超能力生产监管等工作。</w:t>
                  </w:r>
                </w:p>
              </w:tc>
              <w:tc>
                <w:tcPr>
                  <w:tcW w:w="1743" w:type="dxa"/>
                  <w:vAlign w:val="center"/>
                </w:tcPr>
                <w:p w14:paraId="651AE705">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right="0"/>
                    <w:jc w:val="center"/>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cs="Times New Roman" w:eastAsiaTheme="minorEastAsia"/>
                      <w:b w:val="0"/>
                      <w:bCs w:val="0"/>
                      <w:color w:val="auto"/>
                      <w:sz w:val="24"/>
                      <w:szCs w:val="24"/>
                      <w:highlight w:val="none"/>
                      <w:vertAlign w:val="baseline"/>
                      <w:lang w:val="en-US" w:eastAsia="zh-CN"/>
                    </w:rPr>
                    <w:t>本项目不涉及</w:t>
                  </w:r>
                </w:p>
              </w:tc>
            </w:tr>
            <w:tr w14:paraId="32CF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9" w:type="dxa"/>
                  <w:vAlign w:val="center"/>
                </w:tcPr>
                <w:p w14:paraId="5667C123">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right="0" w:firstLine="516" w:firstLineChars="200"/>
                    <w:jc w:val="both"/>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asciiTheme="minorEastAsia" w:hAnsiTheme="minorEastAsia" w:eastAsiaTheme="minorEastAsia" w:cstheme="minorEastAsia"/>
                      <w:color w:val="auto"/>
                      <w:spacing w:val="9"/>
                      <w:sz w:val="24"/>
                      <w:szCs w:val="24"/>
                      <w:highlight w:val="none"/>
                    </w:rPr>
                    <w:t>十二、规划实施要根据矿产资源赋存条件，统筹做好矿区内</w:t>
                  </w:r>
                  <w:r>
                    <w:rPr>
                      <w:rFonts w:hint="eastAsia" w:asciiTheme="minorEastAsia" w:hAnsiTheme="minorEastAsia" w:eastAsiaTheme="minorEastAsia" w:cstheme="minorEastAsia"/>
                      <w:color w:val="auto"/>
                      <w:spacing w:val="8"/>
                      <w:sz w:val="24"/>
                      <w:szCs w:val="24"/>
                      <w:highlight w:val="none"/>
                    </w:rPr>
                    <w:t>煤炭与油气等资源的协调开发工作。煤炭企业采矿权申请范围与</w:t>
                  </w:r>
                  <w:r>
                    <w:rPr>
                      <w:rFonts w:hint="eastAsia" w:asciiTheme="minorEastAsia" w:hAnsiTheme="minorEastAsia" w:eastAsiaTheme="minorEastAsia" w:cstheme="minorEastAsia"/>
                      <w:color w:val="auto"/>
                      <w:spacing w:val="-3"/>
                      <w:sz w:val="24"/>
                      <w:szCs w:val="24"/>
                      <w:highlight w:val="none"/>
                    </w:rPr>
                    <w:t>已设油气矿业权重叠的，双方应签订互不影响和权益保护协议。</w:t>
                  </w:r>
                </w:p>
              </w:tc>
              <w:tc>
                <w:tcPr>
                  <w:tcW w:w="1743" w:type="dxa"/>
                  <w:vAlign w:val="center"/>
                </w:tcPr>
                <w:p w14:paraId="4D780D39">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right="0"/>
                    <w:jc w:val="center"/>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cs="Times New Roman" w:eastAsiaTheme="minorEastAsia"/>
                      <w:b w:val="0"/>
                      <w:bCs w:val="0"/>
                      <w:color w:val="auto"/>
                      <w:sz w:val="24"/>
                      <w:szCs w:val="24"/>
                      <w:highlight w:val="none"/>
                      <w:vertAlign w:val="baseline"/>
                      <w:lang w:val="en-US" w:eastAsia="zh-CN"/>
                    </w:rPr>
                    <w:t>本项目不涉及</w:t>
                  </w:r>
                </w:p>
              </w:tc>
            </w:tr>
            <w:tr w14:paraId="0BBD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9" w:type="dxa"/>
                  <w:vAlign w:val="center"/>
                </w:tcPr>
                <w:p w14:paraId="42FF4168">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right="0" w:firstLine="520" w:firstLineChars="200"/>
                    <w:jc w:val="both"/>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asciiTheme="minorEastAsia" w:hAnsiTheme="minorEastAsia" w:eastAsiaTheme="minorEastAsia" w:cstheme="minorEastAsia"/>
                      <w:color w:val="auto"/>
                      <w:spacing w:val="10"/>
                      <w:sz w:val="24"/>
                      <w:szCs w:val="24"/>
                      <w:highlight w:val="none"/>
                    </w:rPr>
                    <w:t>十三、规划实施过程中，要严格落实矿区总体规划环境影响</w:t>
                  </w:r>
                  <w:r>
                    <w:rPr>
                      <w:rFonts w:hint="eastAsia" w:asciiTheme="minorEastAsia" w:hAnsiTheme="minorEastAsia" w:eastAsiaTheme="minorEastAsia" w:cstheme="minorEastAsia"/>
                      <w:color w:val="auto"/>
                      <w:spacing w:val="8"/>
                      <w:sz w:val="24"/>
                      <w:szCs w:val="24"/>
                      <w:highlight w:val="none"/>
                    </w:rPr>
                    <w:t>报告书审查意见的要求，切实预防或减缓煤炭资源开发可能产生的不良环境影响，煤矿项目应依法开展环境影响</w:t>
                  </w:r>
                  <w:r>
                    <w:rPr>
                      <w:rFonts w:hint="eastAsia" w:asciiTheme="minorEastAsia" w:hAnsiTheme="minorEastAsia" w:eastAsiaTheme="minorEastAsia" w:cstheme="minorEastAsia"/>
                      <w:color w:val="auto"/>
                      <w:spacing w:val="7"/>
                      <w:sz w:val="24"/>
                      <w:szCs w:val="24"/>
                      <w:highlight w:val="none"/>
                    </w:rPr>
                    <w:t>评价。要按照红</w:t>
                  </w:r>
                  <w:r>
                    <w:rPr>
                      <w:rFonts w:hint="eastAsia" w:asciiTheme="minorEastAsia" w:hAnsiTheme="minorEastAsia" w:eastAsiaTheme="minorEastAsia" w:cstheme="minorEastAsia"/>
                      <w:color w:val="auto"/>
                      <w:spacing w:val="19"/>
                      <w:sz w:val="24"/>
                      <w:szCs w:val="24"/>
                      <w:highlight w:val="none"/>
                    </w:rPr>
                    <w:t>碱淖国家级自然保护区、战国秦昭襄王长城、罕台川、哈什拉</w:t>
                  </w:r>
                  <w:r>
                    <w:rPr>
                      <w:rFonts w:hint="eastAsia" w:asciiTheme="minorEastAsia" w:hAnsiTheme="minorEastAsia" w:eastAsiaTheme="minorEastAsia" w:cstheme="minorEastAsia"/>
                      <w:color w:val="auto"/>
                      <w:spacing w:val="9"/>
                      <w:sz w:val="24"/>
                      <w:szCs w:val="24"/>
                      <w:highlight w:val="none"/>
                    </w:rPr>
                    <w:t>川、乌兰木伦河等保护目标的管理要求，严格落实生态保护与修</w:t>
                  </w:r>
                  <w:r>
                    <w:rPr>
                      <w:rFonts w:hint="eastAsia" w:asciiTheme="minorEastAsia" w:hAnsiTheme="minorEastAsia" w:eastAsiaTheme="minorEastAsia" w:cstheme="minorEastAsia"/>
                      <w:color w:val="auto"/>
                      <w:spacing w:val="8"/>
                      <w:sz w:val="24"/>
                      <w:szCs w:val="24"/>
                      <w:highlight w:val="none"/>
                    </w:rPr>
                    <w:t>复措施，保障区域生态功能。要按照法律法规要求</w:t>
                  </w:r>
                  <w:r>
                    <w:rPr>
                      <w:rFonts w:hint="eastAsia" w:asciiTheme="minorEastAsia" w:hAnsiTheme="minorEastAsia" w:eastAsiaTheme="minorEastAsia" w:cstheme="minorEastAsia"/>
                      <w:color w:val="auto"/>
                      <w:spacing w:val="7"/>
                      <w:sz w:val="24"/>
                      <w:szCs w:val="24"/>
                      <w:highlight w:val="none"/>
                    </w:rPr>
                    <w:t>，做好矿区涉</w:t>
                  </w:r>
                  <w:r>
                    <w:rPr>
                      <w:rFonts w:hint="eastAsia" w:asciiTheme="minorEastAsia" w:hAnsiTheme="minorEastAsia" w:eastAsiaTheme="minorEastAsia" w:cstheme="minorEastAsia"/>
                      <w:color w:val="auto"/>
                      <w:spacing w:val="1"/>
                      <w:sz w:val="24"/>
                      <w:szCs w:val="24"/>
                      <w:highlight w:val="none"/>
                    </w:rPr>
                    <w:t>及的文物保护工作，确保文物安全。</w:t>
                  </w:r>
                </w:p>
              </w:tc>
              <w:tc>
                <w:tcPr>
                  <w:tcW w:w="1743" w:type="dxa"/>
                  <w:vAlign w:val="center"/>
                </w:tcPr>
                <w:p w14:paraId="25572275">
                  <w:pPr>
                    <w:pStyle w:val="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right="0"/>
                    <w:jc w:val="center"/>
                    <w:textAlignment w:val="auto"/>
                    <w:rPr>
                      <w:rFonts w:hint="default" w:ascii="Times New Roman" w:hAnsi="Times New Roman" w:cs="Times New Roman" w:eastAsiaTheme="minorEastAsia"/>
                      <w:b w:val="0"/>
                      <w:bCs w:val="0"/>
                      <w:color w:val="auto"/>
                      <w:sz w:val="24"/>
                      <w:szCs w:val="24"/>
                      <w:highlight w:val="none"/>
                      <w:vertAlign w:val="baseline"/>
                    </w:rPr>
                  </w:pPr>
                  <w:r>
                    <w:rPr>
                      <w:rFonts w:hint="eastAsia" w:cs="Times New Roman" w:eastAsiaTheme="minorEastAsia"/>
                      <w:b w:val="0"/>
                      <w:bCs w:val="0"/>
                      <w:color w:val="auto"/>
                      <w:sz w:val="24"/>
                      <w:szCs w:val="24"/>
                      <w:highlight w:val="none"/>
                      <w:vertAlign w:val="baseline"/>
                      <w:lang w:val="en-US" w:eastAsia="zh-CN"/>
                    </w:rPr>
                    <w:t>本项目不涉及</w:t>
                  </w:r>
                </w:p>
              </w:tc>
            </w:tr>
          </w:tbl>
          <w:p w14:paraId="574253B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480" w:firstLineChars="200"/>
              <w:jc w:val="both"/>
              <w:textAlignment w:val="auto"/>
              <w:rPr>
                <w:rFonts w:hint="eastAsia"/>
                <w:color w:val="auto"/>
                <w:highlight w:val="none"/>
                <w:lang w:val="en-US" w:eastAsia="zh-CN"/>
              </w:rPr>
            </w:pPr>
            <w:r>
              <w:rPr>
                <w:rFonts w:hint="eastAsia"/>
                <w:color w:val="auto"/>
                <w:highlight w:val="none"/>
                <w:lang w:val="en-US" w:eastAsia="zh-CN"/>
              </w:rPr>
              <w:t>本项目关于</w:t>
            </w:r>
            <w:r>
              <w:rPr>
                <w:rFonts w:hint="default" w:eastAsia="宋体"/>
                <w:color w:val="auto"/>
                <w:highlight w:val="none"/>
                <w:lang w:val="en-US" w:eastAsia="zh-CN"/>
              </w:rPr>
              <w:t>《内蒙古自治区鄂尔多斯市东胜煤田万利煤炭矿区总体规划</w:t>
            </w:r>
            <w:r>
              <w:rPr>
                <w:rFonts w:hint="eastAsia"/>
                <w:color w:val="auto"/>
                <w:highlight w:val="none"/>
                <w:lang w:val="en-US" w:eastAsia="zh-CN"/>
              </w:rPr>
              <w:t>（</w:t>
            </w:r>
            <w:r>
              <w:rPr>
                <w:rFonts w:hint="default" w:eastAsia="宋体"/>
                <w:color w:val="auto"/>
                <w:highlight w:val="none"/>
                <w:lang w:val="en-US" w:eastAsia="zh-CN"/>
              </w:rPr>
              <w:t>修编</w:t>
            </w:r>
            <w:r>
              <w:rPr>
                <w:rFonts w:hint="eastAsia"/>
                <w:color w:val="auto"/>
                <w:highlight w:val="none"/>
                <w:lang w:val="en-US" w:eastAsia="zh-CN"/>
              </w:rPr>
              <w:t>）</w:t>
            </w:r>
            <w:r>
              <w:rPr>
                <w:rFonts w:hint="default" w:eastAsia="宋体"/>
                <w:color w:val="auto"/>
                <w:highlight w:val="none"/>
                <w:lang w:val="en-US" w:eastAsia="zh-CN"/>
              </w:rPr>
              <w:t>环境影响补充报告》有关意见的复函</w:t>
            </w:r>
            <w:r>
              <w:rPr>
                <w:rFonts w:hint="eastAsia"/>
                <w:color w:val="auto"/>
                <w:highlight w:val="none"/>
                <w:lang w:val="en-US" w:eastAsia="zh-CN"/>
              </w:rPr>
              <w:t>（</w:t>
            </w:r>
            <w:r>
              <w:rPr>
                <w:rFonts w:hint="default" w:eastAsia="宋体"/>
                <w:color w:val="auto"/>
                <w:highlight w:val="none"/>
                <w:lang w:val="en-US" w:eastAsia="zh-CN"/>
              </w:rPr>
              <w:t>环评函</w:t>
            </w:r>
            <w:r>
              <w:rPr>
                <w:rFonts w:hint="eastAsia"/>
                <w:color w:val="auto"/>
                <w:highlight w:val="none"/>
                <w:lang w:val="en-US" w:eastAsia="zh-CN"/>
              </w:rPr>
              <w:t>〔</w:t>
            </w:r>
            <w:r>
              <w:rPr>
                <w:rFonts w:hint="default" w:eastAsia="宋体"/>
                <w:color w:val="auto"/>
                <w:highlight w:val="none"/>
                <w:lang w:val="en-US" w:eastAsia="zh-CN"/>
              </w:rPr>
              <w:t>2025</w:t>
            </w:r>
            <w:r>
              <w:rPr>
                <w:rFonts w:hint="eastAsia"/>
                <w:color w:val="auto"/>
                <w:highlight w:val="none"/>
                <w:lang w:val="en-US" w:eastAsia="zh-CN"/>
              </w:rPr>
              <w:t>〕</w:t>
            </w:r>
            <w:r>
              <w:rPr>
                <w:rFonts w:hint="default" w:eastAsia="宋体"/>
                <w:color w:val="auto"/>
                <w:highlight w:val="none"/>
                <w:lang w:val="en-US" w:eastAsia="zh-CN"/>
              </w:rPr>
              <w:t>22号</w:t>
            </w:r>
            <w:r>
              <w:rPr>
                <w:rFonts w:hint="eastAsia"/>
                <w:color w:val="auto"/>
                <w:highlight w:val="none"/>
                <w:lang w:val="en-US" w:eastAsia="zh-CN"/>
              </w:rPr>
              <w:t>）的符合性分析见下表。</w:t>
            </w:r>
          </w:p>
          <w:p w14:paraId="2F01CBF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left="274" w:leftChars="114" w:right="0" w:rightChars="0" w:firstLine="0" w:firstLineChars="0"/>
              <w:jc w:val="center"/>
              <w:textAlignment w:val="auto"/>
              <w:rPr>
                <w:rFonts w:hint="eastAsia"/>
                <w:b/>
                <w:bCs/>
                <w:color w:val="auto"/>
                <w:highlight w:val="none"/>
                <w:lang w:val="en-US" w:eastAsia="zh-CN"/>
              </w:rPr>
            </w:pPr>
            <w:r>
              <w:rPr>
                <w:rFonts w:hint="eastAsia"/>
                <w:b/>
                <w:bCs/>
                <w:color w:val="auto"/>
                <w:highlight w:val="none"/>
                <w:lang w:val="en-US" w:eastAsia="zh-CN"/>
              </w:rPr>
              <w:t>表1-1-3关于</w:t>
            </w:r>
            <w:r>
              <w:rPr>
                <w:rFonts w:hint="default" w:eastAsia="宋体"/>
                <w:b/>
                <w:bCs/>
                <w:color w:val="auto"/>
                <w:highlight w:val="none"/>
                <w:lang w:val="en-US" w:eastAsia="zh-CN"/>
              </w:rPr>
              <w:t>《内蒙古自治区鄂尔多斯市东胜煤田万利煤炭矿区总体规划</w:t>
            </w:r>
            <w:r>
              <w:rPr>
                <w:rFonts w:hint="eastAsia"/>
                <w:b/>
                <w:bCs/>
                <w:color w:val="auto"/>
                <w:highlight w:val="none"/>
                <w:lang w:val="en-US" w:eastAsia="zh-CN"/>
              </w:rPr>
              <w:t>（</w:t>
            </w:r>
            <w:r>
              <w:rPr>
                <w:rFonts w:hint="default" w:eastAsia="宋体"/>
                <w:b/>
                <w:bCs/>
                <w:color w:val="auto"/>
                <w:highlight w:val="none"/>
                <w:lang w:val="en-US" w:eastAsia="zh-CN"/>
              </w:rPr>
              <w:t>修编</w:t>
            </w:r>
            <w:r>
              <w:rPr>
                <w:rFonts w:hint="eastAsia"/>
                <w:b/>
                <w:bCs/>
                <w:color w:val="auto"/>
                <w:highlight w:val="none"/>
                <w:lang w:val="en-US" w:eastAsia="zh-CN"/>
              </w:rPr>
              <w:t>）</w:t>
            </w:r>
            <w:r>
              <w:rPr>
                <w:rFonts w:hint="default" w:eastAsia="宋体"/>
                <w:b/>
                <w:bCs/>
                <w:color w:val="auto"/>
                <w:highlight w:val="none"/>
                <w:lang w:val="en-US" w:eastAsia="zh-CN"/>
              </w:rPr>
              <w:t>环境影响补充报告》有关意见的复函</w:t>
            </w:r>
            <w:r>
              <w:rPr>
                <w:rFonts w:hint="eastAsia"/>
                <w:b/>
                <w:bCs/>
                <w:color w:val="auto"/>
                <w:highlight w:val="none"/>
                <w:lang w:val="en-US" w:eastAsia="zh-CN"/>
              </w:rPr>
              <w:t>符合性分析</w:t>
            </w:r>
          </w:p>
          <w:tbl>
            <w:tblPr>
              <w:tblStyle w:val="15"/>
              <w:tblW w:w="62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9"/>
              <w:gridCol w:w="1683"/>
            </w:tblGrid>
            <w:tr w14:paraId="26197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9" w:type="dxa"/>
                  <w:vAlign w:val="center"/>
                </w:tcPr>
                <w:p w14:paraId="0CBFA84B">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0" w:afterAutospacing="0" w:line="240" w:lineRule="auto"/>
                    <w:ind w:left="0" w:leftChars="0" w:right="0" w:rightChars="0" w:firstLine="0" w:firstLineChars="0"/>
                    <w:jc w:val="center"/>
                    <w:textAlignment w:val="auto"/>
                    <w:rPr>
                      <w:rFonts w:hint="default"/>
                      <w:b/>
                      <w:bCs/>
                      <w:color w:val="auto"/>
                      <w:highlight w:val="none"/>
                      <w:vertAlign w:val="baseline"/>
                      <w:lang w:val="en-US" w:eastAsia="zh-CN"/>
                    </w:rPr>
                  </w:pPr>
                  <w:r>
                    <w:rPr>
                      <w:rFonts w:hint="eastAsia"/>
                      <w:color w:val="auto"/>
                      <w:highlight w:val="none"/>
                      <w:vertAlign w:val="baseline"/>
                      <w:lang w:val="en-US" w:eastAsia="zh-CN"/>
                    </w:rPr>
                    <w:t>意见要求</w:t>
                  </w:r>
                </w:p>
              </w:tc>
              <w:tc>
                <w:tcPr>
                  <w:tcW w:w="1683" w:type="dxa"/>
                  <w:vAlign w:val="center"/>
                </w:tcPr>
                <w:p w14:paraId="5DE8E03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0" w:afterAutospacing="0" w:line="240" w:lineRule="auto"/>
                    <w:ind w:left="0" w:leftChars="0" w:right="0" w:rightChars="0" w:firstLine="0" w:firstLineChars="0"/>
                    <w:jc w:val="center"/>
                    <w:textAlignment w:val="auto"/>
                    <w:rPr>
                      <w:rFonts w:hint="default"/>
                      <w:b/>
                      <w:bCs/>
                      <w:color w:val="auto"/>
                      <w:highlight w:val="none"/>
                      <w:vertAlign w:val="baseline"/>
                      <w:lang w:val="en-US" w:eastAsia="zh-CN"/>
                    </w:rPr>
                  </w:pPr>
                  <w:r>
                    <w:rPr>
                      <w:rFonts w:hint="eastAsia"/>
                      <w:color w:val="auto"/>
                      <w:highlight w:val="none"/>
                      <w:vertAlign w:val="baseline"/>
                      <w:lang w:val="en-US" w:eastAsia="zh-CN"/>
                    </w:rPr>
                    <w:t>本项目情况</w:t>
                  </w:r>
                </w:p>
              </w:tc>
            </w:tr>
            <w:tr w14:paraId="6B780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9" w:type="dxa"/>
                  <w:vAlign w:val="center"/>
                </w:tcPr>
                <w:p w14:paraId="51A2064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0" w:afterAutospacing="0" w:line="360" w:lineRule="auto"/>
                    <w:ind w:left="0" w:leftChars="0" w:right="0" w:rightChars="0" w:firstLine="576" w:firstLineChars="200"/>
                    <w:jc w:val="both"/>
                    <w:textAlignment w:val="auto"/>
                    <w:rPr>
                      <w:rFonts w:hint="default"/>
                      <w:b/>
                      <w:bCs/>
                      <w:color w:val="auto"/>
                      <w:highlight w:val="none"/>
                      <w:vertAlign w:val="baseline"/>
                      <w:lang w:val="en-US" w:eastAsia="zh-CN"/>
                    </w:rPr>
                  </w:pPr>
                  <w:r>
                    <w:rPr>
                      <w:rFonts w:hint="eastAsia" w:asciiTheme="minorEastAsia" w:hAnsiTheme="minorEastAsia" w:eastAsiaTheme="minorEastAsia" w:cstheme="minorEastAsia"/>
                      <w:color w:val="auto"/>
                      <w:spacing w:val="24"/>
                      <w:sz w:val="24"/>
                      <w:szCs w:val="24"/>
                      <w:highlight w:val="none"/>
                      <w:lang w:eastAsia="zh-CN"/>
                    </w:rPr>
                    <w:t>（一）</w:t>
                  </w:r>
                  <w:r>
                    <w:rPr>
                      <w:rFonts w:hint="eastAsia" w:asciiTheme="minorEastAsia" w:hAnsiTheme="minorEastAsia" w:eastAsiaTheme="minorEastAsia" w:cstheme="minorEastAsia"/>
                      <w:color w:val="auto"/>
                      <w:spacing w:val="24"/>
                      <w:sz w:val="24"/>
                      <w:szCs w:val="24"/>
                      <w:highlight w:val="none"/>
                    </w:rPr>
                    <w:t>合理控制矿区开发布局及规模。将板洞梁等14座矿井</w:t>
                  </w:r>
                  <w:r>
                    <w:rPr>
                      <w:rFonts w:hint="eastAsia" w:asciiTheme="minorEastAsia" w:hAnsiTheme="minorEastAsia" w:eastAsiaTheme="minorEastAsia" w:cstheme="minorEastAsia"/>
                      <w:color w:val="auto"/>
                      <w:spacing w:val="14"/>
                      <w:sz w:val="24"/>
                      <w:szCs w:val="24"/>
                      <w:highlight w:val="none"/>
                    </w:rPr>
                    <w:t>与新划定的城镇开发边界重叠区域划为禁采区，严格落实禁采要求并在禁采区域周边留设足够保护煤柱，并根据实际沉陷观测结</w:t>
                  </w:r>
                  <w:r>
                    <w:rPr>
                      <w:rFonts w:hint="eastAsia" w:asciiTheme="minorEastAsia" w:hAnsiTheme="minorEastAsia" w:eastAsiaTheme="minorEastAsia" w:cstheme="minorEastAsia"/>
                      <w:color w:val="auto"/>
                      <w:spacing w:val="11"/>
                      <w:sz w:val="24"/>
                      <w:szCs w:val="24"/>
                      <w:highlight w:val="none"/>
                    </w:rPr>
                    <w:t>果适时调整煤柱宽度，确保不造成不良生态环境影响。</w:t>
                  </w:r>
                </w:p>
              </w:tc>
              <w:tc>
                <w:tcPr>
                  <w:tcW w:w="1683" w:type="dxa"/>
                  <w:vAlign w:val="center"/>
                </w:tcPr>
                <w:p w14:paraId="292F297C">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0" w:afterAutospacing="0" w:line="360" w:lineRule="auto"/>
                    <w:ind w:right="0" w:rightChars="0"/>
                    <w:jc w:val="both"/>
                    <w:textAlignment w:val="auto"/>
                    <w:rPr>
                      <w:rFonts w:hint="default"/>
                      <w:b/>
                      <w:bCs/>
                      <w:color w:val="auto"/>
                      <w:highlight w:val="none"/>
                      <w:vertAlign w:val="baseline"/>
                      <w:lang w:val="en-US" w:eastAsia="zh-CN"/>
                    </w:rPr>
                  </w:pPr>
                  <w:r>
                    <w:rPr>
                      <w:rFonts w:hint="eastAsia"/>
                      <w:color w:val="auto"/>
                      <w:highlight w:val="none"/>
                      <w:vertAlign w:val="baseline"/>
                      <w:lang w:val="en-US" w:eastAsia="zh-CN"/>
                    </w:rPr>
                    <w:t>本项目不涉及</w:t>
                  </w:r>
                </w:p>
              </w:tc>
            </w:tr>
            <w:tr w14:paraId="482D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9" w:type="dxa"/>
                  <w:vAlign w:val="center"/>
                </w:tcPr>
                <w:p w14:paraId="7860F973">
                  <w:pPr>
                    <w:pStyle w:val="6"/>
                    <w:keepNext w:val="0"/>
                    <w:keepLines w:val="0"/>
                    <w:pageBreakBefore w:val="0"/>
                    <w:widowControl/>
                    <w:kinsoku/>
                    <w:wordWrap/>
                    <w:overflowPunct/>
                    <w:topLinePunct w:val="0"/>
                    <w:autoSpaceDE/>
                    <w:autoSpaceDN/>
                    <w:bidi w:val="0"/>
                    <w:adjustRightInd w:val="0"/>
                    <w:snapToGrid w:val="0"/>
                    <w:spacing w:line="360" w:lineRule="auto"/>
                    <w:ind w:left="0" w:leftChars="0" w:right="116" w:rightChars="0" w:firstLine="580" w:firstLineChars="200"/>
                    <w:jc w:val="both"/>
                    <w:textAlignment w:val="auto"/>
                    <w:rPr>
                      <w:rFonts w:hint="default"/>
                      <w:b/>
                      <w:bCs/>
                      <w:color w:val="auto"/>
                      <w:highlight w:val="none"/>
                      <w:vertAlign w:val="baseline"/>
                      <w:lang w:val="en-US" w:eastAsia="zh-CN"/>
                    </w:rPr>
                  </w:pPr>
                  <w:r>
                    <w:rPr>
                      <w:rFonts w:hint="eastAsia" w:asciiTheme="minorEastAsia" w:hAnsiTheme="minorEastAsia" w:eastAsiaTheme="minorEastAsia" w:cstheme="minorEastAsia"/>
                      <w:color w:val="auto"/>
                      <w:spacing w:val="25"/>
                      <w:sz w:val="24"/>
                      <w:szCs w:val="24"/>
                      <w:highlight w:val="none"/>
                      <w:lang w:eastAsia="zh-CN"/>
                    </w:rPr>
                    <w:t>（二）</w:t>
                  </w:r>
                  <w:r>
                    <w:rPr>
                      <w:rFonts w:hint="eastAsia" w:asciiTheme="minorEastAsia" w:hAnsiTheme="minorEastAsia" w:eastAsiaTheme="minorEastAsia" w:cstheme="minorEastAsia"/>
                      <w:color w:val="auto"/>
                      <w:spacing w:val="25"/>
                      <w:sz w:val="24"/>
                      <w:szCs w:val="24"/>
                      <w:highlight w:val="none"/>
                    </w:rPr>
                    <w:t>加强矿区生态修复。严格控制矿区开发扰动范围，加</w:t>
                  </w:r>
                  <w:r>
                    <w:rPr>
                      <w:rFonts w:hint="eastAsia" w:asciiTheme="minorEastAsia" w:hAnsiTheme="minorEastAsia" w:eastAsiaTheme="minorEastAsia" w:cstheme="minorEastAsia"/>
                      <w:color w:val="auto"/>
                      <w:spacing w:val="14"/>
                      <w:sz w:val="24"/>
                      <w:szCs w:val="24"/>
                      <w:highlight w:val="none"/>
                    </w:rPr>
                    <w:t>大环境治理和生态修复力度，切实预防或者减轻</w:t>
                  </w:r>
                  <w:r>
                    <w:rPr>
                      <w:rFonts w:hint="eastAsia" w:asciiTheme="minorEastAsia" w:hAnsiTheme="minorEastAsia" w:eastAsiaTheme="minorEastAsia" w:cstheme="minorEastAsia"/>
                      <w:color w:val="auto"/>
                      <w:spacing w:val="13"/>
                      <w:sz w:val="24"/>
                      <w:szCs w:val="24"/>
                      <w:highlight w:val="none"/>
                    </w:rPr>
                    <w:t>规划实施的生态</w:t>
                  </w:r>
                  <w:r>
                    <w:rPr>
                      <w:rFonts w:hint="eastAsia" w:asciiTheme="minorEastAsia" w:hAnsiTheme="minorEastAsia" w:eastAsiaTheme="minorEastAsia" w:cstheme="minorEastAsia"/>
                      <w:color w:val="auto"/>
                      <w:spacing w:val="25"/>
                      <w:sz w:val="24"/>
                      <w:szCs w:val="24"/>
                      <w:highlight w:val="none"/>
                    </w:rPr>
                    <w:t>影响，确保区域生态系统稳定。对于已对城镇开发边界造成塌</w:t>
                  </w:r>
                  <w:r>
                    <w:rPr>
                      <w:rFonts w:hint="eastAsia" w:asciiTheme="minorEastAsia" w:hAnsiTheme="minorEastAsia" w:eastAsiaTheme="minorEastAsia" w:cstheme="minorEastAsia"/>
                      <w:color w:val="auto"/>
                      <w:spacing w:val="13"/>
                      <w:sz w:val="24"/>
                      <w:szCs w:val="24"/>
                      <w:highlight w:val="none"/>
                    </w:rPr>
                    <w:t>陷、裂缝等不良生态环境影响的煤矿，应及时完成治理和生态修</w:t>
                  </w:r>
                  <w:r>
                    <w:rPr>
                      <w:rFonts w:hint="eastAsia" w:asciiTheme="minorEastAsia" w:hAnsiTheme="minorEastAsia" w:eastAsiaTheme="minorEastAsia" w:cstheme="minorEastAsia"/>
                      <w:color w:val="auto"/>
                      <w:spacing w:val="-2"/>
                      <w:sz w:val="24"/>
                      <w:szCs w:val="24"/>
                      <w:highlight w:val="none"/>
                    </w:rPr>
                    <w:t>复等工作。</w:t>
                  </w:r>
                </w:p>
              </w:tc>
              <w:tc>
                <w:tcPr>
                  <w:tcW w:w="1683" w:type="dxa"/>
                  <w:vAlign w:val="center"/>
                </w:tcPr>
                <w:p w14:paraId="5F131D6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0" w:afterAutospacing="0" w:line="360" w:lineRule="auto"/>
                    <w:ind w:right="0" w:rightChars="0"/>
                    <w:jc w:val="both"/>
                    <w:textAlignment w:val="auto"/>
                    <w:rPr>
                      <w:rFonts w:hint="default"/>
                      <w:b/>
                      <w:bCs/>
                      <w:color w:val="auto"/>
                      <w:highlight w:val="none"/>
                      <w:vertAlign w:val="baseline"/>
                      <w:lang w:val="en-US" w:eastAsia="zh-CN"/>
                    </w:rPr>
                  </w:pPr>
                  <w:r>
                    <w:rPr>
                      <w:rFonts w:hint="eastAsia"/>
                      <w:color w:val="auto"/>
                      <w:highlight w:val="none"/>
                      <w:vertAlign w:val="baseline"/>
                      <w:lang w:val="en-US" w:eastAsia="zh-CN"/>
                    </w:rPr>
                    <w:t>本项目不涉及</w:t>
                  </w:r>
                </w:p>
              </w:tc>
            </w:tr>
            <w:tr w14:paraId="16F2A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9" w:type="dxa"/>
                  <w:vAlign w:val="center"/>
                </w:tcPr>
                <w:p w14:paraId="6B248E6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0" w:afterAutospacing="0" w:line="360" w:lineRule="auto"/>
                    <w:ind w:left="0" w:leftChars="0" w:right="0" w:rightChars="0" w:firstLine="580" w:firstLineChars="200"/>
                    <w:jc w:val="both"/>
                    <w:textAlignment w:val="auto"/>
                    <w:rPr>
                      <w:rFonts w:hint="default"/>
                      <w:b/>
                      <w:bCs/>
                      <w:color w:val="auto"/>
                      <w:highlight w:val="none"/>
                      <w:vertAlign w:val="baseline"/>
                      <w:lang w:val="en-US" w:eastAsia="zh-CN"/>
                    </w:rPr>
                  </w:pPr>
                  <w:r>
                    <w:rPr>
                      <w:rFonts w:hint="eastAsia" w:asciiTheme="minorEastAsia" w:hAnsiTheme="minorEastAsia" w:eastAsiaTheme="minorEastAsia" w:cstheme="minorEastAsia"/>
                      <w:color w:val="auto"/>
                      <w:spacing w:val="25"/>
                      <w:sz w:val="24"/>
                      <w:szCs w:val="24"/>
                      <w:highlight w:val="none"/>
                      <w:lang w:eastAsia="zh-CN"/>
                    </w:rPr>
                    <w:t>（三）</w:t>
                  </w:r>
                  <w:r>
                    <w:rPr>
                      <w:rFonts w:hint="eastAsia" w:asciiTheme="minorEastAsia" w:hAnsiTheme="minorEastAsia" w:eastAsiaTheme="minorEastAsia" w:cstheme="minorEastAsia"/>
                      <w:color w:val="auto"/>
                      <w:spacing w:val="25"/>
                      <w:sz w:val="24"/>
                      <w:szCs w:val="24"/>
                      <w:highlight w:val="none"/>
                    </w:rPr>
                    <w:t>强化水污染防治。采取有效措施控制疏干水量、地下</w:t>
                  </w:r>
                  <w:r>
                    <w:rPr>
                      <w:rFonts w:hint="eastAsia" w:asciiTheme="minorEastAsia" w:hAnsiTheme="minorEastAsia" w:eastAsiaTheme="minorEastAsia" w:cstheme="minorEastAsia"/>
                      <w:color w:val="auto"/>
                      <w:spacing w:val="14"/>
                      <w:sz w:val="24"/>
                      <w:szCs w:val="24"/>
                      <w:highlight w:val="none"/>
                    </w:rPr>
                    <w:t>水水位降深及地下水疏干影响半径，减缓对区域第</w:t>
                  </w:r>
                  <w:r>
                    <w:rPr>
                      <w:rFonts w:hint="eastAsia" w:asciiTheme="minorEastAsia" w:hAnsiTheme="minorEastAsia" w:eastAsiaTheme="minorEastAsia" w:cstheme="minorEastAsia"/>
                      <w:color w:val="auto"/>
                      <w:spacing w:val="13"/>
                      <w:sz w:val="24"/>
                      <w:szCs w:val="24"/>
                      <w:highlight w:val="none"/>
                    </w:rPr>
                    <w:t>四系和白垩系</w:t>
                  </w:r>
                  <w:r>
                    <w:rPr>
                      <w:rFonts w:hint="eastAsia" w:asciiTheme="minorEastAsia" w:hAnsiTheme="minorEastAsia" w:eastAsiaTheme="minorEastAsia" w:cstheme="minorEastAsia"/>
                      <w:color w:val="auto"/>
                      <w:spacing w:val="18"/>
                      <w:sz w:val="24"/>
                      <w:szCs w:val="24"/>
                      <w:highlight w:val="none"/>
                    </w:rPr>
                    <w:t>地下水的影响。板洞梁矿井应采取限高、充填等保水采煤措施，</w:t>
                  </w:r>
                  <w:r>
                    <w:rPr>
                      <w:rFonts w:hint="eastAsia" w:asciiTheme="minorEastAsia" w:hAnsiTheme="minorEastAsia" w:eastAsiaTheme="minorEastAsia" w:cstheme="minorEastAsia"/>
                      <w:color w:val="auto"/>
                      <w:spacing w:val="11"/>
                      <w:sz w:val="24"/>
                      <w:szCs w:val="24"/>
                      <w:highlight w:val="none"/>
                    </w:rPr>
                    <w:t>同时加强对导水裂缝带观测，根据实测值优化保水采煤方案。</w:t>
                  </w:r>
                </w:p>
              </w:tc>
              <w:tc>
                <w:tcPr>
                  <w:tcW w:w="1683" w:type="dxa"/>
                  <w:vAlign w:val="center"/>
                </w:tcPr>
                <w:p w14:paraId="0CD0E3F7">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0" w:afterAutospacing="0" w:line="360" w:lineRule="auto"/>
                    <w:ind w:right="0" w:rightChars="0"/>
                    <w:jc w:val="both"/>
                    <w:textAlignment w:val="auto"/>
                    <w:rPr>
                      <w:rFonts w:hint="default"/>
                      <w:b/>
                      <w:bCs/>
                      <w:color w:val="auto"/>
                      <w:highlight w:val="none"/>
                      <w:vertAlign w:val="baseline"/>
                      <w:lang w:val="en-US" w:eastAsia="zh-CN"/>
                    </w:rPr>
                  </w:pPr>
                  <w:r>
                    <w:rPr>
                      <w:rFonts w:hint="eastAsia"/>
                      <w:color w:val="auto"/>
                      <w:highlight w:val="none"/>
                      <w:vertAlign w:val="baseline"/>
                      <w:lang w:val="en-US" w:eastAsia="zh-CN"/>
                    </w:rPr>
                    <w:t>本项目蓄水罐为不锈钢材质，拌合楼地面全部进行硬化处理，项目生产过程中不会对地下水和土壤造成污染。</w:t>
                  </w:r>
                </w:p>
              </w:tc>
            </w:tr>
            <w:tr w14:paraId="6CF7E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9" w:type="dxa"/>
                  <w:vAlign w:val="center"/>
                </w:tcPr>
                <w:p w14:paraId="3BA9F484">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0" w:afterAutospacing="0" w:line="360" w:lineRule="auto"/>
                    <w:ind w:left="0" w:leftChars="0" w:right="0" w:rightChars="0" w:firstLine="580" w:firstLineChars="200"/>
                    <w:jc w:val="both"/>
                    <w:textAlignment w:val="auto"/>
                    <w:rPr>
                      <w:rFonts w:hint="default"/>
                      <w:b/>
                      <w:bCs/>
                      <w:color w:val="auto"/>
                      <w:highlight w:val="none"/>
                      <w:vertAlign w:val="baseline"/>
                      <w:lang w:val="en-US" w:eastAsia="zh-CN"/>
                    </w:rPr>
                  </w:pPr>
                  <w:r>
                    <w:rPr>
                      <w:rFonts w:hint="eastAsia" w:asciiTheme="minorEastAsia" w:hAnsiTheme="minorEastAsia" w:eastAsiaTheme="minorEastAsia" w:cstheme="minorEastAsia"/>
                      <w:color w:val="auto"/>
                      <w:spacing w:val="25"/>
                      <w:sz w:val="24"/>
                      <w:szCs w:val="24"/>
                      <w:highlight w:val="none"/>
                      <w:lang w:eastAsia="zh-CN"/>
                    </w:rPr>
                    <w:t>（四）</w:t>
                  </w:r>
                  <w:r>
                    <w:rPr>
                      <w:rFonts w:hint="eastAsia" w:asciiTheme="minorEastAsia" w:hAnsiTheme="minorEastAsia" w:eastAsiaTheme="minorEastAsia" w:cstheme="minorEastAsia"/>
                      <w:color w:val="auto"/>
                      <w:spacing w:val="25"/>
                      <w:sz w:val="24"/>
                      <w:szCs w:val="24"/>
                      <w:highlight w:val="none"/>
                    </w:rPr>
                    <w:t>请你单位在实施万利矿区总体规划过程中，</w:t>
                  </w:r>
                  <w:r>
                    <w:rPr>
                      <w:rFonts w:hint="eastAsia" w:asciiTheme="minorEastAsia" w:hAnsiTheme="minorEastAsia" w:eastAsiaTheme="minorEastAsia" w:cstheme="minorEastAsia"/>
                      <w:color w:val="auto"/>
                      <w:spacing w:val="24"/>
                      <w:sz w:val="24"/>
                      <w:szCs w:val="24"/>
                      <w:highlight w:val="none"/>
                    </w:rPr>
                    <w:t>认真落实《内蒙古自治区鄂尔多斯市东胜煤田万利煤炭矿区总体规划</w:t>
                  </w:r>
                  <w:r>
                    <w:rPr>
                      <w:rFonts w:hint="eastAsia" w:asciiTheme="minorEastAsia" w:hAnsiTheme="minorEastAsia" w:eastAsiaTheme="minorEastAsia" w:cstheme="minorEastAsia"/>
                      <w:color w:val="auto"/>
                      <w:spacing w:val="24"/>
                      <w:sz w:val="24"/>
                      <w:szCs w:val="24"/>
                      <w:highlight w:val="none"/>
                      <w:lang w:eastAsia="zh-CN"/>
                    </w:rPr>
                    <w:t>（</w:t>
                  </w:r>
                  <w:r>
                    <w:rPr>
                      <w:rFonts w:hint="eastAsia" w:asciiTheme="minorEastAsia" w:hAnsiTheme="minorEastAsia" w:eastAsiaTheme="minorEastAsia" w:cstheme="minorEastAsia"/>
                      <w:color w:val="auto"/>
                      <w:spacing w:val="24"/>
                      <w:sz w:val="24"/>
                      <w:szCs w:val="24"/>
                      <w:highlight w:val="none"/>
                    </w:rPr>
                    <w:t>修</w:t>
                  </w:r>
                  <w:r>
                    <w:rPr>
                      <w:rFonts w:hint="eastAsia" w:asciiTheme="minorEastAsia" w:hAnsiTheme="minorEastAsia" w:eastAsiaTheme="minorEastAsia" w:cstheme="minorEastAsia"/>
                      <w:color w:val="auto"/>
                      <w:spacing w:val="13"/>
                      <w:sz w:val="24"/>
                      <w:szCs w:val="24"/>
                      <w:highlight w:val="none"/>
                    </w:rPr>
                    <w:t>编</w:t>
                  </w:r>
                  <w:r>
                    <w:rPr>
                      <w:rFonts w:hint="eastAsia" w:asciiTheme="minorEastAsia" w:hAnsiTheme="minorEastAsia" w:eastAsiaTheme="minorEastAsia" w:cstheme="minorEastAsia"/>
                      <w:color w:val="auto"/>
                      <w:spacing w:val="13"/>
                      <w:sz w:val="24"/>
                      <w:szCs w:val="24"/>
                      <w:highlight w:val="none"/>
                      <w:lang w:eastAsia="zh-CN"/>
                    </w:rPr>
                    <w:t>）</w:t>
                  </w:r>
                  <w:r>
                    <w:rPr>
                      <w:rFonts w:hint="eastAsia" w:asciiTheme="minorEastAsia" w:hAnsiTheme="minorEastAsia" w:eastAsiaTheme="minorEastAsia" w:cstheme="minorEastAsia"/>
                      <w:color w:val="auto"/>
                      <w:spacing w:val="13"/>
                      <w:sz w:val="24"/>
                      <w:szCs w:val="24"/>
                      <w:highlight w:val="none"/>
                    </w:rPr>
                    <w:t>环境影响报告书》《审查意见》《补充报告</w:t>
                  </w:r>
                  <w:r>
                    <w:rPr>
                      <w:rFonts w:hint="eastAsia" w:asciiTheme="minorEastAsia" w:hAnsiTheme="minorEastAsia" w:eastAsiaTheme="minorEastAsia" w:cstheme="minorEastAsia"/>
                      <w:color w:val="auto"/>
                      <w:spacing w:val="13"/>
                      <w:sz w:val="24"/>
                      <w:szCs w:val="24"/>
                      <w:highlight w:val="none"/>
                      <w:lang w:eastAsia="zh-CN"/>
                    </w:rPr>
                    <w:t>》等</w:t>
                  </w:r>
                  <w:r>
                    <w:rPr>
                      <w:rFonts w:hint="eastAsia" w:asciiTheme="minorEastAsia" w:hAnsiTheme="minorEastAsia" w:eastAsiaTheme="minorEastAsia" w:cstheme="minorEastAsia"/>
                      <w:color w:val="auto"/>
                      <w:spacing w:val="13"/>
                      <w:sz w:val="24"/>
                      <w:szCs w:val="24"/>
                      <w:highlight w:val="none"/>
                    </w:rPr>
                    <w:t>要求，及时开展</w:t>
                  </w:r>
                  <w:r>
                    <w:rPr>
                      <w:rFonts w:hint="eastAsia" w:asciiTheme="minorEastAsia" w:hAnsiTheme="minorEastAsia" w:eastAsiaTheme="minorEastAsia" w:cstheme="minorEastAsia"/>
                      <w:color w:val="auto"/>
                      <w:spacing w:val="19"/>
                      <w:sz w:val="24"/>
                      <w:szCs w:val="24"/>
                      <w:highlight w:val="none"/>
                    </w:rPr>
                    <w:t>环境影响跟踪评价，促进矿区开发与经济社会、生</w:t>
                  </w:r>
                  <w:r>
                    <w:rPr>
                      <w:rFonts w:hint="eastAsia" w:asciiTheme="minorEastAsia" w:hAnsiTheme="minorEastAsia" w:eastAsiaTheme="minorEastAsia" w:cstheme="minorEastAsia"/>
                      <w:color w:val="auto"/>
                      <w:spacing w:val="18"/>
                      <w:sz w:val="24"/>
                      <w:szCs w:val="24"/>
                      <w:highlight w:val="none"/>
                    </w:rPr>
                    <w:t>态环境保护全</w:t>
                  </w:r>
                  <w:r>
                    <w:rPr>
                      <w:rFonts w:hint="eastAsia" w:asciiTheme="minorEastAsia" w:hAnsiTheme="minorEastAsia" w:eastAsiaTheme="minorEastAsia" w:cstheme="minorEastAsia"/>
                      <w:color w:val="auto"/>
                      <w:spacing w:val="9"/>
                      <w:sz w:val="24"/>
                      <w:szCs w:val="24"/>
                      <w:highlight w:val="none"/>
                    </w:rPr>
                    <w:t>面协调可持续发展</w:t>
                  </w:r>
                </w:p>
              </w:tc>
              <w:tc>
                <w:tcPr>
                  <w:tcW w:w="1683" w:type="dxa"/>
                  <w:vAlign w:val="center"/>
                </w:tcPr>
                <w:p w14:paraId="45814232">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0" w:afterAutospacing="0" w:line="360" w:lineRule="auto"/>
                    <w:ind w:right="0" w:rightChars="0"/>
                    <w:jc w:val="both"/>
                    <w:textAlignment w:val="auto"/>
                    <w:rPr>
                      <w:rFonts w:hint="default"/>
                      <w:b/>
                      <w:bCs/>
                      <w:color w:val="auto"/>
                      <w:highlight w:val="none"/>
                      <w:vertAlign w:val="baseline"/>
                      <w:lang w:val="en-US" w:eastAsia="zh-CN"/>
                    </w:rPr>
                  </w:pPr>
                  <w:r>
                    <w:rPr>
                      <w:rFonts w:hint="eastAsia"/>
                      <w:color w:val="auto"/>
                      <w:highlight w:val="none"/>
                      <w:vertAlign w:val="baseline"/>
                      <w:lang w:val="en-US" w:eastAsia="zh-CN"/>
                    </w:rPr>
                    <w:t>本项目为煤矿配套搅拌站项目，生产运行过程中不会对生态环境造成重大影响，无需开展环境影响跟踪评价。</w:t>
                  </w:r>
                </w:p>
              </w:tc>
            </w:tr>
          </w:tbl>
          <w:p w14:paraId="549717F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360" w:lineRule="auto"/>
              <w:ind w:right="0" w:rightChars="0"/>
              <w:jc w:val="left"/>
              <w:textAlignment w:val="auto"/>
              <w:rPr>
                <w:rFonts w:hint="default"/>
                <w:color w:val="auto"/>
                <w:highlight w:val="none"/>
                <w:lang w:eastAsia="zh-CN"/>
              </w:rPr>
            </w:pPr>
          </w:p>
        </w:tc>
      </w:tr>
      <w:tr w14:paraId="100722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13" w:hRule="atLeast"/>
          <w:jc w:val="center"/>
        </w:trPr>
        <w:tc>
          <w:tcPr>
            <w:tcW w:w="2382" w:type="dxa"/>
            <w:noWrap w:val="0"/>
            <w:vAlign w:val="center"/>
          </w:tcPr>
          <w:p w14:paraId="4778FBE7">
            <w:pPr>
              <w:keepNext w:val="0"/>
              <w:keepLines w:val="0"/>
              <w:pageBreakBefore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其他符合性分析</w:t>
            </w:r>
          </w:p>
        </w:tc>
        <w:tc>
          <w:tcPr>
            <w:tcW w:w="6488" w:type="dxa"/>
            <w:gridSpan w:val="3"/>
            <w:noWrap w:val="0"/>
            <w:vAlign w:val="center"/>
          </w:tcPr>
          <w:p w14:paraId="704CAE0F">
            <w:pPr>
              <w:keepNext w:val="0"/>
              <w:keepLines w:val="0"/>
              <w:pageBreakBefore w:val="0"/>
              <w:numPr>
                <w:ilvl w:val="0"/>
                <w:numId w:val="0"/>
              </w:numPr>
              <w:kinsoku/>
              <w:wordWrap/>
              <w:overflowPunct/>
              <w:topLinePunct w:val="0"/>
              <w:bidi w:val="0"/>
              <w:adjustRightInd w:val="0"/>
              <w:snapToGrid w:val="0"/>
              <w:spacing w:line="360" w:lineRule="auto"/>
              <w:ind w:firstLine="482" w:firstLineChars="200"/>
              <w:textAlignment w:val="auto"/>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一、产业政策符合性分析</w:t>
            </w:r>
          </w:p>
          <w:p w14:paraId="12F7C0A5">
            <w:pPr>
              <w:pStyle w:val="6"/>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本项目为</w:t>
            </w:r>
            <w:r>
              <w:rPr>
                <w:rFonts w:hint="eastAsia" w:cs="Times New Roman" w:eastAsiaTheme="minorEastAsia"/>
                <w:color w:val="auto"/>
                <w:sz w:val="24"/>
                <w:szCs w:val="24"/>
                <w:highlight w:val="none"/>
                <w:lang w:val="en-US" w:eastAsia="zh-CN"/>
              </w:rPr>
              <w:t>搅拌站</w:t>
            </w:r>
            <w:r>
              <w:rPr>
                <w:rFonts w:hint="default" w:ascii="Times New Roman" w:hAnsi="Times New Roman" w:cs="Times New Roman" w:eastAsiaTheme="minorEastAsia"/>
                <w:color w:val="auto"/>
                <w:sz w:val="24"/>
                <w:szCs w:val="24"/>
                <w:highlight w:val="none"/>
                <w:lang w:val="en-US" w:eastAsia="zh-CN"/>
              </w:rPr>
              <w:t>生产项目，对照《产业结构调整指导目录（2024年本）》本项目不属于目录中“鼓励类、限制类和淘汰类”，属于</w:t>
            </w:r>
            <w:r>
              <w:rPr>
                <w:rFonts w:hint="eastAsia"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允许类</w:t>
            </w:r>
            <w:r>
              <w:rPr>
                <w:rFonts w:hint="eastAsia"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建设项目，符合国家产业政策要求。</w:t>
            </w:r>
          </w:p>
          <w:p w14:paraId="377691D7">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二、选址合理性分析</w:t>
            </w:r>
          </w:p>
          <w:p w14:paraId="57F7AD18">
            <w:pPr>
              <w:spacing w:line="360" w:lineRule="auto"/>
              <w:ind w:firstLine="480" w:firstLineChars="200"/>
              <w:rPr>
                <w:rFonts w:hint="default" w:ascii="Times New Roman" w:hAnsi="Times New Roman" w:cs="Times New Roman" w:eastAsiaTheme="minorEastAsia"/>
                <w:color w:val="auto"/>
                <w:sz w:val="24"/>
                <w:szCs w:val="24"/>
                <w:highlight w:val="none"/>
                <w:lang w:val="en-US" w:eastAsia="zh-CN"/>
              </w:rPr>
            </w:pPr>
            <w:r>
              <w:rPr>
                <w:rFonts w:ascii="宋体" w:hAnsi="宋体" w:eastAsia="宋体" w:cs="宋体"/>
                <w:color w:val="auto"/>
                <w:sz w:val="24"/>
                <w:szCs w:val="24"/>
                <w:highlight w:val="none"/>
              </w:rPr>
              <w:t>本项目从用地权属、敏感目标、</w:t>
            </w:r>
            <w:r>
              <w:rPr>
                <w:rFonts w:hint="eastAsia" w:ascii="宋体" w:hAnsi="宋体" w:cs="宋体"/>
                <w:color w:val="auto"/>
                <w:sz w:val="24"/>
                <w:szCs w:val="24"/>
                <w:highlight w:val="none"/>
                <w:lang w:eastAsia="zh-CN"/>
              </w:rPr>
              <w:t>“三线一单”</w:t>
            </w:r>
            <w:r>
              <w:rPr>
                <w:rFonts w:ascii="宋体" w:hAnsi="宋体" w:eastAsia="宋体" w:cs="宋体"/>
                <w:color w:val="auto"/>
                <w:sz w:val="24"/>
                <w:szCs w:val="24"/>
                <w:highlight w:val="none"/>
              </w:rPr>
              <w:t>、现有工程相容性、运输环境风</w:t>
            </w:r>
            <w:r>
              <w:rPr>
                <w:rFonts w:hint="eastAsia" w:ascii="宋体" w:hAnsi="宋体" w:cs="宋体"/>
                <w:color w:val="auto"/>
                <w:sz w:val="24"/>
                <w:szCs w:val="24"/>
                <w:highlight w:val="none"/>
                <w:lang w:eastAsia="zh-CN"/>
              </w:rPr>
              <w:t>险等</w:t>
            </w:r>
            <w:r>
              <w:rPr>
                <w:rFonts w:ascii="宋体" w:hAnsi="宋体" w:eastAsia="宋体" w:cs="宋体"/>
                <w:color w:val="auto"/>
                <w:sz w:val="24"/>
                <w:szCs w:val="24"/>
                <w:highlight w:val="none"/>
              </w:rPr>
              <w:t>多维度综合校核，选址合理可行：地块为万利一矿确权存量工矿用地，权证齐全，无需征地及农用地转用，用地合法，场地平坦便于生产及雨污分流、密闭储运设施布设；厂界500m内无</w:t>
            </w:r>
            <w:r>
              <w:rPr>
                <w:rFonts w:hint="eastAsia" w:ascii="宋体" w:hAnsi="宋体" w:cs="宋体"/>
                <w:color w:val="auto"/>
                <w:sz w:val="24"/>
                <w:szCs w:val="24"/>
                <w:highlight w:val="none"/>
                <w:lang w:eastAsia="zh-CN"/>
              </w:rPr>
              <w:t>居住区</w:t>
            </w:r>
            <w:r>
              <w:rPr>
                <w:rFonts w:ascii="宋体" w:hAnsi="宋体" w:eastAsia="宋体" w:cs="宋体"/>
                <w:color w:val="auto"/>
                <w:sz w:val="24"/>
                <w:szCs w:val="24"/>
                <w:highlight w:val="none"/>
              </w:rPr>
              <w:t>、学校等敏感点，无各类保护区，依据内文物保函〔2020〕94号，场地无文物遗存，仅施工前开展考古勘探即可；项目位于ZH15060220006矿区重点管控单元，不涉及</w:t>
            </w:r>
            <w:r>
              <w:rPr>
                <w:rFonts w:hint="eastAsia" w:ascii="宋体" w:hAnsi="宋体" w:cs="宋体"/>
                <w:color w:val="auto"/>
                <w:sz w:val="24"/>
                <w:szCs w:val="24"/>
                <w:highlight w:val="none"/>
                <w:lang w:eastAsia="zh-CN"/>
              </w:rPr>
              <w:t>生态保护红线</w:t>
            </w:r>
            <w:r>
              <w:rPr>
                <w:rFonts w:ascii="宋体" w:hAnsi="宋体" w:eastAsia="宋体" w:cs="宋体"/>
                <w:color w:val="auto"/>
                <w:sz w:val="24"/>
                <w:szCs w:val="24"/>
                <w:highlight w:val="none"/>
              </w:rPr>
              <w:t>，污染治理设施齐全、废水循环利用，</w:t>
            </w:r>
            <w:r>
              <w:rPr>
                <w:rFonts w:hint="eastAsia" w:ascii="宋体" w:hAnsi="宋体" w:cs="宋体"/>
                <w:color w:val="auto"/>
                <w:sz w:val="24"/>
                <w:szCs w:val="24"/>
                <w:highlight w:val="none"/>
                <w:lang w:eastAsia="zh-CN"/>
              </w:rPr>
              <w:t>符合“三线一单”</w:t>
            </w:r>
            <w:r>
              <w:rPr>
                <w:rFonts w:ascii="宋体" w:hAnsi="宋体" w:eastAsia="宋体" w:cs="宋体"/>
                <w:color w:val="auto"/>
                <w:sz w:val="24"/>
                <w:szCs w:val="24"/>
                <w:highlight w:val="none"/>
              </w:rPr>
              <w:t>及单元准入要求；扩建搅拌站距现有搅拌站约50m，分区运营互不干扰，共享矿区公辅系统节约投资，厂区开阔利于</w:t>
            </w:r>
            <w:r>
              <w:rPr>
                <w:rFonts w:hint="eastAsia" w:ascii="宋体" w:hAnsi="宋体" w:cs="宋体"/>
                <w:color w:val="auto"/>
                <w:sz w:val="24"/>
                <w:szCs w:val="24"/>
                <w:highlight w:val="none"/>
                <w:lang w:val="en-US" w:eastAsia="zh-CN"/>
              </w:rPr>
              <w:t>粉尘</w:t>
            </w:r>
            <w:r>
              <w:rPr>
                <w:rFonts w:ascii="宋体" w:hAnsi="宋体" w:eastAsia="宋体" w:cs="宋体"/>
                <w:color w:val="auto"/>
                <w:sz w:val="24"/>
                <w:szCs w:val="24"/>
                <w:highlight w:val="none"/>
              </w:rPr>
              <w:t>扩散</w:t>
            </w:r>
            <w:r>
              <w:rPr>
                <w:rFonts w:hint="eastAsia" w:ascii="宋体" w:hAnsi="宋体" w:cs="宋体"/>
                <w:color w:val="auto"/>
                <w:sz w:val="24"/>
                <w:szCs w:val="24"/>
                <w:highlight w:val="none"/>
                <w:lang w:val="en-US" w:eastAsia="zh-CN"/>
              </w:rPr>
              <w:t>稀释</w:t>
            </w:r>
            <w:r>
              <w:rPr>
                <w:rFonts w:ascii="宋体" w:hAnsi="宋体" w:eastAsia="宋体" w:cs="宋体"/>
                <w:color w:val="auto"/>
                <w:sz w:val="24"/>
                <w:szCs w:val="24"/>
                <w:highlight w:val="none"/>
              </w:rPr>
              <w:t>，噪声经减振、距离衰减可达标；原料及成品均在矿区内部道路转运，不途经村镇，厂区分区防渗并配套初期雨水收集池，无扬尘扰民、水土地下水渗漏风险</w:t>
            </w:r>
            <w:r>
              <w:rPr>
                <w:rFonts w:hint="default" w:ascii="Times New Roman" w:hAnsi="Times New Roman" w:cs="Times New Roman" w:eastAsiaTheme="minorEastAsia"/>
                <w:color w:val="auto"/>
                <w:sz w:val="24"/>
                <w:szCs w:val="24"/>
                <w:highlight w:val="none"/>
                <w:lang w:val="en-US" w:eastAsia="zh-CN"/>
              </w:rPr>
              <w:t>。</w:t>
            </w:r>
          </w:p>
          <w:p w14:paraId="47F26E91">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综上所述，从环保的角度分析，采取相应的生态保护措施、污染治理措施后，本项目选址可行。</w:t>
            </w:r>
          </w:p>
          <w:p w14:paraId="27EBF915">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三、生态环境分区管控</w:t>
            </w:r>
          </w:p>
          <w:p w14:paraId="2C769092">
            <w:pPr>
              <w:pStyle w:val="6"/>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（1）生态保护红线</w:t>
            </w:r>
          </w:p>
          <w:p w14:paraId="2AF8F67B">
            <w:pPr>
              <w:pStyle w:val="6"/>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生态保护红线指在生态空间范围内具有特殊重要生态功能</w:t>
            </w:r>
            <w:r>
              <w:rPr>
                <w:rFonts w:hint="eastAsia"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必须强制性严格保护的区域，是保障和维护国家生态安全的底线和生命线</w:t>
            </w:r>
            <w:r>
              <w:rPr>
                <w:rFonts w:hint="eastAsia"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通常包括具有重要水源涵养、</w:t>
            </w:r>
            <w:r>
              <w:rPr>
                <w:rFonts w:hint="eastAsia" w:cs="Times New Roman" w:eastAsiaTheme="minorEastAsia"/>
                <w:color w:val="auto"/>
                <w:sz w:val="24"/>
                <w:szCs w:val="24"/>
                <w:highlight w:val="none"/>
                <w:lang w:val="en-US" w:eastAsia="zh-CN"/>
              </w:rPr>
              <w:t>生物多样性保护</w:t>
            </w:r>
            <w:r>
              <w:rPr>
                <w:rFonts w:hint="default" w:ascii="Times New Roman" w:hAnsi="Times New Roman" w:cs="Times New Roman" w:eastAsiaTheme="minorEastAsia"/>
                <w:color w:val="auto"/>
                <w:sz w:val="24"/>
                <w:szCs w:val="24"/>
                <w:highlight w:val="none"/>
                <w:lang w:val="en-US" w:eastAsia="zh-CN"/>
              </w:rPr>
              <w:t>、水土保持、防风固沙、海岸生态稳定等功能的生态功能重要区域，以及水土流失、土地沙化、石漠化、盐渍化等生态环境敏感脆弱区域。按照</w:t>
            </w:r>
            <w:r>
              <w:rPr>
                <w:rFonts w:hint="eastAsia"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只能增加、不能减少</w:t>
            </w:r>
            <w:r>
              <w:rPr>
                <w:rFonts w:hint="eastAsia"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的基本要求，实施严格管控。</w:t>
            </w:r>
          </w:p>
          <w:p w14:paraId="6BB7CE69">
            <w:pPr>
              <w:pStyle w:val="6"/>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根据2024年8月6日鄂尔多斯市生态环境局发布《鄂尔多斯市生态环境管控单元分区管控动态更新成果（2023版）》内容，全市共划分环境管控单元171个，包括优先保护单元76个、重点管控单元86个、一般管控单元9个。可分三类，实施分类管控。其中东胜区有12个管控单元，包括2个优先保护单元，9个重点管控单元，1个一般管控单元。根据鄂尔多斯市环境管控单元图，本项目位于东胜区矿区重点管控单元，且本项目不占用饮用水水源地、自然保护区、风景名胜区等特殊环境敏感区，因此本项目符合生态保护红线要求。</w:t>
            </w:r>
          </w:p>
          <w:p w14:paraId="78A1C36A">
            <w:pPr>
              <w:pStyle w:val="6"/>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drawing>
                <wp:anchor distT="0" distB="0" distL="114300" distR="114300" simplePos="0" relativeHeight="251660288" behindDoc="1" locked="0" layoutInCell="1" allowOverlap="1">
                  <wp:simplePos x="0" y="0"/>
                  <wp:positionH relativeFrom="column">
                    <wp:posOffset>27305</wp:posOffset>
                  </wp:positionH>
                  <wp:positionV relativeFrom="paragraph">
                    <wp:posOffset>74930</wp:posOffset>
                  </wp:positionV>
                  <wp:extent cx="3957320" cy="2334260"/>
                  <wp:effectExtent l="0" t="0" r="5080" b="8890"/>
                  <wp:wrapNone/>
                  <wp:docPr id="1" name="图片 1" descr="8be71c61df91662df9b4e412800ba9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be71c61df91662df9b4e412800ba9a1"/>
                          <pic:cNvPicPr>
                            <a:picLocks noChangeAspect="1"/>
                          </pic:cNvPicPr>
                        </pic:nvPicPr>
                        <pic:blipFill>
                          <a:blip r:embed="rId11"/>
                          <a:stretch>
                            <a:fillRect/>
                          </a:stretch>
                        </pic:blipFill>
                        <pic:spPr>
                          <a:xfrm>
                            <a:off x="0" y="0"/>
                            <a:ext cx="3957320" cy="2334260"/>
                          </a:xfrm>
                          <a:prstGeom prst="rect">
                            <a:avLst/>
                          </a:prstGeom>
                        </pic:spPr>
                      </pic:pic>
                    </a:graphicData>
                  </a:graphic>
                </wp:anchor>
              </w:drawing>
            </w:r>
          </w:p>
          <w:p w14:paraId="3F0D8988">
            <w:pPr>
              <w:pStyle w:val="6"/>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p>
          <w:p w14:paraId="1937D7EF">
            <w:pPr>
              <w:pStyle w:val="6"/>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p>
          <w:p w14:paraId="6BEF76E5">
            <w:pPr>
              <w:pStyle w:val="6"/>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p>
          <w:p w14:paraId="4A2E723D">
            <w:pPr>
              <w:pStyle w:val="6"/>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p>
          <w:p w14:paraId="67FD0459">
            <w:pPr>
              <w:pStyle w:val="6"/>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p>
          <w:p w14:paraId="1DD0901A">
            <w:pPr>
              <w:pStyle w:val="6"/>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p>
          <w:p w14:paraId="6328DB1F">
            <w:pPr>
              <w:pStyle w:val="6"/>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p>
          <w:p w14:paraId="56E457C4">
            <w:pPr>
              <w:pStyle w:val="6"/>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p>
          <w:p w14:paraId="6AFEDE4E">
            <w:pPr>
              <w:pStyle w:val="6"/>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hint="default" w:ascii="Times New Roman" w:hAnsi="Times New Roman" w:cs="Times New Roman" w:eastAsiaTheme="minorEastAsia"/>
                <w:color w:val="auto"/>
                <w:sz w:val="24"/>
                <w:szCs w:val="24"/>
                <w:highlight w:val="none"/>
                <w:lang w:val="en-US" w:eastAsia="zh-CN"/>
              </w:rPr>
            </w:pPr>
          </w:p>
          <w:p w14:paraId="694204A9">
            <w:pPr>
              <w:pStyle w:val="6"/>
              <w:keepNext w:val="0"/>
              <w:keepLines w:val="0"/>
              <w:pageBreakBefore w:val="0"/>
              <w:kinsoku/>
              <w:wordWrap/>
              <w:overflowPunct/>
              <w:topLinePunct w:val="0"/>
              <w:bidi w:val="0"/>
              <w:adjustRightInd w:val="0"/>
              <w:snapToGrid w:val="0"/>
              <w:spacing w:line="360" w:lineRule="auto"/>
              <w:ind w:left="0" w:leftChars="0" w:firstLine="482" w:firstLineChars="200"/>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图1-1鄂尔多斯市环境管控单元图</w:t>
            </w:r>
          </w:p>
          <w:p w14:paraId="0414B845">
            <w:pPr>
              <w:pStyle w:val="6"/>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（2）环境质量底线</w:t>
            </w:r>
          </w:p>
          <w:p w14:paraId="2BD44D42">
            <w:pPr>
              <w:jc w:val="both"/>
              <w:rPr>
                <w:rFonts w:hint="default" w:ascii="Times New Roman" w:hAnsi="Times New Roman" w:cs="Times New Roman" w:eastAsiaTheme="minorEastAsia"/>
                <w:color w:val="auto"/>
                <w:sz w:val="24"/>
                <w:szCs w:val="24"/>
                <w:highlight w:val="none"/>
              </w:rPr>
            </w:pPr>
            <w:r>
              <w:rPr>
                <w:rFonts w:ascii="宋体" w:hAnsi="宋体" w:eastAsia="宋体" w:cs="宋体"/>
                <w:color w:val="auto"/>
                <w:sz w:val="24"/>
                <w:szCs w:val="24"/>
                <w:highlight w:val="none"/>
              </w:rPr>
              <w:t>根据《202</w:t>
            </w:r>
            <w:r>
              <w:rPr>
                <w:rFonts w:hint="eastAsia" w:ascii="宋体" w:hAnsi="宋体" w:cs="宋体"/>
                <w:color w:val="auto"/>
                <w:sz w:val="24"/>
                <w:szCs w:val="24"/>
                <w:highlight w:val="none"/>
                <w:lang w:val="en-US" w:eastAsia="zh-CN"/>
              </w:rPr>
              <w:t>5</w:t>
            </w:r>
            <w:r>
              <w:rPr>
                <w:rFonts w:ascii="宋体" w:hAnsi="宋体" w:eastAsia="宋体" w:cs="宋体"/>
                <w:color w:val="auto"/>
                <w:sz w:val="24"/>
                <w:szCs w:val="24"/>
                <w:highlight w:val="none"/>
              </w:rPr>
              <w:t>年内蒙古自治区生态环境状况公报》数据；SO₂、NO₂、PM₁₀、PM₂.₅、CO、O₃均满足《环境空气质量标准》（GB3095-2012）二级标准，同时符合《环境空气质量标准》（GB3095-2026）过渡阶段二级标准。现状监测表明，评价范围内TSP浓度满足《环境空气质量标准》（GB3095-2026）要求。</w:t>
            </w:r>
            <w:r>
              <w:rPr>
                <w:rFonts w:hint="default" w:ascii="Times New Roman" w:hAnsi="Times New Roman" w:cs="Times New Roman" w:eastAsiaTheme="minorEastAsia"/>
                <w:color w:val="auto"/>
                <w:kern w:val="0"/>
                <w:sz w:val="24"/>
                <w:szCs w:val="24"/>
                <w:highlight w:val="none"/>
                <w:lang w:val="en-US" w:eastAsia="zh-CN" w:bidi="ar"/>
              </w:rPr>
              <w:t>声环境方面，项目所在区域属3类声环境功能区（工业主导），厂界噪声监测值符合《声环境质量标准》（</w:t>
            </w:r>
            <w:r>
              <w:rPr>
                <w:rFonts w:hint="eastAsia" w:cs="Times New Roman" w:eastAsiaTheme="minorEastAsia"/>
                <w:color w:val="auto"/>
                <w:kern w:val="0"/>
                <w:sz w:val="24"/>
                <w:szCs w:val="24"/>
                <w:highlight w:val="none"/>
                <w:lang w:val="en-US" w:eastAsia="zh-CN" w:bidi="ar"/>
              </w:rPr>
              <w:t>GB</w:t>
            </w:r>
            <w:r>
              <w:rPr>
                <w:rFonts w:hint="default" w:ascii="Times New Roman" w:hAnsi="Times New Roman" w:cs="Times New Roman" w:eastAsiaTheme="minorEastAsia"/>
                <w:color w:val="auto"/>
                <w:kern w:val="0"/>
                <w:sz w:val="24"/>
                <w:szCs w:val="24"/>
                <w:highlight w:val="none"/>
                <w:lang w:val="en-US" w:eastAsia="zh-CN" w:bidi="ar"/>
              </w:rPr>
              <w:t>3096-2008）3类标准（昼间≤65，夜间≤55）。</w:t>
            </w:r>
          </w:p>
          <w:p w14:paraId="7E6FDA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本项目运营期产生废气（粉尘、颗粒物）、噪声、固废，</w:t>
            </w:r>
            <w:r>
              <w:rPr>
                <w:rStyle w:val="17"/>
                <w:rFonts w:hint="eastAsia" w:asciiTheme="minorEastAsia" w:hAnsiTheme="minorEastAsia" w:eastAsiaTheme="minorEastAsia" w:cstheme="minorEastAsia"/>
                <w:b w:val="0"/>
                <w:bCs w:val="0"/>
                <w:color w:val="auto"/>
                <w:kern w:val="0"/>
                <w:sz w:val="24"/>
                <w:szCs w:val="24"/>
                <w:highlight w:val="none"/>
                <w:lang w:val="en-US" w:eastAsia="zh-CN" w:bidi="ar"/>
              </w:rPr>
              <w:t>无生产废水产生及外排</w:t>
            </w:r>
            <w:r>
              <w:rPr>
                <w:rFonts w:hint="eastAsia" w:asciiTheme="minorEastAsia" w:hAnsiTheme="minorEastAsia" w:eastAsiaTheme="minorEastAsia" w:cstheme="minorEastAsia"/>
                <w:b w:val="0"/>
                <w:bCs w:val="0"/>
                <w:color w:val="auto"/>
                <w:kern w:val="0"/>
                <w:sz w:val="24"/>
                <w:szCs w:val="24"/>
                <w:highlight w:val="none"/>
                <w:lang w:val="en-US" w:eastAsia="zh-CN" w:bidi="ar"/>
              </w:rPr>
              <w:t>，各类污染物配套针对性治理措施如下：</w:t>
            </w:r>
          </w:p>
          <w:p w14:paraId="447B2EA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rPr>
            </w:pPr>
            <w:r>
              <w:rPr>
                <w:rStyle w:val="17"/>
                <w:rFonts w:hint="eastAsia" w:asciiTheme="minorEastAsia" w:hAnsiTheme="minorEastAsia" w:cstheme="minorEastAsia"/>
                <w:b w:val="0"/>
                <w:bCs w:val="0"/>
                <w:color w:val="auto"/>
                <w:sz w:val="24"/>
                <w:szCs w:val="24"/>
                <w:highlight w:val="none"/>
                <w:lang w:val="en-US" w:eastAsia="zh-CN"/>
              </w:rPr>
              <w:t>1、</w:t>
            </w:r>
            <w:r>
              <w:rPr>
                <w:rStyle w:val="17"/>
                <w:rFonts w:hint="eastAsia" w:asciiTheme="minorEastAsia" w:hAnsiTheme="minorEastAsia" w:eastAsiaTheme="minorEastAsia" w:cstheme="minorEastAsia"/>
                <w:b w:val="0"/>
                <w:bCs w:val="0"/>
                <w:color w:val="auto"/>
                <w:sz w:val="24"/>
                <w:szCs w:val="24"/>
                <w:highlight w:val="none"/>
              </w:rPr>
              <w:t>废气</w:t>
            </w:r>
            <w:r>
              <w:rPr>
                <w:rFonts w:hint="eastAsia" w:asciiTheme="minorEastAsia" w:hAnsiTheme="minorEastAsia" w:eastAsiaTheme="minorEastAsia" w:cstheme="minorEastAsia"/>
                <w:b w:val="0"/>
                <w:bCs w:val="0"/>
                <w:color w:val="auto"/>
                <w:sz w:val="24"/>
                <w:szCs w:val="24"/>
                <w:highlight w:val="none"/>
              </w:rPr>
              <w:t>：砂石骨料密闭料棚全封闭储存，搅拌主机、水泥筒仓配套脉冲布袋除尘器，物料输送采用全封闭廊道，厂区定时洒水抑尘；有组织粉尘经除尘净化后15m排气筒达标排放，无组织粉尘通过密闭。</w:t>
            </w:r>
          </w:p>
          <w:p w14:paraId="5A4A3B5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rPr>
            </w:pPr>
            <w:r>
              <w:rPr>
                <w:rStyle w:val="17"/>
                <w:rFonts w:hint="eastAsia" w:asciiTheme="minorEastAsia" w:hAnsiTheme="minorEastAsia" w:cstheme="minorEastAsia"/>
                <w:b w:val="0"/>
                <w:bCs w:val="0"/>
                <w:color w:val="auto"/>
                <w:sz w:val="24"/>
                <w:szCs w:val="24"/>
                <w:highlight w:val="none"/>
                <w:lang w:val="en-US" w:eastAsia="zh-CN"/>
              </w:rPr>
              <w:t>2、</w:t>
            </w:r>
            <w:r>
              <w:rPr>
                <w:rStyle w:val="17"/>
                <w:rFonts w:hint="eastAsia" w:asciiTheme="minorEastAsia" w:hAnsiTheme="minorEastAsia" w:eastAsiaTheme="minorEastAsia" w:cstheme="minorEastAsia"/>
                <w:b w:val="0"/>
                <w:bCs w:val="0"/>
                <w:color w:val="auto"/>
                <w:sz w:val="24"/>
                <w:szCs w:val="24"/>
                <w:highlight w:val="none"/>
              </w:rPr>
              <w:t>噪声</w:t>
            </w:r>
            <w:r>
              <w:rPr>
                <w:rFonts w:hint="eastAsia" w:asciiTheme="minorEastAsia" w:hAnsiTheme="minorEastAsia" w:eastAsiaTheme="minorEastAsia" w:cstheme="minorEastAsia"/>
                <w:b w:val="0"/>
                <w:bCs w:val="0"/>
                <w:color w:val="auto"/>
                <w:sz w:val="24"/>
                <w:szCs w:val="24"/>
                <w:highlight w:val="none"/>
              </w:rPr>
              <w:t>：搅拌主机、风机等高噪设备配套减震基座、隔声罩，厂区合理绿化阻隔噪声，实现隔声降噪。</w:t>
            </w:r>
          </w:p>
          <w:p w14:paraId="5021929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rPr>
            </w:pPr>
            <w:r>
              <w:rPr>
                <w:rStyle w:val="17"/>
                <w:rFonts w:hint="eastAsia" w:asciiTheme="minorEastAsia" w:hAnsiTheme="minorEastAsia" w:cstheme="minorEastAsia"/>
                <w:b w:val="0"/>
                <w:bCs w:val="0"/>
                <w:color w:val="auto"/>
                <w:sz w:val="24"/>
                <w:szCs w:val="24"/>
                <w:highlight w:val="none"/>
                <w:lang w:val="en-US" w:eastAsia="zh-CN"/>
              </w:rPr>
              <w:t>3、</w:t>
            </w:r>
            <w:r>
              <w:rPr>
                <w:rStyle w:val="17"/>
                <w:rFonts w:hint="eastAsia" w:asciiTheme="minorEastAsia" w:hAnsiTheme="minorEastAsia" w:eastAsiaTheme="minorEastAsia" w:cstheme="minorEastAsia"/>
                <w:b w:val="0"/>
                <w:bCs w:val="0"/>
                <w:color w:val="auto"/>
                <w:sz w:val="24"/>
                <w:szCs w:val="24"/>
                <w:highlight w:val="none"/>
              </w:rPr>
              <w:t>固废</w:t>
            </w:r>
            <w:r>
              <w:rPr>
                <w:rFonts w:hint="eastAsia" w:asciiTheme="minorEastAsia" w:hAnsiTheme="minorEastAsia" w:eastAsiaTheme="minorEastAsia" w:cstheme="minorEastAsia"/>
                <w:b w:val="0"/>
                <w:bCs w:val="0"/>
                <w:color w:val="auto"/>
                <w:sz w:val="24"/>
                <w:szCs w:val="24"/>
                <w:highlight w:val="none"/>
              </w:rPr>
              <w:t>：布袋除尘</w:t>
            </w:r>
            <w:r>
              <w:rPr>
                <w:rFonts w:hint="eastAsia" w:asciiTheme="minorEastAsia" w:hAnsiTheme="minorEastAsia" w:eastAsiaTheme="minorEastAsia" w:cstheme="minorEastAsia"/>
                <w:b w:val="0"/>
                <w:bCs w:val="0"/>
                <w:color w:val="auto"/>
                <w:sz w:val="24"/>
                <w:szCs w:val="24"/>
                <w:highlight w:val="none"/>
                <w:lang w:val="en-US" w:eastAsia="zh-CN"/>
              </w:rPr>
              <w:t>器</w:t>
            </w:r>
            <w:r>
              <w:rPr>
                <w:rFonts w:hint="eastAsia" w:asciiTheme="minorEastAsia" w:hAnsiTheme="minorEastAsia" w:eastAsiaTheme="minorEastAsia" w:cstheme="minorEastAsia"/>
                <w:b w:val="0"/>
                <w:bCs w:val="0"/>
                <w:color w:val="auto"/>
                <w:sz w:val="24"/>
                <w:szCs w:val="24"/>
                <w:highlight w:val="none"/>
              </w:rPr>
              <w:t>收集的除尘灰全部密闭回收回用于混凝土拌合生产，实现资源化分类处置，不外排。</w:t>
            </w:r>
          </w:p>
          <w:p w14:paraId="3BFC5A5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经上述成套环保设施治理后，污染物均可稳定达标排放。本项目仅排放颗粒物，无SO₂、NOₓ、VOCs等需区域总量调剂的大气污染物，</w:t>
            </w:r>
            <w:r>
              <w:rPr>
                <w:rStyle w:val="17"/>
                <w:rFonts w:hint="eastAsia" w:asciiTheme="minorEastAsia" w:hAnsiTheme="minorEastAsia" w:eastAsiaTheme="minorEastAsia" w:cstheme="minorEastAsia"/>
                <w:b w:val="0"/>
                <w:bCs w:val="0"/>
                <w:color w:val="auto"/>
                <w:kern w:val="0"/>
                <w:sz w:val="24"/>
                <w:szCs w:val="24"/>
                <w:highlight w:val="none"/>
                <w:lang w:val="en-US" w:eastAsia="zh-CN" w:bidi="ar"/>
              </w:rPr>
              <w:t>不涉及污染物总量指标申请</w:t>
            </w:r>
            <w:r>
              <w:rPr>
                <w:rFonts w:hint="eastAsia" w:asciiTheme="minorEastAsia" w:hAnsiTheme="minorEastAsia" w:eastAsiaTheme="minorEastAsia" w:cstheme="minorEastAsia"/>
                <w:b w:val="0"/>
                <w:bCs w:val="0"/>
                <w:color w:val="auto"/>
                <w:kern w:val="0"/>
                <w:sz w:val="24"/>
                <w:szCs w:val="24"/>
                <w:highlight w:val="none"/>
                <w:lang w:val="en-US" w:eastAsia="zh-CN" w:bidi="ar"/>
              </w:rPr>
              <w:t>，项目颗粒物排放总量小，对区域大气、声环境影响轻微且可逆，不会突破区域环境质量底线，不改变环境功能区类别，可维持现有环境质量水平</w:t>
            </w:r>
            <w:r>
              <w:rPr>
                <w:rFonts w:hint="eastAsia" w:asciiTheme="minorEastAsia" w:hAnsiTheme="minorEastAsia" w:cstheme="minorEastAsia"/>
                <w:b w:val="0"/>
                <w:bCs w:val="0"/>
                <w:color w:val="auto"/>
                <w:sz w:val="24"/>
                <w:szCs w:val="24"/>
                <w:highlight w:val="none"/>
                <w:lang w:eastAsia="zh-CN"/>
              </w:rPr>
              <w:t>。</w:t>
            </w:r>
          </w:p>
          <w:p w14:paraId="73F159BF">
            <w:pPr>
              <w:pStyle w:val="6"/>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（3）资源利用</w:t>
            </w:r>
            <w:r>
              <w:rPr>
                <w:rFonts w:hint="eastAsia" w:cs="Times New Roman" w:eastAsiaTheme="minorEastAsia"/>
                <w:color w:val="auto"/>
                <w:sz w:val="24"/>
                <w:szCs w:val="24"/>
                <w:highlight w:val="none"/>
                <w:lang w:val="en-US" w:eastAsia="zh-CN"/>
              </w:rPr>
              <w:t>上限</w:t>
            </w:r>
          </w:p>
          <w:p w14:paraId="58871399">
            <w:pPr>
              <w:pStyle w:val="6"/>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资源利用上线指按照自然资源资产“只能增值、不能贬值”的原则，以保障生态安全和改善环境质量为目的</w:t>
            </w:r>
            <w:r>
              <w:rPr>
                <w:rFonts w:hint="eastAsia"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参考自然资源资产负债表，结合自然资源开发利用效率，提出分区域分阶段的资源开发利用总量、强度、效率等上线管控要求。本项目</w:t>
            </w:r>
            <w:r>
              <w:rPr>
                <w:rFonts w:hint="eastAsia" w:cs="Times New Roman" w:eastAsiaTheme="minorEastAsia"/>
                <w:color w:val="auto"/>
                <w:sz w:val="24"/>
                <w:szCs w:val="24"/>
                <w:highlight w:val="none"/>
                <w:lang w:val="en-US" w:eastAsia="zh-CN"/>
              </w:rPr>
              <w:t>运营期消耗资源主要包括水资源、电能、砂石骨料、水泥，四类</w:t>
            </w:r>
            <w:r>
              <w:rPr>
                <w:rFonts w:hint="default" w:ascii="Times New Roman" w:hAnsi="Times New Roman" w:cs="Times New Roman" w:eastAsiaTheme="minorEastAsia"/>
                <w:color w:val="auto"/>
                <w:sz w:val="24"/>
                <w:szCs w:val="24"/>
                <w:highlight w:val="none"/>
                <w:lang w:val="en-US" w:eastAsia="zh-CN"/>
              </w:rPr>
              <w:t>资源消耗量较小，施工环节中加强节能建设，提高能源利用率。建成运行后通过加强节能管理、节能设备的选择以及污染控制措施的实施等手段，以“节能、降耗、减污”为目的，有效</w:t>
            </w:r>
            <w:r>
              <w:rPr>
                <w:rFonts w:hint="eastAsia" w:cs="Times New Roman" w:eastAsiaTheme="minorEastAsia"/>
                <w:color w:val="auto"/>
                <w:sz w:val="24"/>
                <w:szCs w:val="24"/>
                <w:highlight w:val="none"/>
                <w:lang w:val="en-US" w:eastAsia="zh-CN"/>
              </w:rPr>
              <w:t>地</w:t>
            </w:r>
            <w:r>
              <w:rPr>
                <w:rFonts w:hint="default" w:ascii="Times New Roman" w:hAnsi="Times New Roman" w:cs="Times New Roman" w:eastAsiaTheme="minorEastAsia"/>
                <w:color w:val="auto"/>
                <w:sz w:val="24"/>
                <w:szCs w:val="24"/>
                <w:highlight w:val="none"/>
                <w:lang w:val="en-US" w:eastAsia="zh-CN"/>
              </w:rPr>
              <w:t>控制污染。项目的水、电等资源不会突破当地的资源利用上线。</w:t>
            </w:r>
          </w:p>
          <w:p w14:paraId="2BDDF3ED">
            <w:pPr>
              <w:pStyle w:val="6"/>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（4）生态环境准入清单</w:t>
            </w:r>
          </w:p>
          <w:p w14:paraId="63037A4F">
            <w:pPr>
              <w:pStyle w:val="6"/>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本项目位于鄂尔多斯市东胜区万利镇，属于重点管控单元，对照编号15060220006万利矿区及周边煤矿区，符合管控要求如下。</w:t>
            </w:r>
          </w:p>
          <w:p w14:paraId="6AF4CE5C">
            <w:pPr>
              <w:pStyle w:val="6"/>
              <w:keepNext w:val="0"/>
              <w:keepLines w:val="0"/>
              <w:pageBreakBefore w:val="0"/>
              <w:widowControl/>
              <w:kinsoku/>
              <w:wordWrap/>
              <w:overflowPunct/>
              <w:topLinePunct w:val="0"/>
              <w:autoSpaceDE/>
              <w:autoSpaceDN/>
              <w:bidi w:val="0"/>
              <w:adjustRightInd w:val="0"/>
              <w:snapToGrid w:val="0"/>
              <w:spacing w:line="360" w:lineRule="auto"/>
              <w:ind w:left="0" w:leftChars="0" w:firstLine="482" w:firstLineChars="200"/>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eastAsia="zh-CN"/>
              </w:rPr>
              <w:t>表</w:t>
            </w:r>
            <w:r>
              <w:rPr>
                <w:rFonts w:hint="default" w:ascii="Times New Roman" w:hAnsi="Times New Roman" w:cs="Times New Roman" w:eastAsiaTheme="minorEastAsia"/>
                <w:b/>
                <w:bCs/>
                <w:color w:val="auto"/>
                <w:sz w:val="24"/>
                <w:szCs w:val="24"/>
                <w:highlight w:val="none"/>
                <w:lang w:val="en-US" w:eastAsia="zh-CN"/>
              </w:rPr>
              <w:t>1-1</w:t>
            </w:r>
            <w:r>
              <w:rPr>
                <w:rFonts w:hint="eastAsia" w:cs="Times New Roman" w:eastAsiaTheme="minorEastAsia"/>
                <w:b/>
                <w:bCs/>
                <w:color w:val="auto"/>
                <w:sz w:val="24"/>
                <w:szCs w:val="24"/>
                <w:highlight w:val="none"/>
                <w:lang w:val="en-US" w:eastAsia="zh-CN"/>
              </w:rPr>
              <w:t>-2</w:t>
            </w:r>
            <w:r>
              <w:rPr>
                <w:rFonts w:hint="default" w:ascii="Times New Roman" w:hAnsi="Times New Roman" w:cs="Times New Roman" w:eastAsiaTheme="minorEastAsia"/>
                <w:b/>
                <w:bCs/>
                <w:color w:val="auto"/>
                <w:sz w:val="24"/>
                <w:szCs w:val="24"/>
                <w:highlight w:val="none"/>
                <w:lang w:val="en-US" w:eastAsia="zh-CN"/>
              </w:rPr>
              <w:t>本项目所在环境管控单元信息</w:t>
            </w:r>
          </w:p>
          <w:tbl>
            <w:tblPr>
              <w:tblStyle w:val="15"/>
              <w:tblW w:w="62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6"/>
              <w:gridCol w:w="2332"/>
              <w:gridCol w:w="1714"/>
            </w:tblGrid>
            <w:tr w14:paraId="277D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6" w:type="dxa"/>
                  <w:vAlign w:val="center"/>
                </w:tcPr>
                <w:p w14:paraId="0B54DFD4">
                  <w:pPr>
                    <w:pStyle w:val="6"/>
                    <w:keepNext w:val="0"/>
                    <w:keepLines w:val="0"/>
                    <w:pageBreakBefore w:val="0"/>
                    <w:widowControl/>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cs="Times New Roman" w:eastAsiaTheme="minorEastAsia"/>
                      <w:color w:val="auto"/>
                      <w:sz w:val="24"/>
                      <w:szCs w:val="24"/>
                      <w:highlight w:val="none"/>
                      <w:vertAlign w:val="baseline"/>
                      <w:lang w:val="en-US" w:eastAsia="zh-CN"/>
                    </w:rPr>
                  </w:pPr>
                  <w:r>
                    <w:rPr>
                      <w:rFonts w:hint="default" w:ascii="Times New Roman" w:hAnsi="Times New Roman" w:cs="Times New Roman" w:eastAsiaTheme="minorEastAsia"/>
                      <w:color w:val="auto"/>
                      <w:sz w:val="24"/>
                      <w:szCs w:val="24"/>
                      <w:highlight w:val="none"/>
                      <w:vertAlign w:val="baseline"/>
                      <w:lang w:val="en-US" w:eastAsia="zh-CN"/>
                    </w:rPr>
                    <w:t>环境管控单元编码</w:t>
                  </w:r>
                </w:p>
              </w:tc>
              <w:tc>
                <w:tcPr>
                  <w:tcW w:w="2332" w:type="dxa"/>
                  <w:vAlign w:val="center"/>
                </w:tcPr>
                <w:p w14:paraId="4358018C">
                  <w:pPr>
                    <w:pStyle w:val="6"/>
                    <w:keepNext w:val="0"/>
                    <w:keepLines w:val="0"/>
                    <w:pageBreakBefore w:val="0"/>
                    <w:widowControl/>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cs="Times New Roman" w:eastAsiaTheme="minorEastAsia"/>
                      <w:color w:val="auto"/>
                      <w:sz w:val="24"/>
                      <w:szCs w:val="24"/>
                      <w:highlight w:val="none"/>
                      <w:vertAlign w:val="baseline"/>
                      <w:lang w:val="en-US" w:eastAsia="zh-CN"/>
                    </w:rPr>
                  </w:pPr>
                  <w:r>
                    <w:rPr>
                      <w:rFonts w:hint="default" w:ascii="Times New Roman" w:hAnsi="Times New Roman" w:cs="Times New Roman" w:eastAsiaTheme="minorEastAsia"/>
                      <w:color w:val="auto"/>
                      <w:sz w:val="24"/>
                      <w:szCs w:val="24"/>
                      <w:highlight w:val="none"/>
                      <w:vertAlign w:val="baseline"/>
                      <w:lang w:val="en-US" w:eastAsia="zh-CN"/>
                    </w:rPr>
                    <w:t>环境管控单元名称</w:t>
                  </w:r>
                </w:p>
              </w:tc>
              <w:tc>
                <w:tcPr>
                  <w:tcW w:w="1714" w:type="dxa"/>
                  <w:vAlign w:val="center"/>
                </w:tcPr>
                <w:p w14:paraId="50D1A83C">
                  <w:pPr>
                    <w:pStyle w:val="6"/>
                    <w:keepNext w:val="0"/>
                    <w:keepLines w:val="0"/>
                    <w:pageBreakBefore w:val="0"/>
                    <w:widowControl/>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cs="Times New Roman" w:eastAsiaTheme="minorEastAsia"/>
                      <w:color w:val="auto"/>
                      <w:sz w:val="24"/>
                      <w:szCs w:val="24"/>
                      <w:highlight w:val="none"/>
                      <w:vertAlign w:val="baseline"/>
                      <w:lang w:val="en-US" w:eastAsia="zh-CN"/>
                    </w:rPr>
                  </w:pPr>
                  <w:r>
                    <w:rPr>
                      <w:rFonts w:hint="default" w:ascii="Times New Roman" w:hAnsi="Times New Roman" w:cs="Times New Roman" w:eastAsiaTheme="minorEastAsia"/>
                      <w:color w:val="auto"/>
                      <w:sz w:val="24"/>
                      <w:szCs w:val="24"/>
                      <w:highlight w:val="none"/>
                      <w:vertAlign w:val="baseline"/>
                      <w:lang w:val="en-US" w:eastAsia="zh-CN"/>
                    </w:rPr>
                    <w:t>管控单元类别</w:t>
                  </w:r>
                </w:p>
              </w:tc>
            </w:tr>
            <w:tr w14:paraId="7F59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2226" w:type="dxa"/>
                  <w:vAlign w:val="center"/>
                </w:tcPr>
                <w:p w14:paraId="02CE0D77">
                  <w:pPr>
                    <w:pStyle w:val="6"/>
                    <w:keepNext w:val="0"/>
                    <w:keepLines w:val="0"/>
                    <w:pageBreakBefore w:val="0"/>
                    <w:widowControl/>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cs="Times New Roman" w:eastAsiaTheme="minorEastAsia"/>
                      <w:color w:val="auto"/>
                      <w:sz w:val="24"/>
                      <w:szCs w:val="24"/>
                      <w:highlight w:val="none"/>
                      <w:vertAlign w:val="baseline"/>
                      <w:lang w:val="en-US" w:eastAsia="zh-CN"/>
                    </w:rPr>
                  </w:pPr>
                  <w:r>
                    <w:rPr>
                      <w:rFonts w:hint="default" w:ascii="Times New Roman" w:hAnsi="Times New Roman" w:cs="Times New Roman" w:eastAsiaTheme="minorEastAsia"/>
                      <w:color w:val="auto"/>
                      <w:sz w:val="24"/>
                      <w:szCs w:val="24"/>
                      <w:highlight w:val="none"/>
                      <w:vertAlign w:val="baseline"/>
                      <w:lang w:val="en-US" w:eastAsia="zh-CN"/>
                    </w:rPr>
                    <w:t>15060220006</w:t>
                  </w:r>
                </w:p>
              </w:tc>
              <w:tc>
                <w:tcPr>
                  <w:tcW w:w="2332" w:type="dxa"/>
                  <w:vAlign w:val="center"/>
                </w:tcPr>
                <w:p w14:paraId="002A2BDD">
                  <w:pPr>
                    <w:pStyle w:val="6"/>
                    <w:keepNext w:val="0"/>
                    <w:keepLines w:val="0"/>
                    <w:pageBreakBefore w:val="0"/>
                    <w:widowControl/>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cs="Times New Roman" w:eastAsiaTheme="minorEastAsia"/>
                      <w:color w:val="auto"/>
                      <w:sz w:val="24"/>
                      <w:szCs w:val="24"/>
                      <w:highlight w:val="none"/>
                      <w:vertAlign w:val="baseline"/>
                      <w:lang w:val="en-US" w:eastAsia="zh-CN"/>
                    </w:rPr>
                  </w:pPr>
                  <w:r>
                    <w:rPr>
                      <w:rFonts w:hint="default" w:ascii="Times New Roman" w:hAnsi="Times New Roman" w:cs="Times New Roman" w:eastAsiaTheme="minorEastAsia"/>
                      <w:color w:val="auto"/>
                      <w:sz w:val="24"/>
                      <w:szCs w:val="24"/>
                      <w:highlight w:val="none"/>
                    </w:rPr>
                    <w:t>万利矿区及周边煤矿区</w:t>
                  </w:r>
                </w:p>
              </w:tc>
              <w:tc>
                <w:tcPr>
                  <w:tcW w:w="1714" w:type="dxa"/>
                  <w:vAlign w:val="center"/>
                </w:tcPr>
                <w:p w14:paraId="24637037">
                  <w:pPr>
                    <w:pStyle w:val="6"/>
                    <w:keepNext w:val="0"/>
                    <w:keepLines w:val="0"/>
                    <w:pageBreakBefore w:val="0"/>
                    <w:widowControl/>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cs="Times New Roman" w:eastAsiaTheme="minorEastAsia"/>
                      <w:color w:val="auto"/>
                      <w:sz w:val="24"/>
                      <w:szCs w:val="24"/>
                      <w:highlight w:val="none"/>
                      <w:vertAlign w:val="baseline"/>
                      <w:lang w:val="en-US" w:eastAsia="zh-CN"/>
                    </w:rPr>
                  </w:pPr>
                  <w:r>
                    <w:rPr>
                      <w:rFonts w:hint="default" w:ascii="Times New Roman" w:hAnsi="Times New Roman" w:cs="Times New Roman" w:eastAsiaTheme="minorEastAsia"/>
                      <w:color w:val="auto"/>
                      <w:sz w:val="24"/>
                      <w:szCs w:val="24"/>
                      <w:highlight w:val="none"/>
                      <w:vertAlign w:val="baseline"/>
                      <w:lang w:val="en-US" w:eastAsia="zh-CN"/>
                    </w:rPr>
                    <w:t>重点管控单元</w:t>
                  </w:r>
                </w:p>
              </w:tc>
            </w:tr>
          </w:tbl>
          <w:p w14:paraId="7E812E4B">
            <w:pPr>
              <w:pStyle w:val="6"/>
              <w:keepNext w:val="0"/>
              <w:keepLines w:val="0"/>
              <w:pageBreakBefore w:val="0"/>
              <w:widowControl/>
              <w:kinsoku/>
              <w:wordWrap/>
              <w:overflowPunct/>
              <w:topLinePunct w:val="0"/>
              <w:autoSpaceDE/>
              <w:autoSpaceDN/>
              <w:bidi w:val="0"/>
              <w:adjustRightInd w:val="0"/>
              <w:snapToGrid w:val="0"/>
              <w:spacing w:line="360" w:lineRule="auto"/>
              <w:ind w:left="0" w:leftChars="0" w:firstLine="482" w:firstLineChars="200"/>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表1-</w:t>
            </w:r>
            <w:r>
              <w:rPr>
                <w:rFonts w:hint="eastAsia" w:cs="Times New Roman" w:eastAsiaTheme="minorEastAsia"/>
                <w:b/>
                <w:bCs/>
                <w:color w:val="auto"/>
                <w:sz w:val="24"/>
                <w:szCs w:val="24"/>
                <w:highlight w:val="none"/>
                <w:lang w:val="en-US" w:eastAsia="zh-CN"/>
              </w:rPr>
              <w:t>1-3</w:t>
            </w:r>
            <w:r>
              <w:rPr>
                <w:rFonts w:hint="default" w:ascii="Times New Roman" w:hAnsi="Times New Roman" w:cs="Times New Roman" w:eastAsiaTheme="minorEastAsia"/>
                <w:b/>
                <w:bCs/>
                <w:color w:val="auto"/>
                <w:sz w:val="24"/>
                <w:szCs w:val="24"/>
                <w:highlight w:val="none"/>
                <w:lang w:val="en-US" w:eastAsia="zh-CN"/>
              </w:rPr>
              <w:t>项目所在管控单元要求</w:t>
            </w:r>
          </w:p>
          <w:tbl>
            <w:tblPr>
              <w:tblStyle w:val="15"/>
              <w:tblW w:w="62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3"/>
              <w:gridCol w:w="3300"/>
              <w:gridCol w:w="2085"/>
              <w:gridCol w:w="514"/>
            </w:tblGrid>
            <w:tr w14:paraId="4EF53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74" w:hRule="atLeast"/>
              </w:trPr>
              <w:tc>
                <w:tcPr>
                  <w:tcW w:w="3673" w:type="dxa"/>
                  <w:gridSpan w:val="2"/>
                  <w:vAlign w:val="center"/>
                </w:tcPr>
                <w:p w14:paraId="44926121">
                  <w:pPr>
                    <w:pStyle w:val="6"/>
                    <w:keepNext w:val="0"/>
                    <w:keepLines w:val="0"/>
                    <w:pageBreakBefore w:val="0"/>
                    <w:widowControl/>
                    <w:kinsoku/>
                    <w:wordWrap/>
                    <w:overflowPunct/>
                    <w:topLinePunct w:val="0"/>
                    <w:autoSpaceDE/>
                    <w:autoSpaceDN/>
                    <w:bidi w:val="0"/>
                    <w:adjustRightInd w:val="0"/>
                    <w:snapToGrid w:val="0"/>
                    <w:spacing w:line="360" w:lineRule="auto"/>
                    <w:ind w:firstLine="1440" w:firstLineChars="600"/>
                    <w:jc w:val="both"/>
                    <w:textAlignment w:val="auto"/>
                    <w:rPr>
                      <w:rFonts w:hint="default" w:ascii="Times New Roman" w:hAnsi="Times New Roman" w:cs="Times New Roman" w:eastAsiaTheme="minorEastAsia"/>
                      <w:color w:val="auto"/>
                      <w:sz w:val="24"/>
                      <w:szCs w:val="24"/>
                      <w:highlight w:val="none"/>
                      <w:vertAlign w:val="baseline"/>
                      <w:lang w:val="en-US" w:eastAsia="zh-CN"/>
                    </w:rPr>
                  </w:pPr>
                  <w:r>
                    <w:rPr>
                      <w:rFonts w:hint="default" w:ascii="Times New Roman" w:hAnsi="Times New Roman" w:cs="Times New Roman" w:eastAsiaTheme="minorEastAsia"/>
                      <w:color w:val="auto"/>
                      <w:sz w:val="24"/>
                      <w:szCs w:val="24"/>
                      <w:highlight w:val="none"/>
                      <w:vertAlign w:val="baseline"/>
                      <w:lang w:val="en-US" w:eastAsia="zh-CN"/>
                    </w:rPr>
                    <w:t>管控要求</w:t>
                  </w:r>
                </w:p>
              </w:tc>
              <w:tc>
                <w:tcPr>
                  <w:tcW w:w="2085" w:type="dxa"/>
                  <w:vAlign w:val="center"/>
                </w:tcPr>
                <w:p w14:paraId="6246CF08">
                  <w:pPr>
                    <w:pStyle w:val="6"/>
                    <w:keepNext w:val="0"/>
                    <w:keepLines w:val="0"/>
                    <w:pageBreakBefore w:val="0"/>
                    <w:widowControl/>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cs="Times New Roman" w:eastAsiaTheme="minorEastAsia"/>
                      <w:color w:val="auto"/>
                      <w:sz w:val="24"/>
                      <w:szCs w:val="24"/>
                      <w:highlight w:val="none"/>
                      <w:vertAlign w:val="baseline"/>
                      <w:lang w:val="en-US" w:eastAsia="zh-CN"/>
                    </w:rPr>
                  </w:pPr>
                  <w:r>
                    <w:rPr>
                      <w:rFonts w:hint="default" w:ascii="Times New Roman" w:hAnsi="Times New Roman" w:cs="Times New Roman" w:eastAsiaTheme="minorEastAsia"/>
                      <w:color w:val="auto"/>
                      <w:sz w:val="24"/>
                      <w:szCs w:val="24"/>
                      <w:highlight w:val="none"/>
                      <w:vertAlign w:val="baseline"/>
                      <w:lang w:val="en-US" w:eastAsia="zh-CN"/>
                    </w:rPr>
                    <w:t>项目建设情况</w:t>
                  </w:r>
                </w:p>
              </w:tc>
              <w:tc>
                <w:tcPr>
                  <w:tcW w:w="514" w:type="dxa"/>
                  <w:vAlign w:val="center"/>
                </w:tcPr>
                <w:p w14:paraId="61CA2201">
                  <w:pPr>
                    <w:pStyle w:val="6"/>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center"/>
                    <w:textAlignment w:val="auto"/>
                    <w:rPr>
                      <w:rFonts w:hint="default" w:ascii="Times New Roman" w:hAnsi="Times New Roman" w:cs="Times New Roman" w:eastAsiaTheme="minorEastAsia"/>
                      <w:color w:val="auto"/>
                      <w:sz w:val="24"/>
                      <w:szCs w:val="24"/>
                      <w:highlight w:val="none"/>
                      <w:vertAlign w:val="baseline"/>
                      <w:lang w:val="en-US" w:eastAsia="zh-CN"/>
                    </w:rPr>
                  </w:pPr>
                  <w:r>
                    <w:rPr>
                      <w:rFonts w:hint="eastAsia" w:cs="Times New Roman" w:eastAsiaTheme="minorEastAsia"/>
                      <w:color w:val="auto"/>
                      <w:sz w:val="24"/>
                      <w:szCs w:val="24"/>
                      <w:highlight w:val="none"/>
                      <w:vertAlign w:val="baseline"/>
                      <w:lang w:val="en-US" w:eastAsia="zh-CN"/>
                    </w:rPr>
                    <w:t>符合</w:t>
                  </w:r>
                  <w:r>
                    <w:rPr>
                      <w:rFonts w:hint="default" w:ascii="Times New Roman" w:hAnsi="Times New Roman" w:cs="Times New Roman"/>
                      <w:color w:val="auto"/>
                      <w:sz w:val="24"/>
                      <w:szCs w:val="24"/>
                      <w:highlight w:val="none"/>
                      <w:vertAlign w:val="baseline"/>
                      <w:lang w:val="en-US" w:eastAsia="zh-CN"/>
                    </w:rPr>
                    <w:t>性</w:t>
                  </w:r>
                </w:p>
              </w:tc>
            </w:tr>
            <w:tr w14:paraId="55B0D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dxa"/>
                  <w:vAlign w:val="center"/>
                </w:tcPr>
                <w:p w14:paraId="08D485E3">
                  <w:pPr>
                    <w:pStyle w:val="6"/>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center"/>
                    <w:textAlignment w:val="auto"/>
                    <w:rPr>
                      <w:rFonts w:hint="default" w:ascii="Times New Roman" w:hAnsi="Times New Roman" w:cs="Times New Roman" w:eastAsiaTheme="minorEastAsia"/>
                      <w:color w:val="auto"/>
                      <w:sz w:val="24"/>
                      <w:szCs w:val="24"/>
                      <w:highlight w:val="none"/>
                      <w:vertAlign w:val="baseline"/>
                      <w:lang w:val="en-US" w:eastAsia="zh-CN"/>
                    </w:rPr>
                  </w:pPr>
                  <w:r>
                    <w:rPr>
                      <w:rFonts w:hint="default" w:ascii="Times New Roman" w:hAnsi="Times New Roman" w:cs="Times New Roman" w:eastAsiaTheme="minorEastAsia"/>
                      <w:color w:val="auto"/>
                      <w:sz w:val="24"/>
                      <w:szCs w:val="24"/>
                      <w:highlight w:val="none"/>
                      <w:vertAlign w:val="baseline"/>
                      <w:lang w:val="en-US" w:eastAsia="zh-CN"/>
                    </w:rPr>
                    <w:t>资源利用效率要求</w:t>
                  </w:r>
                </w:p>
              </w:tc>
              <w:tc>
                <w:tcPr>
                  <w:tcW w:w="3300" w:type="dxa"/>
                  <w:vAlign w:val="center"/>
                </w:tcPr>
                <w:p w14:paraId="474013EE">
                  <w:pPr>
                    <w:pStyle w:val="6"/>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1.原煤入选率不低于75%</w:t>
                  </w:r>
                  <w:r>
                    <w:rPr>
                      <w:rFonts w:hint="eastAsia" w:ascii="宋体" w:hAnsi="宋体" w:cs="宋体"/>
                      <w:color w:val="auto"/>
                      <w:sz w:val="24"/>
                      <w:szCs w:val="24"/>
                      <w:highlight w:val="none"/>
                      <w:vertAlign w:val="baseline"/>
                      <w:lang w:val="en-US" w:eastAsia="zh-CN"/>
                    </w:rPr>
                    <w:t>；</w:t>
                  </w:r>
                  <w:r>
                    <w:rPr>
                      <w:rFonts w:hint="eastAsia" w:ascii="宋体" w:hAnsi="宋体" w:eastAsia="宋体" w:cs="宋体"/>
                      <w:color w:val="auto"/>
                      <w:sz w:val="24"/>
                      <w:szCs w:val="24"/>
                      <w:highlight w:val="none"/>
                      <w:vertAlign w:val="baseline"/>
                      <w:lang w:val="en-US" w:eastAsia="zh-CN"/>
                    </w:rPr>
                    <w:t>煤矸石综合利用率应达到75%以上</w:t>
                  </w:r>
                  <w:r>
                    <w:rPr>
                      <w:rFonts w:hint="eastAsia" w:ascii="宋体" w:hAnsi="宋体" w:cs="宋体"/>
                      <w:color w:val="auto"/>
                      <w:sz w:val="24"/>
                      <w:szCs w:val="24"/>
                      <w:highlight w:val="none"/>
                      <w:vertAlign w:val="baseline"/>
                      <w:lang w:val="en-US" w:eastAsia="zh-CN"/>
                    </w:rPr>
                    <w:t>；</w:t>
                  </w:r>
                  <w:r>
                    <w:rPr>
                      <w:rFonts w:hint="eastAsia" w:ascii="宋体" w:hAnsi="宋体" w:eastAsia="宋体" w:cs="宋体"/>
                      <w:color w:val="auto"/>
                      <w:sz w:val="24"/>
                      <w:szCs w:val="24"/>
                      <w:highlight w:val="none"/>
                      <w:vertAlign w:val="baseline"/>
                      <w:lang w:val="en-US" w:eastAsia="zh-CN"/>
                    </w:rPr>
                    <w:t>矿井水、疏干水应采用洁净化、资源化技术和工艺进行合理处置，处置率达到100%。</w:t>
                  </w:r>
                </w:p>
                <w:p w14:paraId="2CE68095">
                  <w:pPr>
                    <w:pStyle w:val="6"/>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rPr>
                      <w:rFonts w:hint="default" w:ascii="Times New Roman" w:hAnsi="Times New Roman" w:cs="Times New Roman" w:eastAsiaTheme="minorEastAsia"/>
                      <w:color w:val="auto"/>
                      <w:sz w:val="24"/>
                      <w:szCs w:val="24"/>
                      <w:highlight w:val="none"/>
                      <w:vertAlign w:val="baseline"/>
                      <w:lang w:val="en-US" w:eastAsia="zh-CN"/>
                    </w:rPr>
                  </w:pPr>
                  <w:r>
                    <w:rPr>
                      <w:rFonts w:hint="default" w:ascii="Times New Roman" w:hAnsi="Times New Roman" w:cs="Times New Roman" w:eastAsiaTheme="minorEastAsia"/>
                      <w:color w:val="auto"/>
                      <w:sz w:val="24"/>
                      <w:szCs w:val="24"/>
                      <w:highlight w:val="none"/>
                      <w:vertAlign w:val="baseline"/>
                      <w:lang w:val="en-US" w:eastAsia="zh-CN"/>
                    </w:rPr>
                    <w:t>2.煤矿采区回采率、原煤入选率、煤矸石与共伴生矿产资源综合利用率等三项指标符合自然资源部发布的《煤炭资源合理开发利用“三率”指标要求</w:t>
                  </w:r>
                  <w:r>
                    <w:rPr>
                      <w:rFonts w:hint="eastAsia" w:cs="Times New Roman" w:eastAsiaTheme="minorEastAsia"/>
                      <w:color w:val="auto"/>
                      <w:sz w:val="24"/>
                      <w:szCs w:val="24"/>
                      <w:highlight w:val="none"/>
                      <w:vertAlign w:val="baseline"/>
                      <w:lang w:val="en-US" w:eastAsia="zh-CN"/>
                    </w:rPr>
                    <w:t>（</w:t>
                  </w:r>
                  <w:r>
                    <w:rPr>
                      <w:rFonts w:hint="default" w:ascii="Times New Roman" w:hAnsi="Times New Roman" w:cs="Times New Roman" w:eastAsiaTheme="minorEastAsia"/>
                      <w:color w:val="auto"/>
                      <w:sz w:val="24"/>
                      <w:szCs w:val="24"/>
                      <w:highlight w:val="none"/>
                      <w:vertAlign w:val="baseline"/>
                      <w:lang w:val="en-US" w:eastAsia="zh-CN"/>
                    </w:rPr>
                    <w:t>试行</w:t>
                  </w:r>
                  <w:r>
                    <w:rPr>
                      <w:rFonts w:hint="eastAsia" w:cs="Times New Roman" w:eastAsiaTheme="minorEastAsia"/>
                      <w:color w:val="auto"/>
                      <w:sz w:val="24"/>
                      <w:szCs w:val="24"/>
                      <w:highlight w:val="none"/>
                      <w:vertAlign w:val="baseline"/>
                      <w:lang w:val="en-US" w:eastAsia="zh-CN"/>
                    </w:rPr>
                    <w:t>）</w:t>
                  </w:r>
                  <w:r>
                    <w:rPr>
                      <w:rFonts w:hint="default" w:ascii="Times New Roman" w:hAnsi="Times New Roman" w:cs="Times New Roman" w:eastAsiaTheme="minorEastAsia"/>
                      <w:color w:val="auto"/>
                      <w:sz w:val="24"/>
                      <w:szCs w:val="24"/>
                      <w:highlight w:val="none"/>
                      <w:vertAlign w:val="baseline"/>
                      <w:lang w:val="en-US" w:eastAsia="zh-CN"/>
                    </w:rPr>
                    <w:t>》</w:t>
                  </w:r>
                  <w:r>
                    <w:rPr>
                      <w:rFonts w:hint="eastAsia" w:cs="Times New Roman" w:eastAsiaTheme="minorEastAsia"/>
                      <w:color w:val="auto"/>
                      <w:sz w:val="24"/>
                      <w:szCs w:val="24"/>
                      <w:highlight w:val="none"/>
                      <w:vertAlign w:val="baseline"/>
                      <w:lang w:val="en-US" w:eastAsia="zh-CN"/>
                    </w:rPr>
                    <w:t>。</w:t>
                  </w:r>
                </w:p>
                <w:p w14:paraId="7346A8A4">
                  <w:pPr>
                    <w:pStyle w:val="6"/>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rPr>
                      <w:rFonts w:hint="default" w:ascii="Times New Roman" w:hAnsi="Times New Roman" w:cs="Times New Roman" w:eastAsiaTheme="minorEastAsia"/>
                      <w:color w:val="auto"/>
                      <w:sz w:val="24"/>
                      <w:szCs w:val="24"/>
                      <w:highlight w:val="none"/>
                      <w:vertAlign w:val="baseline"/>
                      <w:lang w:val="en-US" w:eastAsia="zh-CN"/>
                    </w:rPr>
                  </w:pPr>
                  <w:r>
                    <w:rPr>
                      <w:rFonts w:hint="default" w:ascii="Times New Roman" w:hAnsi="Times New Roman" w:cs="Times New Roman" w:eastAsiaTheme="minorEastAsia"/>
                      <w:color w:val="auto"/>
                      <w:sz w:val="24"/>
                      <w:szCs w:val="24"/>
                      <w:highlight w:val="none"/>
                      <w:vertAlign w:val="baseline"/>
                      <w:lang w:val="en-US" w:eastAsia="zh-CN"/>
                    </w:rPr>
                    <w:t>3.严格执行取用水总量控制制度，推进矿井水综合利用，煤炭矿区的补充用水、周边地区生产和生态用水应优先使用矿井水，加强洗煤废水循环利用。4.限制勘查开发过程中对环境破坏较大的砂金等重砂矿物，原则上不再新设勘查项目，确需新立的必须通过环境影响评估，并征得环保部门同意。禁止勘查超贫</w:t>
                  </w:r>
                  <w:r>
                    <w:rPr>
                      <w:rFonts w:hint="eastAsia" w:cs="Times New Roman" w:eastAsiaTheme="minorEastAsia"/>
                      <w:color w:val="auto"/>
                      <w:sz w:val="24"/>
                      <w:szCs w:val="24"/>
                      <w:highlight w:val="none"/>
                      <w:vertAlign w:val="baseline"/>
                      <w:lang w:val="en-US" w:eastAsia="zh-CN"/>
                    </w:rPr>
                    <w:t>磁铁矿</w:t>
                  </w:r>
                  <w:r>
                    <w:rPr>
                      <w:rFonts w:hint="default" w:ascii="Times New Roman" w:hAnsi="Times New Roman" w:cs="Times New Roman" w:eastAsiaTheme="minorEastAsia"/>
                      <w:color w:val="auto"/>
                      <w:sz w:val="24"/>
                      <w:szCs w:val="24"/>
                      <w:highlight w:val="none"/>
                      <w:vertAlign w:val="baseline"/>
                      <w:lang w:val="en-US" w:eastAsia="zh-CN"/>
                    </w:rPr>
                    <w:t>。</w:t>
                  </w:r>
                </w:p>
              </w:tc>
              <w:tc>
                <w:tcPr>
                  <w:tcW w:w="2085" w:type="dxa"/>
                  <w:vAlign w:val="center"/>
                </w:tcPr>
                <w:p w14:paraId="7DA8DDE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eastAsiaTheme="minorEastAsia"/>
                      <w:color w:val="auto"/>
                      <w:sz w:val="24"/>
                      <w:szCs w:val="24"/>
                      <w:highlight w:val="none"/>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本条管控指标针对煤炭开采、洗选矿井项目。本项目为混凝土</w:t>
                  </w:r>
                  <w:r>
                    <w:rPr>
                      <w:rFonts w:hint="eastAsia" w:ascii="宋体" w:hAnsi="宋体" w:cs="宋体"/>
                      <w:b w:val="0"/>
                      <w:bCs w:val="0"/>
                      <w:color w:val="auto"/>
                      <w:sz w:val="24"/>
                      <w:szCs w:val="24"/>
                      <w:highlight w:val="none"/>
                      <w:lang w:eastAsia="zh-CN"/>
                    </w:rPr>
                    <w:t>搅拌站</w:t>
                  </w:r>
                  <w:r>
                    <w:rPr>
                      <w:rFonts w:hint="eastAsia" w:ascii="宋体" w:hAnsi="宋体" w:eastAsia="宋体" w:cs="宋体"/>
                      <w:b w:val="0"/>
                      <w:bCs w:val="0"/>
                      <w:color w:val="auto"/>
                      <w:sz w:val="24"/>
                      <w:szCs w:val="24"/>
                      <w:highlight w:val="none"/>
                    </w:rPr>
                    <w:t>建设运营项目，仅从事砂石、水泥、外加剂搅拌加工，</w:t>
                  </w:r>
                  <w:r>
                    <w:rPr>
                      <w:rStyle w:val="17"/>
                      <w:rFonts w:hint="eastAsia" w:ascii="宋体" w:hAnsi="宋体" w:eastAsia="宋体" w:cs="宋体"/>
                      <w:b w:val="0"/>
                      <w:bCs w:val="0"/>
                      <w:color w:val="auto"/>
                      <w:sz w:val="24"/>
                      <w:szCs w:val="24"/>
                      <w:highlight w:val="none"/>
                    </w:rPr>
                    <w:t>不涉及煤炭开采、原煤洗选、煤矸石产生、矿井水/疏干水产出等相关生产活动</w:t>
                  </w:r>
                  <w:r>
                    <w:rPr>
                      <w:rFonts w:hint="eastAsia" w:ascii="宋体" w:hAnsi="宋体" w:eastAsia="宋体" w:cs="宋体"/>
                      <w:b w:val="0"/>
                      <w:bCs w:val="0"/>
                      <w:color w:val="auto"/>
                      <w:sz w:val="24"/>
                      <w:szCs w:val="24"/>
                      <w:highlight w:val="none"/>
                    </w:rPr>
                    <w:t>，无原煤、煤矸石、矿井水相关污染物及资源，本条款管控内容不适用于本项目。</w:t>
                  </w:r>
                </w:p>
                <w:p w14:paraId="77D4AD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360" w:lineRule="auto"/>
                    <w:ind w:left="0" w:leftChars="0" w:right="0" w:firstLine="480" w:firstLineChars="20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bidi="ar"/>
                    </w:rPr>
                    <w:t>2.《煤炭资源合理开发利用“三率”指标要求</w:t>
                  </w:r>
                  <w:r>
                    <w:rPr>
                      <w:rFonts w:hint="eastAsia" w:ascii="宋体" w:hAnsi="宋体" w:cs="宋体"/>
                      <w:b w:val="0"/>
                      <w:bCs w:val="0"/>
                      <w:color w:val="auto"/>
                      <w:kern w:val="0"/>
                      <w:sz w:val="24"/>
                      <w:szCs w:val="24"/>
                      <w:highlight w:val="none"/>
                      <w:lang w:val="en-US" w:eastAsia="zh-CN" w:bidi="ar"/>
                    </w:rPr>
                    <w:t>（</w:t>
                  </w:r>
                  <w:r>
                    <w:rPr>
                      <w:rFonts w:hint="eastAsia" w:ascii="宋体" w:hAnsi="宋体" w:eastAsia="宋体" w:cs="宋体"/>
                      <w:b w:val="0"/>
                      <w:bCs w:val="0"/>
                      <w:color w:val="auto"/>
                      <w:kern w:val="0"/>
                      <w:sz w:val="24"/>
                      <w:szCs w:val="24"/>
                      <w:highlight w:val="none"/>
                      <w:lang w:val="en-US" w:eastAsia="zh-CN" w:bidi="ar"/>
                    </w:rPr>
                    <w:t>试行</w:t>
                  </w:r>
                  <w:r>
                    <w:rPr>
                      <w:rFonts w:hint="eastAsia" w:ascii="宋体" w:hAnsi="宋体" w:cs="宋体"/>
                      <w:b w:val="0"/>
                      <w:bCs w:val="0"/>
                      <w:color w:val="auto"/>
                      <w:kern w:val="0"/>
                      <w:sz w:val="24"/>
                      <w:szCs w:val="24"/>
                      <w:highlight w:val="none"/>
                      <w:lang w:val="en-US" w:eastAsia="zh-CN" w:bidi="ar"/>
                    </w:rPr>
                    <w:t>）</w:t>
                  </w:r>
                  <w:r>
                    <w:rPr>
                      <w:rFonts w:hint="eastAsia" w:ascii="宋体" w:hAnsi="宋体" w:eastAsia="宋体" w:cs="宋体"/>
                      <w:b w:val="0"/>
                      <w:bCs w:val="0"/>
                      <w:color w:val="auto"/>
                      <w:kern w:val="0"/>
                      <w:sz w:val="24"/>
                      <w:szCs w:val="24"/>
                      <w:highlight w:val="none"/>
                      <w:lang w:val="en-US" w:eastAsia="zh-CN" w:bidi="ar"/>
                    </w:rPr>
                    <w:t>》管控对象为煤炭矿山开采项目，指标包含煤矿采区回采率、原煤入选率、共伴生资源综合利用率。本项目为</w:t>
                  </w:r>
                  <w:r>
                    <w:rPr>
                      <w:rFonts w:hint="eastAsia" w:ascii="宋体" w:hAnsi="宋体" w:cs="宋体"/>
                      <w:b w:val="0"/>
                      <w:bCs w:val="0"/>
                      <w:color w:val="auto"/>
                      <w:kern w:val="0"/>
                      <w:sz w:val="24"/>
                      <w:szCs w:val="24"/>
                      <w:highlight w:val="none"/>
                      <w:lang w:val="en-US" w:eastAsia="zh-CN" w:bidi="ar"/>
                    </w:rPr>
                    <w:t>搅拌站</w:t>
                  </w:r>
                  <w:r>
                    <w:rPr>
                      <w:rFonts w:hint="eastAsia" w:ascii="宋体" w:hAnsi="宋体" w:eastAsia="宋体" w:cs="宋体"/>
                      <w:b w:val="0"/>
                      <w:bCs w:val="0"/>
                      <w:color w:val="auto"/>
                      <w:kern w:val="0"/>
                      <w:sz w:val="24"/>
                      <w:szCs w:val="24"/>
                      <w:highlight w:val="none"/>
                      <w:lang w:val="en-US" w:eastAsia="zh-CN" w:bidi="ar"/>
                    </w:rPr>
                    <w:t>加工项目，无矿产资源开采工序，不产生煤炭开采相关产物，</w:t>
                  </w:r>
                  <w:r>
                    <w:rPr>
                      <w:rStyle w:val="17"/>
                      <w:rFonts w:hint="eastAsia" w:ascii="宋体" w:hAnsi="宋体" w:eastAsia="宋体" w:cs="宋体"/>
                      <w:b w:val="0"/>
                      <w:bCs w:val="0"/>
                      <w:color w:val="auto"/>
                      <w:kern w:val="0"/>
                      <w:sz w:val="24"/>
                      <w:szCs w:val="24"/>
                      <w:highlight w:val="none"/>
                      <w:lang w:val="en-US" w:eastAsia="zh-CN" w:bidi="ar"/>
                    </w:rPr>
                    <w:t>无需执行煤炭矿山“三率”管控指标</w:t>
                  </w:r>
                  <w:r>
                    <w:rPr>
                      <w:rFonts w:hint="eastAsia" w:ascii="宋体" w:hAnsi="宋体" w:eastAsia="宋体" w:cs="宋体"/>
                      <w:b w:val="0"/>
                      <w:bCs w:val="0"/>
                      <w:color w:val="auto"/>
                      <w:kern w:val="0"/>
                      <w:sz w:val="24"/>
                      <w:szCs w:val="24"/>
                      <w:highlight w:val="none"/>
                      <w:lang w:val="en-US" w:eastAsia="zh-CN" w:bidi="ar"/>
                    </w:rPr>
                    <w:t>。</w:t>
                  </w:r>
                </w:p>
                <w:p w14:paraId="295DF51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360" w:lineRule="auto"/>
                    <w:ind w:left="0" w:leftChars="0" w:right="0" w:firstLine="480" w:firstLineChars="200"/>
                    <w:jc w:val="both"/>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3.该条款适用于煤炭开采矿区取水、矿井废水回用管理。本项目无矿井、疏干水产出，生产用水为外购自来水/地表水，生产废水经沉淀处理后全部循环回用，不外排；项目已落实取用水总量管控，用水循环利用措施完善，不存在矿井水调配使用相关内容，本条矿区专项管控要求不适用本</w:t>
                  </w:r>
                  <w:r>
                    <w:rPr>
                      <w:rFonts w:hint="eastAsia" w:ascii="宋体" w:hAnsi="宋体" w:cs="宋体"/>
                      <w:b w:val="0"/>
                      <w:bCs w:val="0"/>
                      <w:color w:val="auto"/>
                      <w:kern w:val="0"/>
                      <w:sz w:val="24"/>
                      <w:szCs w:val="24"/>
                      <w:highlight w:val="none"/>
                      <w:lang w:val="en-US" w:eastAsia="zh-CN" w:bidi="ar"/>
                    </w:rPr>
                    <w:t>搅拌站</w:t>
                  </w:r>
                  <w:r>
                    <w:rPr>
                      <w:rFonts w:hint="eastAsia" w:ascii="宋体" w:hAnsi="宋体" w:eastAsia="宋体" w:cs="宋体"/>
                      <w:b w:val="0"/>
                      <w:bCs w:val="0"/>
                      <w:color w:val="auto"/>
                      <w:kern w:val="0"/>
                      <w:sz w:val="24"/>
                      <w:szCs w:val="24"/>
                      <w:highlight w:val="none"/>
                      <w:lang w:val="en-US" w:eastAsia="zh-CN" w:bidi="ar"/>
                    </w:rPr>
                    <w:t>项目。</w:t>
                  </w:r>
                </w:p>
                <w:p w14:paraId="0E178C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360" w:lineRule="auto"/>
                    <w:ind w:left="0" w:leftChars="0" w:right="0" w:firstLine="480" w:firstLineChars="200"/>
                    <w:jc w:val="both"/>
                    <w:textAlignment w:val="auto"/>
                    <w:rPr>
                      <w:rFonts w:hint="default" w:ascii="Times New Roman" w:hAnsi="Times New Roman" w:cs="Times New Roman" w:eastAsiaTheme="minorEastAsia"/>
                      <w:color w:val="auto"/>
                      <w:sz w:val="24"/>
                      <w:szCs w:val="24"/>
                      <w:highlight w:val="none"/>
                      <w:vertAlign w:val="baseline"/>
                      <w:lang w:val="en-US" w:eastAsia="zh-CN"/>
                    </w:rPr>
                  </w:pPr>
                  <w:r>
                    <w:rPr>
                      <w:rFonts w:hint="eastAsia" w:ascii="宋体" w:hAnsi="宋体" w:eastAsia="宋体" w:cs="宋体"/>
                      <w:b w:val="0"/>
                      <w:bCs w:val="0"/>
                      <w:color w:val="auto"/>
                      <w:kern w:val="0"/>
                      <w:sz w:val="24"/>
                      <w:szCs w:val="24"/>
                      <w:highlight w:val="none"/>
                      <w:lang w:val="en-US" w:eastAsia="zh-CN" w:bidi="ar"/>
                    </w:rPr>
                    <w:t>4.本条约束矿产勘查、采矿类项目。本项目仅建设</w:t>
                  </w:r>
                  <w:r>
                    <w:rPr>
                      <w:rFonts w:hint="eastAsia" w:ascii="宋体" w:hAnsi="宋体" w:cs="宋体"/>
                      <w:b w:val="0"/>
                      <w:bCs w:val="0"/>
                      <w:color w:val="auto"/>
                      <w:kern w:val="0"/>
                      <w:sz w:val="24"/>
                      <w:szCs w:val="24"/>
                      <w:highlight w:val="none"/>
                      <w:lang w:val="en-US" w:eastAsia="zh-CN" w:bidi="ar"/>
                    </w:rPr>
                    <w:t>搅拌站</w:t>
                  </w:r>
                  <w:r>
                    <w:rPr>
                      <w:rFonts w:hint="eastAsia" w:ascii="宋体" w:hAnsi="宋体" w:eastAsia="宋体" w:cs="宋体"/>
                      <w:b w:val="0"/>
                      <w:bCs w:val="0"/>
                      <w:color w:val="auto"/>
                      <w:kern w:val="0"/>
                      <w:sz w:val="24"/>
                      <w:szCs w:val="24"/>
                      <w:highlight w:val="none"/>
                      <w:lang w:val="en-US" w:eastAsia="zh-CN" w:bidi="ar"/>
                    </w:rPr>
                    <w:t>，从事建材</w:t>
                  </w:r>
                  <w:r>
                    <w:rPr>
                      <w:rFonts w:hint="eastAsia" w:ascii="宋体" w:hAnsi="宋体" w:cs="宋体"/>
                      <w:b w:val="0"/>
                      <w:bCs w:val="0"/>
                      <w:color w:val="auto"/>
                      <w:kern w:val="0"/>
                      <w:sz w:val="24"/>
                      <w:szCs w:val="24"/>
                      <w:highlight w:val="none"/>
                      <w:lang w:val="en-US" w:eastAsia="zh-CN" w:bidi="ar"/>
                    </w:rPr>
                    <w:t>拌和</w:t>
                  </w:r>
                  <w:r>
                    <w:rPr>
                      <w:rFonts w:hint="eastAsia" w:ascii="宋体" w:hAnsi="宋体" w:eastAsia="宋体" w:cs="宋体"/>
                      <w:b w:val="0"/>
                      <w:bCs w:val="0"/>
                      <w:color w:val="auto"/>
                      <w:kern w:val="0"/>
                      <w:sz w:val="24"/>
                      <w:szCs w:val="24"/>
                      <w:highlight w:val="none"/>
                      <w:lang w:val="en-US" w:eastAsia="zh-CN" w:bidi="ar"/>
                    </w:rPr>
                    <w:t>加工，</w:t>
                  </w:r>
                  <w:r>
                    <w:rPr>
                      <w:rStyle w:val="17"/>
                      <w:rFonts w:hint="eastAsia" w:ascii="宋体" w:hAnsi="宋体" w:eastAsia="宋体" w:cs="宋体"/>
                      <w:b w:val="0"/>
                      <w:bCs w:val="0"/>
                      <w:color w:val="auto"/>
                      <w:kern w:val="0"/>
                      <w:sz w:val="24"/>
                      <w:szCs w:val="24"/>
                      <w:highlight w:val="none"/>
                      <w:lang w:val="en-US" w:eastAsia="zh-CN" w:bidi="ar"/>
                    </w:rPr>
                    <w:t>不涉及任何金属、砂石矿产勘查、开采活动</w:t>
                  </w:r>
                  <w:r>
                    <w:rPr>
                      <w:rFonts w:hint="eastAsia" w:ascii="宋体" w:hAnsi="宋体" w:eastAsia="宋体" w:cs="宋体"/>
                      <w:b w:val="0"/>
                      <w:bCs w:val="0"/>
                      <w:color w:val="auto"/>
                      <w:kern w:val="0"/>
                      <w:sz w:val="24"/>
                      <w:szCs w:val="24"/>
                      <w:highlight w:val="none"/>
                      <w:lang w:val="en-US" w:eastAsia="zh-CN" w:bidi="ar"/>
                    </w:rPr>
                    <w:t>，不存在砂金、超贫磁铁矿勘探开发行为，该管控条款对本项目无约束性。</w:t>
                  </w:r>
                </w:p>
              </w:tc>
              <w:tc>
                <w:tcPr>
                  <w:tcW w:w="514" w:type="dxa"/>
                  <w:vAlign w:val="center"/>
                </w:tcPr>
                <w:p w14:paraId="41D34085">
                  <w:pPr>
                    <w:pStyle w:val="6"/>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center"/>
                    <w:textAlignment w:val="auto"/>
                    <w:rPr>
                      <w:rFonts w:hint="default" w:ascii="Times New Roman" w:hAnsi="Times New Roman" w:cs="Times New Roman" w:eastAsiaTheme="minorEastAsia"/>
                      <w:color w:val="auto"/>
                      <w:sz w:val="24"/>
                      <w:szCs w:val="24"/>
                      <w:highlight w:val="none"/>
                      <w:vertAlign w:val="baseline"/>
                      <w:lang w:val="en-US" w:eastAsia="zh-CN"/>
                    </w:rPr>
                  </w:pPr>
                  <w:r>
                    <w:rPr>
                      <w:rFonts w:hint="default" w:ascii="Times New Roman" w:hAnsi="Times New Roman" w:cs="Times New Roman" w:eastAsiaTheme="minorEastAsia"/>
                      <w:color w:val="auto"/>
                      <w:sz w:val="24"/>
                      <w:szCs w:val="24"/>
                      <w:highlight w:val="none"/>
                      <w:vertAlign w:val="baseline"/>
                      <w:lang w:val="en-US" w:eastAsia="zh-CN"/>
                    </w:rPr>
                    <w:t>符</w:t>
                  </w:r>
                  <w:r>
                    <w:rPr>
                      <w:rFonts w:hint="eastAsia" w:cs="Times New Roman" w:eastAsiaTheme="minorEastAsia"/>
                      <w:color w:val="auto"/>
                      <w:sz w:val="24"/>
                      <w:szCs w:val="24"/>
                      <w:highlight w:val="none"/>
                      <w:vertAlign w:val="baseline"/>
                      <w:lang w:val="en-US" w:eastAsia="zh-CN"/>
                    </w:rPr>
                    <w:t>合</w:t>
                  </w:r>
                </w:p>
              </w:tc>
            </w:tr>
          </w:tbl>
          <w:p w14:paraId="05341A06">
            <w:pPr>
              <w:keepNext w:val="0"/>
              <w:keepLines w:val="0"/>
              <w:pageBreakBefore w:val="0"/>
              <w:kinsoku/>
              <w:wordWrap/>
              <w:overflowPunct/>
              <w:topLinePunct w:val="0"/>
              <w:bidi w:val="0"/>
              <w:adjustRightInd w:val="0"/>
              <w:snapToGrid w:val="0"/>
              <w:spacing w:line="360" w:lineRule="auto"/>
              <w:ind w:firstLine="480" w:firstLineChars="200"/>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综上所述，本项目符合</w:t>
            </w:r>
            <w:r>
              <w:rPr>
                <w:rFonts w:hint="eastAsia"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三线一单</w:t>
            </w:r>
            <w:r>
              <w:rPr>
                <w:rFonts w:hint="eastAsia" w:cs="Times New Roman" w:eastAsiaTheme="minorEastAsia"/>
                <w:color w:val="auto"/>
                <w:sz w:val="24"/>
                <w:szCs w:val="24"/>
                <w:highlight w:val="none"/>
                <w:lang w:val="en-US" w:eastAsia="zh-CN"/>
              </w:rPr>
              <w:t>”要求</w:t>
            </w:r>
            <w:r>
              <w:rPr>
                <w:rFonts w:hint="default" w:ascii="Times New Roman" w:hAnsi="Times New Roman" w:cs="Times New Roman" w:eastAsiaTheme="minorEastAsia"/>
                <w:color w:val="auto"/>
                <w:sz w:val="24"/>
                <w:szCs w:val="24"/>
                <w:highlight w:val="none"/>
                <w:lang w:val="en-US" w:eastAsia="zh-CN"/>
              </w:rPr>
              <w:t>。</w:t>
            </w:r>
          </w:p>
        </w:tc>
      </w:tr>
    </w:tbl>
    <w:p w14:paraId="66003DBE">
      <w:pPr>
        <w:spacing w:line="360" w:lineRule="auto"/>
        <w:outlineLvl w:val="0"/>
        <w:rPr>
          <w:rFonts w:eastAsia="黑体"/>
          <w:color w:val="auto"/>
          <w:sz w:val="24"/>
          <w:szCs w:val="24"/>
          <w:highlight w:val="none"/>
        </w:rPr>
        <w:sectPr>
          <w:footerReference r:id="rId6" w:type="default"/>
          <w:pgSz w:w="11906" w:h="16838"/>
          <w:pgMar w:top="1701" w:right="1531" w:bottom="1701" w:left="1531" w:header="851" w:footer="1077" w:gutter="0"/>
          <w:pgNumType w:fmt="decimal" w:start="1"/>
          <w:cols w:space="720" w:num="1"/>
          <w:docGrid w:linePitch="312" w:charSpace="0"/>
        </w:sectPr>
      </w:pPr>
    </w:p>
    <w:p w14:paraId="4E7535BA">
      <w:pPr>
        <w:pStyle w:val="12"/>
        <w:jc w:val="both"/>
        <w:outlineLvl w:val="0"/>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二、建设项目工程分析</w:t>
      </w:r>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84"/>
        <w:gridCol w:w="8576"/>
      </w:tblGrid>
      <w:tr w14:paraId="7B5399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32" w:hRule="atLeast"/>
          <w:jc w:val="center"/>
        </w:trPr>
        <w:tc>
          <w:tcPr>
            <w:tcW w:w="484" w:type="dxa"/>
            <w:noWrap w:val="0"/>
            <w:vAlign w:val="center"/>
          </w:tcPr>
          <w:p w14:paraId="23C45F8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建设内容</w:t>
            </w:r>
          </w:p>
        </w:tc>
        <w:tc>
          <w:tcPr>
            <w:tcW w:w="8576" w:type="dxa"/>
            <w:noWrap w:val="0"/>
            <w:vAlign w:val="top"/>
          </w:tcPr>
          <w:p w14:paraId="7D314EA6">
            <w:pPr>
              <w:bidi w:val="0"/>
              <w:spacing w:line="360" w:lineRule="auto"/>
              <w:ind w:left="0" w:leftChars="0" w:firstLine="0" w:firstLineChars="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1、项目由来</w:t>
            </w:r>
          </w:p>
          <w:p w14:paraId="29425CE2">
            <w:pPr>
              <w:bidi w:val="0"/>
              <w:spacing w:line="360" w:lineRule="auto"/>
              <w:ind w:left="0" w:leftChars="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国能包头能源有限责任公司万利一矿现有配套混凝土搅拌站于2022年11月取得鄂环东审字〔2022〕46号环评批复，2023年1月完成自主竣工环保验收，现有生产线设计年产C25混凝土27010m³，产品全部内部自用，用于矿井井下巷道硬化、设备基础浇筑、井下支护工程。近年来万利一矿开采工作面持续延伸，井下开拓巷道、维修巷道、井下硐室、地面配套道路、管线基建工程量大幅增加，同时井下采用沿空留巷开采工艺，需消耗大量混凝土构筑墙体，现有搅拌站存在产品单一、产量有限的问题，产能已无法匹配矿井连续生产混凝土需求，存在供料中断、制约矿井采掘进度的问题。为保障矿区正常生产，企业拟在万利一矿现有工业广场闲置工矿用地内扩建1条120型混凝土搅拌生产线，扩建产品为C30混凝土；地块为矿区确权工业用地，不新增建设用地、不占用</w:t>
            </w:r>
            <w:r>
              <w:rPr>
                <w:rFonts w:hint="eastAsia" w:cs="Times New Roman"/>
                <w:color w:val="auto"/>
                <w:sz w:val="24"/>
                <w:szCs w:val="24"/>
                <w:highlight w:val="none"/>
                <w:lang w:eastAsia="zh-CN"/>
              </w:rPr>
              <w:t>生态保护红线</w:t>
            </w:r>
            <w:r>
              <w:rPr>
                <w:rFonts w:hint="default" w:ascii="Times New Roman" w:hAnsi="Times New Roman" w:eastAsia="宋体" w:cs="Times New Roman"/>
                <w:color w:val="auto"/>
                <w:sz w:val="24"/>
                <w:szCs w:val="24"/>
                <w:highlight w:val="none"/>
              </w:rPr>
              <w:t>、农田、草原。项目水、电、供暖全部依托矿区现有公辅设施，生产操作人员由矿内现有职工调配，不新增劳动定员；同步配套全封闭砂石料场、筒仓布袋除尘、密闭输送、分区防渗等全套环保设施，降低扩建工程环境影响。本项目为扩建类水泥制品制造项目，不属于《产业结构调整指导目录（2024年本）》限制、淘汰类，属于允许类，符合国家产业政策；选址位于万利矿区重点管控单元工业广场内，周边无集中</w:t>
            </w:r>
            <w:r>
              <w:rPr>
                <w:rFonts w:hint="eastAsia" w:cs="Times New Roman"/>
                <w:color w:val="auto"/>
                <w:sz w:val="24"/>
                <w:szCs w:val="24"/>
                <w:highlight w:val="none"/>
                <w:lang w:eastAsia="zh-CN"/>
              </w:rPr>
              <w:t>居住区</w:t>
            </w:r>
            <w:r>
              <w:rPr>
                <w:rFonts w:hint="default" w:ascii="Times New Roman" w:hAnsi="Times New Roman" w:eastAsia="宋体" w:cs="Times New Roman"/>
                <w:color w:val="auto"/>
                <w:sz w:val="24"/>
                <w:szCs w:val="24"/>
                <w:highlight w:val="none"/>
              </w:rPr>
              <w:t>、水源地、文物保护单位，具备扩建实施条件。</w:t>
            </w:r>
          </w:p>
          <w:p w14:paraId="078FCA28">
            <w:pPr>
              <w:bidi w:val="0"/>
              <w:spacing w:line="360" w:lineRule="auto"/>
              <w:ind w:left="0" w:leftChars="0" w:firstLine="0" w:firstLineChars="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2、现有工程情况</w:t>
            </w:r>
          </w:p>
          <w:p w14:paraId="6F4CFA5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现有配套搅拌站2022年11月取得环评批复，2022年底建成投产，2023年1月自主竣工环保验收；本次新增产能</w:t>
            </w:r>
            <w:r>
              <w:rPr>
                <w:rFonts w:hint="default" w:ascii="Times New Roman" w:hAnsi="Times New Roman" w:cs="Times New Roman"/>
                <w:color w:val="auto"/>
                <w:sz w:val="24"/>
                <w:szCs w:val="24"/>
                <w:highlight w:val="none"/>
                <w:lang w:val="en-US" w:eastAsia="zh-CN"/>
              </w:rPr>
              <w:t>700800t</w:t>
            </w:r>
            <w:r>
              <w:rPr>
                <w:rFonts w:hint="default" w:ascii="Times New Roman" w:hAnsi="Times New Roman" w:eastAsia="宋体" w:cs="Times New Roman"/>
                <w:color w:val="auto"/>
                <w:sz w:val="24"/>
                <w:szCs w:val="24"/>
                <w:highlight w:val="none"/>
              </w:rPr>
              <w:t>/a，现有搅拌站</w:t>
            </w:r>
            <w:r>
              <w:rPr>
                <w:rFonts w:hint="default" w:ascii="Times New Roman" w:hAnsi="Times New Roman" w:cs="Times New Roman"/>
                <w:color w:val="auto"/>
                <w:sz w:val="24"/>
                <w:szCs w:val="24"/>
                <w:highlight w:val="none"/>
                <w:lang w:val="en-US" w:eastAsia="zh-CN"/>
              </w:rPr>
              <w:t>产能</w:t>
            </w:r>
            <w:r>
              <w:rPr>
                <w:rFonts w:hint="default" w:ascii="Times New Roman" w:hAnsi="Times New Roman" w:eastAsia="宋体" w:cs="Times New Roman"/>
                <w:color w:val="auto"/>
                <w:sz w:val="24"/>
                <w:szCs w:val="24"/>
                <w:highlight w:val="none"/>
              </w:rPr>
              <w:t>270×10m³/a</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sz w:val="24"/>
                <w:szCs w:val="24"/>
                <w:highlight w:val="none"/>
              </w:rPr>
              <w:t>现有搅拌站不拆除继续利用。搅拌站仅生产井下自用C25混凝土，无对外销售；生产人员由矿内现有职工调配，无新增生活污水；生产线配套筒仓、搅拌站双布袋除尘，砂石料棚洒水抑尘，搅拌罐清洗废水全部回用于搅拌工序，除尘灰全部回用生产。</w:t>
            </w:r>
            <w:r>
              <w:rPr>
                <w:rFonts w:hint="default" w:ascii="Times New Roman" w:hAnsi="Times New Roman" w:eastAsia="宋体" w:cs="Times New Roman"/>
                <w:color w:val="auto"/>
                <w:sz w:val="24"/>
                <w:szCs w:val="24"/>
                <w:highlight w:val="none"/>
                <w:lang w:val="en-US" w:eastAsia="zh-CN"/>
              </w:rPr>
              <w:t>项目现有工程组成见下表。</w:t>
            </w:r>
          </w:p>
          <w:p w14:paraId="00403688">
            <w:pPr>
              <w:bidi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表2</w:t>
            </w:r>
            <w:r>
              <w:rPr>
                <w:rFonts w:hint="default" w:ascii="Times New Roman" w:hAnsi="Times New Roman" w:cs="Times New Roman"/>
                <w:b/>
                <w:bCs/>
                <w:color w:val="auto"/>
                <w:sz w:val="24"/>
                <w:szCs w:val="24"/>
                <w:highlight w:val="none"/>
                <w:lang w:val="en-US" w:eastAsia="zh-CN"/>
              </w:rPr>
              <w:t>-2-1</w:t>
            </w:r>
            <w:r>
              <w:rPr>
                <w:rFonts w:hint="default" w:ascii="Times New Roman" w:hAnsi="Times New Roman" w:eastAsia="宋体" w:cs="Times New Roman"/>
                <w:b/>
                <w:bCs/>
                <w:color w:val="auto"/>
                <w:sz w:val="24"/>
                <w:szCs w:val="24"/>
                <w:highlight w:val="none"/>
                <w:lang w:val="en-US" w:eastAsia="zh-CN"/>
              </w:rPr>
              <w:t>现有工程组表</w:t>
            </w:r>
          </w:p>
          <w:tbl>
            <w:tblPr>
              <w:tblStyle w:val="47"/>
              <w:tblW w:w="8144" w:type="dxa"/>
              <w:tblInd w:w="1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6"/>
              <w:gridCol w:w="1414"/>
              <w:gridCol w:w="5274"/>
            </w:tblGrid>
            <w:tr w14:paraId="5AB26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trPr>
              <w:tc>
                <w:tcPr>
                  <w:tcW w:w="1456" w:type="dxa"/>
                  <w:vAlign w:val="center"/>
                </w:tcPr>
                <w:p w14:paraId="2918B833">
                  <w:pPr>
                    <w:pStyle w:val="46"/>
                    <w:spacing w:before="78" w:line="360" w:lineRule="auto"/>
                    <w:ind w:left="0" w:leftChars="0" w:right="15" w:firstLine="0" w:firstLineChars="0"/>
                    <w:jc w:val="center"/>
                    <w:rPr>
                      <w:rFonts w:hint="default" w:ascii="Times New Roman" w:hAnsi="Times New Roman" w:eastAsia="宋体" w:cs="Times New Roman"/>
                      <w:b/>
                      <w:bCs/>
                      <w:color w:val="auto"/>
                      <w:spacing w:val="-12"/>
                      <w:sz w:val="24"/>
                      <w:szCs w:val="24"/>
                      <w:highlight w:val="none"/>
                      <w:lang w:val="en-US" w:eastAsia="zh-CN"/>
                    </w:rPr>
                  </w:pPr>
                  <w:r>
                    <w:rPr>
                      <w:rFonts w:hint="default" w:ascii="Times New Roman" w:hAnsi="Times New Roman" w:eastAsia="宋体" w:cs="Times New Roman"/>
                      <w:b/>
                      <w:bCs/>
                      <w:color w:val="auto"/>
                      <w:spacing w:val="-12"/>
                      <w:sz w:val="24"/>
                      <w:szCs w:val="24"/>
                      <w:highlight w:val="none"/>
                      <w:lang w:val="en-US" w:eastAsia="zh-CN"/>
                    </w:rPr>
                    <w:t>工程类别</w:t>
                  </w:r>
                </w:p>
              </w:tc>
              <w:tc>
                <w:tcPr>
                  <w:tcW w:w="1414" w:type="dxa"/>
                  <w:vAlign w:val="center"/>
                </w:tcPr>
                <w:p w14:paraId="27304E3C">
                  <w:pPr>
                    <w:pStyle w:val="46"/>
                    <w:spacing w:before="78" w:line="360" w:lineRule="auto"/>
                    <w:ind w:left="0" w:leftChars="0" w:right="102" w:firstLine="0" w:firstLineChars="0"/>
                    <w:jc w:val="center"/>
                    <w:rPr>
                      <w:rFonts w:hint="default" w:ascii="Times New Roman" w:hAnsi="Times New Roman" w:eastAsia="宋体" w:cs="Times New Roman"/>
                      <w:b/>
                      <w:bCs/>
                      <w:color w:val="auto"/>
                      <w:spacing w:val="-5"/>
                      <w:sz w:val="24"/>
                      <w:szCs w:val="24"/>
                      <w:highlight w:val="none"/>
                      <w:lang w:val="en-US" w:eastAsia="zh-CN"/>
                    </w:rPr>
                  </w:pPr>
                  <w:r>
                    <w:rPr>
                      <w:rFonts w:hint="default" w:ascii="Times New Roman" w:hAnsi="Times New Roman" w:eastAsia="宋体" w:cs="Times New Roman"/>
                      <w:b/>
                      <w:bCs/>
                      <w:color w:val="auto"/>
                      <w:spacing w:val="-5"/>
                      <w:sz w:val="24"/>
                      <w:szCs w:val="24"/>
                      <w:highlight w:val="none"/>
                      <w:lang w:val="en-US" w:eastAsia="zh-CN"/>
                    </w:rPr>
                    <w:t>工程名称</w:t>
                  </w:r>
                </w:p>
              </w:tc>
              <w:tc>
                <w:tcPr>
                  <w:tcW w:w="5274" w:type="dxa"/>
                  <w:vAlign w:val="center"/>
                </w:tcPr>
                <w:p w14:paraId="103C03BF">
                  <w:pPr>
                    <w:pStyle w:val="46"/>
                    <w:spacing w:before="25" w:line="360" w:lineRule="auto"/>
                    <w:ind w:left="0" w:leftChars="0" w:firstLine="454" w:firstLineChars="200"/>
                    <w:jc w:val="center"/>
                    <w:rPr>
                      <w:rFonts w:hint="default" w:ascii="Times New Roman" w:hAnsi="Times New Roman" w:eastAsia="宋体" w:cs="Times New Roman"/>
                      <w:b/>
                      <w:bCs/>
                      <w:color w:val="auto"/>
                      <w:spacing w:val="-7"/>
                      <w:sz w:val="24"/>
                      <w:szCs w:val="24"/>
                      <w:highlight w:val="none"/>
                      <w:lang w:val="en-US" w:eastAsia="zh-CN"/>
                    </w:rPr>
                  </w:pPr>
                  <w:r>
                    <w:rPr>
                      <w:rFonts w:hint="default" w:ascii="Times New Roman" w:hAnsi="Times New Roman" w:eastAsia="宋体" w:cs="Times New Roman"/>
                      <w:b/>
                      <w:bCs/>
                      <w:color w:val="auto"/>
                      <w:spacing w:val="-7"/>
                      <w:sz w:val="24"/>
                      <w:szCs w:val="24"/>
                      <w:highlight w:val="none"/>
                      <w:lang w:val="en-US" w:eastAsia="zh-CN"/>
                    </w:rPr>
                    <w:t>实际建设内容</w:t>
                  </w:r>
                </w:p>
              </w:tc>
            </w:tr>
            <w:tr w14:paraId="0B947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trPr>
              <w:tc>
                <w:tcPr>
                  <w:tcW w:w="1456" w:type="dxa"/>
                  <w:vAlign w:val="center"/>
                </w:tcPr>
                <w:p w14:paraId="479DFD9C">
                  <w:pPr>
                    <w:pStyle w:val="46"/>
                    <w:spacing w:before="78" w:line="360" w:lineRule="auto"/>
                    <w:ind w:left="0" w:leftChars="0" w:right="15"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2"/>
                      <w:sz w:val="24"/>
                      <w:szCs w:val="24"/>
                      <w:highlight w:val="none"/>
                    </w:rPr>
                    <w:t>主体</w:t>
                  </w:r>
                  <w:r>
                    <w:rPr>
                      <w:rFonts w:hint="default" w:ascii="Times New Roman" w:hAnsi="Times New Roman" w:eastAsia="宋体" w:cs="Times New Roman"/>
                      <w:color w:val="auto"/>
                      <w:spacing w:val="-11"/>
                      <w:sz w:val="24"/>
                      <w:szCs w:val="24"/>
                      <w:highlight w:val="none"/>
                    </w:rPr>
                    <w:t>工程</w:t>
                  </w:r>
                </w:p>
              </w:tc>
              <w:tc>
                <w:tcPr>
                  <w:tcW w:w="1414" w:type="dxa"/>
                  <w:vAlign w:val="center"/>
                </w:tcPr>
                <w:p w14:paraId="3AC7995F">
                  <w:pPr>
                    <w:pStyle w:val="46"/>
                    <w:spacing w:before="78" w:line="360" w:lineRule="auto"/>
                    <w:ind w:left="0" w:leftChars="0" w:right="102"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5"/>
                      <w:sz w:val="24"/>
                      <w:szCs w:val="24"/>
                      <w:highlight w:val="none"/>
                    </w:rPr>
                    <w:t>混凝土搅</w:t>
                  </w:r>
                  <w:r>
                    <w:rPr>
                      <w:rFonts w:hint="default" w:ascii="Times New Roman" w:hAnsi="Times New Roman" w:eastAsia="宋体" w:cs="Times New Roman"/>
                      <w:color w:val="auto"/>
                      <w:spacing w:val="-9"/>
                      <w:sz w:val="24"/>
                      <w:szCs w:val="24"/>
                      <w:highlight w:val="none"/>
                    </w:rPr>
                    <w:t>拌站</w:t>
                  </w:r>
                </w:p>
              </w:tc>
              <w:tc>
                <w:tcPr>
                  <w:tcW w:w="5274" w:type="dxa"/>
                  <w:vAlign w:val="center"/>
                </w:tcPr>
                <w:p w14:paraId="7123065B">
                  <w:pPr>
                    <w:pStyle w:val="46"/>
                    <w:spacing w:before="25" w:line="360" w:lineRule="auto"/>
                    <w:ind w:left="0" w:leftChars="0" w:firstLine="452"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7"/>
                      <w:sz w:val="24"/>
                      <w:szCs w:val="24"/>
                      <w:highlight w:val="none"/>
                    </w:rPr>
                    <w:t>建设面积为117.12</w:t>
                  </w:r>
                  <w:r>
                    <w:rPr>
                      <w:rFonts w:hint="default" w:ascii="Times New Roman" w:hAnsi="Times New Roman" w:eastAsia="宋体" w:cs="Times New Roman"/>
                      <w:color w:val="auto"/>
                      <w:spacing w:val="-7"/>
                      <w:sz w:val="24"/>
                      <w:szCs w:val="24"/>
                      <w:highlight w:val="none"/>
                      <w:lang w:val="en-US" w:eastAsia="zh-CN"/>
                    </w:rPr>
                    <w:t>m</w:t>
                  </w:r>
                  <w:r>
                    <w:rPr>
                      <w:rFonts w:hint="default" w:ascii="Times New Roman" w:hAnsi="Times New Roman" w:eastAsia="宋体" w:cs="Times New Roman"/>
                      <w:color w:val="auto"/>
                      <w:spacing w:val="-7"/>
                      <w:sz w:val="24"/>
                      <w:szCs w:val="24"/>
                      <w:highlight w:val="none"/>
                      <w:vertAlign w:val="superscript"/>
                      <w:lang w:val="en-US" w:eastAsia="zh-CN"/>
                    </w:rPr>
                    <w:t>2</w:t>
                  </w:r>
                  <w:r>
                    <w:rPr>
                      <w:rFonts w:hint="default" w:ascii="Times New Roman" w:hAnsi="Times New Roman" w:eastAsia="宋体" w:cs="Times New Roman"/>
                      <w:color w:val="auto"/>
                      <w:spacing w:val="-7"/>
                      <w:sz w:val="24"/>
                      <w:szCs w:val="24"/>
                      <w:highlight w:val="none"/>
                    </w:rPr>
                    <w:t>主要包括上料仓和搅拌主楼两个部分，不进行分隔，上料仓为一层，搅拌主楼为地下一层（地坑</w:t>
                  </w:r>
                  <w:r>
                    <w:rPr>
                      <w:rFonts w:hint="default" w:ascii="Times New Roman" w:hAnsi="Times New Roman" w:eastAsia="宋体" w:cs="Times New Roman"/>
                      <w:color w:val="auto"/>
                      <w:spacing w:val="-5"/>
                      <w:sz w:val="24"/>
                      <w:szCs w:val="24"/>
                      <w:highlight w:val="none"/>
                    </w:rPr>
                    <w:t>），</w:t>
                  </w:r>
                  <w:r>
                    <w:rPr>
                      <w:rFonts w:hint="default" w:ascii="Times New Roman" w:hAnsi="Times New Roman" w:eastAsia="宋体" w:cs="Times New Roman"/>
                      <w:color w:val="auto"/>
                      <w:spacing w:val="-7"/>
                      <w:sz w:val="24"/>
                      <w:szCs w:val="24"/>
                      <w:highlight w:val="none"/>
                    </w:rPr>
                    <w:t>地上两层，混凝土搅拌站为全封闭</w:t>
                  </w:r>
                  <w:r>
                    <w:rPr>
                      <w:rFonts w:hint="default" w:ascii="Times New Roman" w:hAnsi="Times New Roman" w:eastAsia="宋体" w:cs="Times New Roman"/>
                      <w:color w:val="auto"/>
                      <w:spacing w:val="-13"/>
                      <w:sz w:val="24"/>
                      <w:szCs w:val="24"/>
                      <w:highlight w:val="none"/>
                    </w:rPr>
                    <w:t>结构。内部设置一条混凝土生产线，包括皮带运输</w:t>
                  </w:r>
                  <w:r>
                    <w:rPr>
                      <w:rFonts w:hint="default" w:ascii="Times New Roman" w:hAnsi="Times New Roman" w:eastAsia="宋体" w:cs="Times New Roman"/>
                      <w:color w:val="auto"/>
                      <w:spacing w:val="-14"/>
                      <w:sz w:val="24"/>
                      <w:szCs w:val="24"/>
                      <w:highlight w:val="none"/>
                    </w:rPr>
                    <w:t>机、</w:t>
                  </w:r>
                  <w:r>
                    <w:rPr>
                      <w:rFonts w:hint="default" w:ascii="Times New Roman" w:hAnsi="Times New Roman" w:eastAsia="宋体" w:cs="Times New Roman"/>
                      <w:color w:val="auto"/>
                      <w:spacing w:val="-8"/>
                      <w:sz w:val="24"/>
                      <w:szCs w:val="24"/>
                      <w:highlight w:val="none"/>
                    </w:rPr>
                    <w:t>提升机、搅拌机等生产设施。年生产混凝土27010</w:t>
                  </w:r>
                  <w:r>
                    <w:rPr>
                      <w:rFonts w:hint="default" w:ascii="Times New Roman" w:hAnsi="Times New Roman" w:eastAsia="宋体" w:cs="Times New Roman"/>
                      <w:color w:val="auto"/>
                      <w:spacing w:val="-8"/>
                      <w:sz w:val="24"/>
                      <w:szCs w:val="24"/>
                      <w:highlight w:val="none"/>
                      <w:lang w:val="en-US" w:eastAsia="zh-CN"/>
                    </w:rPr>
                    <w:t>m</w:t>
                  </w:r>
                  <w:r>
                    <w:rPr>
                      <w:rFonts w:hint="default" w:ascii="Times New Roman" w:hAnsi="Times New Roman" w:eastAsia="宋体" w:cs="Times New Roman"/>
                      <w:color w:val="auto"/>
                      <w:spacing w:val="-8"/>
                      <w:sz w:val="24"/>
                      <w:szCs w:val="24"/>
                      <w:highlight w:val="none"/>
                      <w:vertAlign w:val="superscript"/>
                      <w:lang w:val="en-US" w:eastAsia="zh-CN"/>
                    </w:rPr>
                    <w:t>3</w:t>
                  </w:r>
                  <w:r>
                    <w:rPr>
                      <w:rFonts w:hint="default" w:ascii="Times New Roman" w:hAnsi="Times New Roman" w:eastAsia="宋体" w:cs="Times New Roman"/>
                      <w:color w:val="auto"/>
                      <w:spacing w:val="-8"/>
                      <w:sz w:val="24"/>
                      <w:szCs w:val="24"/>
                      <w:highlight w:val="none"/>
                    </w:rPr>
                    <w:t>。</w:t>
                  </w:r>
                </w:p>
              </w:tc>
            </w:tr>
            <w:tr w14:paraId="35D6F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5" w:hRule="atLeast"/>
              </w:trPr>
              <w:tc>
                <w:tcPr>
                  <w:tcW w:w="1456" w:type="dxa"/>
                  <w:vMerge w:val="restart"/>
                  <w:tcBorders>
                    <w:bottom w:val="nil"/>
                  </w:tcBorders>
                  <w:vAlign w:val="center"/>
                </w:tcPr>
                <w:p w14:paraId="7366744C">
                  <w:pPr>
                    <w:pStyle w:val="46"/>
                    <w:spacing w:before="78" w:line="360" w:lineRule="auto"/>
                    <w:ind w:left="0" w:leftChars="0" w:right="15"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9"/>
                      <w:sz w:val="24"/>
                      <w:szCs w:val="24"/>
                      <w:highlight w:val="none"/>
                    </w:rPr>
                    <w:t>储运</w:t>
                  </w:r>
                  <w:r>
                    <w:rPr>
                      <w:rFonts w:hint="default" w:ascii="Times New Roman" w:hAnsi="Times New Roman" w:eastAsia="宋体" w:cs="Times New Roman"/>
                      <w:color w:val="auto"/>
                      <w:spacing w:val="-11"/>
                      <w:sz w:val="24"/>
                      <w:szCs w:val="24"/>
                      <w:highlight w:val="none"/>
                    </w:rPr>
                    <w:t>工程</w:t>
                  </w:r>
                </w:p>
              </w:tc>
              <w:tc>
                <w:tcPr>
                  <w:tcW w:w="1414" w:type="dxa"/>
                  <w:vAlign w:val="center"/>
                </w:tcPr>
                <w:p w14:paraId="19B23AF7">
                  <w:pPr>
                    <w:pStyle w:val="46"/>
                    <w:spacing w:before="78" w:line="360" w:lineRule="auto"/>
                    <w:ind w:left="0" w:leftChars="0"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6"/>
                      <w:sz w:val="24"/>
                      <w:szCs w:val="24"/>
                      <w:highlight w:val="none"/>
                    </w:rPr>
                    <w:t>砂石库</w:t>
                  </w:r>
                </w:p>
              </w:tc>
              <w:tc>
                <w:tcPr>
                  <w:tcW w:w="5274" w:type="dxa"/>
                  <w:vAlign w:val="center"/>
                </w:tcPr>
                <w:p w14:paraId="566FEB64">
                  <w:pPr>
                    <w:pStyle w:val="46"/>
                    <w:spacing w:before="28" w:line="360" w:lineRule="auto"/>
                    <w:ind w:left="0" w:leftChars="0" w:firstLine="464"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4"/>
                      <w:sz w:val="24"/>
                      <w:szCs w:val="24"/>
                      <w:highlight w:val="none"/>
                    </w:rPr>
                    <w:t>建设面积为125</w:t>
                  </w:r>
                  <w:r>
                    <w:rPr>
                      <w:rFonts w:hint="default" w:ascii="Times New Roman" w:hAnsi="Times New Roman" w:eastAsia="宋体" w:cs="Times New Roman"/>
                      <w:color w:val="auto"/>
                      <w:spacing w:val="-4"/>
                      <w:sz w:val="24"/>
                      <w:szCs w:val="24"/>
                      <w:highlight w:val="none"/>
                      <w:lang w:val="en-US" w:eastAsia="zh-CN"/>
                    </w:rPr>
                    <w:t>m</w:t>
                  </w:r>
                  <w:r>
                    <w:rPr>
                      <w:rFonts w:hint="default" w:ascii="Times New Roman" w:hAnsi="Times New Roman" w:eastAsia="宋体" w:cs="Times New Roman"/>
                      <w:color w:val="auto"/>
                      <w:spacing w:val="-4"/>
                      <w:position w:val="11"/>
                      <w:sz w:val="24"/>
                      <w:szCs w:val="24"/>
                      <w:highlight w:val="none"/>
                      <w:vertAlign w:val="superscript"/>
                    </w:rPr>
                    <w:t>2</w:t>
                  </w:r>
                  <w:r>
                    <w:rPr>
                      <w:rFonts w:hint="default" w:ascii="Times New Roman" w:hAnsi="Times New Roman" w:eastAsia="宋体" w:cs="Times New Roman"/>
                      <w:color w:val="auto"/>
                      <w:spacing w:val="-4"/>
                      <w:sz w:val="24"/>
                      <w:szCs w:val="24"/>
                      <w:highlight w:val="none"/>
                    </w:rPr>
                    <w:t>，一层，通过隔墙分隔成两个50</w:t>
                  </w:r>
                  <w:r>
                    <w:rPr>
                      <w:rFonts w:hint="default" w:ascii="Times New Roman" w:hAnsi="Times New Roman" w:eastAsia="宋体" w:cs="Times New Roman"/>
                      <w:color w:val="auto"/>
                      <w:spacing w:val="-4"/>
                      <w:sz w:val="24"/>
                      <w:szCs w:val="24"/>
                      <w:highlight w:val="none"/>
                      <w:lang w:val="en-US" w:eastAsia="zh-CN"/>
                    </w:rPr>
                    <w:t>m</w:t>
                  </w:r>
                  <w:r>
                    <w:rPr>
                      <w:rFonts w:hint="default" w:ascii="Times New Roman" w:hAnsi="Times New Roman" w:eastAsia="宋体" w:cs="Times New Roman"/>
                      <w:color w:val="auto"/>
                      <w:spacing w:val="-4"/>
                      <w:position w:val="11"/>
                      <w:sz w:val="24"/>
                      <w:szCs w:val="24"/>
                      <w:highlight w:val="none"/>
                      <w:vertAlign w:val="superscript"/>
                    </w:rPr>
                    <w:t>2</w:t>
                  </w:r>
                  <w:r>
                    <w:rPr>
                      <w:rFonts w:hint="default" w:ascii="Times New Roman" w:hAnsi="Times New Roman" w:eastAsia="宋体" w:cs="Times New Roman"/>
                      <w:color w:val="auto"/>
                      <w:spacing w:val="-8"/>
                      <w:sz w:val="24"/>
                      <w:szCs w:val="24"/>
                      <w:highlight w:val="none"/>
                    </w:rPr>
                    <w:t>的储存库以及1个25</w:t>
                  </w:r>
                  <w:r>
                    <w:rPr>
                      <w:rFonts w:hint="default" w:ascii="Times New Roman" w:hAnsi="Times New Roman" w:eastAsia="宋体" w:cs="Times New Roman"/>
                      <w:color w:val="auto"/>
                      <w:spacing w:val="-8"/>
                      <w:sz w:val="24"/>
                      <w:szCs w:val="24"/>
                      <w:highlight w:val="none"/>
                      <w:lang w:val="en-US" w:eastAsia="zh-CN"/>
                    </w:rPr>
                    <w:t>m</w:t>
                  </w:r>
                  <w:r>
                    <w:rPr>
                      <w:rFonts w:hint="default" w:ascii="Times New Roman" w:hAnsi="Times New Roman" w:eastAsia="宋体" w:cs="Times New Roman"/>
                      <w:color w:val="auto"/>
                      <w:spacing w:val="-8"/>
                      <w:position w:val="11"/>
                      <w:sz w:val="24"/>
                      <w:szCs w:val="24"/>
                      <w:highlight w:val="none"/>
                      <w:vertAlign w:val="superscript"/>
                    </w:rPr>
                    <w:t>2</w:t>
                  </w:r>
                  <w:r>
                    <w:rPr>
                      <w:rFonts w:hint="default" w:ascii="Times New Roman" w:hAnsi="Times New Roman" w:eastAsia="宋体" w:cs="Times New Roman"/>
                      <w:color w:val="auto"/>
                      <w:spacing w:val="-8"/>
                      <w:sz w:val="24"/>
                      <w:szCs w:val="24"/>
                      <w:highlight w:val="none"/>
                    </w:rPr>
                    <w:t>的储存库，2个50</w:t>
                  </w:r>
                  <w:r>
                    <w:rPr>
                      <w:rFonts w:hint="default" w:ascii="Times New Roman" w:hAnsi="Times New Roman" w:eastAsia="宋体" w:cs="Times New Roman"/>
                      <w:color w:val="auto"/>
                      <w:spacing w:val="-8"/>
                      <w:sz w:val="24"/>
                      <w:szCs w:val="24"/>
                      <w:highlight w:val="none"/>
                      <w:lang w:val="en-US" w:eastAsia="zh-CN"/>
                    </w:rPr>
                    <w:t>m</w:t>
                  </w:r>
                  <w:r>
                    <w:rPr>
                      <w:rFonts w:hint="default" w:ascii="Times New Roman" w:hAnsi="Times New Roman" w:eastAsia="宋体" w:cs="Times New Roman"/>
                      <w:color w:val="auto"/>
                      <w:spacing w:val="-8"/>
                      <w:position w:val="11"/>
                      <w:sz w:val="24"/>
                      <w:szCs w:val="24"/>
                      <w:highlight w:val="none"/>
                      <w:vertAlign w:val="superscript"/>
                    </w:rPr>
                    <w:t>2</w:t>
                  </w:r>
                  <w:r>
                    <w:rPr>
                      <w:rFonts w:hint="default" w:ascii="Times New Roman" w:hAnsi="Times New Roman" w:eastAsia="宋体" w:cs="Times New Roman"/>
                      <w:color w:val="auto"/>
                      <w:spacing w:val="-8"/>
                      <w:sz w:val="24"/>
                      <w:szCs w:val="24"/>
                      <w:highlight w:val="none"/>
                    </w:rPr>
                    <w:t>的储存库</w:t>
                  </w:r>
                  <w:r>
                    <w:rPr>
                      <w:rFonts w:hint="default" w:ascii="Times New Roman" w:hAnsi="Times New Roman" w:eastAsia="宋体" w:cs="Times New Roman"/>
                      <w:color w:val="auto"/>
                      <w:spacing w:val="-3"/>
                      <w:sz w:val="24"/>
                      <w:szCs w:val="24"/>
                      <w:highlight w:val="none"/>
                    </w:rPr>
                    <w:t>分别用于储存袋装水泥和石子，25</w:t>
                  </w:r>
                  <w:r>
                    <w:rPr>
                      <w:rFonts w:hint="default" w:ascii="Times New Roman" w:hAnsi="Times New Roman" w:eastAsia="宋体" w:cs="Times New Roman"/>
                      <w:color w:val="auto"/>
                      <w:spacing w:val="-3"/>
                      <w:sz w:val="24"/>
                      <w:szCs w:val="24"/>
                      <w:highlight w:val="none"/>
                      <w:lang w:val="en-US" w:eastAsia="zh-CN"/>
                    </w:rPr>
                    <w:t>m</w:t>
                  </w:r>
                  <w:r>
                    <w:rPr>
                      <w:rFonts w:hint="default" w:ascii="Times New Roman" w:hAnsi="Times New Roman" w:eastAsia="宋体" w:cs="Times New Roman"/>
                      <w:color w:val="auto"/>
                      <w:spacing w:val="-3"/>
                      <w:position w:val="12"/>
                      <w:sz w:val="24"/>
                      <w:szCs w:val="24"/>
                      <w:highlight w:val="none"/>
                      <w:vertAlign w:val="superscript"/>
                    </w:rPr>
                    <w:t>2</w:t>
                  </w:r>
                  <w:r>
                    <w:rPr>
                      <w:rFonts w:hint="default" w:ascii="Times New Roman" w:hAnsi="Times New Roman" w:eastAsia="宋体" w:cs="Times New Roman"/>
                      <w:color w:val="auto"/>
                      <w:spacing w:val="-3"/>
                      <w:sz w:val="24"/>
                      <w:szCs w:val="24"/>
                      <w:highlight w:val="none"/>
                    </w:rPr>
                    <w:t>的储存库用于储</w:t>
                  </w:r>
                  <w:r>
                    <w:rPr>
                      <w:rFonts w:hint="default" w:ascii="Times New Roman" w:hAnsi="Times New Roman" w:eastAsia="宋体" w:cs="Times New Roman"/>
                      <w:color w:val="auto"/>
                      <w:spacing w:val="-4"/>
                      <w:sz w:val="24"/>
                      <w:szCs w:val="24"/>
                      <w:highlight w:val="none"/>
                    </w:rPr>
                    <w:t>存砂子。砂石库为全封闭结构。袋装水泥为矿井下偶</w:t>
                  </w:r>
                  <w:r>
                    <w:rPr>
                      <w:rFonts w:hint="default" w:ascii="Times New Roman" w:hAnsi="Times New Roman" w:eastAsia="宋体" w:cs="Times New Roman"/>
                      <w:color w:val="auto"/>
                      <w:spacing w:val="-15"/>
                      <w:sz w:val="24"/>
                      <w:szCs w:val="24"/>
                      <w:highlight w:val="none"/>
                    </w:rPr>
                    <w:t>尔使用，并非搅拌站生产原料，储存量约为10</w:t>
                  </w:r>
                  <w:r>
                    <w:rPr>
                      <w:rFonts w:hint="default" w:ascii="Times New Roman" w:hAnsi="Times New Roman" w:eastAsia="宋体" w:cs="Times New Roman"/>
                      <w:color w:val="auto"/>
                      <w:spacing w:val="-15"/>
                      <w:sz w:val="24"/>
                      <w:szCs w:val="24"/>
                      <w:highlight w:val="none"/>
                      <w:lang w:val="en-US" w:eastAsia="zh-CN"/>
                    </w:rPr>
                    <w:t>t</w:t>
                  </w:r>
                  <w:r>
                    <w:rPr>
                      <w:rFonts w:hint="default" w:ascii="Times New Roman" w:hAnsi="Times New Roman" w:eastAsia="宋体" w:cs="Times New Roman"/>
                      <w:color w:val="auto"/>
                      <w:spacing w:val="-15"/>
                      <w:sz w:val="24"/>
                      <w:szCs w:val="24"/>
                      <w:highlight w:val="none"/>
                    </w:rPr>
                    <w:t>；</w:t>
                  </w:r>
                  <w:r>
                    <w:rPr>
                      <w:rFonts w:hint="default" w:ascii="Times New Roman" w:hAnsi="Times New Roman" w:eastAsia="宋体" w:cs="Times New Roman"/>
                      <w:color w:val="auto"/>
                      <w:spacing w:val="-3"/>
                      <w:sz w:val="24"/>
                      <w:szCs w:val="24"/>
                      <w:highlight w:val="none"/>
                    </w:rPr>
                    <w:t>石子储存量为160</w:t>
                  </w:r>
                  <w:r>
                    <w:rPr>
                      <w:rFonts w:hint="default" w:ascii="Times New Roman" w:hAnsi="Times New Roman" w:eastAsia="宋体" w:cs="Times New Roman"/>
                      <w:color w:val="auto"/>
                      <w:spacing w:val="-3"/>
                      <w:sz w:val="24"/>
                      <w:szCs w:val="24"/>
                      <w:highlight w:val="none"/>
                      <w:lang w:val="en-US" w:eastAsia="zh-CN"/>
                    </w:rPr>
                    <w:t>t</w:t>
                  </w:r>
                  <w:r>
                    <w:rPr>
                      <w:rFonts w:hint="default" w:ascii="Times New Roman" w:hAnsi="Times New Roman" w:eastAsia="宋体" w:cs="Times New Roman"/>
                      <w:color w:val="auto"/>
                      <w:spacing w:val="-3"/>
                      <w:sz w:val="24"/>
                      <w:szCs w:val="24"/>
                      <w:highlight w:val="none"/>
                    </w:rPr>
                    <w:t>左右，需每天周转；砂子储存量</w:t>
                  </w:r>
                  <w:r>
                    <w:rPr>
                      <w:rFonts w:hint="default" w:ascii="Times New Roman" w:hAnsi="Times New Roman" w:eastAsia="宋体" w:cs="Times New Roman"/>
                      <w:color w:val="auto"/>
                      <w:spacing w:val="-4"/>
                      <w:sz w:val="24"/>
                      <w:szCs w:val="24"/>
                      <w:highlight w:val="none"/>
                    </w:rPr>
                    <w:t>为55</w:t>
                  </w:r>
                  <w:r>
                    <w:rPr>
                      <w:rFonts w:hint="default" w:ascii="Times New Roman" w:hAnsi="Times New Roman" w:eastAsia="宋体" w:cs="Times New Roman"/>
                      <w:color w:val="auto"/>
                      <w:spacing w:val="-4"/>
                      <w:sz w:val="24"/>
                      <w:szCs w:val="24"/>
                      <w:highlight w:val="none"/>
                      <w:lang w:val="en-US" w:eastAsia="zh-CN"/>
                    </w:rPr>
                    <w:t>t</w:t>
                  </w:r>
                  <w:r>
                    <w:rPr>
                      <w:rFonts w:hint="default" w:ascii="Times New Roman" w:hAnsi="Times New Roman" w:eastAsia="宋体" w:cs="Times New Roman"/>
                      <w:color w:val="auto"/>
                      <w:spacing w:val="-4"/>
                      <w:sz w:val="24"/>
                      <w:szCs w:val="24"/>
                      <w:highlight w:val="none"/>
                    </w:rPr>
                    <w:t>，需每天周转。</w:t>
                  </w:r>
                </w:p>
              </w:tc>
            </w:tr>
            <w:tr w14:paraId="7047F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trPr>
              <w:tc>
                <w:tcPr>
                  <w:tcW w:w="1456" w:type="dxa"/>
                  <w:vMerge w:val="continue"/>
                  <w:tcBorders>
                    <w:top w:val="nil"/>
                    <w:bottom w:val="nil"/>
                  </w:tcBorders>
                  <w:vAlign w:val="center"/>
                </w:tcPr>
                <w:p w14:paraId="51151D96">
                  <w:pPr>
                    <w:spacing w:line="360" w:lineRule="auto"/>
                    <w:jc w:val="center"/>
                    <w:rPr>
                      <w:rFonts w:hint="default" w:ascii="Times New Roman" w:hAnsi="Times New Roman" w:eastAsia="宋体" w:cs="Times New Roman"/>
                      <w:color w:val="auto"/>
                      <w:sz w:val="24"/>
                      <w:szCs w:val="24"/>
                      <w:highlight w:val="none"/>
                    </w:rPr>
                  </w:pPr>
                </w:p>
              </w:tc>
              <w:tc>
                <w:tcPr>
                  <w:tcW w:w="1414" w:type="dxa"/>
                  <w:vAlign w:val="center"/>
                </w:tcPr>
                <w:p w14:paraId="13A706BF">
                  <w:pPr>
                    <w:pStyle w:val="46"/>
                    <w:spacing w:before="280" w:line="360" w:lineRule="auto"/>
                    <w:ind w:left="0" w:leftChars="0"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4"/>
                      <w:sz w:val="24"/>
                      <w:szCs w:val="24"/>
                      <w:highlight w:val="none"/>
                    </w:rPr>
                    <w:t>水泥筒仓</w:t>
                  </w:r>
                </w:p>
              </w:tc>
              <w:tc>
                <w:tcPr>
                  <w:tcW w:w="5274" w:type="dxa"/>
                  <w:vAlign w:val="center"/>
                </w:tcPr>
                <w:p w14:paraId="23626FAC">
                  <w:pPr>
                    <w:pStyle w:val="46"/>
                    <w:spacing w:before="117" w:line="360" w:lineRule="auto"/>
                    <w:ind w:left="0" w:leftChars="0" w:right="1" w:firstLine="472"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2"/>
                      <w:sz w:val="24"/>
                      <w:szCs w:val="24"/>
                      <w:highlight w:val="none"/>
                    </w:rPr>
                    <w:t>建设2个全封闭的钢板圆筒仓用于储存水泥，直径为</w:t>
                  </w:r>
                  <w:r>
                    <w:rPr>
                      <w:rFonts w:hint="default" w:ascii="Times New Roman" w:hAnsi="Times New Roman" w:eastAsia="宋体" w:cs="Times New Roman"/>
                      <w:color w:val="auto"/>
                      <w:spacing w:val="-3"/>
                      <w:sz w:val="24"/>
                      <w:szCs w:val="24"/>
                      <w:highlight w:val="none"/>
                    </w:rPr>
                    <w:t>2.5</w:t>
                  </w:r>
                  <w:r>
                    <w:rPr>
                      <w:rFonts w:hint="default" w:ascii="Times New Roman" w:hAnsi="Times New Roman" w:eastAsia="宋体" w:cs="Times New Roman"/>
                      <w:color w:val="auto"/>
                      <w:spacing w:val="-3"/>
                      <w:sz w:val="24"/>
                      <w:szCs w:val="24"/>
                      <w:highlight w:val="none"/>
                      <w:lang w:val="en-US" w:eastAsia="zh-CN"/>
                    </w:rPr>
                    <w:t>m</w:t>
                  </w:r>
                  <w:r>
                    <w:rPr>
                      <w:rFonts w:hint="default" w:ascii="Times New Roman" w:hAnsi="Times New Roman" w:eastAsia="宋体" w:cs="Times New Roman"/>
                      <w:color w:val="auto"/>
                      <w:spacing w:val="-3"/>
                      <w:sz w:val="24"/>
                      <w:szCs w:val="24"/>
                      <w:highlight w:val="none"/>
                    </w:rPr>
                    <w:t>，高20</w:t>
                  </w:r>
                  <w:r>
                    <w:rPr>
                      <w:rFonts w:hint="default" w:ascii="Times New Roman" w:hAnsi="Times New Roman" w:eastAsia="宋体" w:cs="Times New Roman"/>
                      <w:color w:val="auto"/>
                      <w:spacing w:val="-3"/>
                      <w:sz w:val="24"/>
                      <w:szCs w:val="24"/>
                      <w:highlight w:val="none"/>
                      <w:lang w:val="en-US" w:eastAsia="zh-CN"/>
                    </w:rPr>
                    <w:t>m</w:t>
                  </w:r>
                  <w:r>
                    <w:rPr>
                      <w:rFonts w:hint="default" w:ascii="Times New Roman" w:hAnsi="Times New Roman" w:eastAsia="宋体" w:cs="Times New Roman"/>
                      <w:color w:val="auto"/>
                      <w:spacing w:val="-3"/>
                      <w:sz w:val="24"/>
                      <w:szCs w:val="24"/>
                      <w:highlight w:val="none"/>
                    </w:rPr>
                    <w:t>，单个容量为100</w:t>
                  </w:r>
                  <w:r>
                    <w:rPr>
                      <w:rFonts w:hint="default" w:ascii="Times New Roman" w:hAnsi="Times New Roman" w:eastAsia="宋体" w:cs="Times New Roman"/>
                      <w:color w:val="auto"/>
                      <w:spacing w:val="-3"/>
                      <w:sz w:val="24"/>
                      <w:szCs w:val="24"/>
                      <w:highlight w:val="none"/>
                      <w:lang w:val="en-US" w:eastAsia="zh-CN"/>
                    </w:rPr>
                    <w:t>t</w:t>
                  </w:r>
                  <w:r>
                    <w:rPr>
                      <w:rFonts w:hint="default" w:ascii="Times New Roman" w:hAnsi="Times New Roman" w:eastAsia="宋体" w:cs="Times New Roman"/>
                      <w:color w:val="auto"/>
                      <w:spacing w:val="-3"/>
                      <w:sz w:val="24"/>
                      <w:szCs w:val="24"/>
                      <w:highlight w:val="none"/>
                    </w:rPr>
                    <w:t>。</w:t>
                  </w:r>
                </w:p>
              </w:tc>
            </w:tr>
            <w:tr w14:paraId="652BE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1456" w:type="dxa"/>
                  <w:vMerge w:val="continue"/>
                  <w:tcBorders>
                    <w:top w:val="nil"/>
                  </w:tcBorders>
                  <w:vAlign w:val="center"/>
                </w:tcPr>
                <w:p w14:paraId="02F4E02A">
                  <w:pPr>
                    <w:spacing w:line="360" w:lineRule="auto"/>
                    <w:jc w:val="center"/>
                    <w:rPr>
                      <w:rFonts w:hint="default" w:ascii="Times New Roman" w:hAnsi="Times New Roman" w:eastAsia="宋体" w:cs="Times New Roman"/>
                      <w:color w:val="auto"/>
                      <w:sz w:val="24"/>
                      <w:szCs w:val="24"/>
                      <w:highlight w:val="none"/>
                    </w:rPr>
                  </w:pPr>
                </w:p>
              </w:tc>
              <w:tc>
                <w:tcPr>
                  <w:tcW w:w="1414" w:type="dxa"/>
                  <w:vAlign w:val="center"/>
                </w:tcPr>
                <w:p w14:paraId="5B8D57EF">
                  <w:pPr>
                    <w:pStyle w:val="46"/>
                    <w:spacing w:before="211" w:line="360" w:lineRule="auto"/>
                    <w:ind w:left="0" w:leftChars="0" w:firstLine="0" w:firstLineChars="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pacing w:val="-8"/>
                      <w:sz w:val="24"/>
                      <w:szCs w:val="24"/>
                      <w:highlight w:val="none"/>
                    </w:rPr>
                    <w:t>蓄水</w:t>
                  </w:r>
                  <w:r>
                    <w:rPr>
                      <w:rFonts w:hint="default" w:ascii="Times New Roman" w:hAnsi="Times New Roman" w:eastAsia="宋体" w:cs="Times New Roman"/>
                      <w:color w:val="auto"/>
                      <w:spacing w:val="-8"/>
                      <w:sz w:val="24"/>
                      <w:szCs w:val="24"/>
                      <w:highlight w:val="none"/>
                      <w:lang w:val="en-US" w:eastAsia="zh-CN"/>
                    </w:rPr>
                    <w:t>池</w:t>
                  </w:r>
                </w:p>
              </w:tc>
              <w:tc>
                <w:tcPr>
                  <w:tcW w:w="5274" w:type="dxa"/>
                  <w:vAlign w:val="center"/>
                </w:tcPr>
                <w:p w14:paraId="61A27829">
                  <w:pPr>
                    <w:pStyle w:val="46"/>
                    <w:spacing w:before="30" w:line="360" w:lineRule="auto"/>
                    <w:ind w:left="0" w:leftChars="0" w:right="1" w:firstLine="468"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3"/>
                      <w:sz w:val="24"/>
                      <w:szCs w:val="24"/>
                      <w:highlight w:val="none"/>
                    </w:rPr>
                    <w:t>容积为94.08</w:t>
                  </w:r>
                  <w:r>
                    <w:rPr>
                      <w:rFonts w:hint="default" w:ascii="Times New Roman" w:hAnsi="Times New Roman" w:eastAsia="宋体" w:cs="Times New Roman"/>
                      <w:color w:val="auto"/>
                      <w:spacing w:val="-3"/>
                      <w:sz w:val="24"/>
                      <w:szCs w:val="24"/>
                      <w:highlight w:val="none"/>
                      <w:lang w:val="en-US" w:eastAsia="zh-CN"/>
                    </w:rPr>
                    <w:t>m</w:t>
                  </w:r>
                  <w:r>
                    <w:rPr>
                      <w:rFonts w:hint="default" w:ascii="Times New Roman" w:hAnsi="Times New Roman" w:eastAsia="宋体" w:cs="Times New Roman"/>
                      <w:color w:val="auto"/>
                      <w:spacing w:val="-3"/>
                      <w:position w:val="11"/>
                      <w:sz w:val="24"/>
                      <w:szCs w:val="24"/>
                      <w:highlight w:val="none"/>
                      <w:vertAlign w:val="superscript"/>
                    </w:rPr>
                    <w:t>3</w:t>
                  </w:r>
                  <w:r>
                    <w:rPr>
                      <w:rFonts w:hint="default" w:ascii="Times New Roman" w:hAnsi="Times New Roman" w:eastAsia="宋体" w:cs="Times New Roman"/>
                      <w:color w:val="auto"/>
                      <w:spacing w:val="-3"/>
                      <w:sz w:val="24"/>
                      <w:szCs w:val="24"/>
                      <w:highlight w:val="none"/>
                    </w:rPr>
                    <w:t>，尺寸为5.6</w:t>
                  </w:r>
                  <w:r>
                    <w:rPr>
                      <w:rFonts w:hint="default" w:ascii="Times New Roman" w:hAnsi="Times New Roman" w:eastAsia="宋体" w:cs="Times New Roman"/>
                      <w:color w:val="auto"/>
                      <w:spacing w:val="-3"/>
                      <w:sz w:val="24"/>
                      <w:szCs w:val="24"/>
                      <w:highlight w:val="none"/>
                      <w:lang w:val="en-US" w:eastAsia="zh-CN"/>
                    </w:rPr>
                    <w:t>m</w:t>
                  </w:r>
                  <w:r>
                    <w:rPr>
                      <w:rFonts w:hint="default" w:ascii="Times New Roman" w:hAnsi="Times New Roman" w:eastAsia="宋体" w:cs="Times New Roman"/>
                      <w:color w:val="auto"/>
                      <w:spacing w:val="-3"/>
                      <w:sz w:val="24"/>
                      <w:szCs w:val="24"/>
                      <w:highlight w:val="none"/>
                    </w:rPr>
                    <w:t>×5.6</w:t>
                  </w:r>
                  <w:r>
                    <w:rPr>
                      <w:rFonts w:hint="default" w:ascii="Times New Roman" w:hAnsi="Times New Roman" w:eastAsia="宋体" w:cs="Times New Roman"/>
                      <w:color w:val="auto"/>
                      <w:spacing w:val="-3"/>
                      <w:sz w:val="24"/>
                      <w:szCs w:val="24"/>
                      <w:highlight w:val="none"/>
                      <w:lang w:val="en-US" w:eastAsia="zh-CN"/>
                    </w:rPr>
                    <w:t>m</w:t>
                  </w:r>
                  <w:r>
                    <w:rPr>
                      <w:rFonts w:hint="default" w:ascii="Times New Roman" w:hAnsi="Times New Roman" w:eastAsia="宋体" w:cs="Times New Roman"/>
                      <w:color w:val="auto"/>
                      <w:spacing w:val="-3"/>
                      <w:sz w:val="24"/>
                      <w:szCs w:val="24"/>
                      <w:highlight w:val="none"/>
                    </w:rPr>
                    <w:t>×3</w:t>
                  </w:r>
                  <w:r>
                    <w:rPr>
                      <w:rFonts w:hint="default" w:ascii="Times New Roman" w:hAnsi="Times New Roman" w:eastAsia="宋体" w:cs="Times New Roman"/>
                      <w:color w:val="auto"/>
                      <w:spacing w:val="-3"/>
                      <w:sz w:val="24"/>
                      <w:szCs w:val="24"/>
                      <w:highlight w:val="none"/>
                      <w:lang w:val="en-US" w:eastAsia="zh-CN"/>
                    </w:rPr>
                    <w:t>m</w:t>
                  </w:r>
                  <w:r>
                    <w:rPr>
                      <w:rFonts w:hint="default" w:ascii="Times New Roman" w:hAnsi="Times New Roman" w:eastAsia="宋体" w:cs="Times New Roman"/>
                      <w:color w:val="auto"/>
                      <w:spacing w:val="-3"/>
                      <w:sz w:val="24"/>
                      <w:szCs w:val="24"/>
                      <w:highlight w:val="none"/>
                    </w:rPr>
                    <w:t>，位于搅拌</w:t>
                  </w:r>
                  <w:r>
                    <w:rPr>
                      <w:rFonts w:hint="default" w:ascii="Times New Roman" w:hAnsi="Times New Roman" w:eastAsia="宋体" w:cs="Times New Roman"/>
                      <w:color w:val="auto"/>
                      <w:spacing w:val="-2"/>
                      <w:sz w:val="24"/>
                      <w:szCs w:val="24"/>
                      <w:highlight w:val="none"/>
                    </w:rPr>
                    <w:t>站内部东南侧。用于储存生产用水。</w:t>
                  </w:r>
                </w:p>
              </w:tc>
            </w:tr>
            <w:tr w14:paraId="44744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1456" w:type="dxa"/>
                  <w:vMerge w:val="restart"/>
                  <w:tcBorders>
                    <w:bottom w:val="nil"/>
                  </w:tcBorders>
                  <w:vAlign w:val="center"/>
                </w:tcPr>
                <w:p w14:paraId="22434ABE">
                  <w:pPr>
                    <w:pStyle w:val="46"/>
                    <w:spacing w:before="78" w:line="360" w:lineRule="auto"/>
                    <w:ind w:left="0" w:leftChars="0" w:right="15"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8"/>
                      <w:sz w:val="24"/>
                      <w:szCs w:val="24"/>
                      <w:highlight w:val="none"/>
                    </w:rPr>
                    <w:t>辅助</w:t>
                  </w:r>
                  <w:r>
                    <w:rPr>
                      <w:rFonts w:hint="default" w:ascii="Times New Roman" w:hAnsi="Times New Roman" w:eastAsia="宋体" w:cs="Times New Roman"/>
                      <w:color w:val="auto"/>
                      <w:spacing w:val="-11"/>
                      <w:sz w:val="24"/>
                      <w:szCs w:val="24"/>
                      <w:highlight w:val="none"/>
                    </w:rPr>
                    <w:t>工程</w:t>
                  </w:r>
                </w:p>
              </w:tc>
              <w:tc>
                <w:tcPr>
                  <w:tcW w:w="1414" w:type="dxa"/>
                  <w:vAlign w:val="center"/>
                </w:tcPr>
                <w:p w14:paraId="1AFEF8A5">
                  <w:pPr>
                    <w:pStyle w:val="46"/>
                    <w:spacing w:before="49" w:line="360" w:lineRule="auto"/>
                    <w:ind w:left="0" w:leftChars="0" w:right="102"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6"/>
                      <w:sz w:val="24"/>
                      <w:szCs w:val="24"/>
                      <w:highlight w:val="none"/>
                    </w:rPr>
                    <w:t>办公生活</w:t>
                  </w:r>
                  <w:r>
                    <w:rPr>
                      <w:rFonts w:hint="default" w:ascii="Times New Roman" w:hAnsi="Times New Roman" w:eastAsia="宋体" w:cs="Times New Roman"/>
                      <w:color w:val="auto"/>
                      <w:sz w:val="24"/>
                      <w:szCs w:val="24"/>
                      <w:highlight w:val="none"/>
                    </w:rPr>
                    <w:t>区</w:t>
                  </w:r>
                </w:p>
              </w:tc>
              <w:tc>
                <w:tcPr>
                  <w:tcW w:w="5274" w:type="dxa"/>
                  <w:vAlign w:val="center"/>
                </w:tcPr>
                <w:p w14:paraId="1E8FB2F4">
                  <w:pPr>
                    <w:pStyle w:val="46"/>
                    <w:spacing w:before="211" w:line="360" w:lineRule="auto"/>
                    <w:ind w:left="0" w:leftChars="0" w:firstLine="472"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2"/>
                      <w:sz w:val="24"/>
                      <w:szCs w:val="24"/>
                      <w:highlight w:val="none"/>
                    </w:rPr>
                    <w:t>办公生活区依托万利一矿现有办公楼、</w:t>
                  </w:r>
                  <w:r>
                    <w:rPr>
                      <w:rFonts w:hint="eastAsia" w:ascii="Times New Roman" w:hAnsi="Times New Roman" w:eastAsia="宋体" w:cs="Times New Roman"/>
                      <w:color w:val="auto"/>
                      <w:spacing w:val="-2"/>
                      <w:sz w:val="24"/>
                      <w:szCs w:val="24"/>
                      <w:highlight w:val="none"/>
                      <w:lang w:eastAsia="zh-CN"/>
                    </w:rPr>
                    <w:t>生活区。</w:t>
                  </w:r>
                </w:p>
              </w:tc>
            </w:tr>
            <w:tr w14:paraId="2CAD7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1456" w:type="dxa"/>
                  <w:vMerge w:val="continue"/>
                  <w:tcBorders>
                    <w:top w:val="nil"/>
                  </w:tcBorders>
                  <w:vAlign w:val="center"/>
                </w:tcPr>
                <w:p w14:paraId="4D4A5528">
                  <w:pPr>
                    <w:spacing w:line="360" w:lineRule="auto"/>
                    <w:jc w:val="center"/>
                    <w:rPr>
                      <w:rFonts w:hint="default" w:ascii="Times New Roman" w:hAnsi="Times New Roman" w:eastAsia="宋体" w:cs="Times New Roman"/>
                      <w:color w:val="auto"/>
                      <w:sz w:val="24"/>
                      <w:szCs w:val="24"/>
                      <w:highlight w:val="none"/>
                    </w:rPr>
                  </w:pPr>
                </w:p>
              </w:tc>
              <w:tc>
                <w:tcPr>
                  <w:tcW w:w="1414" w:type="dxa"/>
                  <w:vAlign w:val="center"/>
                </w:tcPr>
                <w:p w14:paraId="3BFA2FB9">
                  <w:pPr>
                    <w:pStyle w:val="46"/>
                    <w:spacing w:before="212" w:line="360" w:lineRule="auto"/>
                    <w:ind w:left="0" w:leftChars="0"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6"/>
                      <w:sz w:val="24"/>
                      <w:szCs w:val="24"/>
                      <w:highlight w:val="none"/>
                    </w:rPr>
                    <w:t>操作室</w:t>
                  </w:r>
                </w:p>
              </w:tc>
              <w:tc>
                <w:tcPr>
                  <w:tcW w:w="5274" w:type="dxa"/>
                  <w:vAlign w:val="center"/>
                </w:tcPr>
                <w:p w14:paraId="53095B71">
                  <w:pPr>
                    <w:pStyle w:val="46"/>
                    <w:spacing w:before="31" w:line="360" w:lineRule="auto"/>
                    <w:ind w:left="0" w:leftChars="0" w:firstLine="448"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8"/>
                      <w:sz w:val="24"/>
                      <w:szCs w:val="24"/>
                      <w:highlight w:val="none"/>
                    </w:rPr>
                    <w:t>约11.5</w:t>
                  </w:r>
                  <w:r>
                    <w:rPr>
                      <w:rFonts w:hint="default" w:ascii="Times New Roman" w:hAnsi="Times New Roman" w:eastAsia="宋体" w:cs="Times New Roman"/>
                      <w:color w:val="auto"/>
                      <w:spacing w:val="-8"/>
                      <w:sz w:val="24"/>
                      <w:szCs w:val="24"/>
                      <w:highlight w:val="none"/>
                      <w:lang w:val="en-US" w:eastAsia="zh-CN"/>
                    </w:rPr>
                    <w:t>m</w:t>
                  </w:r>
                  <w:r>
                    <w:rPr>
                      <w:rFonts w:hint="default" w:ascii="Times New Roman" w:hAnsi="Times New Roman" w:eastAsia="宋体" w:cs="Times New Roman"/>
                      <w:color w:val="auto"/>
                      <w:spacing w:val="-8"/>
                      <w:sz w:val="24"/>
                      <w:szCs w:val="24"/>
                      <w:highlight w:val="none"/>
                      <w:vertAlign w:val="superscript"/>
                      <w:lang w:val="en-US" w:eastAsia="zh-CN"/>
                    </w:rPr>
                    <w:t>2</w:t>
                  </w:r>
                  <w:r>
                    <w:rPr>
                      <w:rFonts w:hint="default" w:ascii="Times New Roman" w:hAnsi="Times New Roman" w:eastAsia="宋体" w:cs="Times New Roman"/>
                      <w:color w:val="auto"/>
                      <w:spacing w:val="-5"/>
                      <w:sz w:val="24"/>
                      <w:szCs w:val="24"/>
                      <w:highlight w:val="none"/>
                    </w:rPr>
                    <w:t>，位于搅拌站东侧，内置自动化操作系统。</w:t>
                  </w:r>
                  <w:r>
                    <w:rPr>
                      <w:rFonts w:hint="default" w:ascii="Times New Roman" w:hAnsi="Times New Roman" w:eastAsia="宋体" w:cs="Times New Roman"/>
                      <w:color w:val="auto"/>
                      <w:spacing w:val="-4"/>
                      <w:sz w:val="24"/>
                      <w:szCs w:val="24"/>
                      <w:highlight w:val="none"/>
                    </w:rPr>
                    <w:t>用于搅拌站的生产</w:t>
                  </w:r>
                  <w:r>
                    <w:rPr>
                      <w:rFonts w:hint="eastAsia" w:ascii="Times New Roman" w:hAnsi="Times New Roman" w:eastAsia="宋体" w:cs="Times New Roman"/>
                      <w:color w:val="auto"/>
                      <w:spacing w:val="-4"/>
                      <w:sz w:val="24"/>
                      <w:szCs w:val="24"/>
                      <w:highlight w:val="none"/>
                      <w:lang w:eastAsia="zh-CN"/>
                    </w:rPr>
                    <w:t>情况</w:t>
                  </w:r>
                  <w:r>
                    <w:rPr>
                      <w:rFonts w:hint="default" w:ascii="Times New Roman" w:hAnsi="Times New Roman" w:eastAsia="宋体" w:cs="Times New Roman"/>
                      <w:color w:val="auto"/>
                      <w:spacing w:val="-4"/>
                      <w:sz w:val="24"/>
                      <w:szCs w:val="24"/>
                      <w:highlight w:val="none"/>
                    </w:rPr>
                    <w:t>监控、自动化操作。</w:t>
                  </w:r>
                </w:p>
              </w:tc>
            </w:tr>
            <w:tr w14:paraId="37A500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1456" w:type="dxa"/>
                  <w:vMerge w:val="restart"/>
                  <w:vAlign w:val="center"/>
                </w:tcPr>
                <w:p w14:paraId="150A174C">
                  <w:pPr>
                    <w:pStyle w:val="46"/>
                    <w:spacing w:before="55" w:line="360" w:lineRule="auto"/>
                    <w:ind w:left="0" w:leftChars="0"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1"/>
                      <w:sz w:val="24"/>
                      <w:szCs w:val="24"/>
                      <w:highlight w:val="none"/>
                    </w:rPr>
                    <w:t>公用工程</w:t>
                  </w:r>
                </w:p>
              </w:tc>
              <w:tc>
                <w:tcPr>
                  <w:tcW w:w="1414" w:type="dxa"/>
                  <w:vAlign w:val="center"/>
                </w:tcPr>
                <w:p w14:paraId="07E1B1F3">
                  <w:pPr>
                    <w:pStyle w:val="46"/>
                    <w:spacing w:before="55" w:line="360" w:lineRule="auto"/>
                    <w:ind w:left="0" w:leftChars="0"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5"/>
                      <w:sz w:val="24"/>
                      <w:szCs w:val="24"/>
                      <w:highlight w:val="none"/>
                    </w:rPr>
                    <w:t>给水系统</w:t>
                  </w:r>
                </w:p>
              </w:tc>
              <w:tc>
                <w:tcPr>
                  <w:tcW w:w="5274" w:type="dxa"/>
                  <w:vAlign w:val="center"/>
                </w:tcPr>
                <w:p w14:paraId="5F6C4BF3">
                  <w:pPr>
                    <w:pStyle w:val="46"/>
                    <w:spacing w:before="55" w:line="360" w:lineRule="auto"/>
                    <w:ind w:left="0" w:leftChars="0" w:right="1" w:firstLine="464"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4"/>
                      <w:sz w:val="24"/>
                      <w:szCs w:val="24"/>
                      <w:highlight w:val="none"/>
                    </w:rPr>
                    <w:t>生产用水使用</w:t>
                  </w:r>
                  <w:r>
                    <w:rPr>
                      <w:rFonts w:hint="default" w:ascii="Times New Roman" w:hAnsi="Times New Roman" w:eastAsia="宋体" w:cs="Times New Roman"/>
                      <w:color w:val="auto"/>
                      <w:spacing w:val="-4"/>
                      <w:sz w:val="24"/>
                      <w:szCs w:val="24"/>
                      <w:highlight w:val="none"/>
                      <w:lang w:val="en-US" w:eastAsia="zh-CN"/>
                    </w:rPr>
                    <w:t>本煤矿</w:t>
                  </w:r>
                  <w:r>
                    <w:rPr>
                      <w:rFonts w:hint="default" w:ascii="Times New Roman" w:hAnsi="Times New Roman" w:eastAsia="宋体" w:cs="Times New Roman"/>
                      <w:color w:val="auto"/>
                      <w:spacing w:val="-3"/>
                      <w:sz w:val="24"/>
                      <w:szCs w:val="24"/>
                      <w:highlight w:val="none"/>
                    </w:rPr>
                    <w:t>矿井水。</w:t>
                  </w:r>
                </w:p>
              </w:tc>
            </w:tr>
            <w:tr w14:paraId="37591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456" w:type="dxa"/>
                  <w:vMerge w:val="continue"/>
                  <w:vAlign w:val="center"/>
                </w:tcPr>
                <w:p w14:paraId="1E4C0DD2">
                  <w:pPr>
                    <w:spacing w:line="360" w:lineRule="auto"/>
                    <w:jc w:val="center"/>
                    <w:rPr>
                      <w:rFonts w:hint="default" w:ascii="Times New Roman" w:hAnsi="Times New Roman" w:eastAsia="宋体" w:cs="Times New Roman"/>
                      <w:color w:val="auto"/>
                      <w:sz w:val="24"/>
                      <w:szCs w:val="24"/>
                      <w:highlight w:val="none"/>
                    </w:rPr>
                  </w:pPr>
                </w:p>
              </w:tc>
              <w:tc>
                <w:tcPr>
                  <w:tcW w:w="1414" w:type="dxa"/>
                  <w:vAlign w:val="center"/>
                </w:tcPr>
                <w:p w14:paraId="7534B725">
                  <w:pPr>
                    <w:pStyle w:val="46"/>
                    <w:spacing w:before="225" w:line="360" w:lineRule="auto"/>
                    <w:ind w:left="0" w:leftChars="0"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4"/>
                      <w:sz w:val="24"/>
                      <w:szCs w:val="24"/>
                      <w:highlight w:val="none"/>
                    </w:rPr>
                    <w:t>排水系统</w:t>
                  </w:r>
                </w:p>
              </w:tc>
              <w:tc>
                <w:tcPr>
                  <w:tcW w:w="5274" w:type="dxa"/>
                  <w:vAlign w:val="center"/>
                </w:tcPr>
                <w:p w14:paraId="02C328F2">
                  <w:pPr>
                    <w:pStyle w:val="46"/>
                    <w:spacing w:before="62" w:line="360" w:lineRule="auto"/>
                    <w:ind w:left="0" w:leftChars="0" w:firstLine="464"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4"/>
                      <w:sz w:val="24"/>
                      <w:szCs w:val="24"/>
                      <w:highlight w:val="none"/>
                    </w:rPr>
                    <w:t>项目运营不产生生产废水；项目无新增劳动定员，不</w:t>
                  </w:r>
                  <w:r>
                    <w:rPr>
                      <w:rFonts w:hint="default" w:ascii="Times New Roman" w:hAnsi="Times New Roman" w:eastAsia="宋体" w:cs="Times New Roman"/>
                      <w:color w:val="auto"/>
                      <w:spacing w:val="-3"/>
                      <w:sz w:val="24"/>
                      <w:szCs w:val="24"/>
                      <w:highlight w:val="none"/>
                    </w:rPr>
                    <w:t>产生生活污水</w:t>
                  </w:r>
                </w:p>
              </w:tc>
            </w:tr>
            <w:tr w14:paraId="1869E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456" w:type="dxa"/>
                  <w:vMerge w:val="continue"/>
                  <w:vAlign w:val="center"/>
                </w:tcPr>
                <w:p w14:paraId="31C120AC">
                  <w:pPr>
                    <w:spacing w:line="360" w:lineRule="auto"/>
                    <w:jc w:val="center"/>
                    <w:rPr>
                      <w:rFonts w:hint="default" w:ascii="Times New Roman" w:hAnsi="Times New Roman" w:eastAsia="宋体" w:cs="Times New Roman"/>
                      <w:color w:val="auto"/>
                      <w:sz w:val="24"/>
                      <w:szCs w:val="24"/>
                      <w:highlight w:val="none"/>
                    </w:rPr>
                  </w:pPr>
                </w:p>
              </w:tc>
              <w:tc>
                <w:tcPr>
                  <w:tcW w:w="1414" w:type="dxa"/>
                  <w:tcBorders>
                    <w:bottom w:val="single" w:color="auto" w:sz="4" w:space="0"/>
                  </w:tcBorders>
                  <w:vAlign w:val="center"/>
                </w:tcPr>
                <w:p w14:paraId="009562A8">
                  <w:pPr>
                    <w:pStyle w:val="46"/>
                    <w:spacing w:before="216" w:line="360" w:lineRule="auto"/>
                    <w:ind w:left="0" w:leftChars="0"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5"/>
                      <w:sz w:val="24"/>
                      <w:szCs w:val="24"/>
                      <w:highlight w:val="none"/>
                    </w:rPr>
                    <w:t>供电系统</w:t>
                  </w:r>
                </w:p>
              </w:tc>
              <w:tc>
                <w:tcPr>
                  <w:tcW w:w="5274" w:type="dxa"/>
                  <w:tcBorders>
                    <w:bottom w:val="single" w:color="auto" w:sz="4" w:space="0"/>
                  </w:tcBorders>
                  <w:vAlign w:val="center"/>
                </w:tcPr>
                <w:p w14:paraId="010777D8">
                  <w:pPr>
                    <w:pStyle w:val="46"/>
                    <w:spacing w:before="53" w:line="360" w:lineRule="auto"/>
                    <w:ind w:left="0" w:leftChars="0" w:right="1" w:firstLine="464"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4"/>
                      <w:sz w:val="24"/>
                      <w:szCs w:val="24"/>
                      <w:highlight w:val="none"/>
                    </w:rPr>
                    <w:t>项目用电依托工业广场现有供电设施，用电来源于万利镇110/35/10</w:t>
                  </w:r>
                  <w:r>
                    <w:rPr>
                      <w:rFonts w:hint="default" w:ascii="Times New Roman" w:hAnsi="Times New Roman" w:eastAsia="宋体" w:cs="Times New Roman"/>
                      <w:color w:val="auto"/>
                      <w:spacing w:val="-4"/>
                      <w:sz w:val="24"/>
                      <w:szCs w:val="24"/>
                      <w:highlight w:val="none"/>
                      <w:lang w:val="en-US" w:eastAsia="zh-CN"/>
                    </w:rPr>
                    <w:t>kv</w:t>
                  </w:r>
                  <w:r>
                    <w:rPr>
                      <w:rFonts w:hint="default" w:ascii="Times New Roman" w:hAnsi="Times New Roman" w:eastAsia="宋体" w:cs="Times New Roman"/>
                      <w:color w:val="auto"/>
                      <w:spacing w:val="-4"/>
                      <w:sz w:val="24"/>
                      <w:szCs w:val="24"/>
                      <w:highlight w:val="none"/>
                    </w:rPr>
                    <w:t>变电站。</w:t>
                  </w:r>
                </w:p>
              </w:tc>
            </w:tr>
            <w:tr w14:paraId="66F2F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trPr>
              <w:tc>
                <w:tcPr>
                  <w:tcW w:w="1456" w:type="dxa"/>
                  <w:vMerge w:val="continue"/>
                  <w:tcBorders>
                    <w:bottom w:val="single" w:color="auto" w:sz="4" w:space="0"/>
                  </w:tcBorders>
                  <w:vAlign w:val="center"/>
                </w:tcPr>
                <w:p w14:paraId="596E3F75">
                  <w:pPr>
                    <w:spacing w:line="360" w:lineRule="auto"/>
                    <w:jc w:val="center"/>
                    <w:rPr>
                      <w:rFonts w:hint="default" w:ascii="Times New Roman" w:hAnsi="Times New Roman" w:eastAsia="宋体" w:cs="Times New Roman"/>
                      <w:color w:val="auto"/>
                      <w:sz w:val="24"/>
                      <w:szCs w:val="24"/>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2BC05EBE">
                  <w:pPr>
                    <w:pStyle w:val="46"/>
                    <w:spacing w:before="78" w:line="360" w:lineRule="auto"/>
                    <w:ind w:left="0" w:leftChars="0"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5"/>
                      <w:sz w:val="24"/>
                      <w:szCs w:val="24"/>
                      <w:highlight w:val="none"/>
                    </w:rPr>
                    <w:t>供热系统</w:t>
                  </w:r>
                </w:p>
              </w:tc>
              <w:tc>
                <w:tcPr>
                  <w:tcW w:w="5274" w:type="dxa"/>
                  <w:tcBorders>
                    <w:top w:val="single" w:color="auto" w:sz="4" w:space="0"/>
                    <w:left w:val="single" w:color="auto" w:sz="4" w:space="0"/>
                    <w:bottom w:val="single" w:color="auto" w:sz="4" w:space="0"/>
                    <w:right w:val="single" w:color="auto" w:sz="4" w:space="0"/>
                  </w:tcBorders>
                  <w:vAlign w:val="center"/>
                </w:tcPr>
                <w:p w14:paraId="60759126">
                  <w:pPr>
                    <w:pStyle w:val="46"/>
                    <w:spacing w:before="46" w:line="360" w:lineRule="auto"/>
                    <w:ind w:left="0" w:leftChars="0" w:firstLine="476"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
                      <w:sz w:val="24"/>
                      <w:szCs w:val="24"/>
                      <w:highlight w:val="none"/>
                    </w:rPr>
                    <w:t>搅拌站主楼冬季供暖热源依托于工业广场现有供暖</w:t>
                  </w:r>
                  <w:r>
                    <w:rPr>
                      <w:rFonts w:hint="default" w:ascii="Times New Roman" w:hAnsi="Times New Roman" w:eastAsia="宋体" w:cs="Times New Roman"/>
                      <w:color w:val="auto"/>
                      <w:spacing w:val="-5"/>
                      <w:sz w:val="24"/>
                      <w:szCs w:val="24"/>
                      <w:highlight w:val="none"/>
                    </w:rPr>
                    <w:t>系统，通过2台</w:t>
                  </w:r>
                  <w:r>
                    <w:rPr>
                      <w:rFonts w:hint="default" w:ascii="Times New Roman" w:hAnsi="Times New Roman" w:eastAsia="宋体" w:cs="Times New Roman"/>
                      <w:color w:val="auto"/>
                      <w:spacing w:val="-5"/>
                      <w:sz w:val="24"/>
                      <w:szCs w:val="24"/>
                      <w:highlight w:val="none"/>
                      <w:lang w:val="en-US" w:eastAsia="zh-CN"/>
                    </w:rPr>
                    <w:t>DZL</w:t>
                  </w:r>
                  <w:r>
                    <w:rPr>
                      <w:rFonts w:hint="default" w:ascii="Times New Roman" w:hAnsi="Times New Roman" w:eastAsia="宋体" w:cs="Times New Roman"/>
                      <w:color w:val="auto"/>
                      <w:spacing w:val="-5"/>
                      <w:sz w:val="24"/>
                      <w:szCs w:val="24"/>
                      <w:highlight w:val="none"/>
                    </w:rPr>
                    <w:t>14-1.25/115/70-</w:t>
                  </w:r>
                  <w:r>
                    <w:rPr>
                      <w:rFonts w:hint="default" w:ascii="Times New Roman" w:hAnsi="Times New Roman" w:eastAsia="宋体" w:cs="Times New Roman"/>
                      <w:color w:val="auto"/>
                      <w:spacing w:val="-5"/>
                      <w:sz w:val="24"/>
                      <w:szCs w:val="24"/>
                      <w:highlight w:val="none"/>
                      <w:lang w:val="en-US" w:eastAsia="zh-CN"/>
                    </w:rPr>
                    <w:t>AII</w:t>
                  </w:r>
                  <w:r>
                    <w:rPr>
                      <w:rFonts w:hint="default" w:ascii="Times New Roman" w:hAnsi="Times New Roman" w:eastAsia="宋体" w:cs="Times New Roman"/>
                      <w:color w:val="auto"/>
                      <w:spacing w:val="-6"/>
                      <w:sz w:val="24"/>
                      <w:szCs w:val="24"/>
                      <w:highlight w:val="none"/>
                    </w:rPr>
                    <w:t>燃煤型供热</w:t>
                  </w:r>
                  <w:r>
                    <w:rPr>
                      <w:rFonts w:hint="default" w:ascii="Times New Roman" w:hAnsi="Times New Roman" w:eastAsia="宋体" w:cs="Times New Roman"/>
                      <w:color w:val="auto"/>
                      <w:spacing w:val="-2"/>
                      <w:sz w:val="24"/>
                      <w:szCs w:val="24"/>
                      <w:highlight w:val="none"/>
                    </w:rPr>
                    <w:t>锅炉（一备一用）供暖。</w:t>
                  </w:r>
                </w:p>
              </w:tc>
            </w:tr>
            <w:tr w14:paraId="17FAD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1456" w:type="dxa"/>
                  <w:vMerge w:val="restart"/>
                  <w:tcBorders>
                    <w:top w:val="single" w:color="auto" w:sz="4" w:space="0"/>
                    <w:left w:val="single" w:color="auto" w:sz="4" w:space="0"/>
                    <w:bottom w:val="nil"/>
                  </w:tcBorders>
                  <w:vAlign w:val="center"/>
                </w:tcPr>
                <w:p w14:paraId="421D9829">
                  <w:pPr>
                    <w:pStyle w:val="46"/>
                    <w:spacing w:before="78" w:line="360" w:lineRule="auto"/>
                    <w:ind w:left="0" w:leftChars="0" w:right="15"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8"/>
                      <w:sz w:val="24"/>
                      <w:szCs w:val="24"/>
                      <w:highlight w:val="none"/>
                    </w:rPr>
                    <w:t>环保</w:t>
                  </w:r>
                  <w:r>
                    <w:rPr>
                      <w:rFonts w:hint="default" w:ascii="Times New Roman" w:hAnsi="Times New Roman" w:eastAsia="宋体" w:cs="Times New Roman"/>
                      <w:color w:val="auto"/>
                      <w:spacing w:val="-11"/>
                      <w:sz w:val="24"/>
                      <w:szCs w:val="24"/>
                      <w:highlight w:val="none"/>
                    </w:rPr>
                    <w:t>工程</w:t>
                  </w:r>
                </w:p>
              </w:tc>
              <w:tc>
                <w:tcPr>
                  <w:tcW w:w="1414" w:type="dxa"/>
                  <w:vMerge w:val="restart"/>
                  <w:tcBorders>
                    <w:top w:val="single" w:color="auto" w:sz="4" w:space="0"/>
                    <w:bottom w:val="nil"/>
                    <w:right w:val="single" w:color="auto" w:sz="4" w:space="0"/>
                  </w:tcBorders>
                  <w:vAlign w:val="center"/>
                </w:tcPr>
                <w:p w14:paraId="06AB04D0">
                  <w:pPr>
                    <w:pStyle w:val="46"/>
                    <w:spacing w:before="78" w:line="360" w:lineRule="auto"/>
                    <w:ind w:left="0" w:leftChars="0"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0"/>
                      <w:sz w:val="24"/>
                      <w:szCs w:val="24"/>
                      <w:highlight w:val="none"/>
                    </w:rPr>
                    <w:t>废气</w:t>
                  </w:r>
                </w:p>
              </w:tc>
              <w:tc>
                <w:tcPr>
                  <w:tcW w:w="5274" w:type="dxa"/>
                  <w:tcBorders>
                    <w:top w:val="single" w:color="auto" w:sz="4" w:space="0"/>
                    <w:left w:val="single" w:color="auto" w:sz="4" w:space="0"/>
                  </w:tcBorders>
                  <w:vAlign w:val="center"/>
                </w:tcPr>
                <w:p w14:paraId="6CEC380B">
                  <w:pPr>
                    <w:pStyle w:val="46"/>
                    <w:spacing w:before="208" w:line="360" w:lineRule="auto"/>
                    <w:ind w:left="0" w:leftChars="0" w:firstLine="472"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2"/>
                      <w:sz w:val="24"/>
                      <w:szCs w:val="24"/>
                      <w:highlight w:val="none"/>
                    </w:rPr>
                    <w:t>全封闭的砂石库结合洒水车</w:t>
                  </w:r>
                  <w:r>
                    <w:rPr>
                      <w:rFonts w:hint="eastAsia" w:ascii="Times New Roman" w:hAnsi="Times New Roman" w:eastAsia="宋体" w:cs="Times New Roman"/>
                      <w:color w:val="auto"/>
                      <w:spacing w:val="-2"/>
                      <w:sz w:val="24"/>
                      <w:szCs w:val="24"/>
                      <w:highlight w:val="none"/>
                      <w:lang w:val="en-US" w:eastAsia="zh-CN"/>
                    </w:rPr>
                    <w:t>进行</w:t>
                  </w:r>
                  <w:r>
                    <w:rPr>
                      <w:rFonts w:hint="default" w:ascii="Times New Roman" w:hAnsi="Times New Roman" w:eastAsia="宋体" w:cs="Times New Roman"/>
                      <w:color w:val="auto"/>
                      <w:spacing w:val="-2"/>
                      <w:sz w:val="24"/>
                      <w:szCs w:val="24"/>
                      <w:highlight w:val="none"/>
                    </w:rPr>
                    <w:t>洒水抑尘处理</w:t>
                  </w:r>
                </w:p>
              </w:tc>
            </w:tr>
            <w:tr w14:paraId="2A980D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456" w:type="dxa"/>
                  <w:vMerge w:val="continue"/>
                  <w:tcBorders>
                    <w:top w:val="nil"/>
                    <w:left w:val="single" w:color="auto" w:sz="4" w:space="0"/>
                    <w:bottom w:val="nil"/>
                  </w:tcBorders>
                  <w:vAlign w:val="center"/>
                </w:tcPr>
                <w:p w14:paraId="181F608B">
                  <w:pPr>
                    <w:spacing w:line="360" w:lineRule="auto"/>
                    <w:jc w:val="center"/>
                    <w:rPr>
                      <w:rFonts w:hint="default" w:ascii="Times New Roman" w:hAnsi="Times New Roman" w:eastAsia="宋体" w:cs="Times New Roman"/>
                      <w:color w:val="auto"/>
                      <w:sz w:val="24"/>
                      <w:szCs w:val="24"/>
                      <w:highlight w:val="none"/>
                    </w:rPr>
                  </w:pPr>
                </w:p>
              </w:tc>
              <w:tc>
                <w:tcPr>
                  <w:tcW w:w="1414" w:type="dxa"/>
                  <w:vMerge w:val="continue"/>
                  <w:tcBorders>
                    <w:top w:val="nil"/>
                    <w:bottom w:val="nil"/>
                    <w:right w:val="single" w:color="auto" w:sz="4" w:space="0"/>
                  </w:tcBorders>
                  <w:vAlign w:val="center"/>
                </w:tcPr>
                <w:p w14:paraId="2CEDCA0F">
                  <w:pPr>
                    <w:spacing w:line="360" w:lineRule="auto"/>
                    <w:jc w:val="center"/>
                    <w:rPr>
                      <w:rFonts w:hint="default" w:ascii="Times New Roman" w:hAnsi="Times New Roman" w:eastAsia="宋体" w:cs="Times New Roman"/>
                      <w:color w:val="auto"/>
                      <w:sz w:val="24"/>
                      <w:szCs w:val="24"/>
                      <w:highlight w:val="none"/>
                    </w:rPr>
                  </w:pPr>
                </w:p>
              </w:tc>
              <w:tc>
                <w:tcPr>
                  <w:tcW w:w="5274" w:type="dxa"/>
                  <w:tcBorders>
                    <w:left w:val="single" w:color="auto" w:sz="4" w:space="0"/>
                  </w:tcBorders>
                  <w:vAlign w:val="center"/>
                </w:tcPr>
                <w:p w14:paraId="00534C55">
                  <w:pPr>
                    <w:pStyle w:val="46"/>
                    <w:spacing w:before="225" w:line="360" w:lineRule="auto"/>
                    <w:ind w:left="0" w:leftChars="0" w:firstLine="476"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
                      <w:sz w:val="24"/>
                      <w:szCs w:val="24"/>
                      <w:highlight w:val="none"/>
                    </w:rPr>
                    <w:t>水泥筒仓呼吸粉尘通过仓顶除尘器处理后从筒仓顶</w:t>
                  </w:r>
                  <w:r>
                    <w:rPr>
                      <w:rFonts w:hint="default" w:ascii="Times New Roman" w:hAnsi="Times New Roman" w:eastAsia="宋体" w:cs="Times New Roman"/>
                      <w:color w:val="auto"/>
                      <w:spacing w:val="2"/>
                      <w:sz w:val="24"/>
                      <w:szCs w:val="24"/>
                      <w:highlight w:val="none"/>
                    </w:rPr>
                    <w:t>部排放口排放（排放口高度为20</w:t>
                  </w:r>
                  <w:r>
                    <w:rPr>
                      <w:rFonts w:hint="default" w:ascii="Times New Roman" w:hAnsi="Times New Roman" w:eastAsia="宋体" w:cs="Times New Roman"/>
                      <w:color w:val="auto"/>
                      <w:spacing w:val="2"/>
                      <w:sz w:val="24"/>
                      <w:szCs w:val="24"/>
                      <w:highlight w:val="none"/>
                      <w:lang w:val="en-US" w:eastAsia="zh-CN"/>
                    </w:rPr>
                    <w:t>m</w:t>
                  </w:r>
                  <w:r>
                    <w:rPr>
                      <w:rFonts w:hint="default" w:ascii="Times New Roman" w:hAnsi="Times New Roman" w:eastAsia="宋体" w:cs="Times New Roman"/>
                      <w:color w:val="auto"/>
                      <w:spacing w:val="2"/>
                      <w:sz w:val="24"/>
                      <w:szCs w:val="24"/>
                      <w:highlight w:val="none"/>
                    </w:rPr>
                    <w:t>）</w:t>
                  </w:r>
                </w:p>
              </w:tc>
            </w:tr>
            <w:tr w14:paraId="03303E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1456" w:type="dxa"/>
                  <w:vMerge w:val="continue"/>
                  <w:tcBorders>
                    <w:top w:val="nil"/>
                    <w:left w:val="single" w:color="auto" w:sz="4" w:space="0"/>
                    <w:bottom w:val="nil"/>
                  </w:tcBorders>
                  <w:vAlign w:val="center"/>
                </w:tcPr>
                <w:p w14:paraId="67E00D6D">
                  <w:pPr>
                    <w:spacing w:line="360" w:lineRule="auto"/>
                    <w:jc w:val="center"/>
                    <w:rPr>
                      <w:rFonts w:hint="default" w:ascii="Times New Roman" w:hAnsi="Times New Roman" w:eastAsia="宋体" w:cs="Times New Roman"/>
                      <w:color w:val="auto"/>
                      <w:sz w:val="24"/>
                      <w:szCs w:val="24"/>
                      <w:highlight w:val="none"/>
                    </w:rPr>
                  </w:pPr>
                </w:p>
              </w:tc>
              <w:tc>
                <w:tcPr>
                  <w:tcW w:w="1414" w:type="dxa"/>
                  <w:vMerge w:val="continue"/>
                  <w:tcBorders>
                    <w:top w:val="nil"/>
                    <w:right w:val="single" w:color="auto" w:sz="4" w:space="0"/>
                  </w:tcBorders>
                  <w:vAlign w:val="center"/>
                </w:tcPr>
                <w:p w14:paraId="6CE59DA0">
                  <w:pPr>
                    <w:spacing w:line="360" w:lineRule="auto"/>
                    <w:jc w:val="center"/>
                    <w:rPr>
                      <w:rFonts w:hint="default" w:ascii="Times New Roman" w:hAnsi="Times New Roman" w:eastAsia="宋体" w:cs="Times New Roman"/>
                      <w:color w:val="auto"/>
                      <w:sz w:val="24"/>
                      <w:szCs w:val="24"/>
                      <w:highlight w:val="none"/>
                    </w:rPr>
                  </w:pPr>
                </w:p>
              </w:tc>
              <w:tc>
                <w:tcPr>
                  <w:tcW w:w="5274" w:type="dxa"/>
                  <w:tcBorders>
                    <w:left w:val="single" w:color="auto" w:sz="4" w:space="0"/>
                  </w:tcBorders>
                  <w:vAlign w:val="center"/>
                </w:tcPr>
                <w:p w14:paraId="25CB78D1">
                  <w:pPr>
                    <w:pStyle w:val="46"/>
                    <w:spacing w:before="170" w:line="360" w:lineRule="auto"/>
                    <w:ind w:left="0" w:leftChars="0" w:firstLine="472" w:firstLineChars="200"/>
                    <w:jc w:val="both"/>
                    <w:rPr>
                      <w:rFonts w:hint="default" w:ascii="Times New Roman" w:hAnsi="Times New Roman" w:eastAsia="宋体" w:cs="Times New Roman"/>
                      <w:color w:val="auto"/>
                      <w:sz w:val="24"/>
                      <w:szCs w:val="24"/>
                      <w:highlight w:val="none"/>
                      <w:lang w:val="en-US"/>
                    </w:rPr>
                  </w:pPr>
                  <w:r>
                    <w:rPr>
                      <w:rFonts w:hint="default" w:ascii="Times New Roman" w:hAnsi="Times New Roman" w:cs="Times New Roman" w:eastAsiaTheme="minorEastAsia"/>
                      <w:color w:val="auto"/>
                      <w:spacing w:val="-2"/>
                      <w:sz w:val="24"/>
                      <w:szCs w:val="24"/>
                      <w:highlight w:val="none"/>
                    </w:rPr>
                    <w:t>上料仓</w:t>
                  </w:r>
                  <w:r>
                    <w:rPr>
                      <w:rFonts w:hint="default" w:ascii="Times New Roman" w:hAnsi="Times New Roman" w:cs="Times New Roman" w:eastAsiaTheme="minorEastAsia"/>
                      <w:color w:val="auto"/>
                      <w:spacing w:val="-2"/>
                      <w:sz w:val="24"/>
                      <w:szCs w:val="24"/>
                      <w:highlight w:val="none"/>
                      <w:lang w:val="en-US" w:eastAsia="zh-CN"/>
                    </w:rPr>
                    <w:t>设置在全封闭棚里</w:t>
                  </w: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z w:val="24"/>
                      <w:szCs w:val="24"/>
                      <w:highlight w:val="none"/>
                      <w:lang w:val="en-US" w:eastAsia="zh-CN"/>
                    </w:rPr>
                    <w:t>全封闭棚里采用洒水抑尘</w:t>
                  </w:r>
                  <w:r>
                    <w:rPr>
                      <w:rFonts w:hint="eastAsia" w:ascii="Times New Roman" w:hAnsi="Times New Roman" w:cs="Times New Roman" w:eastAsiaTheme="minorEastAsia"/>
                      <w:color w:val="auto"/>
                      <w:sz w:val="24"/>
                      <w:szCs w:val="24"/>
                      <w:highlight w:val="none"/>
                      <w:lang w:val="en-US" w:eastAsia="zh-CN"/>
                    </w:rPr>
                    <w:t>措施</w:t>
                  </w:r>
                </w:p>
              </w:tc>
            </w:tr>
            <w:tr w14:paraId="624E4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3" w:hRule="atLeast"/>
              </w:trPr>
              <w:tc>
                <w:tcPr>
                  <w:tcW w:w="1456" w:type="dxa"/>
                  <w:vMerge w:val="continue"/>
                  <w:tcBorders>
                    <w:top w:val="nil"/>
                    <w:left w:val="single" w:color="auto" w:sz="4" w:space="0"/>
                    <w:bottom w:val="nil"/>
                  </w:tcBorders>
                  <w:vAlign w:val="center"/>
                </w:tcPr>
                <w:p w14:paraId="0DF5A6EA">
                  <w:pPr>
                    <w:spacing w:line="360" w:lineRule="auto"/>
                    <w:jc w:val="center"/>
                    <w:rPr>
                      <w:rFonts w:hint="default" w:ascii="Times New Roman" w:hAnsi="Times New Roman" w:eastAsia="宋体" w:cs="Times New Roman"/>
                      <w:color w:val="auto"/>
                      <w:sz w:val="24"/>
                      <w:szCs w:val="24"/>
                      <w:highlight w:val="none"/>
                    </w:rPr>
                  </w:pPr>
                </w:p>
              </w:tc>
              <w:tc>
                <w:tcPr>
                  <w:tcW w:w="1414" w:type="dxa"/>
                  <w:tcBorders>
                    <w:right w:val="single" w:color="auto" w:sz="4" w:space="0"/>
                  </w:tcBorders>
                  <w:vAlign w:val="center"/>
                </w:tcPr>
                <w:p w14:paraId="6AC9BD3E">
                  <w:pPr>
                    <w:pStyle w:val="46"/>
                    <w:spacing w:before="225" w:line="360" w:lineRule="auto"/>
                    <w:ind w:left="0" w:leftChars="0"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0"/>
                      <w:sz w:val="24"/>
                      <w:szCs w:val="24"/>
                      <w:highlight w:val="none"/>
                    </w:rPr>
                    <w:t>废水</w:t>
                  </w:r>
                </w:p>
              </w:tc>
              <w:tc>
                <w:tcPr>
                  <w:tcW w:w="5274" w:type="dxa"/>
                  <w:tcBorders>
                    <w:left w:val="single" w:color="auto" w:sz="4" w:space="0"/>
                  </w:tcBorders>
                  <w:vAlign w:val="center"/>
                </w:tcPr>
                <w:p w14:paraId="0F3B34D6">
                  <w:pPr>
                    <w:pStyle w:val="46"/>
                    <w:spacing w:before="62" w:line="360" w:lineRule="auto"/>
                    <w:ind w:left="0" w:leftChars="0" w:right="1" w:firstLine="464"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4"/>
                      <w:sz w:val="24"/>
                      <w:szCs w:val="24"/>
                      <w:highlight w:val="none"/>
                    </w:rPr>
                    <w:t>项目无新增劳动定员，不产生生活污水；项目</w:t>
                  </w:r>
                  <w:r>
                    <w:rPr>
                      <w:rFonts w:hint="default" w:ascii="Times New Roman" w:hAnsi="Times New Roman" w:cs="Times New Roman" w:eastAsiaTheme="minorEastAsia"/>
                      <w:b w:val="0"/>
                      <w:bCs w:val="0"/>
                      <w:color w:val="auto"/>
                      <w:sz w:val="24"/>
                      <w:szCs w:val="24"/>
                      <w:highlight w:val="none"/>
                      <w:vertAlign w:val="baseline"/>
                      <w:lang w:val="en-US" w:eastAsia="zh-CN"/>
                    </w:rPr>
                    <w:t>搅拌罐清洗废水：罐车清洗在矿井下混凝土浇筑地点进行，清洗废水与混凝土共同进入浇筑点，不外排</w:t>
                  </w:r>
                  <w:r>
                    <w:rPr>
                      <w:rFonts w:hint="default" w:ascii="Times New Roman" w:hAnsi="Times New Roman" w:cs="Times New Roman"/>
                      <w:color w:val="auto"/>
                      <w:sz w:val="24"/>
                      <w:szCs w:val="24"/>
                      <w:highlight w:val="none"/>
                      <w:lang w:eastAsia="zh-CN"/>
                    </w:rPr>
                    <w:t>。</w:t>
                  </w:r>
                </w:p>
              </w:tc>
            </w:tr>
            <w:tr w14:paraId="3C792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1456" w:type="dxa"/>
                  <w:vMerge w:val="continue"/>
                  <w:tcBorders>
                    <w:top w:val="nil"/>
                    <w:left w:val="single" w:color="auto" w:sz="4" w:space="0"/>
                    <w:bottom w:val="nil"/>
                  </w:tcBorders>
                  <w:vAlign w:val="center"/>
                </w:tcPr>
                <w:p w14:paraId="74A5B103">
                  <w:pPr>
                    <w:spacing w:line="360" w:lineRule="auto"/>
                    <w:jc w:val="center"/>
                    <w:rPr>
                      <w:rFonts w:hint="default" w:ascii="Times New Roman" w:hAnsi="Times New Roman" w:eastAsia="宋体" w:cs="Times New Roman"/>
                      <w:color w:val="auto"/>
                      <w:sz w:val="24"/>
                      <w:szCs w:val="24"/>
                      <w:highlight w:val="none"/>
                    </w:rPr>
                  </w:pPr>
                </w:p>
              </w:tc>
              <w:tc>
                <w:tcPr>
                  <w:tcW w:w="1414" w:type="dxa"/>
                  <w:tcBorders>
                    <w:right w:val="single" w:color="auto" w:sz="4" w:space="0"/>
                  </w:tcBorders>
                  <w:vAlign w:val="center"/>
                </w:tcPr>
                <w:p w14:paraId="0F1B5AC0">
                  <w:pPr>
                    <w:pStyle w:val="46"/>
                    <w:spacing w:before="162" w:line="360" w:lineRule="auto"/>
                    <w:ind w:left="0" w:leftChars="0"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4"/>
                      <w:sz w:val="24"/>
                      <w:szCs w:val="24"/>
                      <w:highlight w:val="none"/>
                    </w:rPr>
                    <w:t>噪声</w:t>
                  </w:r>
                </w:p>
              </w:tc>
              <w:tc>
                <w:tcPr>
                  <w:tcW w:w="5274" w:type="dxa"/>
                  <w:tcBorders>
                    <w:left w:val="single" w:color="auto" w:sz="4" w:space="0"/>
                  </w:tcBorders>
                  <w:vAlign w:val="center"/>
                </w:tcPr>
                <w:p w14:paraId="051E3D8A">
                  <w:pPr>
                    <w:pStyle w:val="46"/>
                    <w:spacing w:before="161" w:line="360" w:lineRule="auto"/>
                    <w:ind w:left="0" w:leftChars="0" w:firstLine="472" w:firstLineChars="200"/>
                    <w:jc w:val="both"/>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pacing w:val="-2"/>
                      <w:sz w:val="24"/>
                      <w:szCs w:val="24"/>
                      <w:highlight w:val="none"/>
                    </w:rPr>
                    <w:t>采用减振、消声、隔音等措施</w:t>
                  </w:r>
                  <w:r>
                    <w:rPr>
                      <w:rFonts w:hint="default" w:ascii="Times New Roman" w:hAnsi="Times New Roman" w:eastAsia="宋体" w:cs="Times New Roman"/>
                      <w:color w:val="auto"/>
                      <w:spacing w:val="-2"/>
                      <w:sz w:val="24"/>
                      <w:szCs w:val="24"/>
                      <w:highlight w:val="none"/>
                      <w:lang w:eastAsia="zh-CN"/>
                    </w:rPr>
                    <w:t>。</w:t>
                  </w:r>
                </w:p>
              </w:tc>
            </w:tr>
            <w:tr w14:paraId="143A9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456" w:type="dxa"/>
                  <w:vMerge w:val="continue"/>
                  <w:tcBorders>
                    <w:top w:val="nil"/>
                    <w:left w:val="single" w:color="auto" w:sz="4" w:space="0"/>
                    <w:bottom w:val="single" w:color="auto" w:sz="4" w:space="0"/>
                  </w:tcBorders>
                  <w:vAlign w:val="center"/>
                </w:tcPr>
                <w:p w14:paraId="0AED3842">
                  <w:pPr>
                    <w:spacing w:line="360" w:lineRule="auto"/>
                    <w:jc w:val="center"/>
                    <w:rPr>
                      <w:rFonts w:hint="default" w:ascii="Times New Roman" w:hAnsi="Times New Roman" w:eastAsia="宋体" w:cs="Times New Roman"/>
                      <w:color w:val="auto"/>
                      <w:sz w:val="24"/>
                      <w:szCs w:val="24"/>
                      <w:highlight w:val="none"/>
                    </w:rPr>
                  </w:pPr>
                </w:p>
              </w:tc>
              <w:tc>
                <w:tcPr>
                  <w:tcW w:w="1414" w:type="dxa"/>
                  <w:tcBorders>
                    <w:bottom w:val="single" w:color="auto" w:sz="4" w:space="0"/>
                    <w:right w:val="single" w:color="auto" w:sz="4" w:space="0"/>
                  </w:tcBorders>
                  <w:vAlign w:val="center"/>
                </w:tcPr>
                <w:p w14:paraId="1DC10722">
                  <w:pPr>
                    <w:pStyle w:val="46"/>
                    <w:spacing w:before="78" w:line="360" w:lineRule="auto"/>
                    <w:ind w:left="0" w:leftChars="0"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21"/>
                      <w:sz w:val="24"/>
                      <w:szCs w:val="24"/>
                      <w:highlight w:val="none"/>
                    </w:rPr>
                    <w:t>固废</w:t>
                  </w:r>
                </w:p>
              </w:tc>
              <w:tc>
                <w:tcPr>
                  <w:tcW w:w="5274" w:type="dxa"/>
                  <w:tcBorders>
                    <w:left w:val="single" w:color="auto" w:sz="4" w:space="0"/>
                  </w:tcBorders>
                  <w:vAlign w:val="center"/>
                </w:tcPr>
                <w:p w14:paraId="78074164">
                  <w:pPr>
                    <w:pStyle w:val="46"/>
                    <w:spacing w:before="208" w:line="360" w:lineRule="auto"/>
                    <w:ind w:left="0" w:leftChars="0" w:firstLine="464" w:firstLineChars="200"/>
                    <w:jc w:val="both"/>
                    <w:rPr>
                      <w:rFonts w:hint="default" w:ascii="Times New Roman" w:hAnsi="Times New Roman" w:eastAsia="宋体" w:cs="Times New Roman"/>
                      <w:color w:val="auto"/>
                      <w:spacing w:val="-1"/>
                      <w:sz w:val="24"/>
                      <w:szCs w:val="24"/>
                      <w:highlight w:val="none"/>
                      <w:lang w:val="en-US" w:eastAsia="zh-CN"/>
                    </w:rPr>
                  </w:pPr>
                  <w:r>
                    <w:rPr>
                      <w:rFonts w:hint="default" w:ascii="Times New Roman" w:hAnsi="Times New Roman" w:eastAsia="宋体" w:cs="Times New Roman"/>
                      <w:color w:val="auto"/>
                      <w:spacing w:val="-4"/>
                      <w:sz w:val="24"/>
                      <w:szCs w:val="24"/>
                      <w:highlight w:val="none"/>
                      <w:lang w:val="en-US" w:eastAsia="zh-CN"/>
                    </w:rPr>
                    <w:t>筒仓除尘灰自动落入筒仓内作为原料使用</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lang w:val="en-US" w:eastAsia="zh-CN"/>
                    </w:rPr>
                    <w:t>搅拌器除尘灰定期清理，作为原料用于生产。不合格产品作为原料全部回用。</w:t>
                  </w:r>
                </w:p>
              </w:tc>
            </w:tr>
          </w:tbl>
          <w:p w14:paraId="149A6F5A">
            <w:pPr>
              <w:pStyle w:val="20"/>
              <w:numPr>
                <w:ilvl w:val="0"/>
                <w:numId w:val="0"/>
              </w:numPr>
              <w:spacing w:line="360" w:lineRule="auto"/>
              <w:jc w:val="left"/>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bidi="ar-SA"/>
              </w:rPr>
              <w:t>3、</w:t>
            </w:r>
            <w:r>
              <w:rPr>
                <w:rFonts w:hint="default" w:ascii="Times New Roman" w:hAnsi="Times New Roman" w:eastAsia="宋体" w:cs="Times New Roman"/>
                <w:b/>
                <w:bCs/>
                <w:color w:val="auto"/>
                <w:sz w:val="24"/>
                <w:szCs w:val="24"/>
                <w:highlight w:val="none"/>
                <w:lang w:val="en-US" w:eastAsia="zh-CN"/>
              </w:rPr>
              <w:t>现有主要生产设备</w:t>
            </w:r>
          </w:p>
          <w:p w14:paraId="3A1882D8">
            <w:pPr>
              <w:pStyle w:val="20"/>
              <w:numPr>
                <w:ilvl w:val="0"/>
                <w:numId w:val="0"/>
              </w:numPr>
              <w:spacing w:line="360" w:lineRule="auto"/>
              <w:ind w:leftChars="200"/>
              <w:jc w:val="center"/>
              <w:rPr>
                <w:rFonts w:hint="default" w:ascii="Times New Roman" w:hAnsi="Times New Roman" w:eastAsia="宋体" w:cs="Times New Roman"/>
                <w:b/>
                <w:bCs/>
                <w:color w:val="auto"/>
                <w:sz w:val="24"/>
                <w:szCs w:val="24"/>
                <w:highlight w:val="none"/>
                <w:vertAlign w:val="baseline"/>
                <w:lang w:val="en-US" w:eastAsia="zh-CN"/>
              </w:rPr>
            </w:pPr>
            <w:r>
              <w:rPr>
                <w:rFonts w:hint="default" w:ascii="Times New Roman" w:hAnsi="Times New Roman" w:eastAsia="宋体" w:cs="Times New Roman"/>
                <w:b/>
                <w:bCs/>
                <w:color w:val="auto"/>
                <w:sz w:val="24"/>
                <w:szCs w:val="24"/>
                <w:highlight w:val="none"/>
                <w:lang w:val="en-US" w:eastAsia="zh-CN"/>
              </w:rPr>
              <w:t>表</w:t>
            </w:r>
            <w:r>
              <w:rPr>
                <w:rFonts w:hint="default" w:ascii="Times New Roman" w:hAnsi="Times New Roman" w:cs="Times New Roman"/>
                <w:b/>
                <w:bCs/>
                <w:color w:val="auto"/>
                <w:sz w:val="24"/>
                <w:szCs w:val="24"/>
                <w:highlight w:val="none"/>
                <w:lang w:val="en-US" w:eastAsia="zh-CN"/>
              </w:rPr>
              <w:t>2-3-</w:t>
            </w:r>
            <w:r>
              <w:rPr>
                <w:rFonts w:hint="default" w:ascii="Times New Roman" w:hAnsi="Times New Roman" w:eastAsia="宋体" w:cs="Times New Roman"/>
                <w:b/>
                <w:bCs/>
                <w:color w:val="auto"/>
                <w:sz w:val="24"/>
                <w:szCs w:val="24"/>
                <w:highlight w:val="none"/>
                <w:lang w:val="en-US" w:eastAsia="zh-CN"/>
              </w:rPr>
              <w:t>1</w:t>
            </w:r>
            <w:r>
              <w:rPr>
                <w:rFonts w:hint="default" w:ascii="Times New Roman" w:hAnsi="Times New Roman" w:cs="Times New Roman"/>
                <w:b/>
                <w:bCs/>
                <w:color w:val="auto"/>
                <w:sz w:val="24"/>
                <w:szCs w:val="24"/>
                <w:highlight w:val="none"/>
                <w:lang w:val="en-US" w:eastAsia="zh-CN"/>
              </w:rPr>
              <w:t>主要生产设备</w:t>
            </w:r>
          </w:p>
          <w:tbl>
            <w:tblPr>
              <w:tblStyle w:val="15"/>
              <w:tblW w:w="83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2170"/>
              <w:gridCol w:w="1242"/>
              <w:gridCol w:w="906"/>
              <w:gridCol w:w="947"/>
              <w:gridCol w:w="747"/>
              <w:gridCol w:w="1298"/>
            </w:tblGrid>
            <w:tr w14:paraId="7BB6A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042" w:type="dxa"/>
                  <w:vAlign w:val="center"/>
                </w:tcPr>
                <w:p w14:paraId="17825F79">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序号</w:t>
                  </w:r>
                </w:p>
              </w:tc>
              <w:tc>
                <w:tcPr>
                  <w:tcW w:w="2170" w:type="dxa"/>
                  <w:vAlign w:val="center"/>
                </w:tcPr>
                <w:p w14:paraId="4F379DA0">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名称</w:t>
                  </w:r>
                </w:p>
              </w:tc>
              <w:tc>
                <w:tcPr>
                  <w:tcW w:w="1242" w:type="dxa"/>
                  <w:vAlign w:val="center"/>
                </w:tcPr>
                <w:p w14:paraId="646B611A">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4"/>
                      <w:sz w:val="24"/>
                      <w:szCs w:val="24"/>
                      <w:highlight w:val="none"/>
                    </w:rPr>
                    <w:t>型号参数</w:t>
                  </w:r>
                </w:p>
              </w:tc>
              <w:tc>
                <w:tcPr>
                  <w:tcW w:w="906" w:type="dxa"/>
                  <w:vAlign w:val="center"/>
                </w:tcPr>
                <w:p w14:paraId="17EBFC57">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5"/>
                      <w:sz w:val="24"/>
                      <w:szCs w:val="24"/>
                      <w:highlight w:val="none"/>
                    </w:rPr>
                    <w:t>功耗</w:t>
                  </w:r>
                </w:p>
              </w:tc>
              <w:tc>
                <w:tcPr>
                  <w:tcW w:w="947" w:type="dxa"/>
                  <w:vAlign w:val="center"/>
                </w:tcPr>
                <w:p w14:paraId="6308B00D">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3"/>
                      <w:sz w:val="24"/>
                      <w:szCs w:val="24"/>
                      <w:highlight w:val="none"/>
                    </w:rPr>
                    <w:t>数量</w:t>
                  </w:r>
                </w:p>
              </w:tc>
              <w:tc>
                <w:tcPr>
                  <w:tcW w:w="747" w:type="dxa"/>
                  <w:vAlign w:val="center"/>
                </w:tcPr>
                <w:p w14:paraId="37736AFA">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3"/>
                      <w:sz w:val="24"/>
                      <w:szCs w:val="24"/>
                      <w:highlight w:val="none"/>
                    </w:rPr>
                    <w:t>单位</w:t>
                  </w:r>
                </w:p>
              </w:tc>
              <w:tc>
                <w:tcPr>
                  <w:tcW w:w="1298" w:type="dxa"/>
                  <w:vAlign w:val="center"/>
                </w:tcPr>
                <w:p w14:paraId="0CB2758B">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2"/>
                      <w:sz w:val="24"/>
                      <w:szCs w:val="24"/>
                      <w:highlight w:val="none"/>
                    </w:rPr>
                    <w:t>备注</w:t>
                  </w:r>
                </w:p>
              </w:tc>
            </w:tr>
            <w:tr w14:paraId="2298A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042" w:type="dxa"/>
                  <w:vAlign w:val="center"/>
                </w:tcPr>
                <w:p w14:paraId="14F1E2D8">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2170" w:type="dxa"/>
                  <w:vAlign w:val="center"/>
                </w:tcPr>
                <w:p w14:paraId="404AA5E0">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6"/>
                      <w:sz w:val="24"/>
                      <w:szCs w:val="24"/>
                      <w:highlight w:val="none"/>
                    </w:rPr>
                    <w:t>配料斗</w:t>
                  </w:r>
                </w:p>
              </w:tc>
              <w:tc>
                <w:tcPr>
                  <w:tcW w:w="1242" w:type="dxa"/>
                  <w:vAlign w:val="center"/>
                </w:tcPr>
                <w:p w14:paraId="111EF2AF">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06" w:type="dxa"/>
                  <w:vAlign w:val="center"/>
                </w:tcPr>
                <w:p w14:paraId="70CB3714">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47" w:type="dxa"/>
                  <w:vAlign w:val="center"/>
                </w:tcPr>
                <w:p w14:paraId="0ADA2FF3">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747" w:type="dxa"/>
                  <w:shd w:val="clear" w:color="auto" w:fill="auto"/>
                  <w:vAlign w:val="center"/>
                </w:tcPr>
                <w:p w14:paraId="1DCF9AF8">
                  <w:pPr>
                    <w:pStyle w:val="46"/>
                    <w:spacing w:before="57"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rPr>
                    <w:t>套</w:t>
                  </w:r>
                </w:p>
              </w:tc>
              <w:tc>
                <w:tcPr>
                  <w:tcW w:w="1298" w:type="dxa"/>
                  <w:vAlign w:val="center"/>
                </w:tcPr>
                <w:p w14:paraId="7F5F09F6">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14:paraId="4214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center"/>
                </w:tcPr>
                <w:p w14:paraId="5FA25222">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2</w:t>
                  </w:r>
                </w:p>
              </w:tc>
              <w:tc>
                <w:tcPr>
                  <w:tcW w:w="2170" w:type="dxa"/>
                  <w:vAlign w:val="center"/>
                </w:tcPr>
                <w:p w14:paraId="49989C2E">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8"/>
                      <w:sz w:val="24"/>
                      <w:szCs w:val="24"/>
                      <w:highlight w:val="none"/>
                    </w:rPr>
                    <w:t>水平</w:t>
                  </w:r>
                  <w:r>
                    <w:rPr>
                      <w:rFonts w:hint="eastAsia" w:ascii="Times New Roman" w:hAnsi="Times New Roman" w:cs="Times New Roman"/>
                      <w:b w:val="0"/>
                      <w:bCs w:val="0"/>
                      <w:color w:val="auto"/>
                      <w:spacing w:val="8"/>
                      <w:sz w:val="24"/>
                      <w:szCs w:val="24"/>
                      <w:highlight w:val="none"/>
                      <w:lang w:eastAsia="zh-CN"/>
                    </w:rPr>
                    <w:t>输送皮带</w:t>
                  </w:r>
                  <w:r>
                    <w:rPr>
                      <w:rFonts w:hint="default" w:ascii="Times New Roman" w:hAnsi="Times New Roman" w:eastAsia="宋体" w:cs="Times New Roman"/>
                      <w:b w:val="0"/>
                      <w:bCs w:val="0"/>
                      <w:color w:val="auto"/>
                      <w:spacing w:val="8"/>
                      <w:sz w:val="24"/>
                      <w:szCs w:val="24"/>
                      <w:highlight w:val="none"/>
                    </w:rPr>
                    <w:t>机</w:t>
                  </w:r>
                </w:p>
              </w:tc>
              <w:tc>
                <w:tcPr>
                  <w:tcW w:w="1242" w:type="dxa"/>
                  <w:vAlign w:val="center"/>
                </w:tcPr>
                <w:p w14:paraId="3CA73C01">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06" w:type="dxa"/>
                  <w:vAlign w:val="center"/>
                </w:tcPr>
                <w:p w14:paraId="66E250AB">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47" w:type="dxa"/>
                  <w:vAlign w:val="center"/>
                </w:tcPr>
                <w:p w14:paraId="1E4EFB16">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747" w:type="dxa"/>
                  <w:shd w:val="clear" w:color="auto" w:fill="auto"/>
                  <w:vAlign w:val="center"/>
                </w:tcPr>
                <w:p w14:paraId="364A2B46">
                  <w:pPr>
                    <w:pStyle w:val="46"/>
                    <w:spacing w:before="35"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rPr>
                    <w:t>台</w:t>
                  </w:r>
                </w:p>
              </w:tc>
              <w:tc>
                <w:tcPr>
                  <w:tcW w:w="1298" w:type="dxa"/>
                  <w:vAlign w:val="center"/>
                </w:tcPr>
                <w:p w14:paraId="3EEF0B6B">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14:paraId="3A85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center"/>
                </w:tcPr>
                <w:p w14:paraId="5FF8535C">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3</w:t>
                  </w:r>
                </w:p>
              </w:tc>
              <w:tc>
                <w:tcPr>
                  <w:tcW w:w="2170" w:type="dxa"/>
                  <w:vAlign w:val="center"/>
                </w:tcPr>
                <w:p w14:paraId="36DEB8C8">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5"/>
                      <w:sz w:val="24"/>
                      <w:szCs w:val="24"/>
                      <w:highlight w:val="none"/>
                    </w:rPr>
                    <w:t>喷淋系统</w:t>
                  </w:r>
                </w:p>
              </w:tc>
              <w:tc>
                <w:tcPr>
                  <w:tcW w:w="1242" w:type="dxa"/>
                  <w:vAlign w:val="center"/>
                </w:tcPr>
                <w:p w14:paraId="06CC5614">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06" w:type="dxa"/>
                  <w:vAlign w:val="center"/>
                </w:tcPr>
                <w:p w14:paraId="0FF4C5DF">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47" w:type="dxa"/>
                  <w:vAlign w:val="center"/>
                </w:tcPr>
                <w:p w14:paraId="03840370">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747" w:type="dxa"/>
                  <w:shd w:val="clear" w:color="auto" w:fill="auto"/>
                  <w:vAlign w:val="center"/>
                </w:tcPr>
                <w:p w14:paraId="19F46871">
                  <w:pPr>
                    <w:pStyle w:val="46"/>
                    <w:spacing w:before="37"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rPr>
                    <w:t>套</w:t>
                  </w:r>
                </w:p>
              </w:tc>
              <w:tc>
                <w:tcPr>
                  <w:tcW w:w="1298" w:type="dxa"/>
                  <w:vAlign w:val="center"/>
                </w:tcPr>
                <w:p w14:paraId="49924F8A">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14:paraId="6B3F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center"/>
                </w:tcPr>
                <w:p w14:paraId="477914E1">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4</w:t>
                  </w:r>
                </w:p>
              </w:tc>
              <w:tc>
                <w:tcPr>
                  <w:tcW w:w="2170" w:type="dxa"/>
                  <w:shd w:val="clear" w:color="auto" w:fill="auto"/>
                  <w:vAlign w:val="center"/>
                </w:tcPr>
                <w:p w14:paraId="19D59EFB">
                  <w:pPr>
                    <w:pStyle w:val="46"/>
                    <w:spacing w:before="35"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pacing w:val="6"/>
                      <w:sz w:val="24"/>
                      <w:szCs w:val="24"/>
                      <w:highlight w:val="none"/>
                    </w:rPr>
                    <w:t>提升斗</w:t>
                  </w:r>
                </w:p>
              </w:tc>
              <w:tc>
                <w:tcPr>
                  <w:tcW w:w="1242" w:type="dxa"/>
                  <w:vAlign w:val="center"/>
                </w:tcPr>
                <w:p w14:paraId="79EACBF6">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06" w:type="dxa"/>
                  <w:vAlign w:val="center"/>
                </w:tcPr>
                <w:p w14:paraId="25069585">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47" w:type="dxa"/>
                  <w:vAlign w:val="center"/>
                </w:tcPr>
                <w:p w14:paraId="0AF57ABB">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747" w:type="dxa"/>
                  <w:shd w:val="clear" w:color="auto" w:fill="auto"/>
                  <w:vAlign w:val="center"/>
                </w:tcPr>
                <w:p w14:paraId="026A7437">
                  <w:pPr>
                    <w:spacing w:before="52"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pacing w:val="2"/>
                      <w:sz w:val="24"/>
                      <w:szCs w:val="24"/>
                      <w:highlight w:val="none"/>
                    </w:rPr>
                    <w:t>/</w:t>
                  </w:r>
                </w:p>
              </w:tc>
              <w:tc>
                <w:tcPr>
                  <w:tcW w:w="1298" w:type="dxa"/>
                  <w:vAlign w:val="center"/>
                </w:tcPr>
                <w:p w14:paraId="0CB87E3A">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14:paraId="546F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center"/>
                </w:tcPr>
                <w:p w14:paraId="0AC03BDD">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5</w:t>
                  </w:r>
                </w:p>
              </w:tc>
              <w:tc>
                <w:tcPr>
                  <w:tcW w:w="2170" w:type="dxa"/>
                  <w:shd w:val="clear" w:color="auto" w:fill="auto"/>
                  <w:vAlign w:val="center"/>
                </w:tcPr>
                <w:p w14:paraId="21771D27">
                  <w:pPr>
                    <w:pStyle w:val="46"/>
                    <w:spacing w:before="36"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pacing w:val="7"/>
                      <w:sz w:val="24"/>
                      <w:szCs w:val="24"/>
                      <w:highlight w:val="none"/>
                    </w:rPr>
                    <w:t>螺旋输送机</w:t>
                  </w:r>
                </w:p>
              </w:tc>
              <w:tc>
                <w:tcPr>
                  <w:tcW w:w="1242" w:type="dxa"/>
                  <w:vAlign w:val="center"/>
                </w:tcPr>
                <w:p w14:paraId="246D7B5E">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06" w:type="dxa"/>
                  <w:vAlign w:val="center"/>
                </w:tcPr>
                <w:p w14:paraId="68C3B20E">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47" w:type="dxa"/>
                  <w:vAlign w:val="center"/>
                </w:tcPr>
                <w:p w14:paraId="7438EC7E">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2</w:t>
                  </w:r>
                </w:p>
              </w:tc>
              <w:tc>
                <w:tcPr>
                  <w:tcW w:w="747" w:type="dxa"/>
                  <w:shd w:val="clear" w:color="auto" w:fill="auto"/>
                  <w:vAlign w:val="center"/>
                </w:tcPr>
                <w:p w14:paraId="7CFC0A1A">
                  <w:pPr>
                    <w:pStyle w:val="46"/>
                    <w:spacing w:before="36"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rPr>
                    <w:t>套</w:t>
                  </w:r>
                </w:p>
              </w:tc>
              <w:tc>
                <w:tcPr>
                  <w:tcW w:w="1298" w:type="dxa"/>
                  <w:vAlign w:val="center"/>
                </w:tcPr>
                <w:p w14:paraId="2BD79C0A">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14:paraId="05EB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center"/>
                </w:tcPr>
                <w:p w14:paraId="5C1A3A8F">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6</w:t>
                  </w:r>
                </w:p>
              </w:tc>
              <w:tc>
                <w:tcPr>
                  <w:tcW w:w="2170" w:type="dxa"/>
                  <w:shd w:val="clear" w:color="auto" w:fill="auto"/>
                  <w:vAlign w:val="center"/>
                </w:tcPr>
                <w:p w14:paraId="3071BB59">
                  <w:pPr>
                    <w:pStyle w:val="46"/>
                    <w:spacing w:before="37"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pacing w:val="8"/>
                      <w:sz w:val="24"/>
                      <w:szCs w:val="24"/>
                      <w:highlight w:val="none"/>
                    </w:rPr>
                    <w:t>搅拌机主机</w:t>
                  </w:r>
                </w:p>
              </w:tc>
              <w:tc>
                <w:tcPr>
                  <w:tcW w:w="1242" w:type="dxa"/>
                  <w:vAlign w:val="center"/>
                </w:tcPr>
                <w:p w14:paraId="184C9FE0">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6"/>
                      <w:sz w:val="24"/>
                      <w:szCs w:val="24"/>
                      <w:highlight w:val="none"/>
                    </w:rPr>
                    <w:t>1500</w:t>
                  </w:r>
                </w:p>
              </w:tc>
              <w:tc>
                <w:tcPr>
                  <w:tcW w:w="906" w:type="dxa"/>
                  <w:vAlign w:val="center"/>
                </w:tcPr>
                <w:p w14:paraId="08849FB2">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47" w:type="dxa"/>
                  <w:vAlign w:val="center"/>
                </w:tcPr>
                <w:p w14:paraId="2282ABB2">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747" w:type="dxa"/>
                  <w:shd w:val="clear" w:color="auto" w:fill="auto"/>
                  <w:vAlign w:val="center"/>
                </w:tcPr>
                <w:p w14:paraId="50388416">
                  <w:pPr>
                    <w:pStyle w:val="46"/>
                    <w:spacing w:before="37"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rPr>
                    <w:t>台</w:t>
                  </w:r>
                </w:p>
              </w:tc>
              <w:tc>
                <w:tcPr>
                  <w:tcW w:w="1298" w:type="dxa"/>
                  <w:vAlign w:val="center"/>
                </w:tcPr>
                <w:p w14:paraId="57B357C4">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14:paraId="52A73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center"/>
                </w:tcPr>
                <w:p w14:paraId="155FACDB">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7</w:t>
                  </w:r>
                </w:p>
              </w:tc>
              <w:tc>
                <w:tcPr>
                  <w:tcW w:w="2170" w:type="dxa"/>
                  <w:shd w:val="clear" w:color="auto" w:fill="auto"/>
                  <w:vAlign w:val="center"/>
                </w:tcPr>
                <w:p w14:paraId="3C1D3903">
                  <w:pPr>
                    <w:pStyle w:val="46"/>
                    <w:spacing w:before="35"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pacing w:val="8"/>
                      <w:sz w:val="24"/>
                      <w:szCs w:val="24"/>
                      <w:highlight w:val="none"/>
                    </w:rPr>
                    <w:t>加水计量系统</w:t>
                  </w:r>
                </w:p>
              </w:tc>
              <w:tc>
                <w:tcPr>
                  <w:tcW w:w="1242" w:type="dxa"/>
                  <w:vAlign w:val="center"/>
                </w:tcPr>
                <w:p w14:paraId="4F062870">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06" w:type="dxa"/>
                  <w:vAlign w:val="center"/>
                </w:tcPr>
                <w:p w14:paraId="479CAFA6">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47" w:type="dxa"/>
                  <w:vAlign w:val="center"/>
                </w:tcPr>
                <w:p w14:paraId="3C5855B5">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747" w:type="dxa"/>
                  <w:shd w:val="clear" w:color="auto" w:fill="auto"/>
                  <w:vAlign w:val="center"/>
                </w:tcPr>
                <w:p w14:paraId="490ECFBC">
                  <w:pPr>
                    <w:pStyle w:val="46"/>
                    <w:spacing w:before="35"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rPr>
                    <w:t>套</w:t>
                  </w:r>
                </w:p>
              </w:tc>
              <w:tc>
                <w:tcPr>
                  <w:tcW w:w="1298" w:type="dxa"/>
                  <w:vAlign w:val="center"/>
                </w:tcPr>
                <w:p w14:paraId="4135B9EB">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14:paraId="5F0F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center"/>
                </w:tcPr>
                <w:p w14:paraId="1385912C">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8</w:t>
                  </w:r>
                </w:p>
              </w:tc>
              <w:tc>
                <w:tcPr>
                  <w:tcW w:w="2170" w:type="dxa"/>
                  <w:shd w:val="clear" w:color="auto" w:fill="auto"/>
                  <w:vAlign w:val="center"/>
                </w:tcPr>
                <w:p w14:paraId="7DF758AA">
                  <w:pPr>
                    <w:pStyle w:val="46"/>
                    <w:spacing w:before="36"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pacing w:val="4"/>
                      <w:sz w:val="24"/>
                      <w:szCs w:val="24"/>
                      <w:highlight w:val="none"/>
                    </w:rPr>
                    <w:t>空压机</w:t>
                  </w:r>
                </w:p>
              </w:tc>
              <w:tc>
                <w:tcPr>
                  <w:tcW w:w="1242" w:type="dxa"/>
                  <w:vAlign w:val="center"/>
                </w:tcPr>
                <w:p w14:paraId="72A2430D">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06" w:type="dxa"/>
                  <w:vAlign w:val="center"/>
                </w:tcPr>
                <w:p w14:paraId="2AEBD55B">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47" w:type="dxa"/>
                  <w:vAlign w:val="center"/>
                </w:tcPr>
                <w:p w14:paraId="42D0CC42">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747" w:type="dxa"/>
                  <w:shd w:val="clear" w:color="auto" w:fill="auto"/>
                  <w:vAlign w:val="center"/>
                </w:tcPr>
                <w:p w14:paraId="7209FE14">
                  <w:pPr>
                    <w:pStyle w:val="46"/>
                    <w:spacing w:before="36"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rPr>
                    <w:t>台</w:t>
                  </w:r>
                </w:p>
              </w:tc>
              <w:tc>
                <w:tcPr>
                  <w:tcW w:w="1298" w:type="dxa"/>
                  <w:vAlign w:val="center"/>
                </w:tcPr>
                <w:p w14:paraId="7988027A">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14:paraId="73E1A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center"/>
                </w:tcPr>
                <w:p w14:paraId="1F07F551">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9</w:t>
                  </w:r>
                </w:p>
              </w:tc>
              <w:tc>
                <w:tcPr>
                  <w:tcW w:w="2170" w:type="dxa"/>
                  <w:shd w:val="clear" w:color="auto" w:fill="auto"/>
                  <w:vAlign w:val="center"/>
                </w:tcPr>
                <w:p w14:paraId="4F5AFC3E">
                  <w:pPr>
                    <w:pStyle w:val="46"/>
                    <w:spacing w:before="68"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pacing w:val="7"/>
                      <w:sz w:val="24"/>
                      <w:szCs w:val="24"/>
                      <w:highlight w:val="none"/>
                    </w:rPr>
                    <w:t>供气系统</w:t>
                  </w:r>
                </w:p>
              </w:tc>
              <w:tc>
                <w:tcPr>
                  <w:tcW w:w="1242" w:type="dxa"/>
                  <w:vAlign w:val="center"/>
                </w:tcPr>
                <w:p w14:paraId="19709274">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06" w:type="dxa"/>
                  <w:vAlign w:val="center"/>
                </w:tcPr>
                <w:p w14:paraId="76286FE6">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47" w:type="dxa"/>
                  <w:vAlign w:val="center"/>
                </w:tcPr>
                <w:p w14:paraId="4C0D01FB">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747" w:type="dxa"/>
                  <w:shd w:val="clear" w:color="auto" w:fill="auto"/>
                  <w:vAlign w:val="center"/>
                </w:tcPr>
                <w:p w14:paraId="1245F86D">
                  <w:pPr>
                    <w:pStyle w:val="46"/>
                    <w:spacing w:before="68"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rPr>
                    <w:t>套</w:t>
                  </w:r>
                </w:p>
              </w:tc>
              <w:tc>
                <w:tcPr>
                  <w:tcW w:w="1298" w:type="dxa"/>
                  <w:vAlign w:val="center"/>
                </w:tcPr>
                <w:p w14:paraId="66B9880E">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14:paraId="485D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center"/>
                </w:tcPr>
                <w:p w14:paraId="413336C1">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10</w:t>
                  </w:r>
                </w:p>
              </w:tc>
              <w:tc>
                <w:tcPr>
                  <w:tcW w:w="2170" w:type="dxa"/>
                  <w:shd w:val="clear" w:color="auto" w:fill="auto"/>
                  <w:vAlign w:val="center"/>
                </w:tcPr>
                <w:p w14:paraId="2504C23F">
                  <w:pPr>
                    <w:pStyle w:val="46"/>
                    <w:spacing w:before="67"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pacing w:val="6"/>
                      <w:sz w:val="24"/>
                      <w:szCs w:val="24"/>
                      <w:highlight w:val="none"/>
                    </w:rPr>
                    <w:t>装载机</w:t>
                  </w:r>
                </w:p>
              </w:tc>
              <w:tc>
                <w:tcPr>
                  <w:tcW w:w="1242" w:type="dxa"/>
                  <w:vAlign w:val="center"/>
                </w:tcPr>
                <w:p w14:paraId="598A0C07">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06" w:type="dxa"/>
                  <w:vAlign w:val="center"/>
                </w:tcPr>
                <w:p w14:paraId="73F7D3DD">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47" w:type="dxa"/>
                  <w:vAlign w:val="center"/>
                </w:tcPr>
                <w:p w14:paraId="19BE51DD">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747" w:type="dxa"/>
                  <w:shd w:val="clear" w:color="auto" w:fill="auto"/>
                  <w:vAlign w:val="center"/>
                </w:tcPr>
                <w:p w14:paraId="2535A67D">
                  <w:pPr>
                    <w:pStyle w:val="46"/>
                    <w:spacing w:before="67"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rPr>
                    <w:t>台</w:t>
                  </w:r>
                </w:p>
              </w:tc>
              <w:tc>
                <w:tcPr>
                  <w:tcW w:w="1298" w:type="dxa"/>
                  <w:vAlign w:val="center"/>
                </w:tcPr>
                <w:p w14:paraId="3D466B06">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14:paraId="5DD7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vAlign w:val="center"/>
                </w:tcPr>
                <w:p w14:paraId="64BFB75C">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11</w:t>
                  </w:r>
                </w:p>
              </w:tc>
              <w:tc>
                <w:tcPr>
                  <w:tcW w:w="2170" w:type="dxa"/>
                  <w:shd w:val="clear" w:color="auto" w:fill="auto"/>
                  <w:vAlign w:val="center"/>
                </w:tcPr>
                <w:p w14:paraId="33150554">
                  <w:pPr>
                    <w:pStyle w:val="46"/>
                    <w:spacing w:before="68"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pacing w:val="6"/>
                      <w:sz w:val="24"/>
                      <w:szCs w:val="24"/>
                      <w:highlight w:val="none"/>
                    </w:rPr>
                    <w:t>洒水车</w:t>
                  </w:r>
                </w:p>
              </w:tc>
              <w:tc>
                <w:tcPr>
                  <w:tcW w:w="1242" w:type="dxa"/>
                  <w:vAlign w:val="center"/>
                </w:tcPr>
                <w:p w14:paraId="21998B10">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06" w:type="dxa"/>
                  <w:vAlign w:val="center"/>
                </w:tcPr>
                <w:p w14:paraId="2ACDE0F3">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47" w:type="dxa"/>
                  <w:vAlign w:val="center"/>
                </w:tcPr>
                <w:p w14:paraId="47BDC5CD">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747" w:type="dxa"/>
                  <w:shd w:val="clear" w:color="auto" w:fill="auto"/>
                  <w:vAlign w:val="center"/>
                </w:tcPr>
                <w:p w14:paraId="5E1CC2ED">
                  <w:pPr>
                    <w:pStyle w:val="46"/>
                    <w:spacing w:before="69" w:line="360" w:lineRule="auto"/>
                    <w:ind w:left="0" w:leftChars="0" w:firstLine="0" w:firstLine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rPr>
                    <w:t>台</w:t>
                  </w:r>
                </w:p>
              </w:tc>
              <w:tc>
                <w:tcPr>
                  <w:tcW w:w="1298" w:type="dxa"/>
                  <w:vAlign w:val="center"/>
                </w:tcPr>
                <w:p w14:paraId="53F2F812">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r>
          </w:tbl>
          <w:p w14:paraId="6F90245A">
            <w:pPr>
              <w:pStyle w:val="20"/>
              <w:numPr>
                <w:ilvl w:val="0"/>
                <w:numId w:val="2"/>
              </w:numPr>
              <w:spacing w:line="360" w:lineRule="auto"/>
              <w:ind w:left="0" w:leftChars="0" w:firstLine="0" w:firstLineChars="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现有原辅材料</w:t>
            </w:r>
          </w:p>
          <w:p w14:paraId="617DCFD9">
            <w:pPr>
              <w:pStyle w:val="20"/>
              <w:numPr>
                <w:ilvl w:val="0"/>
                <w:numId w:val="0"/>
              </w:numPr>
              <w:spacing w:line="360" w:lineRule="auto"/>
              <w:ind w:leftChars="0"/>
              <w:jc w:val="center"/>
              <w:rPr>
                <w:rFonts w:hint="default" w:ascii="Times New Roman" w:hAnsi="Times New Roman" w:eastAsia="宋体" w:cs="Times New Roman"/>
                <w:b/>
                <w:bCs/>
                <w:color w:val="auto"/>
                <w:sz w:val="24"/>
                <w:szCs w:val="24"/>
                <w:highlight w:val="none"/>
                <w:vertAlign w:val="baseline"/>
                <w:lang w:val="en-US" w:eastAsia="zh-CN"/>
              </w:rPr>
            </w:pPr>
            <w:r>
              <w:rPr>
                <w:rFonts w:hint="default" w:ascii="Times New Roman" w:hAnsi="Times New Roman" w:eastAsia="宋体" w:cs="Times New Roman"/>
                <w:b/>
                <w:bCs/>
                <w:color w:val="auto"/>
                <w:sz w:val="24"/>
                <w:szCs w:val="24"/>
                <w:highlight w:val="none"/>
                <w:lang w:val="en-US" w:eastAsia="zh-CN"/>
              </w:rPr>
              <w:t>表</w:t>
            </w:r>
            <w:r>
              <w:rPr>
                <w:rFonts w:hint="default" w:ascii="Times New Roman" w:hAnsi="Times New Roman"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4</w:t>
            </w:r>
            <w:r>
              <w:rPr>
                <w:rFonts w:hint="default" w:ascii="Times New Roman" w:hAnsi="Times New Roman"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1原辅材料</w:t>
            </w:r>
          </w:p>
          <w:tbl>
            <w:tblPr>
              <w:tblStyle w:val="15"/>
              <w:tblW w:w="8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1393"/>
              <w:gridCol w:w="1393"/>
              <w:gridCol w:w="1394"/>
              <w:gridCol w:w="1394"/>
            </w:tblGrid>
            <w:tr w14:paraId="2543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393" w:type="dxa"/>
                  <w:vAlign w:val="bottom"/>
                </w:tcPr>
                <w:p w14:paraId="44B758F0">
                  <w:pPr>
                    <w:keepNext w:val="0"/>
                    <w:keepLines w:val="0"/>
                    <w:widowControl/>
                    <w:suppressLineNumbers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kern w:val="0"/>
                      <w:sz w:val="24"/>
                      <w:szCs w:val="24"/>
                      <w:highlight w:val="none"/>
                      <w:lang w:val="en-US" w:eastAsia="zh-CN" w:bidi="ar"/>
                    </w:rPr>
                    <w:t>原料名称</w:t>
                  </w:r>
                </w:p>
              </w:tc>
              <w:tc>
                <w:tcPr>
                  <w:tcW w:w="1393" w:type="dxa"/>
                  <w:vAlign w:val="bottom"/>
                </w:tcPr>
                <w:p w14:paraId="14EB7B1B">
                  <w:pPr>
                    <w:keepNext w:val="0"/>
                    <w:keepLines w:val="0"/>
                    <w:widowControl/>
                    <w:suppressLineNumbers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kern w:val="0"/>
                      <w:sz w:val="24"/>
                      <w:szCs w:val="24"/>
                      <w:highlight w:val="none"/>
                      <w:lang w:val="en-US" w:eastAsia="zh-CN" w:bidi="ar"/>
                    </w:rPr>
                    <w:t>水泥</w:t>
                  </w:r>
                </w:p>
              </w:tc>
              <w:tc>
                <w:tcPr>
                  <w:tcW w:w="1393" w:type="dxa"/>
                  <w:vAlign w:val="bottom"/>
                </w:tcPr>
                <w:p w14:paraId="0171F1BF">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砂子</w:t>
                  </w:r>
                </w:p>
              </w:tc>
              <w:tc>
                <w:tcPr>
                  <w:tcW w:w="1393" w:type="dxa"/>
                  <w:vAlign w:val="bottom"/>
                </w:tcPr>
                <w:p w14:paraId="3706C69B">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石子</w:t>
                  </w:r>
                </w:p>
              </w:tc>
              <w:tc>
                <w:tcPr>
                  <w:tcW w:w="1394" w:type="dxa"/>
                  <w:vAlign w:val="bottom"/>
                </w:tcPr>
                <w:p w14:paraId="38CB86F6">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水</w:t>
                  </w:r>
                </w:p>
              </w:tc>
              <w:tc>
                <w:tcPr>
                  <w:tcW w:w="1394" w:type="dxa"/>
                  <w:vAlign w:val="bottom"/>
                </w:tcPr>
                <w:p w14:paraId="3E78575C">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电</w:t>
                  </w:r>
                </w:p>
              </w:tc>
            </w:tr>
            <w:tr w14:paraId="16E6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393" w:type="dxa"/>
                  <w:vAlign w:val="bottom"/>
                </w:tcPr>
                <w:p w14:paraId="72220566">
                  <w:pPr>
                    <w:pStyle w:val="2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年消耗量</w:t>
                  </w:r>
                </w:p>
              </w:tc>
              <w:tc>
                <w:tcPr>
                  <w:tcW w:w="1393" w:type="dxa"/>
                  <w:vAlign w:val="bottom"/>
                </w:tcPr>
                <w:p w14:paraId="3220AFA3">
                  <w:pPr>
                    <w:keepNext w:val="0"/>
                    <w:keepLines w:val="0"/>
                    <w:widowControl/>
                    <w:suppressLineNumbers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kern w:val="0"/>
                      <w:sz w:val="24"/>
                      <w:szCs w:val="24"/>
                      <w:highlight w:val="none"/>
                      <w:lang w:val="en-US" w:eastAsia="zh-CN" w:bidi="ar"/>
                    </w:rPr>
                    <w:t>10804</w:t>
                  </w:r>
                  <w:r>
                    <w:rPr>
                      <w:rFonts w:hint="default" w:ascii="Times New Roman" w:hAnsi="Times New Roman" w:cs="Times New Roman"/>
                      <w:b w:val="0"/>
                      <w:bCs w:val="0"/>
                      <w:color w:val="auto"/>
                      <w:kern w:val="0"/>
                      <w:sz w:val="24"/>
                      <w:szCs w:val="24"/>
                      <w:highlight w:val="none"/>
                      <w:lang w:val="en-US" w:eastAsia="zh-CN" w:bidi="ar"/>
                    </w:rPr>
                    <w:t>t/a</w:t>
                  </w:r>
                </w:p>
              </w:tc>
              <w:tc>
                <w:tcPr>
                  <w:tcW w:w="1393" w:type="dxa"/>
                  <w:vAlign w:val="bottom"/>
                </w:tcPr>
                <w:p w14:paraId="1BCACEE0">
                  <w:pPr>
                    <w:keepNext w:val="0"/>
                    <w:keepLines w:val="0"/>
                    <w:widowControl/>
                    <w:suppressLineNumbers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kern w:val="0"/>
                      <w:sz w:val="24"/>
                      <w:szCs w:val="24"/>
                      <w:highlight w:val="none"/>
                      <w:lang w:val="en-US" w:eastAsia="zh-CN" w:bidi="ar"/>
                    </w:rPr>
                    <w:t>18907t/a</w:t>
                  </w:r>
                </w:p>
              </w:tc>
              <w:tc>
                <w:tcPr>
                  <w:tcW w:w="1393" w:type="dxa"/>
                  <w:vAlign w:val="bottom"/>
                </w:tcPr>
                <w:p w14:paraId="778F53EC">
                  <w:pPr>
                    <w:keepNext w:val="0"/>
                    <w:keepLines w:val="0"/>
                    <w:widowControl/>
                    <w:suppressLineNumbers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kern w:val="0"/>
                      <w:sz w:val="24"/>
                      <w:szCs w:val="24"/>
                      <w:highlight w:val="none"/>
                      <w:lang w:val="en-US" w:eastAsia="zh-CN" w:bidi="ar"/>
                    </w:rPr>
                    <w:t>56721t/a</w:t>
                  </w:r>
                </w:p>
              </w:tc>
              <w:tc>
                <w:tcPr>
                  <w:tcW w:w="1394" w:type="dxa"/>
                  <w:vAlign w:val="bottom"/>
                </w:tcPr>
                <w:p w14:paraId="2BD87DAA">
                  <w:pPr>
                    <w:keepNext w:val="0"/>
                    <w:keepLines w:val="0"/>
                    <w:widowControl/>
                    <w:suppressLineNumbers w:val="0"/>
                    <w:adjustRightInd w:val="0"/>
                    <w:snapToGrid w:val="0"/>
                    <w:spacing w:line="360" w:lineRule="auto"/>
                    <w:ind w:left="0" w:leftChars="0" w:firstLine="0" w:firstLineChars="0"/>
                    <w:jc w:val="center"/>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cs="Times New Roman"/>
                      <w:b w:val="0"/>
                      <w:bCs w:val="0"/>
                      <w:color w:val="auto"/>
                      <w:kern w:val="0"/>
                      <w:sz w:val="24"/>
                      <w:szCs w:val="24"/>
                      <w:highlight w:val="none"/>
                      <w:lang w:val="en-US" w:eastAsia="zh-CN" w:bidi="ar"/>
                    </w:rPr>
                    <w:t>3322.23</w:t>
                  </w:r>
                </w:p>
              </w:tc>
              <w:tc>
                <w:tcPr>
                  <w:tcW w:w="1394" w:type="dxa"/>
                  <w:vAlign w:val="bottom"/>
                </w:tcPr>
                <w:p w14:paraId="769647CF">
                  <w:pPr>
                    <w:keepNext w:val="0"/>
                    <w:keepLines w:val="0"/>
                    <w:widowControl/>
                    <w:suppressLineNumbers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kern w:val="0"/>
                      <w:sz w:val="24"/>
                      <w:szCs w:val="24"/>
                      <w:highlight w:val="none"/>
                      <w:lang w:val="en-US" w:eastAsia="zh-CN" w:bidi="ar"/>
                    </w:rPr>
                    <w:t>89.8万kW</w:t>
                  </w:r>
                </w:p>
              </w:tc>
            </w:tr>
          </w:tbl>
          <w:p w14:paraId="25B8898F">
            <w:pPr>
              <w:pStyle w:val="20"/>
              <w:numPr>
                <w:ilvl w:val="0"/>
                <w:numId w:val="2"/>
              </w:numPr>
              <w:spacing w:line="360" w:lineRule="auto"/>
              <w:ind w:left="0" w:leftChars="0" w:firstLine="0" w:firstLineChars="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kern w:val="0"/>
                <w:sz w:val="24"/>
                <w:szCs w:val="24"/>
                <w:highlight w:val="none"/>
                <w:lang w:val="en-US" w:eastAsia="zh-CN" w:bidi="ar-SA"/>
              </w:rPr>
              <w:t>现有</w:t>
            </w:r>
            <w:r>
              <w:rPr>
                <w:rFonts w:hint="default" w:ascii="Times New Roman" w:hAnsi="Times New Roman" w:eastAsia="宋体" w:cs="Times New Roman"/>
                <w:b/>
                <w:bCs/>
                <w:color w:val="auto"/>
                <w:sz w:val="24"/>
                <w:szCs w:val="24"/>
                <w:highlight w:val="none"/>
                <w:lang w:val="en-US" w:eastAsia="zh-CN"/>
              </w:rPr>
              <w:t>产品方案</w:t>
            </w:r>
          </w:p>
          <w:p w14:paraId="2A5069F3">
            <w:pPr>
              <w:pStyle w:val="20"/>
              <w:numPr>
                <w:ilvl w:val="0"/>
                <w:numId w:val="0"/>
              </w:numPr>
              <w:spacing w:line="360" w:lineRule="auto"/>
              <w:ind w:leftChars="0"/>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w:t>
            </w:r>
            <w:r>
              <w:rPr>
                <w:rFonts w:hint="default" w:ascii="Times New Roman" w:hAnsi="Times New Roman"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5</w:t>
            </w:r>
            <w:r>
              <w:rPr>
                <w:rFonts w:hint="default" w:ascii="Times New Roman" w:hAnsi="Times New Roman"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1产品方案</w:t>
            </w:r>
          </w:p>
          <w:tbl>
            <w:tblPr>
              <w:tblStyle w:val="15"/>
              <w:tblW w:w="83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776"/>
              <w:gridCol w:w="1296"/>
              <w:gridCol w:w="1656"/>
              <w:gridCol w:w="2798"/>
            </w:tblGrid>
            <w:tr w14:paraId="0E807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16" w:type="dxa"/>
                  <w:vAlign w:val="center"/>
                </w:tcPr>
                <w:p w14:paraId="2F69C7F9">
                  <w:pPr>
                    <w:keepNext w:val="0"/>
                    <w:keepLines w:val="0"/>
                    <w:widowControl/>
                    <w:suppressLineNumbers w:val="0"/>
                    <w:spacing w:line="240" w:lineRule="auto"/>
                    <w:ind w:left="0" w:leftChars="0" w:right="0" w:righ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序号</w:t>
                  </w:r>
                </w:p>
              </w:tc>
              <w:tc>
                <w:tcPr>
                  <w:tcW w:w="1776" w:type="dxa"/>
                  <w:vAlign w:val="center"/>
                </w:tcPr>
                <w:p w14:paraId="78324AD3">
                  <w:pPr>
                    <w:keepNext w:val="0"/>
                    <w:keepLines w:val="0"/>
                    <w:widowControl/>
                    <w:suppressLineNumbers w:val="0"/>
                    <w:spacing w:line="240" w:lineRule="auto"/>
                    <w:ind w:left="0" w:leftChars="0" w:right="0" w:righ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kern w:val="0"/>
                      <w:sz w:val="24"/>
                      <w:szCs w:val="24"/>
                      <w:highlight w:val="none"/>
                      <w:lang w:val="en-US" w:eastAsia="zh-CN" w:bidi="ar"/>
                    </w:rPr>
                    <w:t>产品名称</w:t>
                  </w:r>
                </w:p>
              </w:tc>
              <w:tc>
                <w:tcPr>
                  <w:tcW w:w="1296" w:type="dxa"/>
                  <w:vAlign w:val="center"/>
                </w:tcPr>
                <w:p w14:paraId="652AD82E">
                  <w:pPr>
                    <w:pStyle w:val="20"/>
                    <w:spacing w:line="240" w:lineRule="auto"/>
                    <w:ind w:left="0" w:leftChars="0" w:right="0" w:righ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kern w:val="0"/>
                      <w:sz w:val="24"/>
                      <w:szCs w:val="24"/>
                      <w:highlight w:val="none"/>
                      <w:lang w:val="en-US" w:eastAsia="zh-CN" w:bidi="ar"/>
                    </w:rPr>
                    <w:t>规格标号</w:t>
                  </w:r>
                </w:p>
              </w:tc>
              <w:tc>
                <w:tcPr>
                  <w:tcW w:w="1656" w:type="dxa"/>
                  <w:vAlign w:val="center"/>
                </w:tcPr>
                <w:p w14:paraId="6DA51AAB">
                  <w:pPr>
                    <w:pStyle w:val="20"/>
                    <w:spacing w:line="240" w:lineRule="auto"/>
                    <w:ind w:left="0" w:leftChars="0" w:right="0" w:righ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kern w:val="0"/>
                      <w:sz w:val="24"/>
                      <w:szCs w:val="24"/>
                      <w:highlight w:val="none"/>
                      <w:lang w:val="en-US" w:eastAsia="zh-CN" w:bidi="ar"/>
                    </w:rPr>
                    <w:t>设计年产量</w:t>
                  </w:r>
                </w:p>
              </w:tc>
              <w:tc>
                <w:tcPr>
                  <w:tcW w:w="2798" w:type="dxa"/>
                  <w:vAlign w:val="center"/>
                </w:tcPr>
                <w:p w14:paraId="1A696CC3">
                  <w:pPr>
                    <w:pStyle w:val="20"/>
                    <w:spacing w:line="240" w:lineRule="auto"/>
                    <w:ind w:left="0" w:leftChars="0" w:right="0" w:righ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kern w:val="0"/>
                      <w:sz w:val="24"/>
                      <w:szCs w:val="24"/>
                      <w:highlight w:val="none"/>
                      <w:lang w:val="en-US" w:eastAsia="zh-CN" w:bidi="ar"/>
                    </w:rPr>
                    <w:t>产品去向</w:t>
                  </w:r>
                </w:p>
              </w:tc>
            </w:tr>
            <w:tr w14:paraId="20F8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52AD7D9D">
                  <w:pPr>
                    <w:pStyle w:val="20"/>
                    <w:spacing w:line="240" w:lineRule="auto"/>
                    <w:ind w:left="0" w:leftChars="0" w:right="0" w:righ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1776" w:type="dxa"/>
                  <w:vAlign w:val="center"/>
                </w:tcPr>
                <w:p w14:paraId="564FEE60">
                  <w:pPr>
                    <w:keepNext w:val="0"/>
                    <w:keepLines w:val="0"/>
                    <w:widowControl/>
                    <w:suppressLineNumbers w:val="0"/>
                    <w:spacing w:line="240" w:lineRule="auto"/>
                    <w:ind w:left="0" w:leftChars="0" w:right="0" w:righ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kern w:val="0"/>
                      <w:sz w:val="24"/>
                      <w:szCs w:val="24"/>
                      <w:highlight w:val="none"/>
                      <w:lang w:val="en-US" w:eastAsia="zh-CN" w:bidi="ar"/>
                    </w:rPr>
                    <w:t>商品混凝土</w:t>
                  </w:r>
                </w:p>
              </w:tc>
              <w:tc>
                <w:tcPr>
                  <w:tcW w:w="1296" w:type="dxa"/>
                  <w:vAlign w:val="center"/>
                </w:tcPr>
                <w:p w14:paraId="2F935488">
                  <w:pPr>
                    <w:keepNext w:val="0"/>
                    <w:keepLines w:val="0"/>
                    <w:widowControl/>
                    <w:suppressLineNumbers w:val="0"/>
                    <w:spacing w:line="240" w:lineRule="auto"/>
                    <w:ind w:left="0" w:leftChars="0" w:right="0" w:righ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kern w:val="0"/>
                      <w:sz w:val="24"/>
                      <w:szCs w:val="24"/>
                      <w:highlight w:val="none"/>
                      <w:lang w:val="en-US" w:eastAsia="zh-CN" w:bidi="ar"/>
                    </w:rPr>
                    <w:t>C25</w:t>
                  </w:r>
                </w:p>
              </w:tc>
              <w:tc>
                <w:tcPr>
                  <w:tcW w:w="1656" w:type="dxa"/>
                  <w:vAlign w:val="center"/>
                </w:tcPr>
                <w:p w14:paraId="674B6160">
                  <w:pPr>
                    <w:keepNext w:val="0"/>
                    <w:keepLines w:val="0"/>
                    <w:widowControl/>
                    <w:suppressLineNumbers w:val="0"/>
                    <w:spacing w:line="240" w:lineRule="auto"/>
                    <w:ind w:left="0" w:leftChars="0" w:right="0" w:righ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kern w:val="0"/>
                      <w:sz w:val="24"/>
                      <w:szCs w:val="24"/>
                      <w:highlight w:val="none"/>
                      <w:lang w:val="en-US" w:eastAsia="zh-CN" w:bidi="ar"/>
                    </w:rPr>
                    <w:t>270×10m³/a</w:t>
                  </w:r>
                </w:p>
              </w:tc>
              <w:tc>
                <w:tcPr>
                  <w:tcW w:w="2798" w:type="dxa"/>
                  <w:vAlign w:val="center"/>
                </w:tcPr>
                <w:p w14:paraId="6B97EFAE">
                  <w:pPr>
                    <w:keepNext w:val="0"/>
                    <w:keepLines w:val="0"/>
                    <w:widowControl/>
                    <w:suppressLineNumbers w:val="0"/>
                    <w:spacing w:line="240" w:lineRule="auto"/>
                    <w:ind w:left="0" w:leftChars="0" w:right="0" w:rightChars="0" w:firstLine="0" w:firstLineChars="0"/>
                    <w:jc w:val="center"/>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全部供应万利一矿内部工程，不外销</w:t>
                  </w:r>
                </w:p>
              </w:tc>
            </w:tr>
          </w:tbl>
          <w:p w14:paraId="7106888F">
            <w:pPr>
              <w:bidi w:val="0"/>
              <w:spacing w:line="360" w:lineRule="auto"/>
              <w:ind w:left="0" w:leftChars="0" w:firstLine="0" w:firstLineChars="0"/>
              <w:jc w:val="left"/>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6、扩建工程情况</w:t>
            </w:r>
          </w:p>
          <w:p w14:paraId="09BC4977">
            <w:pPr>
              <w:pStyle w:val="6"/>
              <w:bidi w:val="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本项目位于内蒙古自治区鄂尔多斯市东胜区万利镇国能包头能源有限责任公司万利一矿工业广场现有空地，</w:t>
            </w:r>
            <w:r>
              <w:rPr>
                <w:rFonts w:hint="eastAsia" w:cs="Times New Roman"/>
                <w:color w:val="auto"/>
                <w:sz w:val="24"/>
                <w:szCs w:val="24"/>
                <w:highlight w:val="none"/>
                <w:lang w:val="en-US" w:eastAsia="zh-CN"/>
              </w:rPr>
              <w:t>用地面积1111.85m</w:t>
            </w:r>
            <w:r>
              <w:rPr>
                <w:rFonts w:hint="eastAsia" w:cs="Times New Roman"/>
                <w:color w:val="auto"/>
                <w:sz w:val="24"/>
                <w:szCs w:val="24"/>
                <w:highlight w:val="none"/>
                <w:vertAlign w:val="superscript"/>
                <w:lang w:val="en-US" w:eastAsia="zh-CN"/>
              </w:rPr>
              <w:t>2</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建设全封闭C30混凝土</w:t>
            </w:r>
            <w:r>
              <w:rPr>
                <w:rFonts w:hint="eastAsia" w:cs="Times New Roman"/>
                <w:color w:val="auto"/>
                <w:sz w:val="24"/>
                <w:szCs w:val="24"/>
                <w:highlight w:val="none"/>
                <w:lang w:eastAsia="zh-CN"/>
              </w:rPr>
              <w:t>搅拌站</w:t>
            </w:r>
            <w:r>
              <w:rPr>
                <w:rFonts w:hint="default" w:ascii="Times New Roman" w:hAnsi="Times New Roman" w:eastAsia="宋体" w:cs="Times New Roman"/>
                <w:color w:val="auto"/>
                <w:sz w:val="24"/>
                <w:szCs w:val="24"/>
                <w:highlight w:val="none"/>
              </w:rPr>
              <w:t>生产线1条，生产能力700800</w:t>
            </w:r>
            <w:r>
              <w:rPr>
                <w:rFonts w:hint="default" w:ascii="Times New Roman" w:hAnsi="Times New Roman" w:cs="Times New Roman"/>
                <w:color w:val="auto"/>
                <w:sz w:val="24"/>
                <w:szCs w:val="24"/>
                <w:highlight w:val="none"/>
                <w:lang w:val="en-US" w:eastAsia="zh-CN"/>
              </w:rPr>
              <w:t>t/a</w:t>
            </w:r>
            <w:r>
              <w:rPr>
                <w:rFonts w:hint="default" w:ascii="Times New Roman" w:hAnsi="Times New Roman" w:eastAsia="宋体" w:cs="Times New Roman"/>
                <w:color w:val="auto"/>
                <w:sz w:val="24"/>
                <w:szCs w:val="24"/>
                <w:highlight w:val="none"/>
              </w:rPr>
              <w:t>，产品全部自用，不外售；主要扩建内容：全封闭120型</w:t>
            </w:r>
            <w:r>
              <w:rPr>
                <w:rFonts w:hint="eastAsia" w:cs="Times New Roman"/>
                <w:color w:val="auto"/>
                <w:sz w:val="24"/>
                <w:szCs w:val="24"/>
                <w:highlight w:val="none"/>
                <w:lang w:eastAsia="zh-CN"/>
              </w:rPr>
              <w:t>拌合楼</w:t>
            </w:r>
            <w:r>
              <w:rPr>
                <w:rFonts w:hint="default" w:ascii="Times New Roman" w:hAnsi="Times New Roman" w:eastAsia="宋体" w:cs="Times New Roman"/>
                <w:color w:val="auto"/>
                <w:sz w:val="24"/>
                <w:szCs w:val="24"/>
                <w:highlight w:val="none"/>
              </w:rPr>
              <w:t>1座、全封闭水泥筒仓2座、全封闭上料仓1座、全封闭</w:t>
            </w:r>
            <w:r>
              <w:rPr>
                <w:rFonts w:hint="eastAsia" w:cs="Times New Roman"/>
                <w:color w:val="auto"/>
                <w:sz w:val="24"/>
                <w:szCs w:val="24"/>
                <w:highlight w:val="none"/>
                <w:lang w:eastAsia="zh-CN"/>
              </w:rPr>
              <w:t>输送皮带</w:t>
            </w:r>
            <w:r>
              <w:rPr>
                <w:rFonts w:hint="default" w:ascii="Times New Roman" w:hAnsi="Times New Roman" w:eastAsia="宋体" w:cs="Times New Roman"/>
                <w:color w:val="auto"/>
                <w:sz w:val="24"/>
                <w:szCs w:val="24"/>
                <w:highlight w:val="none"/>
              </w:rPr>
              <w:t>1条、全封闭蓄水罐2座、全封闭砂石料场1座，以及配套公辅设施。</w:t>
            </w:r>
          </w:p>
          <w:p w14:paraId="65ABA163">
            <w:pPr>
              <w:pStyle w:val="6"/>
              <w:bidi w:val="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项目具体建设内容见下表。</w:t>
            </w:r>
          </w:p>
          <w:p w14:paraId="5D4E539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w:t>
            </w:r>
            <w:r>
              <w:rPr>
                <w:rFonts w:hint="default" w:ascii="Times New Roman" w:hAnsi="Times New Roman"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6-1项目组成一览表</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1"/>
              <w:gridCol w:w="1391"/>
              <w:gridCol w:w="1391"/>
              <w:gridCol w:w="1391"/>
              <w:gridCol w:w="1604"/>
              <w:gridCol w:w="1182"/>
            </w:tblGrid>
            <w:tr w14:paraId="384CE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32" w:type="pct"/>
                  <w:vAlign w:val="center"/>
                </w:tcPr>
                <w:p w14:paraId="560A5AC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类型</w:t>
                  </w:r>
                </w:p>
              </w:tc>
              <w:tc>
                <w:tcPr>
                  <w:tcW w:w="832" w:type="pct"/>
                  <w:vAlign w:val="center"/>
                </w:tcPr>
                <w:p w14:paraId="2B89E4F5">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项目</w:t>
                  </w:r>
                </w:p>
              </w:tc>
              <w:tc>
                <w:tcPr>
                  <w:tcW w:w="832" w:type="pct"/>
                  <w:vAlign w:val="center"/>
                </w:tcPr>
                <w:p w14:paraId="1068BAD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现有工程建设内容</w:t>
                  </w:r>
                </w:p>
              </w:tc>
              <w:tc>
                <w:tcPr>
                  <w:tcW w:w="832" w:type="pct"/>
                  <w:vAlign w:val="center"/>
                </w:tcPr>
                <w:p w14:paraId="40A7677A">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扩建工程建设内容</w:t>
                  </w:r>
                </w:p>
              </w:tc>
              <w:tc>
                <w:tcPr>
                  <w:tcW w:w="960" w:type="pct"/>
                  <w:vAlign w:val="center"/>
                </w:tcPr>
                <w:p w14:paraId="2415DCD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扩建完成后全厂建设内容</w:t>
                  </w:r>
                </w:p>
              </w:tc>
              <w:tc>
                <w:tcPr>
                  <w:tcW w:w="707" w:type="pct"/>
                  <w:vAlign w:val="center"/>
                </w:tcPr>
                <w:p w14:paraId="1B058E0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备注</w:t>
                  </w:r>
                </w:p>
              </w:tc>
            </w:tr>
            <w:tr w14:paraId="23766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832" w:type="pct"/>
                  <w:vMerge w:val="restart"/>
                  <w:vAlign w:val="center"/>
                </w:tcPr>
                <w:p w14:paraId="776BB10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主体工程</w:t>
                  </w:r>
                </w:p>
              </w:tc>
              <w:tc>
                <w:tcPr>
                  <w:tcW w:w="832" w:type="pct"/>
                  <w:vAlign w:val="center"/>
                </w:tcPr>
                <w:p w14:paraId="79B7B05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拌合楼</w:t>
                  </w:r>
                </w:p>
              </w:tc>
              <w:tc>
                <w:tcPr>
                  <w:tcW w:w="832" w:type="pct"/>
                  <w:vAlign w:val="center"/>
                </w:tcPr>
                <w:p w14:paraId="73ABA0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本项目搅拌站总建筑面积117.12㎡，整体不做内部隔断</w:t>
                  </w:r>
                  <w:r>
                    <w:rPr>
                      <w:rFonts w:hint="eastAsia" w:cs="Times New Roman"/>
                      <w:color w:val="auto"/>
                      <w:sz w:val="24"/>
                      <w:szCs w:val="24"/>
                      <w:highlight w:val="none"/>
                      <w:lang w:eastAsia="zh-CN"/>
                    </w:rPr>
                    <w:t>，由</w:t>
                  </w:r>
                  <w:r>
                    <w:rPr>
                      <w:rFonts w:hint="default" w:ascii="Times New Roman" w:hAnsi="Times New Roman" w:eastAsia="宋体" w:cs="Times New Roman"/>
                      <w:color w:val="auto"/>
                      <w:sz w:val="24"/>
                      <w:szCs w:val="24"/>
                      <w:highlight w:val="none"/>
                    </w:rPr>
                    <w:t>上料仓与搅拌主楼两部分组成，全站采用全封闭结构</w:t>
                  </w:r>
                  <w:r>
                    <w:rPr>
                      <w:rFonts w:hint="default" w:ascii="Times New Roman" w:hAnsi="Times New Roman" w:eastAsia="宋体" w:cs="Times New Roman"/>
                      <w:color w:val="auto"/>
                      <w:kern w:val="0"/>
                      <w:sz w:val="24"/>
                      <w:szCs w:val="24"/>
                      <w:highlight w:val="none"/>
                      <w:lang w:val="en-US" w:eastAsia="zh-CN" w:bidi="ar"/>
                    </w:rPr>
                    <w:t>整套生产线建成后</w:t>
                  </w:r>
                  <w:r>
                    <w:rPr>
                      <w:rFonts w:hint="eastAsia" w:cs="Times New Roman"/>
                      <w:color w:val="auto"/>
                      <w:kern w:val="0"/>
                      <w:sz w:val="24"/>
                      <w:szCs w:val="24"/>
                      <w:highlight w:val="none"/>
                      <w:lang w:val="en-US" w:eastAsia="zh-CN" w:bidi="ar"/>
                    </w:rPr>
                    <w:t>，混凝土</w:t>
                  </w:r>
                  <w:r>
                    <w:rPr>
                      <w:rFonts w:hint="default" w:ascii="Times New Roman" w:hAnsi="Times New Roman" w:eastAsia="宋体" w:cs="Times New Roman"/>
                      <w:color w:val="auto"/>
                      <w:kern w:val="0"/>
                      <w:sz w:val="24"/>
                      <w:szCs w:val="24"/>
                      <w:highlight w:val="none"/>
                      <w:lang w:val="en-US" w:eastAsia="zh-CN" w:bidi="ar"/>
                    </w:rPr>
                    <w:t>年产27010</w:t>
                  </w:r>
                  <w:r>
                    <w:rPr>
                      <w:rFonts w:hint="default" w:ascii="Times New Roman" w:hAnsi="Times New Roman" w:cs="Times New Roman"/>
                      <w:color w:val="auto"/>
                      <w:kern w:val="0"/>
                      <w:sz w:val="24"/>
                      <w:szCs w:val="24"/>
                      <w:highlight w:val="none"/>
                      <w:lang w:val="en-US" w:eastAsia="zh-CN" w:bidi="ar"/>
                    </w:rPr>
                    <w:t>m</w:t>
                  </w:r>
                  <w:r>
                    <w:rPr>
                      <w:rFonts w:hint="default" w:ascii="Times New Roman" w:hAnsi="Times New Roman" w:eastAsia="宋体" w:cs="Times New Roman"/>
                      <w:color w:val="auto"/>
                      <w:kern w:val="0"/>
                      <w:sz w:val="24"/>
                      <w:szCs w:val="24"/>
                      <w:highlight w:val="none"/>
                      <w:lang w:val="en-US" w:eastAsia="zh-CN" w:bidi="ar"/>
                    </w:rPr>
                    <w:t>³。</w:t>
                  </w:r>
                </w:p>
              </w:tc>
              <w:tc>
                <w:tcPr>
                  <w:tcW w:w="832" w:type="pct"/>
                  <w:vAlign w:val="center"/>
                </w:tcPr>
                <w:p w14:paraId="2A1BC7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建设120型拌合楼1座，包括全封闭搅拌罐、控制室、下料口等。主要用于生产商品混凝土。</w:t>
                  </w:r>
                </w:p>
              </w:tc>
              <w:tc>
                <w:tcPr>
                  <w:tcW w:w="960" w:type="pct"/>
                  <w:vAlign w:val="center"/>
                </w:tcPr>
                <w:p w14:paraId="40E4BE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保留现有拌合楼（建筑面积117.12</w:t>
                  </w:r>
                  <w:r>
                    <w:rPr>
                      <w:rFonts w:hint="eastAsia"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rPr>
                    <w:t>²，含上料仓、搅拌主楼及1条混凝土生产线，年产混凝土27010</w:t>
                  </w:r>
                  <w:r>
                    <w:rPr>
                      <w:rFonts w:hint="default" w:ascii="Times New Roman" w:hAnsi="Times New Roman"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rPr>
                    <w:t>³），新建1座120型全封闭拌合楼（含搅拌罐、控制室、下料口等设施），扩建完成后全厂共设2座拌合楼，可同时生产商品混凝土。</w:t>
                  </w:r>
                  <w:r>
                    <w:rPr>
                      <w:rFonts w:hint="default" w:ascii="Times New Roman" w:hAnsi="Times New Roman" w:eastAsia="宋体" w:cs="Times New Roman"/>
                      <w:color w:val="auto"/>
                      <w:sz w:val="24"/>
                      <w:szCs w:val="24"/>
                      <w:highlight w:val="none"/>
                      <w:lang w:val="en-US" w:eastAsia="zh-CN"/>
                    </w:rPr>
                    <w:t>现有</w:t>
                  </w:r>
                  <w:r>
                    <w:rPr>
                      <w:rFonts w:hint="eastAsia" w:cs="Times New Roman"/>
                      <w:color w:val="auto"/>
                      <w:sz w:val="24"/>
                      <w:szCs w:val="24"/>
                      <w:highlight w:val="none"/>
                      <w:lang w:val="en-US" w:eastAsia="zh-CN"/>
                    </w:rPr>
                    <w:t>拌合楼</w:t>
                  </w:r>
                  <w:r>
                    <w:rPr>
                      <w:rFonts w:hint="default" w:ascii="Times New Roman" w:hAnsi="Times New Roman" w:eastAsia="宋体" w:cs="Times New Roman"/>
                      <w:color w:val="auto"/>
                      <w:sz w:val="24"/>
                      <w:szCs w:val="24"/>
                      <w:highlight w:val="none"/>
                      <w:lang w:val="en-US" w:eastAsia="zh-CN"/>
                    </w:rPr>
                    <w:t>和扩建</w:t>
                  </w:r>
                  <w:r>
                    <w:rPr>
                      <w:rFonts w:hint="eastAsia" w:cs="Times New Roman"/>
                      <w:color w:val="auto"/>
                      <w:sz w:val="24"/>
                      <w:szCs w:val="24"/>
                      <w:highlight w:val="none"/>
                      <w:lang w:val="en-US" w:eastAsia="zh-CN"/>
                    </w:rPr>
                    <w:t>拌合楼</w:t>
                  </w:r>
                  <w:r>
                    <w:rPr>
                      <w:rFonts w:hint="default" w:ascii="Times New Roman" w:hAnsi="Times New Roman" w:eastAsia="宋体" w:cs="Times New Roman"/>
                      <w:color w:val="auto"/>
                      <w:sz w:val="24"/>
                      <w:szCs w:val="24"/>
                      <w:highlight w:val="none"/>
                      <w:lang w:val="en-US" w:eastAsia="zh-CN"/>
                    </w:rPr>
                    <w:t>距离为</w:t>
                  </w:r>
                  <w:r>
                    <w:rPr>
                      <w:rFonts w:hint="default" w:ascii="Times New Roman" w:hAnsi="Times New Roman" w:cs="Times New Roman"/>
                      <w:color w:val="auto"/>
                      <w:sz w:val="24"/>
                      <w:szCs w:val="24"/>
                      <w:highlight w:val="none"/>
                      <w:lang w:val="en-US" w:eastAsia="zh-CN"/>
                    </w:rPr>
                    <w:t>50</w:t>
                  </w:r>
                  <w:r>
                    <w:rPr>
                      <w:rFonts w:hint="default" w:ascii="Times New Roman" w:hAnsi="Times New Roman" w:eastAsia="宋体" w:cs="Times New Roman"/>
                      <w:color w:val="auto"/>
                      <w:sz w:val="24"/>
                      <w:szCs w:val="24"/>
                      <w:highlight w:val="none"/>
                      <w:lang w:val="en-US" w:eastAsia="zh-CN"/>
                    </w:rPr>
                    <w:t>m</w:t>
                  </w:r>
                </w:p>
              </w:tc>
              <w:tc>
                <w:tcPr>
                  <w:tcW w:w="707" w:type="pct"/>
                  <w:vAlign w:val="center"/>
                </w:tcPr>
                <w:p w14:paraId="3B0C93D8">
                  <w:pPr>
                    <w:keepNext w:val="0"/>
                    <w:keepLines w:val="0"/>
                    <w:pageBreakBefore w:val="0"/>
                    <w:widowControl w:val="0"/>
                    <w:tabs>
                      <w:tab w:val="left" w:pos="442"/>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新增一座拌合楼</w:t>
                  </w:r>
                </w:p>
              </w:tc>
            </w:tr>
            <w:tr w14:paraId="3D71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832" w:type="pct"/>
                  <w:vMerge w:val="continue"/>
                  <w:vAlign w:val="center"/>
                </w:tcPr>
                <w:p w14:paraId="78AB310A">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p>
              </w:tc>
              <w:tc>
                <w:tcPr>
                  <w:tcW w:w="832" w:type="pct"/>
                  <w:vAlign w:val="center"/>
                </w:tcPr>
                <w:p w14:paraId="5DE1E27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蓄水池</w:t>
                  </w:r>
                </w:p>
              </w:tc>
              <w:tc>
                <w:tcPr>
                  <w:tcW w:w="832" w:type="pct"/>
                  <w:vAlign w:val="center"/>
                </w:tcPr>
                <w:p w14:paraId="5A3767C4">
                  <w:pPr>
                    <w:pStyle w:val="46"/>
                    <w:keepNext w:val="0"/>
                    <w:keepLines w:val="0"/>
                    <w:pageBreakBefore w:val="0"/>
                    <w:kinsoku/>
                    <w:wordWrap/>
                    <w:overflowPunct/>
                    <w:topLinePunct w:val="0"/>
                    <w:autoSpaceDE/>
                    <w:autoSpaceDN/>
                    <w:bidi w:val="0"/>
                    <w:adjustRightInd w:val="0"/>
                    <w:snapToGrid w:val="0"/>
                    <w:spacing w:before="30" w:line="360" w:lineRule="auto"/>
                    <w:ind w:left="0" w:leftChars="0" w:right="1" w:firstLine="468"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color w:val="auto"/>
                      <w:spacing w:val="-3"/>
                      <w:sz w:val="24"/>
                      <w:szCs w:val="24"/>
                      <w:highlight w:val="none"/>
                    </w:rPr>
                    <w:t>容积为94.08</w:t>
                  </w:r>
                  <w:r>
                    <w:rPr>
                      <w:rFonts w:hint="default" w:ascii="Times New Roman" w:hAnsi="Times New Roman" w:eastAsia="宋体" w:cs="Times New Roman"/>
                      <w:color w:val="auto"/>
                      <w:spacing w:val="-3"/>
                      <w:sz w:val="24"/>
                      <w:szCs w:val="24"/>
                      <w:highlight w:val="none"/>
                      <w:lang w:val="en-US" w:eastAsia="zh-CN"/>
                    </w:rPr>
                    <w:t>m</w:t>
                  </w:r>
                  <w:r>
                    <w:rPr>
                      <w:rFonts w:hint="default" w:ascii="Times New Roman" w:hAnsi="Times New Roman" w:eastAsia="宋体" w:cs="Times New Roman"/>
                      <w:color w:val="auto"/>
                      <w:spacing w:val="-3"/>
                      <w:sz w:val="24"/>
                      <w:szCs w:val="24"/>
                      <w:highlight w:val="none"/>
                      <w:vertAlign w:val="superscript"/>
                      <w:lang w:val="en-US" w:eastAsia="zh-CN"/>
                    </w:rPr>
                    <w:t>3</w:t>
                  </w:r>
                  <w:r>
                    <w:rPr>
                      <w:rFonts w:hint="default" w:ascii="Times New Roman" w:hAnsi="Times New Roman" w:eastAsia="宋体" w:cs="Times New Roman"/>
                      <w:color w:val="auto"/>
                      <w:spacing w:val="-3"/>
                      <w:sz w:val="24"/>
                      <w:szCs w:val="24"/>
                      <w:highlight w:val="none"/>
                    </w:rPr>
                    <w:t>，尺寸为5.6</w:t>
                  </w:r>
                  <w:r>
                    <w:rPr>
                      <w:rFonts w:hint="default" w:ascii="Times New Roman" w:hAnsi="Times New Roman" w:eastAsia="宋体" w:cs="Times New Roman"/>
                      <w:color w:val="auto"/>
                      <w:spacing w:val="-3"/>
                      <w:sz w:val="24"/>
                      <w:szCs w:val="24"/>
                      <w:highlight w:val="none"/>
                      <w:lang w:val="en-US" w:eastAsia="zh-CN"/>
                    </w:rPr>
                    <w:t>m</w:t>
                  </w:r>
                  <w:r>
                    <w:rPr>
                      <w:rFonts w:hint="default" w:ascii="Times New Roman" w:hAnsi="Times New Roman" w:eastAsia="宋体" w:cs="Times New Roman"/>
                      <w:color w:val="auto"/>
                      <w:spacing w:val="-3"/>
                      <w:sz w:val="24"/>
                      <w:szCs w:val="24"/>
                      <w:highlight w:val="none"/>
                    </w:rPr>
                    <w:t>×5.6</w:t>
                  </w:r>
                  <w:r>
                    <w:rPr>
                      <w:rFonts w:hint="default" w:ascii="Times New Roman" w:hAnsi="Times New Roman" w:eastAsia="宋体" w:cs="Times New Roman"/>
                      <w:color w:val="auto"/>
                      <w:spacing w:val="-3"/>
                      <w:sz w:val="24"/>
                      <w:szCs w:val="24"/>
                      <w:highlight w:val="none"/>
                      <w:lang w:val="en-US" w:eastAsia="zh-CN"/>
                    </w:rPr>
                    <w:t>m</w:t>
                  </w:r>
                  <w:r>
                    <w:rPr>
                      <w:rFonts w:hint="default" w:ascii="Times New Roman" w:hAnsi="Times New Roman" w:eastAsia="宋体" w:cs="Times New Roman"/>
                      <w:color w:val="auto"/>
                      <w:spacing w:val="-3"/>
                      <w:sz w:val="24"/>
                      <w:szCs w:val="24"/>
                      <w:highlight w:val="none"/>
                    </w:rPr>
                    <w:t>×3</w:t>
                  </w:r>
                  <w:r>
                    <w:rPr>
                      <w:rFonts w:hint="default" w:ascii="Times New Roman" w:hAnsi="Times New Roman" w:eastAsia="宋体" w:cs="Times New Roman"/>
                      <w:color w:val="auto"/>
                      <w:spacing w:val="-3"/>
                      <w:sz w:val="24"/>
                      <w:szCs w:val="24"/>
                      <w:highlight w:val="none"/>
                      <w:lang w:val="en-US" w:eastAsia="zh-CN"/>
                    </w:rPr>
                    <w:t>m</w:t>
                  </w:r>
                  <w:r>
                    <w:rPr>
                      <w:rFonts w:hint="default" w:ascii="Times New Roman" w:hAnsi="Times New Roman" w:eastAsia="宋体" w:cs="Times New Roman"/>
                      <w:color w:val="auto"/>
                      <w:spacing w:val="-3"/>
                      <w:sz w:val="24"/>
                      <w:szCs w:val="24"/>
                      <w:highlight w:val="none"/>
                    </w:rPr>
                    <w:t>，位于搅拌</w:t>
                  </w:r>
                  <w:r>
                    <w:rPr>
                      <w:rFonts w:hint="default" w:ascii="Times New Roman" w:hAnsi="Times New Roman" w:eastAsia="宋体" w:cs="Times New Roman"/>
                      <w:color w:val="auto"/>
                      <w:spacing w:val="-2"/>
                      <w:sz w:val="24"/>
                      <w:szCs w:val="24"/>
                      <w:highlight w:val="none"/>
                    </w:rPr>
                    <w:t>站内部东南侧。用于储存生产用水</w:t>
                  </w:r>
                  <w:r>
                    <w:rPr>
                      <w:rFonts w:hint="default" w:ascii="Times New Roman" w:hAnsi="Times New Roman" w:eastAsia="宋体" w:cs="Times New Roman"/>
                      <w:color w:val="auto"/>
                      <w:spacing w:val="-2"/>
                      <w:sz w:val="24"/>
                      <w:szCs w:val="24"/>
                      <w:highlight w:val="none"/>
                      <w:lang w:eastAsia="zh-CN"/>
                    </w:rPr>
                    <w:t>。</w:t>
                  </w:r>
                </w:p>
              </w:tc>
              <w:tc>
                <w:tcPr>
                  <w:tcW w:w="832" w:type="pct"/>
                  <w:vAlign w:val="center"/>
                </w:tcPr>
                <w:p w14:paraId="2319463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60" w:type="pct"/>
                  <w:vAlign w:val="center"/>
                </w:tcPr>
                <w:p w14:paraId="6DD45FE1">
                  <w:pPr>
                    <w:keepNext w:val="0"/>
                    <w:keepLines w:val="0"/>
                    <w:pageBreakBefore w:val="0"/>
                    <w:kinsoku/>
                    <w:wordWrap/>
                    <w:overflowPunct/>
                    <w:topLinePunct w:val="0"/>
                    <w:autoSpaceDE/>
                    <w:autoSpaceDN/>
                    <w:bidi w:val="0"/>
                    <w:adjustRightInd w:val="0"/>
                    <w:snapToGrid w:val="0"/>
                    <w:ind w:leftChars="0"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保留现有蓄水池1座，容积94.08</w:t>
                  </w:r>
                  <w:r>
                    <w:rPr>
                      <w:rFonts w:hint="default" w:ascii="Times New Roman" w:hAnsi="Times New Roman"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rPr>
                    <w:t>³，尺寸为5.6</w:t>
                  </w:r>
                  <w:r>
                    <w:rPr>
                      <w:rFonts w:hint="default" w:ascii="Times New Roman" w:hAnsi="Times New Roman"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rPr>
                    <w:t>×5.6</w:t>
                  </w:r>
                  <w:r>
                    <w:rPr>
                      <w:rFonts w:hint="default" w:ascii="Times New Roman" w:hAnsi="Times New Roman"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rPr>
                    <w:t>×3</w:t>
                  </w:r>
                  <w:r>
                    <w:rPr>
                      <w:rFonts w:hint="default" w:ascii="Times New Roman" w:hAnsi="Times New Roman"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rPr>
                    <w:t>，位于搅拌站内部东南侧，水池供水范围覆盖场内两座</w:t>
                  </w:r>
                  <w:r>
                    <w:rPr>
                      <w:rFonts w:hint="eastAsia" w:cs="Times New Roman"/>
                      <w:color w:val="auto"/>
                      <w:sz w:val="24"/>
                      <w:szCs w:val="24"/>
                      <w:highlight w:val="none"/>
                      <w:lang w:eastAsia="zh-CN"/>
                    </w:rPr>
                    <w:t>搅拌站</w:t>
                  </w:r>
                  <w:r>
                    <w:rPr>
                      <w:rFonts w:hint="default" w:ascii="Times New Roman" w:hAnsi="Times New Roman" w:eastAsia="宋体" w:cs="Times New Roman"/>
                      <w:color w:val="auto"/>
                      <w:sz w:val="24"/>
                      <w:szCs w:val="24"/>
                      <w:highlight w:val="none"/>
                    </w:rPr>
                    <w:t>，为两座</w:t>
                  </w:r>
                  <w:r>
                    <w:rPr>
                      <w:rFonts w:hint="eastAsia" w:cs="Times New Roman"/>
                      <w:color w:val="auto"/>
                      <w:sz w:val="24"/>
                      <w:szCs w:val="24"/>
                      <w:highlight w:val="none"/>
                      <w:lang w:eastAsia="zh-CN"/>
                    </w:rPr>
                    <w:t>搅拌站</w:t>
                  </w:r>
                  <w:r>
                    <w:rPr>
                      <w:rFonts w:hint="default" w:ascii="Times New Roman" w:hAnsi="Times New Roman" w:eastAsia="宋体" w:cs="Times New Roman"/>
                      <w:color w:val="auto"/>
                      <w:sz w:val="24"/>
                      <w:szCs w:val="24"/>
                      <w:highlight w:val="none"/>
                    </w:rPr>
                    <w:t>共用供水设施</w:t>
                  </w:r>
                  <w:r>
                    <w:rPr>
                      <w:rFonts w:hint="default" w:ascii="Times New Roman" w:hAnsi="Times New Roman" w:cs="Times New Roman"/>
                      <w:color w:val="auto"/>
                      <w:sz w:val="24"/>
                      <w:szCs w:val="24"/>
                      <w:highlight w:val="none"/>
                      <w:lang w:eastAsia="zh-CN"/>
                    </w:rPr>
                    <w:t>。</w:t>
                  </w:r>
                </w:p>
              </w:tc>
              <w:tc>
                <w:tcPr>
                  <w:tcW w:w="707" w:type="pct"/>
                  <w:vAlign w:val="center"/>
                </w:tcPr>
                <w:p w14:paraId="6A53A90D">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否</w:t>
                  </w:r>
                </w:p>
              </w:tc>
            </w:tr>
            <w:tr w14:paraId="54CC5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832" w:type="pct"/>
                  <w:vAlign w:val="center"/>
                </w:tcPr>
                <w:p w14:paraId="4144679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p>
              </w:tc>
              <w:tc>
                <w:tcPr>
                  <w:tcW w:w="832" w:type="pct"/>
                  <w:shd w:val="clear" w:color="auto" w:fill="auto"/>
                  <w:vAlign w:val="center"/>
                </w:tcPr>
                <w:p w14:paraId="0B03C3A5">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eastAsia="宋体" w:cs="Times New Roman"/>
                      <w:b w:val="0"/>
                      <w:bCs w:val="0"/>
                      <w:color w:val="auto"/>
                      <w:sz w:val="24"/>
                      <w:szCs w:val="24"/>
                      <w:highlight w:val="none"/>
                      <w:vertAlign w:val="baseline"/>
                      <w:lang w:val="en-US" w:eastAsia="zh-CN"/>
                    </w:rPr>
                    <w:t>蓄水罐</w:t>
                  </w:r>
                </w:p>
              </w:tc>
              <w:tc>
                <w:tcPr>
                  <w:tcW w:w="832" w:type="pct"/>
                  <w:shd w:val="clear" w:color="auto" w:fill="auto"/>
                  <w:vAlign w:val="center"/>
                </w:tcPr>
                <w:p w14:paraId="580F8D4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832" w:type="pct"/>
                  <w:shd w:val="clear" w:color="auto" w:fill="auto"/>
                  <w:vAlign w:val="center"/>
                </w:tcPr>
                <w:p w14:paraId="157F0E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eastAsia="宋体" w:cs="Times New Roman"/>
                      <w:b w:val="0"/>
                      <w:bCs w:val="0"/>
                      <w:color w:val="auto"/>
                      <w:sz w:val="24"/>
                      <w:szCs w:val="24"/>
                      <w:highlight w:val="none"/>
                      <w:lang w:val="en-US" w:eastAsia="zh-CN"/>
                    </w:rPr>
                    <w:t>新建两座蓄水罐</w:t>
                  </w:r>
                </w:p>
              </w:tc>
              <w:tc>
                <w:tcPr>
                  <w:tcW w:w="960" w:type="pct"/>
                  <w:shd w:val="clear" w:color="auto" w:fill="auto"/>
                  <w:vAlign w:val="center"/>
                </w:tcPr>
                <w:p w14:paraId="13976EA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eastAsia="宋体" w:cs="Times New Roman"/>
                      <w:color w:val="auto"/>
                      <w:sz w:val="24"/>
                      <w:szCs w:val="24"/>
                      <w:highlight w:val="none"/>
                    </w:rPr>
                    <w:t>新建</w:t>
                  </w:r>
                  <w:r>
                    <w:rPr>
                      <w:rFonts w:hint="eastAsia" w:cs="Times New Roman"/>
                      <w:color w:val="auto"/>
                      <w:sz w:val="24"/>
                      <w:szCs w:val="24"/>
                      <w:highlight w:val="none"/>
                      <w:lang w:val="en-US" w:eastAsia="zh-CN"/>
                    </w:rPr>
                    <w:t>两</w:t>
                  </w:r>
                  <w:r>
                    <w:rPr>
                      <w:rFonts w:hint="default" w:ascii="Times New Roman" w:hAnsi="Times New Roman" w:eastAsia="宋体" w:cs="Times New Roman"/>
                      <w:color w:val="auto"/>
                      <w:sz w:val="24"/>
                      <w:szCs w:val="24"/>
                      <w:highlight w:val="none"/>
                    </w:rPr>
                    <w:t>座500m³地上碳钢立式钢结构蓄水罐，总储水1000m³，罐体内外环氧防腐防渗，落地布置于厂区硬化防渗地面，与现有防渗蓄水池协同储备拌合用水，保障生产连续供水。</w:t>
                  </w:r>
                  <w:r>
                    <w:rPr>
                      <w:rFonts w:hint="default" w:ascii="Times New Roman" w:hAnsi="Times New Roman" w:cs="Times New Roman"/>
                      <w:color w:val="auto"/>
                      <w:sz w:val="24"/>
                      <w:szCs w:val="24"/>
                      <w:highlight w:val="none"/>
                      <w:lang w:val="en-US" w:eastAsia="zh-CN"/>
                    </w:rPr>
                    <w:t>新建蓄水罐为扩建工程使用，不共用。</w:t>
                  </w:r>
                </w:p>
              </w:tc>
              <w:tc>
                <w:tcPr>
                  <w:tcW w:w="707" w:type="pct"/>
                  <w:shd w:val="clear" w:color="auto" w:fill="auto"/>
                  <w:vAlign w:val="center"/>
                </w:tcPr>
                <w:p w14:paraId="5A09F18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新增</w:t>
                  </w:r>
                  <w:r>
                    <w:rPr>
                      <w:rFonts w:hint="eastAsia" w:cs="Times New Roman"/>
                      <w:color w:val="auto"/>
                      <w:sz w:val="24"/>
                      <w:szCs w:val="24"/>
                      <w:highlight w:val="none"/>
                      <w:lang w:val="en-US" w:eastAsia="zh-CN"/>
                    </w:rPr>
                    <w:t>两</w:t>
                  </w:r>
                  <w:r>
                    <w:rPr>
                      <w:rFonts w:hint="default" w:ascii="Times New Roman" w:hAnsi="Times New Roman" w:cs="Times New Roman"/>
                      <w:color w:val="auto"/>
                      <w:sz w:val="24"/>
                      <w:szCs w:val="24"/>
                      <w:highlight w:val="none"/>
                      <w:lang w:val="en-US" w:eastAsia="zh-CN"/>
                    </w:rPr>
                    <w:t>座</w:t>
                  </w:r>
                  <w:r>
                    <w:rPr>
                      <w:rFonts w:hint="default" w:ascii="Times New Roman" w:hAnsi="Times New Roman" w:eastAsia="宋体" w:cs="Times New Roman"/>
                      <w:b w:val="0"/>
                      <w:bCs w:val="0"/>
                      <w:color w:val="auto"/>
                      <w:sz w:val="24"/>
                      <w:szCs w:val="24"/>
                      <w:highlight w:val="none"/>
                      <w:vertAlign w:val="baseline"/>
                      <w:lang w:val="en-US" w:eastAsia="zh-CN"/>
                    </w:rPr>
                    <w:t>蓄水罐</w:t>
                  </w:r>
                </w:p>
              </w:tc>
            </w:tr>
            <w:tr w14:paraId="447F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trPr>
              <w:tc>
                <w:tcPr>
                  <w:tcW w:w="832" w:type="pct"/>
                  <w:vMerge w:val="restart"/>
                  <w:vAlign w:val="center"/>
                </w:tcPr>
                <w:p w14:paraId="32D4BBFD">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储运工程</w:t>
                  </w:r>
                </w:p>
              </w:tc>
              <w:tc>
                <w:tcPr>
                  <w:tcW w:w="832" w:type="pct"/>
                  <w:vAlign w:val="center"/>
                </w:tcPr>
                <w:p w14:paraId="399ED28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eastAsiaTheme="minorEastAsia"/>
                      <w:color w:val="auto"/>
                      <w:sz w:val="24"/>
                      <w:szCs w:val="24"/>
                      <w:highlight w:val="none"/>
                    </w:rPr>
                    <w:t>全封闭砂石料场</w:t>
                  </w:r>
                </w:p>
              </w:tc>
              <w:tc>
                <w:tcPr>
                  <w:tcW w:w="832" w:type="pct"/>
                  <w:vAlign w:val="center"/>
                </w:tcPr>
                <w:p w14:paraId="33B42B9F">
                  <w:pPr>
                    <w:keepNext w:val="0"/>
                    <w:keepLines w:val="0"/>
                    <w:pageBreakBefore w:val="0"/>
                    <w:widowControl w:val="0"/>
                    <w:kinsoku/>
                    <w:wordWrap/>
                    <w:overflowPunct/>
                    <w:topLinePunct w:val="0"/>
                    <w:autoSpaceDE/>
                    <w:autoSpaceDN/>
                    <w:bidi w:val="0"/>
                    <w:adjustRightInd w:val="0"/>
                    <w:snapToGrid w:val="0"/>
                    <w:spacing w:line="360" w:lineRule="auto"/>
                    <w:ind w:firstLine="464"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color w:val="auto"/>
                      <w:spacing w:val="-4"/>
                      <w:sz w:val="24"/>
                      <w:szCs w:val="24"/>
                      <w:highlight w:val="none"/>
                    </w:rPr>
                    <w:t>建设面积为125</w:t>
                  </w:r>
                  <w:r>
                    <w:rPr>
                      <w:rFonts w:hint="default" w:ascii="Times New Roman" w:hAnsi="Times New Roman" w:cs="Times New Roman"/>
                      <w:color w:val="auto"/>
                      <w:spacing w:val="-4"/>
                      <w:sz w:val="24"/>
                      <w:szCs w:val="24"/>
                      <w:highlight w:val="none"/>
                      <w:lang w:val="en-US" w:eastAsia="zh-CN"/>
                    </w:rPr>
                    <w:t>m</w:t>
                  </w:r>
                  <w:r>
                    <w:rPr>
                      <w:rFonts w:hint="default" w:ascii="Times New Roman" w:hAnsi="Times New Roman" w:cs="Times New Roman"/>
                      <w:color w:val="auto"/>
                      <w:spacing w:val="-4"/>
                      <w:sz w:val="24"/>
                      <w:szCs w:val="24"/>
                      <w:highlight w:val="none"/>
                      <w:vertAlign w:val="superscript"/>
                      <w:lang w:val="en-US" w:eastAsia="zh-CN"/>
                    </w:rPr>
                    <w:t>2</w:t>
                  </w:r>
                  <w:r>
                    <w:rPr>
                      <w:rFonts w:hint="default" w:ascii="Times New Roman" w:hAnsi="Times New Roman" w:eastAsia="宋体" w:cs="Times New Roman"/>
                      <w:color w:val="auto"/>
                      <w:spacing w:val="-4"/>
                      <w:sz w:val="24"/>
                      <w:szCs w:val="24"/>
                      <w:highlight w:val="none"/>
                    </w:rPr>
                    <w:t>，一层，通过隔墙分隔成两个50</w:t>
                  </w:r>
                  <w:r>
                    <w:rPr>
                      <w:rFonts w:hint="default" w:ascii="Times New Roman" w:hAnsi="Times New Roman" w:cs="Times New Roman"/>
                      <w:color w:val="auto"/>
                      <w:spacing w:val="-4"/>
                      <w:sz w:val="24"/>
                      <w:szCs w:val="24"/>
                      <w:highlight w:val="none"/>
                      <w:lang w:val="en-US" w:eastAsia="zh-CN"/>
                    </w:rPr>
                    <w:t>m</w:t>
                  </w:r>
                  <w:r>
                    <w:rPr>
                      <w:rFonts w:hint="default" w:ascii="Times New Roman" w:hAnsi="Times New Roman" w:cs="Times New Roman"/>
                      <w:color w:val="auto"/>
                      <w:spacing w:val="-4"/>
                      <w:sz w:val="24"/>
                      <w:szCs w:val="24"/>
                      <w:highlight w:val="none"/>
                      <w:vertAlign w:val="superscript"/>
                      <w:lang w:val="en-US" w:eastAsia="zh-CN"/>
                    </w:rPr>
                    <w:t>2</w:t>
                  </w:r>
                  <w:r>
                    <w:rPr>
                      <w:rFonts w:hint="default" w:ascii="Times New Roman" w:hAnsi="Times New Roman" w:eastAsia="宋体" w:cs="Times New Roman"/>
                      <w:color w:val="auto"/>
                      <w:spacing w:val="-8"/>
                      <w:sz w:val="24"/>
                      <w:szCs w:val="24"/>
                      <w:highlight w:val="none"/>
                    </w:rPr>
                    <w:t>的储存库以及1个25</w:t>
                  </w:r>
                  <w:r>
                    <w:rPr>
                      <w:rFonts w:hint="default" w:ascii="Times New Roman" w:hAnsi="Times New Roman" w:cs="Times New Roman"/>
                      <w:color w:val="auto"/>
                      <w:spacing w:val="-8"/>
                      <w:sz w:val="24"/>
                      <w:szCs w:val="24"/>
                      <w:highlight w:val="none"/>
                      <w:lang w:val="en-US" w:eastAsia="zh-CN"/>
                    </w:rPr>
                    <w:t>m</w:t>
                  </w:r>
                  <w:r>
                    <w:rPr>
                      <w:rFonts w:hint="default" w:ascii="Times New Roman" w:hAnsi="Times New Roman" w:cs="Times New Roman"/>
                      <w:color w:val="auto"/>
                      <w:spacing w:val="-8"/>
                      <w:sz w:val="24"/>
                      <w:szCs w:val="24"/>
                      <w:highlight w:val="none"/>
                      <w:vertAlign w:val="superscript"/>
                      <w:lang w:val="en-US" w:eastAsia="zh-CN"/>
                    </w:rPr>
                    <w:t>2</w:t>
                  </w:r>
                  <w:r>
                    <w:rPr>
                      <w:rFonts w:hint="default" w:ascii="Times New Roman" w:hAnsi="Times New Roman" w:eastAsia="宋体" w:cs="Times New Roman"/>
                      <w:color w:val="auto"/>
                      <w:spacing w:val="-8"/>
                      <w:sz w:val="24"/>
                      <w:szCs w:val="24"/>
                      <w:highlight w:val="none"/>
                    </w:rPr>
                    <w:t>的储存库，2个50</w:t>
                  </w:r>
                  <w:r>
                    <w:rPr>
                      <w:rFonts w:hint="default" w:ascii="Times New Roman" w:hAnsi="Times New Roman" w:cs="Times New Roman"/>
                      <w:color w:val="auto"/>
                      <w:spacing w:val="-8"/>
                      <w:sz w:val="24"/>
                      <w:szCs w:val="24"/>
                      <w:highlight w:val="none"/>
                      <w:lang w:val="en-US" w:eastAsia="zh-CN"/>
                    </w:rPr>
                    <w:t>m</w:t>
                  </w:r>
                  <w:r>
                    <w:rPr>
                      <w:rFonts w:hint="default" w:ascii="Times New Roman" w:hAnsi="Times New Roman" w:cs="Times New Roman"/>
                      <w:color w:val="auto"/>
                      <w:spacing w:val="-8"/>
                      <w:sz w:val="24"/>
                      <w:szCs w:val="24"/>
                      <w:highlight w:val="none"/>
                      <w:vertAlign w:val="superscript"/>
                      <w:lang w:val="en-US" w:eastAsia="zh-CN"/>
                    </w:rPr>
                    <w:t>2</w:t>
                  </w:r>
                  <w:r>
                    <w:rPr>
                      <w:rFonts w:hint="default" w:ascii="Times New Roman" w:hAnsi="Times New Roman" w:eastAsia="宋体" w:cs="Times New Roman"/>
                      <w:color w:val="auto"/>
                      <w:spacing w:val="-8"/>
                      <w:sz w:val="24"/>
                      <w:szCs w:val="24"/>
                      <w:highlight w:val="none"/>
                    </w:rPr>
                    <w:t>的储存库</w:t>
                  </w:r>
                  <w:r>
                    <w:rPr>
                      <w:rFonts w:hint="default" w:ascii="Times New Roman" w:hAnsi="Times New Roman" w:eastAsia="宋体" w:cs="Times New Roman"/>
                      <w:color w:val="auto"/>
                      <w:spacing w:val="-3"/>
                      <w:sz w:val="24"/>
                      <w:szCs w:val="24"/>
                      <w:highlight w:val="none"/>
                    </w:rPr>
                    <w:t>分别用于储存袋装水泥和石子，25</w:t>
                  </w:r>
                  <w:r>
                    <w:rPr>
                      <w:rFonts w:hint="default" w:ascii="Times New Roman" w:hAnsi="Times New Roman" w:cs="Times New Roman"/>
                      <w:color w:val="auto"/>
                      <w:spacing w:val="-3"/>
                      <w:sz w:val="24"/>
                      <w:szCs w:val="24"/>
                      <w:highlight w:val="none"/>
                      <w:lang w:val="en-US" w:eastAsia="zh-CN"/>
                    </w:rPr>
                    <w:t>m</w:t>
                  </w:r>
                  <w:r>
                    <w:rPr>
                      <w:rFonts w:hint="default" w:ascii="Times New Roman" w:hAnsi="Times New Roman" w:cs="Times New Roman"/>
                      <w:color w:val="auto"/>
                      <w:spacing w:val="-3"/>
                      <w:sz w:val="24"/>
                      <w:szCs w:val="24"/>
                      <w:highlight w:val="none"/>
                      <w:vertAlign w:val="superscript"/>
                      <w:lang w:val="en-US" w:eastAsia="zh-CN"/>
                    </w:rPr>
                    <w:t>2</w:t>
                  </w:r>
                  <w:r>
                    <w:rPr>
                      <w:rFonts w:hint="default" w:ascii="Times New Roman" w:hAnsi="Times New Roman" w:eastAsia="宋体" w:cs="Times New Roman"/>
                      <w:color w:val="auto"/>
                      <w:spacing w:val="-3"/>
                      <w:sz w:val="24"/>
                      <w:szCs w:val="24"/>
                      <w:highlight w:val="none"/>
                    </w:rPr>
                    <w:t>的储存库用于储</w:t>
                  </w:r>
                  <w:r>
                    <w:rPr>
                      <w:rFonts w:hint="default" w:ascii="Times New Roman" w:hAnsi="Times New Roman" w:eastAsia="宋体" w:cs="Times New Roman"/>
                      <w:color w:val="auto"/>
                      <w:spacing w:val="-4"/>
                      <w:sz w:val="24"/>
                      <w:szCs w:val="24"/>
                      <w:highlight w:val="none"/>
                    </w:rPr>
                    <w:t>存砂子。砂石库为全封闭结构。袋装水泥为矿井下偶</w:t>
                  </w:r>
                  <w:r>
                    <w:rPr>
                      <w:rFonts w:hint="default" w:ascii="Times New Roman" w:hAnsi="Times New Roman" w:eastAsia="宋体" w:cs="Times New Roman"/>
                      <w:color w:val="auto"/>
                      <w:spacing w:val="-15"/>
                      <w:sz w:val="24"/>
                      <w:szCs w:val="24"/>
                      <w:highlight w:val="none"/>
                    </w:rPr>
                    <w:t>尔使用，并非搅拌站生产原料，储存量约为10</w:t>
                  </w:r>
                  <w:r>
                    <w:rPr>
                      <w:rFonts w:hint="default" w:ascii="Times New Roman" w:hAnsi="Times New Roman" w:cs="Times New Roman"/>
                      <w:color w:val="auto"/>
                      <w:spacing w:val="-15"/>
                      <w:sz w:val="24"/>
                      <w:szCs w:val="24"/>
                      <w:highlight w:val="none"/>
                      <w:lang w:val="en-US" w:eastAsia="zh-CN"/>
                    </w:rPr>
                    <w:t>t</w:t>
                  </w:r>
                  <w:r>
                    <w:rPr>
                      <w:rFonts w:hint="default" w:ascii="Times New Roman" w:hAnsi="Times New Roman" w:eastAsia="宋体" w:cs="Times New Roman"/>
                      <w:color w:val="auto"/>
                      <w:spacing w:val="-15"/>
                      <w:sz w:val="24"/>
                      <w:szCs w:val="24"/>
                      <w:highlight w:val="none"/>
                    </w:rPr>
                    <w:t>；</w:t>
                  </w:r>
                  <w:r>
                    <w:rPr>
                      <w:rFonts w:hint="default" w:ascii="Times New Roman" w:hAnsi="Times New Roman" w:eastAsia="宋体" w:cs="Times New Roman"/>
                      <w:color w:val="auto"/>
                      <w:spacing w:val="-3"/>
                      <w:sz w:val="24"/>
                      <w:szCs w:val="24"/>
                      <w:highlight w:val="none"/>
                    </w:rPr>
                    <w:t>石子储存量为160</w:t>
                  </w:r>
                  <w:r>
                    <w:rPr>
                      <w:rFonts w:hint="default" w:ascii="Times New Roman" w:hAnsi="Times New Roman" w:cs="Times New Roman"/>
                      <w:color w:val="auto"/>
                      <w:spacing w:val="-3"/>
                      <w:sz w:val="24"/>
                      <w:szCs w:val="24"/>
                      <w:highlight w:val="none"/>
                      <w:lang w:val="en-US" w:eastAsia="zh-CN"/>
                    </w:rPr>
                    <w:t>t</w:t>
                  </w:r>
                  <w:r>
                    <w:rPr>
                      <w:rFonts w:hint="default" w:ascii="Times New Roman" w:hAnsi="Times New Roman" w:eastAsia="宋体" w:cs="Times New Roman"/>
                      <w:color w:val="auto"/>
                      <w:spacing w:val="-3"/>
                      <w:sz w:val="24"/>
                      <w:szCs w:val="24"/>
                      <w:highlight w:val="none"/>
                    </w:rPr>
                    <w:t>左右，需每天周转；砂子储存量</w:t>
                  </w:r>
                  <w:r>
                    <w:rPr>
                      <w:rFonts w:hint="default" w:ascii="Times New Roman" w:hAnsi="Times New Roman" w:eastAsia="宋体" w:cs="Times New Roman"/>
                      <w:color w:val="auto"/>
                      <w:spacing w:val="-4"/>
                      <w:sz w:val="24"/>
                      <w:szCs w:val="24"/>
                      <w:highlight w:val="none"/>
                    </w:rPr>
                    <w:t>为55</w:t>
                  </w:r>
                  <w:r>
                    <w:rPr>
                      <w:rFonts w:hint="default" w:ascii="Times New Roman" w:hAnsi="Times New Roman" w:cs="Times New Roman"/>
                      <w:color w:val="auto"/>
                      <w:spacing w:val="-4"/>
                      <w:sz w:val="24"/>
                      <w:szCs w:val="24"/>
                      <w:highlight w:val="none"/>
                      <w:lang w:val="en-US" w:eastAsia="zh-CN"/>
                    </w:rPr>
                    <w:t>t</w:t>
                  </w:r>
                  <w:r>
                    <w:rPr>
                      <w:rFonts w:hint="default" w:ascii="Times New Roman" w:hAnsi="Times New Roman" w:eastAsia="宋体" w:cs="Times New Roman"/>
                      <w:color w:val="auto"/>
                      <w:spacing w:val="-4"/>
                      <w:sz w:val="24"/>
                      <w:szCs w:val="24"/>
                      <w:highlight w:val="none"/>
                    </w:rPr>
                    <w:t>，需每天周转。</w:t>
                  </w:r>
                </w:p>
              </w:tc>
              <w:tc>
                <w:tcPr>
                  <w:tcW w:w="832" w:type="pct"/>
                  <w:vAlign w:val="center"/>
                </w:tcPr>
                <w:p w14:paraId="37D197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eastAsia" w:cs="Times New Roman"/>
                      <w:b w:val="0"/>
                      <w:bCs w:val="0"/>
                      <w:color w:val="auto"/>
                      <w:sz w:val="24"/>
                      <w:szCs w:val="24"/>
                      <w:highlight w:val="none"/>
                      <w:vertAlign w:val="baseline"/>
                      <w:lang w:val="en-US" w:eastAsia="zh-CN"/>
                    </w:rPr>
                    <w:t>建设</w:t>
                  </w:r>
                  <w:r>
                    <w:rPr>
                      <w:rFonts w:hint="default" w:ascii="Times New Roman" w:hAnsi="Times New Roman" w:cs="Times New Roman" w:eastAsiaTheme="minorEastAsia"/>
                      <w:color w:val="auto"/>
                      <w:sz w:val="24"/>
                      <w:szCs w:val="24"/>
                      <w:highlight w:val="none"/>
                    </w:rPr>
                    <w:t>全封闭砂石料场</w:t>
                  </w:r>
                  <w:r>
                    <w:rPr>
                      <w:rFonts w:hint="default" w:ascii="Times New Roman" w:hAnsi="Times New Roman" w:eastAsia="宋体" w:cs="Times New Roman"/>
                      <w:b w:val="0"/>
                      <w:bCs w:val="0"/>
                      <w:color w:val="auto"/>
                      <w:sz w:val="24"/>
                      <w:szCs w:val="24"/>
                      <w:highlight w:val="none"/>
                      <w:vertAlign w:val="baseline"/>
                      <w:lang w:val="en-US" w:eastAsia="zh-CN"/>
                    </w:rPr>
                    <w:t>1座，钢结构，地面采用混凝土硬化，占地面积1053</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vertAlign w:val="baseline"/>
                      <w:lang w:val="en-US" w:eastAsia="zh-CN"/>
                    </w:rPr>
                    <w:t>，库内进行分区，分别</w:t>
                  </w:r>
                  <w:r>
                    <w:rPr>
                      <w:rFonts w:hint="eastAsia" w:cs="Times New Roman"/>
                      <w:b w:val="0"/>
                      <w:bCs w:val="0"/>
                      <w:color w:val="auto"/>
                      <w:sz w:val="24"/>
                      <w:szCs w:val="24"/>
                      <w:highlight w:val="none"/>
                      <w:vertAlign w:val="baseline"/>
                      <w:lang w:val="en-US" w:eastAsia="zh-CN"/>
                    </w:rPr>
                    <w:t>堆存</w:t>
                  </w:r>
                  <w:r>
                    <w:rPr>
                      <w:rFonts w:hint="default" w:ascii="Times New Roman" w:hAnsi="Times New Roman" w:eastAsia="宋体" w:cs="Times New Roman"/>
                      <w:b w:val="0"/>
                      <w:bCs w:val="0"/>
                      <w:color w:val="auto"/>
                      <w:sz w:val="24"/>
                      <w:szCs w:val="24"/>
                      <w:highlight w:val="none"/>
                      <w:vertAlign w:val="baseline"/>
                      <w:lang w:val="en-US" w:eastAsia="zh-CN"/>
                    </w:rPr>
                    <w:t>砂子、石子。</w:t>
                  </w:r>
                </w:p>
              </w:tc>
              <w:tc>
                <w:tcPr>
                  <w:tcW w:w="960" w:type="pct"/>
                  <w:vAlign w:val="center"/>
                </w:tcPr>
                <w:p w14:paraId="77CE0CC1">
                  <w:pPr>
                    <w:keepNext w:val="0"/>
                    <w:keepLines w:val="0"/>
                    <w:pageBreakBefore w:val="0"/>
                    <w:kinsoku/>
                    <w:wordWrap/>
                    <w:overflowPunct/>
                    <w:topLinePunct w:val="0"/>
                    <w:autoSpaceDE/>
                    <w:autoSpaceDN/>
                    <w:bidi w:val="0"/>
                    <w:adjustRightInd w:val="0"/>
                    <w:snapToGrid w:val="0"/>
                    <w:ind w:left="0" w:leftChars="0"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扩建后全厂共设</w:t>
                  </w:r>
                  <w:r>
                    <w:rPr>
                      <w:rFonts w:hint="eastAsia" w:cs="Times New Roman"/>
                      <w:color w:val="auto"/>
                      <w:sz w:val="24"/>
                      <w:szCs w:val="24"/>
                      <w:highlight w:val="none"/>
                      <w:lang w:eastAsia="zh-CN"/>
                    </w:rPr>
                    <w:t>两处</w:t>
                  </w:r>
                  <w:r>
                    <w:rPr>
                      <w:rFonts w:hint="default" w:ascii="Times New Roman" w:hAnsi="Times New Roman" w:cs="Times New Roman" w:eastAsiaTheme="minorEastAsia"/>
                      <w:color w:val="auto"/>
                      <w:sz w:val="24"/>
                      <w:szCs w:val="24"/>
                      <w:highlight w:val="none"/>
                      <w:lang w:val="en-US" w:eastAsia="zh-CN"/>
                    </w:rPr>
                    <w:t>全封闭砂石料场</w:t>
                  </w:r>
                  <w:r>
                    <w:rPr>
                      <w:rFonts w:hint="default" w:ascii="Times New Roman" w:hAnsi="Times New Roman" w:eastAsia="宋体" w:cs="Times New Roman"/>
                      <w:color w:val="auto"/>
                      <w:sz w:val="24"/>
                      <w:szCs w:val="24"/>
                      <w:highlight w:val="none"/>
                    </w:rPr>
                    <w:t>，总仓储面积1178㎡：125㎡小型库房分</w:t>
                  </w:r>
                  <w:r>
                    <w:rPr>
                      <w:rFonts w:hint="default"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间50㎡、1间25㎡隔间，存放井下备用袋装水泥（最大</w:t>
                  </w:r>
                  <w:r>
                    <w:rPr>
                      <w:rFonts w:hint="eastAsia" w:cs="Times New Roman"/>
                      <w:color w:val="auto"/>
                      <w:sz w:val="24"/>
                      <w:szCs w:val="24"/>
                      <w:highlight w:val="none"/>
                      <w:lang w:eastAsia="zh-CN"/>
                    </w:rPr>
                    <w:t>堆存</w:t>
                  </w:r>
                  <w:r>
                    <w:rPr>
                      <w:rFonts w:hint="default" w:ascii="Times New Roman" w:hAnsi="Times New Roman" w:eastAsia="宋体" w:cs="Times New Roman"/>
                      <w:color w:val="auto"/>
                      <w:sz w:val="24"/>
                      <w:szCs w:val="24"/>
                      <w:highlight w:val="none"/>
                    </w:rPr>
                    <w:t>128t，可供0.08天周转）、应急石子170t、砂子85t；1053㎡钢结构大型</w:t>
                  </w:r>
                  <w:r>
                    <w:rPr>
                      <w:rFonts w:hint="default" w:ascii="Times New Roman" w:hAnsi="Times New Roman" w:cs="Times New Roman"/>
                      <w:color w:val="auto"/>
                      <w:sz w:val="24"/>
                      <w:szCs w:val="24"/>
                      <w:highlight w:val="none"/>
                      <w:lang w:val="en-US" w:eastAsia="zh-CN"/>
                    </w:rPr>
                    <w:t>全封闭</w:t>
                  </w:r>
                  <w:r>
                    <w:rPr>
                      <w:rFonts w:hint="default" w:ascii="Times New Roman" w:hAnsi="Times New Roman" w:eastAsia="宋体" w:cs="Times New Roman"/>
                      <w:color w:val="auto"/>
                      <w:sz w:val="24"/>
                      <w:szCs w:val="24"/>
                      <w:highlight w:val="none"/>
                    </w:rPr>
                    <w:t>砂石</w:t>
                  </w:r>
                  <w:r>
                    <w:rPr>
                      <w:rFonts w:hint="default" w:ascii="Times New Roman" w:hAnsi="Times New Roman" w:cs="Times New Roman"/>
                      <w:color w:val="auto"/>
                      <w:sz w:val="24"/>
                      <w:szCs w:val="24"/>
                      <w:highlight w:val="none"/>
                      <w:lang w:val="en-US" w:eastAsia="zh-CN"/>
                    </w:rPr>
                    <w:t>料场</w:t>
                  </w:r>
                  <w:r>
                    <w:rPr>
                      <w:rFonts w:hint="default" w:ascii="Times New Roman" w:hAnsi="Times New Roman" w:eastAsia="宋体" w:cs="Times New Roman"/>
                      <w:color w:val="auto"/>
                      <w:sz w:val="24"/>
                      <w:szCs w:val="24"/>
                      <w:highlight w:val="none"/>
                    </w:rPr>
                    <w:t>分区堆料，砂石合计最大存储</w:t>
                  </w:r>
                  <w:r>
                    <w:rPr>
                      <w:rFonts w:hint="default" w:ascii="Times New Roman" w:hAnsi="Times New Roman" w:cs="Times New Roman"/>
                      <w:color w:val="auto"/>
                      <w:sz w:val="24"/>
                      <w:szCs w:val="24"/>
                      <w:highlight w:val="none"/>
                      <w:lang w:val="en-US" w:eastAsia="zh-CN"/>
                    </w:rPr>
                    <w:t>6581.25</w:t>
                  </w:r>
                  <w:r>
                    <w:rPr>
                      <w:rFonts w:hint="default" w:ascii="Times New Roman" w:hAnsi="Times New Roman" w:eastAsia="宋体" w:cs="Times New Roman"/>
                      <w:color w:val="auto"/>
                      <w:sz w:val="24"/>
                      <w:szCs w:val="24"/>
                      <w:highlight w:val="none"/>
                    </w:rPr>
                    <w:t>t，可满足全厂</w:t>
                  </w:r>
                  <w:r>
                    <w:rPr>
                      <w:rFonts w:hint="default" w:ascii="Times New Roman" w:hAnsi="Times New Roman"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rPr>
                    <w:t>天生产用料</w:t>
                  </w:r>
                  <w:r>
                    <w:rPr>
                      <w:rFonts w:hint="eastAsia" w:cs="Times New Roman"/>
                      <w:color w:val="auto"/>
                      <w:sz w:val="24"/>
                      <w:szCs w:val="24"/>
                      <w:highlight w:val="none"/>
                      <w:lang w:val="en-US" w:eastAsia="zh-CN"/>
                    </w:rPr>
                    <w:t>需求</w:t>
                  </w:r>
                  <w:r>
                    <w:rPr>
                      <w:rFonts w:hint="default" w:ascii="Times New Roman" w:hAnsi="Times New Roman" w:eastAsia="宋体" w:cs="Times New Roman"/>
                      <w:color w:val="auto"/>
                      <w:sz w:val="24"/>
                      <w:szCs w:val="24"/>
                      <w:highlight w:val="none"/>
                    </w:rPr>
                    <w:t>，日常砂石生产用料主要依托大型库房储存。</w:t>
                  </w:r>
                </w:p>
              </w:tc>
              <w:tc>
                <w:tcPr>
                  <w:tcW w:w="707" w:type="pct"/>
                  <w:vAlign w:val="center"/>
                </w:tcPr>
                <w:p w14:paraId="72B5B43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eastAsia="zh-CN"/>
                    </w:rPr>
                  </w:pPr>
                  <w:r>
                    <w:rPr>
                      <w:rFonts w:hint="default" w:ascii="Times New Roman" w:hAnsi="Times New Roman" w:cs="Times New Roman"/>
                      <w:color w:val="auto"/>
                      <w:sz w:val="24"/>
                      <w:szCs w:val="24"/>
                      <w:highlight w:val="none"/>
                      <w:lang w:val="en-US" w:eastAsia="zh-CN"/>
                    </w:rPr>
                    <w:t>新增一座</w:t>
                  </w:r>
                  <w:r>
                    <w:rPr>
                      <w:rFonts w:hint="default" w:ascii="Times New Roman" w:hAnsi="Times New Roman" w:cs="Times New Roman" w:eastAsiaTheme="minorEastAsia"/>
                      <w:color w:val="auto"/>
                      <w:sz w:val="24"/>
                      <w:szCs w:val="24"/>
                      <w:highlight w:val="none"/>
                      <w:lang w:val="en-US" w:eastAsia="zh-CN"/>
                    </w:rPr>
                    <w:t>全封闭砂石料场</w:t>
                  </w:r>
                </w:p>
              </w:tc>
            </w:tr>
            <w:tr w14:paraId="2A53C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832" w:type="pct"/>
                  <w:vMerge w:val="continue"/>
                  <w:vAlign w:val="center"/>
                </w:tcPr>
                <w:p w14:paraId="74586BB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p>
              </w:tc>
              <w:tc>
                <w:tcPr>
                  <w:tcW w:w="832" w:type="pct"/>
                  <w:vAlign w:val="center"/>
                </w:tcPr>
                <w:p w14:paraId="6029DB6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水泥筒仓</w:t>
                  </w:r>
                </w:p>
              </w:tc>
              <w:tc>
                <w:tcPr>
                  <w:tcW w:w="832" w:type="pct"/>
                  <w:vAlign w:val="center"/>
                </w:tcPr>
                <w:p w14:paraId="4E1F0764">
                  <w:pPr>
                    <w:pStyle w:val="46"/>
                    <w:keepNext w:val="0"/>
                    <w:keepLines w:val="0"/>
                    <w:pageBreakBefore w:val="0"/>
                    <w:kinsoku/>
                    <w:wordWrap/>
                    <w:overflowPunct/>
                    <w:topLinePunct w:val="0"/>
                    <w:autoSpaceDE/>
                    <w:autoSpaceDN/>
                    <w:bidi w:val="0"/>
                    <w:adjustRightInd w:val="0"/>
                    <w:snapToGrid w:val="0"/>
                    <w:spacing w:before="117" w:line="360" w:lineRule="auto"/>
                    <w:ind w:left="0" w:leftChars="0" w:right="1" w:firstLine="472"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color w:val="auto"/>
                      <w:spacing w:val="-2"/>
                      <w:sz w:val="24"/>
                      <w:szCs w:val="24"/>
                      <w:highlight w:val="none"/>
                    </w:rPr>
                    <w:t>建设2个全封闭的钢板圆筒仓用于储存水泥，直径为</w:t>
                  </w:r>
                  <w:r>
                    <w:rPr>
                      <w:rFonts w:hint="default" w:ascii="Times New Roman" w:hAnsi="Times New Roman" w:eastAsia="宋体" w:cs="Times New Roman"/>
                      <w:color w:val="auto"/>
                      <w:spacing w:val="-3"/>
                      <w:sz w:val="24"/>
                      <w:szCs w:val="24"/>
                      <w:highlight w:val="none"/>
                    </w:rPr>
                    <w:t>2.5</w:t>
                  </w:r>
                  <w:r>
                    <w:rPr>
                      <w:rFonts w:hint="default" w:ascii="Times New Roman" w:hAnsi="Times New Roman" w:eastAsia="宋体" w:cs="Times New Roman"/>
                      <w:color w:val="auto"/>
                      <w:spacing w:val="-3"/>
                      <w:sz w:val="24"/>
                      <w:szCs w:val="24"/>
                      <w:highlight w:val="none"/>
                      <w:lang w:val="en-US" w:eastAsia="zh-CN"/>
                    </w:rPr>
                    <w:t>m</w:t>
                  </w:r>
                  <w:r>
                    <w:rPr>
                      <w:rFonts w:hint="default" w:ascii="Times New Roman" w:hAnsi="Times New Roman" w:eastAsia="宋体" w:cs="Times New Roman"/>
                      <w:color w:val="auto"/>
                      <w:spacing w:val="-3"/>
                      <w:sz w:val="24"/>
                      <w:szCs w:val="24"/>
                      <w:highlight w:val="none"/>
                    </w:rPr>
                    <w:t>，高20</w:t>
                  </w:r>
                  <w:r>
                    <w:rPr>
                      <w:rFonts w:hint="default" w:ascii="Times New Roman" w:hAnsi="Times New Roman" w:eastAsia="宋体" w:cs="Times New Roman"/>
                      <w:color w:val="auto"/>
                      <w:spacing w:val="-3"/>
                      <w:sz w:val="24"/>
                      <w:szCs w:val="24"/>
                      <w:highlight w:val="none"/>
                      <w:lang w:val="en-US" w:eastAsia="zh-CN"/>
                    </w:rPr>
                    <w:t>m</w:t>
                  </w:r>
                  <w:r>
                    <w:rPr>
                      <w:rFonts w:hint="default" w:ascii="Times New Roman" w:hAnsi="Times New Roman" w:eastAsia="宋体" w:cs="Times New Roman"/>
                      <w:color w:val="auto"/>
                      <w:spacing w:val="-3"/>
                      <w:sz w:val="24"/>
                      <w:szCs w:val="24"/>
                      <w:highlight w:val="none"/>
                    </w:rPr>
                    <w:t>，单个容量为100</w:t>
                  </w:r>
                  <w:r>
                    <w:rPr>
                      <w:rFonts w:hint="default" w:ascii="Times New Roman" w:hAnsi="Times New Roman" w:eastAsia="宋体" w:cs="Times New Roman"/>
                      <w:color w:val="auto"/>
                      <w:spacing w:val="-3"/>
                      <w:sz w:val="24"/>
                      <w:szCs w:val="24"/>
                      <w:highlight w:val="none"/>
                      <w:lang w:val="en-US" w:eastAsia="zh-CN"/>
                    </w:rPr>
                    <w:t>t</w:t>
                  </w:r>
                  <w:r>
                    <w:rPr>
                      <w:rFonts w:hint="default" w:ascii="Times New Roman" w:hAnsi="Times New Roman" w:eastAsia="宋体" w:cs="Times New Roman"/>
                      <w:color w:val="auto"/>
                      <w:spacing w:val="-3"/>
                      <w:sz w:val="24"/>
                      <w:szCs w:val="24"/>
                      <w:highlight w:val="none"/>
                    </w:rPr>
                    <w:t>。</w:t>
                  </w:r>
                </w:p>
              </w:tc>
              <w:tc>
                <w:tcPr>
                  <w:tcW w:w="832" w:type="pct"/>
                  <w:vAlign w:val="center"/>
                </w:tcPr>
                <w:p w14:paraId="398E7DD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lang w:val="en-US" w:eastAsia="zh-CN"/>
                    </w:rPr>
                    <w:t>建设全封闭</w:t>
                  </w:r>
                  <w:r>
                    <w:rPr>
                      <w:rFonts w:hint="default" w:ascii="Times New Roman" w:hAnsi="Times New Roman" w:eastAsia="宋体" w:cs="Times New Roman"/>
                      <w:b w:val="0"/>
                      <w:bCs w:val="0"/>
                      <w:color w:val="auto"/>
                      <w:sz w:val="24"/>
                      <w:szCs w:val="24"/>
                      <w:highlight w:val="none"/>
                    </w:rPr>
                    <w:t>水泥筒仓2座，单座容积</w:t>
                  </w:r>
                  <w:r>
                    <w:rPr>
                      <w:rFonts w:hint="default" w:ascii="Times New Roman" w:hAnsi="Times New Roman" w:eastAsia="宋体"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rPr>
                    <w:t>00</w:t>
                  </w:r>
                  <w:r>
                    <w:rPr>
                      <w:rFonts w:hint="default" w:ascii="Times New Roman" w:hAnsi="Times New Roman" w:cs="Times New Roman"/>
                      <w:b w:val="0"/>
                      <w:bCs w:val="0"/>
                      <w:color w:val="auto"/>
                      <w:sz w:val="24"/>
                      <w:szCs w:val="24"/>
                      <w:highlight w:val="none"/>
                      <w:lang w:val="en-US" w:eastAsia="zh-CN"/>
                    </w:rPr>
                    <w:t>t</w:t>
                  </w:r>
                  <w:r>
                    <w:rPr>
                      <w:rFonts w:hint="default" w:ascii="Times New Roman" w:hAnsi="Times New Roman" w:eastAsia="宋体" w:cs="Times New Roman"/>
                      <w:b w:val="0"/>
                      <w:bCs w:val="0"/>
                      <w:color w:val="auto"/>
                      <w:sz w:val="24"/>
                      <w:szCs w:val="24"/>
                      <w:highlight w:val="none"/>
                    </w:rPr>
                    <w:t>，筒仓顶部内置</w:t>
                  </w:r>
                  <w:r>
                    <w:rPr>
                      <w:rFonts w:hint="default" w:ascii="Times New Roman" w:hAnsi="Times New Roman" w:eastAsia="宋体" w:cs="Times New Roman"/>
                      <w:b w:val="0"/>
                      <w:bCs w:val="0"/>
                      <w:color w:val="auto"/>
                      <w:sz w:val="24"/>
                      <w:szCs w:val="24"/>
                      <w:highlight w:val="none"/>
                      <w:lang w:val="en-US" w:eastAsia="zh-CN"/>
                    </w:rPr>
                    <w:t>布袋</w:t>
                  </w:r>
                  <w:r>
                    <w:rPr>
                      <w:rFonts w:hint="default" w:ascii="Times New Roman" w:hAnsi="Times New Roman" w:eastAsia="宋体" w:cs="Times New Roman"/>
                      <w:b w:val="0"/>
                      <w:bCs w:val="0"/>
                      <w:color w:val="auto"/>
                      <w:sz w:val="24"/>
                      <w:szCs w:val="24"/>
                      <w:highlight w:val="none"/>
                      <w:lang w:eastAsia="zh-CN"/>
                    </w:rPr>
                    <w:t>除尘器</w:t>
                  </w:r>
                  <w:r>
                    <w:rPr>
                      <w:rFonts w:hint="default" w:ascii="Times New Roman" w:hAnsi="Times New Roman" w:eastAsia="宋体" w:cs="Times New Roman"/>
                      <w:b w:val="0"/>
                      <w:bCs w:val="0"/>
                      <w:color w:val="auto"/>
                      <w:sz w:val="24"/>
                      <w:szCs w:val="24"/>
                      <w:highlight w:val="none"/>
                    </w:rPr>
                    <w:t>。水泥</w:t>
                  </w:r>
                  <w:r>
                    <w:rPr>
                      <w:rFonts w:hint="default" w:ascii="Times New Roman" w:hAnsi="Times New Roman" w:eastAsia="宋体" w:cs="Times New Roman"/>
                      <w:b w:val="0"/>
                      <w:bCs w:val="0"/>
                      <w:color w:val="auto"/>
                      <w:sz w:val="24"/>
                      <w:szCs w:val="24"/>
                      <w:highlight w:val="none"/>
                      <w:lang w:val="en-US" w:eastAsia="zh-CN"/>
                    </w:rPr>
                    <w:t>使用泵经过密闭输送管道</w:t>
                  </w:r>
                  <w:r>
                    <w:rPr>
                      <w:rFonts w:hint="default" w:ascii="Times New Roman" w:hAnsi="Times New Roman" w:eastAsia="宋体" w:cs="Times New Roman"/>
                      <w:b w:val="0"/>
                      <w:bCs w:val="0"/>
                      <w:color w:val="auto"/>
                      <w:sz w:val="24"/>
                      <w:szCs w:val="24"/>
                      <w:highlight w:val="none"/>
                    </w:rPr>
                    <w:t>打入</w:t>
                  </w:r>
                  <w:r>
                    <w:rPr>
                      <w:rFonts w:hint="default" w:ascii="Times New Roman" w:hAnsi="Times New Roman" w:eastAsia="宋体" w:cs="Times New Roman"/>
                      <w:b w:val="0"/>
                      <w:bCs w:val="0"/>
                      <w:color w:val="auto"/>
                      <w:sz w:val="24"/>
                      <w:szCs w:val="24"/>
                      <w:highlight w:val="none"/>
                      <w:lang w:val="en-US" w:eastAsia="zh-CN"/>
                    </w:rPr>
                    <w:t>拌合楼搅拌罐内</w:t>
                  </w:r>
                  <w:r>
                    <w:rPr>
                      <w:rFonts w:hint="default" w:ascii="Times New Roman" w:hAnsi="Times New Roman" w:eastAsia="宋体" w:cs="Times New Roman"/>
                      <w:b w:val="0"/>
                      <w:bCs w:val="0"/>
                      <w:color w:val="auto"/>
                      <w:sz w:val="24"/>
                      <w:szCs w:val="24"/>
                      <w:highlight w:val="none"/>
                    </w:rPr>
                    <w:t>。</w:t>
                  </w:r>
                </w:p>
              </w:tc>
              <w:tc>
                <w:tcPr>
                  <w:tcW w:w="960" w:type="pct"/>
                  <w:vAlign w:val="center"/>
                </w:tcPr>
                <w:p w14:paraId="497055B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扩建完成后全厂共设置4座全封闭钢板水泥筒仓，筒仓规格均为直径2.5m、高20m，单座容积200</w:t>
                  </w:r>
                  <w:r>
                    <w:rPr>
                      <w:rFonts w:hint="default" w:ascii="Times New Roman" w:hAnsi="Times New Roman" w:cs="Times New Roman"/>
                      <w:color w:val="auto"/>
                      <w:sz w:val="24"/>
                      <w:szCs w:val="24"/>
                      <w:highlight w:val="none"/>
                      <w:lang w:val="en-US" w:eastAsia="zh-CN"/>
                    </w:rPr>
                    <w:t>t</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4个为800t</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highlight w:val="none"/>
                      <w:lang w:val="en-US" w:eastAsia="zh-CN"/>
                    </w:rPr>
                    <w:t>本项目扩建完成后，本项目水泥</w:t>
                  </w:r>
                  <w:r>
                    <w:rPr>
                      <w:rFonts w:hint="eastAsia" w:cs="Times New Roman"/>
                      <w:color w:val="auto"/>
                      <w:highlight w:val="none"/>
                      <w:lang w:val="en-US" w:eastAsia="zh-CN"/>
                    </w:rPr>
                    <w:t>堆存量为</w:t>
                  </w:r>
                  <w:r>
                    <w:rPr>
                      <w:rFonts w:hint="default" w:ascii="Times New Roman" w:hAnsi="Times New Roman" w:cs="Times New Roman"/>
                      <w:color w:val="auto"/>
                      <w:highlight w:val="none"/>
                      <w:lang w:val="en-US" w:eastAsia="zh-CN"/>
                    </w:rPr>
                    <w:t>800t，水泥每天</w:t>
                  </w:r>
                  <w:r>
                    <w:rPr>
                      <w:rFonts w:hint="eastAsia" w:cs="Times New Roman"/>
                      <w:color w:val="auto"/>
                      <w:highlight w:val="none"/>
                      <w:lang w:val="en-US" w:eastAsia="zh-CN"/>
                    </w:rPr>
                    <w:t>使用量</w:t>
                  </w:r>
                  <w:r>
                    <w:rPr>
                      <w:rFonts w:hint="default" w:ascii="Times New Roman" w:hAnsi="Times New Roman" w:cs="Times New Roman"/>
                      <w:color w:val="auto"/>
                      <w:highlight w:val="none"/>
                      <w:lang w:val="en-US" w:eastAsia="zh-CN"/>
                    </w:rPr>
                    <w:t>为417.48t/a，可以满足1.92天使用</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所有筒仓顶部均配套布袋除尘器，水泥全部通过密闭管道泵送进入拌合楼搅拌罐。</w:t>
                  </w:r>
                </w:p>
              </w:tc>
              <w:tc>
                <w:tcPr>
                  <w:tcW w:w="707" w:type="pct"/>
                  <w:vAlign w:val="center"/>
                </w:tcPr>
                <w:p w14:paraId="7775951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新增两座</w:t>
                  </w:r>
                  <w:r>
                    <w:rPr>
                      <w:rFonts w:hint="default" w:ascii="Times New Roman" w:hAnsi="Times New Roman" w:eastAsia="宋体" w:cs="Times New Roman"/>
                      <w:b w:val="0"/>
                      <w:bCs w:val="0"/>
                      <w:color w:val="auto"/>
                      <w:sz w:val="24"/>
                      <w:szCs w:val="24"/>
                      <w:highlight w:val="none"/>
                      <w:vertAlign w:val="baseline"/>
                      <w:lang w:val="en-US" w:eastAsia="zh-CN"/>
                    </w:rPr>
                    <w:t>水泥筒仓</w:t>
                  </w:r>
                </w:p>
              </w:tc>
            </w:tr>
            <w:tr w14:paraId="7C069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832" w:type="pct"/>
                  <w:vMerge w:val="continue"/>
                  <w:vAlign w:val="center"/>
                </w:tcPr>
                <w:p w14:paraId="2C7656A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p>
              </w:tc>
              <w:tc>
                <w:tcPr>
                  <w:tcW w:w="832" w:type="pct"/>
                  <w:vAlign w:val="center"/>
                </w:tcPr>
                <w:p w14:paraId="37634A0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上料仓</w:t>
                  </w:r>
                </w:p>
              </w:tc>
              <w:tc>
                <w:tcPr>
                  <w:tcW w:w="832" w:type="pct"/>
                  <w:vAlign w:val="center"/>
                </w:tcPr>
                <w:p w14:paraId="6C35C1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配套单层上料仓</w:t>
                  </w:r>
                  <w:r>
                    <w:rPr>
                      <w:rFonts w:hint="default" w:ascii="Times New Roman" w:hAnsi="Times New Roman" w:cs="Times New Roman"/>
                      <w:color w:val="auto"/>
                      <w:sz w:val="24"/>
                      <w:szCs w:val="24"/>
                      <w:highlight w:val="none"/>
                      <w:lang w:val="en-US" w:eastAsia="zh-CN"/>
                    </w:rPr>
                    <w:t>一套</w:t>
                  </w:r>
                  <w:r>
                    <w:rPr>
                      <w:rFonts w:hint="default" w:ascii="Times New Roman" w:hAnsi="Times New Roman" w:eastAsia="宋体" w:cs="Times New Roman"/>
                      <w:color w:val="auto"/>
                      <w:sz w:val="24"/>
                      <w:szCs w:val="24"/>
                      <w:highlight w:val="none"/>
                    </w:rPr>
                    <w:t>，统一存放砂子、石子、外加剂等生产原材料，作为生产线原料存储、进料单元，与搅拌主楼连通为同一封闭建筑</w:t>
                  </w:r>
                </w:p>
              </w:tc>
              <w:tc>
                <w:tcPr>
                  <w:tcW w:w="832" w:type="pct"/>
                  <w:vAlign w:val="center"/>
                </w:tcPr>
                <w:p w14:paraId="058A982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建设</w:t>
                  </w:r>
                  <w:r>
                    <w:rPr>
                      <w:rFonts w:hint="default" w:ascii="Times New Roman" w:hAnsi="Times New Roman" w:cs="Times New Roman"/>
                      <w:b w:val="0"/>
                      <w:bCs w:val="0"/>
                      <w:color w:val="auto"/>
                      <w:sz w:val="24"/>
                      <w:szCs w:val="24"/>
                      <w:highlight w:val="none"/>
                      <w:vertAlign w:val="baseline"/>
                      <w:lang w:val="en-US" w:eastAsia="zh-CN"/>
                    </w:rPr>
                    <w:t>全封闭</w:t>
                  </w:r>
                  <w:r>
                    <w:rPr>
                      <w:rFonts w:hint="default" w:ascii="Times New Roman" w:hAnsi="Times New Roman" w:eastAsia="宋体" w:cs="Times New Roman"/>
                      <w:b w:val="0"/>
                      <w:bCs w:val="0"/>
                      <w:color w:val="auto"/>
                      <w:sz w:val="24"/>
                      <w:szCs w:val="24"/>
                      <w:highlight w:val="none"/>
                      <w:vertAlign w:val="baseline"/>
                      <w:lang w:val="en-US" w:eastAsia="zh-CN"/>
                    </w:rPr>
                    <w:t>上料仓1套，用于原料砂子、石子上料使用。</w:t>
                  </w:r>
                </w:p>
              </w:tc>
              <w:tc>
                <w:tcPr>
                  <w:tcW w:w="960" w:type="pct"/>
                  <w:vAlign w:val="center"/>
                </w:tcPr>
                <w:p w14:paraId="3A7CA8A1">
                  <w:pPr>
                    <w:keepNext w:val="0"/>
                    <w:keepLines w:val="0"/>
                    <w:pageBreakBefore w:val="0"/>
                    <w:kinsoku/>
                    <w:wordWrap/>
                    <w:overflowPunct/>
                    <w:topLinePunct w:val="0"/>
                    <w:autoSpaceDE/>
                    <w:autoSpaceDN/>
                    <w:bidi w:val="0"/>
                    <w:adjustRightInd w:val="0"/>
                    <w:snapToGrid w:val="0"/>
                    <w:ind w:left="0" w:leftChars="0"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扩建后全厂共设置单层封闭式上料仓2套，作为生产线原料存储、进料单元，仓体与搅拌主楼连通形成整体封闭建筑，全面满足砂石输送上料需求。</w:t>
                  </w:r>
                </w:p>
              </w:tc>
              <w:tc>
                <w:tcPr>
                  <w:tcW w:w="707" w:type="pct"/>
                  <w:vAlign w:val="center"/>
                </w:tcPr>
                <w:p w14:paraId="4DC2945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新增一套</w:t>
                  </w:r>
                  <w:r>
                    <w:rPr>
                      <w:rFonts w:hint="default" w:ascii="Times New Roman" w:hAnsi="Times New Roman" w:eastAsia="宋体" w:cs="Times New Roman"/>
                      <w:b w:val="0"/>
                      <w:bCs w:val="0"/>
                      <w:color w:val="auto"/>
                      <w:sz w:val="24"/>
                      <w:szCs w:val="24"/>
                      <w:highlight w:val="none"/>
                      <w:vertAlign w:val="baseline"/>
                      <w:lang w:val="en-US" w:eastAsia="zh-CN"/>
                    </w:rPr>
                    <w:t>上料仓</w:t>
                  </w:r>
                </w:p>
              </w:tc>
            </w:tr>
            <w:tr w14:paraId="1CBCD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832" w:type="pct"/>
                  <w:vMerge w:val="continue"/>
                  <w:vAlign w:val="center"/>
                </w:tcPr>
                <w:p w14:paraId="0BDCA95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p>
              </w:tc>
              <w:tc>
                <w:tcPr>
                  <w:tcW w:w="832" w:type="pct"/>
                  <w:vAlign w:val="center"/>
                </w:tcPr>
                <w:p w14:paraId="2979E32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eastAsia" w:cs="Times New Roman"/>
                      <w:b w:val="0"/>
                      <w:bCs w:val="0"/>
                      <w:color w:val="auto"/>
                      <w:sz w:val="24"/>
                      <w:szCs w:val="24"/>
                      <w:highlight w:val="none"/>
                      <w:vertAlign w:val="baseline"/>
                      <w:lang w:val="en-US" w:eastAsia="zh-CN"/>
                    </w:rPr>
                    <w:t>输送皮带</w:t>
                  </w:r>
                </w:p>
              </w:tc>
              <w:tc>
                <w:tcPr>
                  <w:tcW w:w="832" w:type="pct"/>
                  <w:vAlign w:val="center"/>
                </w:tcPr>
                <w:p w14:paraId="7DF6A05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设置全封闭主</w:t>
                  </w:r>
                  <w:r>
                    <w:rPr>
                      <w:rFonts w:hint="eastAsia" w:cs="Times New Roman"/>
                      <w:color w:val="auto"/>
                      <w:sz w:val="24"/>
                      <w:szCs w:val="24"/>
                      <w:highlight w:val="none"/>
                      <w:lang w:eastAsia="zh-CN"/>
                    </w:rPr>
                    <w:t>输送皮带</w:t>
                  </w:r>
                  <w:r>
                    <w:rPr>
                      <w:rFonts w:hint="default" w:ascii="Times New Roman" w:hAnsi="Times New Roman" w:eastAsia="宋体" w:cs="Times New Roman"/>
                      <w:color w:val="auto"/>
                      <w:sz w:val="24"/>
                      <w:szCs w:val="24"/>
                      <w:highlight w:val="none"/>
                    </w:rPr>
                    <w:t>1条，衔接上料仓与搅拌主楼，负责将各类原料从原料仓输送至</w:t>
                  </w:r>
                  <w:r>
                    <w:rPr>
                      <w:rFonts w:hint="eastAsia" w:cs="Times New Roman"/>
                      <w:color w:val="auto"/>
                      <w:sz w:val="24"/>
                      <w:szCs w:val="24"/>
                      <w:highlight w:val="none"/>
                      <w:lang w:eastAsia="zh-CN"/>
                    </w:rPr>
                    <w:t>拌合</w:t>
                  </w:r>
                  <w:r>
                    <w:rPr>
                      <w:rFonts w:hint="default" w:ascii="Times New Roman" w:hAnsi="Times New Roman" w:eastAsia="宋体" w:cs="Times New Roman"/>
                      <w:color w:val="auto"/>
                      <w:sz w:val="24"/>
                      <w:szCs w:val="24"/>
                      <w:highlight w:val="none"/>
                    </w:rPr>
                    <w:t>主楼</w:t>
                  </w:r>
                </w:p>
              </w:tc>
              <w:tc>
                <w:tcPr>
                  <w:tcW w:w="832" w:type="pct"/>
                  <w:vAlign w:val="center"/>
                </w:tcPr>
                <w:p w14:paraId="7F0952D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建设全封闭</w:t>
                  </w:r>
                  <w:r>
                    <w:rPr>
                      <w:rFonts w:hint="eastAsia" w:cs="Times New Roman"/>
                      <w:b w:val="0"/>
                      <w:bCs w:val="0"/>
                      <w:color w:val="auto"/>
                      <w:sz w:val="24"/>
                      <w:szCs w:val="24"/>
                      <w:highlight w:val="none"/>
                      <w:vertAlign w:val="baseline"/>
                      <w:lang w:val="en-US" w:eastAsia="zh-CN"/>
                    </w:rPr>
                    <w:t>输送皮带</w:t>
                  </w:r>
                  <w:r>
                    <w:rPr>
                      <w:rFonts w:hint="default" w:ascii="Times New Roman" w:hAnsi="Times New Roman" w:eastAsia="宋体" w:cs="Times New Roman"/>
                      <w:b w:val="0"/>
                      <w:bCs w:val="0"/>
                      <w:color w:val="auto"/>
                      <w:sz w:val="24"/>
                      <w:szCs w:val="24"/>
                      <w:highlight w:val="none"/>
                      <w:vertAlign w:val="baseline"/>
                      <w:lang w:val="en-US" w:eastAsia="zh-CN"/>
                    </w:rPr>
                    <w:t>1条</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长度约为33.63米）</w:t>
                  </w:r>
                  <w:r>
                    <w:rPr>
                      <w:rFonts w:hint="default" w:ascii="Times New Roman" w:hAnsi="Times New Roman" w:eastAsia="宋体" w:cs="Times New Roman"/>
                      <w:b w:val="0"/>
                      <w:bCs w:val="0"/>
                      <w:color w:val="auto"/>
                      <w:sz w:val="24"/>
                      <w:szCs w:val="24"/>
                      <w:highlight w:val="none"/>
                      <w:vertAlign w:val="baseline"/>
                      <w:lang w:val="en-US" w:eastAsia="zh-CN"/>
                    </w:rPr>
                    <w:t>，用于上料仓至拌合楼输送原料。</w:t>
                  </w:r>
                </w:p>
              </w:tc>
              <w:tc>
                <w:tcPr>
                  <w:tcW w:w="960" w:type="pct"/>
                  <w:vAlign w:val="center"/>
                </w:tcPr>
                <w:p w14:paraId="22C0FDF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扩建后全厂共配套全封闭原料</w:t>
                  </w:r>
                  <w:r>
                    <w:rPr>
                      <w:rFonts w:hint="eastAsia" w:cs="Times New Roman"/>
                      <w:color w:val="auto"/>
                      <w:sz w:val="24"/>
                      <w:szCs w:val="24"/>
                      <w:highlight w:val="none"/>
                      <w:lang w:eastAsia="zh-CN"/>
                    </w:rPr>
                    <w:t>输送皮带</w:t>
                  </w:r>
                  <w:r>
                    <w:rPr>
                      <w:rFonts w:hint="default" w:ascii="Times New Roman" w:hAnsi="Times New Roman" w:eastAsia="宋体" w:cs="Times New Roman"/>
                      <w:color w:val="auto"/>
                      <w:sz w:val="24"/>
                      <w:szCs w:val="24"/>
                      <w:highlight w:val="none"/>
                    </w:rPr>
                    <w:t>2条，连通上料仓与搅拌主楼，承担各类砂石原料由料仓至拌合主楼的输送作业。</w:t>
                  </w:r>
                </w:p>
              </w:tc>
              <w:tc>
                <w:tcPr>
                  <w:tcW w:w="707" w:type="pct"/>
                  <w:vAlign w:val="center"/>
                </w:tcPr>
                <w:p w14:paraId="6289186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新增一条</w:t>
                  </w:r>
                  <w:r>
                    <w:rPr>
                      <w:rFonts w:hint="eastAsia" w:cs="Times New Roman"/>
                      <w:b w:val="0"/>
                      <w:bCs w:val="0"/>
                      <w:color w:val="auto"/>
                      <w:sz w:val="24"/>
                      <w:szCs w:val="24"/>
                      <w:highlight w:val="none"/>
                      <w:vertAlign w:val="baseline"/>
                      <w:lang w:val="en-US" w:eastAsia="zh-CN"/>
                    </w:rPr>
                    <w:t>输送皮带</w:t>
                  </w:r>
                </w:p>
              </w:tc>
            </w:tr>
            <w:tr w14:paraId="0E5D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2" w:type="pct"/>
                  <w:vMerge w:val="restart"/>
                  <w:vAlign w:val="center"/>
                </w:tcPr>
                <w:p w14:paraId="3034964A">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公用工程</w:t>
                  </w:r>
                </w:p>
              </w:tc>
              <w:tc>
                <w:tcPr>
                  <w:tcW w:w="832" w:type="pct"/>
                  <w:vAlign w:val="center"/>
                </w:tcPr>
                <w:p w14:paraId="784C6C0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供电</w:t>
                  </w:r>
                </w:p>
              </w:tc>
              <w:tc>
                <w:tcPr>
                  <w:tcW w:w="832" w:type="pct"/>
                  <w:vAlign w:val="center"/>
                </w:tcPr>
                <w:p w14:paraId="0723098B">
                  <w:pPr>
                    <w:pStyle w:val="46"/>
                    <w:keepNext w:val="0"/>
                    <w:keepLines w:val="0"/>
                    <w:pageBreakBefore w:val="0"/>
                    <w:kinsoku/>
                    <w:wordWrap/>
                    <w:overflowPunct/>
                    <w:topLinePunct w:val="0"/>
                    <w:autoSpaceDE/>
                    <w:autoSpaceDN/>
                    <w:bidi w:val="0"/>
                    <w:adjustRightInd w:val="0"/>
                    <w:snapToGrid w:val="0"/>
                    <w:spacing w:before="53" w:line="360" w:lineRule="auto"/>
                    <w:ind w:left="0" w:leftChars="0" w:right="1" w:firstLine="464"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color w:val="auto"/>
                      <w:spacing w:val="-4"/>
                      <w:sz w:val="24"/>
                      <w:szCs w:val="24"/>
                      <w:highlight w:val="none"/>
                    </w:rPr>
                    <w:t>项目用电依托工业广场现有供电设施，用电来源于万利镇110/35/10</w:t>
                  </w:r>
                  <w:r>
                    <w:rPr>
                      <w:rFonts w:hint="default" w:ascii="Times New Roman" w:hAnsi="Times New Roman" w:eastAsia="宋体" w:cs="Times New Roman"/>
                      <w:color w:val="auto"/>
                      <w:spacing w:val="-4"/>
                      <w:sz w:val="24"/>
                      <w:szCs w:val="24"/>
                      <w:highlight w:val="none"/>
                      <w:lang w:val="en-US" w:eastAsia="zh-CN"/>
                    </w:rPr>
                    <w:t>kv</w:t>
                  </w:r>
                  <w:r>
                    <w:rPr>
                      <w:rFonts w:hint="default" w:ascii="Times New Roman" w:hAnsi="Times New Roman" w:eastAsia="宋体" w:cs="Times New Roman"/>
                      <w:color w:val="auto"/>
                      <w:spacing w:val="-4"/>
                      <w:sz w:val="24"/>
                      <w:szCs w:val="24"/>
                      <w:highlight w:val="none"/>
                    </w:rPr>
                    <w:t>变电站。</w:t>
                  </w:r>
                </w:p>
              </w:tc>
              <w:tc>
                <w:tcPr>
                  <w:tcW w:w="832" w:type="pct"/>
                  <w:vAlign w:val="center"/>
                </w:tcPr>
                <w:p w14:paraId="291271D3">
                  <w:pPr>
                    <w:keepNext w:val="0"/>
                    <w:keepLines w:val="0"/>
                    <w:pageBreakBefore w:val="0"/>
                    <w:widowControl w:val="0"/>
                    <w:kinsoku/>
                    <w:wordWrap/>
                    <w:overflowPunct/>
                    <w:topLinePunct w:val="0"/>
                    <w:autoSpaceDE/>
                    <w:autoSpaceDN/>
                    <w:bidi w:val="0"/>
                    <w:adjustRightInd w:val="0"/>
                    <w:snapToGrid w:val="0"/>
                    <w:spacing w:line="360" w:lineRule="auto"/>
                    <w:ind w:firstLine="464"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color w:val="auto"/>
                      <w:spacing w:val="-4"/>
                      <w:sz w:val="24"/>
                      <w:szCs w:val="24"/>
                      <w:highlight w:val="none"/>
                    </w:rPr>
                    <w:t>项目用电依托工业广场现有供电设施，用电来源于万利镇110/35/10</w:t>
                  </w:r>
                  <w:r>
                    <w:rPr>
                      <w:rFonts w:hint="default" w:ascii="Times New Roman" w:hAnsi="Times New Roman" w:eastAsia="宋体" w:cs="Times New Roman"/>
                      <w:color w:val="auto"/>
                      <w:spacing w:val="-4"/>
                      <w:sz w:val="24"/>
                      <w:szCs w:val="24"/>
                      <w:highlight w:val="none"/>
                      <w:lang w:val="en-US" w:eastAsia="zh-CN"/>
                    </w:rPr>
                    <w:t>kv</w:t>
                  </w:r>
                  <w:r>
                    <w:rPr>
                      <w:rFonts w:hint="default" w:ascii="Times New Roman" w:hAnsi="Times New Roman" w:eastAsia="宋体" w:cs="Times New Roman"/>
                      <w:color w:val="auto"/>
                      <w:spacing w:val="-4"/>
                      <w:sz w:val="24"/>
                      <w:szCs w:val="24"/>
                      <w:highlight w:val="none"/>
                    </w:rPr>
                    <w:t>变电站。</w:t>
                  </w:r>
                </w:p>
              </w:tc>
              <w:tc>
                <w:tcPr>
                  <w:tcW w:w="960" w:type="pct"/>
                  <w:vAlign w:val="center"/>
                </w:tcPr>
                <w:p w14:paraId="0CD23BA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依托工业广场现有供电设施，用电仍由万利镇110/35/10</w:t>
                  </w:r>
                  <w:r>
                    <w:rPr>
                      <w:rFonts w:hint="default" w:ascii="Times New Roman" w:hAnsi="Times New Roman" w:cs="Times New Roman"/>
                      <w:color w:val="auto"/>
                      <w:sz w:val="24"/>
                      <w:szCs w:val="24"/>
                      <w:highlight w:val="none"/>
                      <w:lang w:val="en-US" w:eastAsia="zh-CN"/>
                    </w:rPr>
                    <w:t>kv</w:t>
                  </w:r>
                  <w:r>
                    <w:rPr>
                      <w:rFonts w:hint="default" w:ascii="Times New Roman" w:hAnsi="Times New Roman" w:eastAsia="宋体" w:cs="Times New Roman"/>
                      <w:color w:val="auto"/>
                      <w:sz w:val="24"/>
                      <w:szCs w:val="24"/>
                      <w:highlight w:val="none"/>
                    </w:rPr>
                    <w:t>变电站厂区现有变电站接出，无新增供电工程。</w:t>
                  </w:r>
                </w:p>
              </w:tc>
              <w:tc>
                <w:tcPr>
                  <w:tcW w:w="707" w:type="pct"/>
                  <w:vAlign w:val="center"/>
                </w:tcPr>
                <w:p w14:paraId="2B35109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否</w:t>
                  </w:r>
                </w:p>
              </w:tc>
            </w:tr>
            <w:tr w14:paraId="0088B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2" w:type="pct"/>
                  <w:vMerge w:val="continue"/>
                  <w:vAlign w:val="center"/>
                </w:tcPr>
                <w:p w14:paraId="3DD2974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p>
              </w:tc>
              <w:tc>
                <w:tcPr>
                  <w:tcW w:w="832" w:type="pct"/>
                  <w:vAlign w:val="center"/>
                </w:tcPr>
                <w:p w14:paraId="1E04511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供水</w:t>
                  </w:r>
                </w:p>
              </w:tc>
              <w:tc>
                <w:tcPr>
                  <w:tcW w:w="832" w:type="pct"/>
                  <w:vAlign w:val="center"/>
                </w:tcPr>
                <w:p w14:paraId="60980B1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供水来源</w:t>
                  </w:r>
                  <w:r>
                    <w:rPr>
                      <w:rFonts w:hint="eastAsia" w:cs="Times New Roman"/>
                      <w:b w:val="0"/>
                      <w:bCs w:val="0"/>
                      <w:color w:val="auto"/>
                      <w:sz w:val="24"/>
                      <w:szCs w:val="24"/>
                      <w:highlight w:val="none"/>
                      <w:vertAlign w:val="baseline"/>
                      <w:lang w:val="en-US" w:eastAsia="zh-CN"/>
                    </w:rPr>
                    <w:t>：本</w:t>
                  </w:r>
                  <w:r>
                    <w:rPr>
                      <w:rFonts w:hint="default" w:ascii="Times New Roman" w:hAnsi="Times New Roman" w:eastAsia="宋体" w:cs="Times New Roman"/>
                      <w:b w:val="0"/>
                      <w:bCs w:val="0"/>
                      <w:color w:val="auto"/>
                      <w:sz w:val="24"/>
                      <w:szCs w:val="24"/>
                      <w:highlight w:val="none"/>
                      <w:vertAlign w:val="baseline"/>
                      <w:lang w:val="en-US" w:eastAsia="zh-CN"/>
                    </w:rPr>
                    <w:t>煤矿矿井水</w:t>
                  </w:r>
                </w:p>
              </w:tc>
              <w:tc>
                <w:tcPr>
                  <w:tcW w:w="832" w:type="pct"/>
                  <w:vAlign w:val="center"/>
                </w:tcPr>
                <w:p w14:paraId="1C433D2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供水来源</w:t>
                  </w:r>
                  <w:r>
                    <w:rPr>
                      <w:rFonts w:hint="eastAsia" w:cs="Times New Roman"/>
                      <w:b w:val="0"/>
                      <w:bCs w:val="0"/>
                      <w:color w:val="auto"/>
                      <w:sz w:val="24"/>
                      <w:szCs w:val="24"/>
                      <w:highlight w:val="none"/>
                      <w:vertAlign w:val="baseline"/>
                      <w:lang w:val="en-US" w:eastAsia="zh-CN"/>
                    </w:rPr>
                    <w:t>：本</w:t>
                  </w:r>
                  <w:r>
                    <w:rPr>
                      <w:rFonts w:hint="default" w:ascii="Times New Roman" w:hAnsi="Times New Roman" w:eastAsia="宋体" w:cs="Times New Roman"/>
                      <w:b w:val="0"/>
                      <w:bCs w:val="0"/>
                      <w:color w:val="auto"/>
                      <w:sz w:val="24"/>
                      <w:szCs w:val="24"/>
                      <w:highlight w:val="none"/>
                      <w:vertAlign w:val="baseline"/>
                      <w:lang w:val="en-US" w:eastAsia="zh-CN"/>
                    </w:rPr>
                    <w:t>煤矿矿井水</w:t>
                  </w:r>
                </w:p>
              </w:tc>
              <w:tc>
                <w:tcPr>
                  <w:tcW w:w="960" w:type="pct"/>
                  <w:vAlign w:val="center"/>
                </w:tcPr>
                <w:p w14:paraId="427F4F5C">
                  <w:pPr>
                    <w:pStyle w:val="5"/>
                    <w:keepNext w:val="0"/>
                    <w:keepLines w:val="0"/>
                    <w:pageBreakBefore w:val="0"/>
                    <w:kinsoku/>
                    <w:wordWrap/>
                    <w:overflowPunct/>
                    <w:topLinePunct w:val="0"/>
                    <w:autoSpaceDE/>
                    <w:autoSpaceDN/>
                    <w:bidi w:val="0"/>
                    <w:adjustRightInd w:val="0"/>
                    <w:snapToGrid w:val="0"/>
                    <w:ind w:left="0" w:leftChars="0"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供水来源</w:t>
                  </w:r>
                  <w:r>
                    <w:rPr>
                      <w:rFonts w:hint="eastAsia" w:cs="Times New Roman"/>
                      <w:b w:val="0"/>
                      <w:bCs w:val="0"/>
                      <w:color w:val="auto"/>
                      <w:sz w:val="24"/>
                      <w:szCs w:val="24"/>
                      <w:highlight w:val="none"/>
                      <w:vertAlign w:val="baseline"/>
                      <w:lang w:val="en-US" w:eastAsia="zh-CN"/>
                    </w:rPr>
                    <w:t>：本</w:t>
                  </w:r>
                  <w:r>
                    <w:rPr>
                      <w:rFonts w:hint="default" w:ascii="Times New Roman" w:hAnsi="Times New Roman" w:eastAsia="宋体" w:cs="Times New Roman"/>
                      <w:b w:val="0"/>
                      <w:bCs w:val="0"/>
                      <w:color w:val="auto"/>
                      <w:sz w:val="24"/>
                      <w:szCs w:val="24"/>
                      <w:highlight w:val="none"/>
                      <w:vertAlign w:val="baseline"/>
                      <w:lang w:val="en-US" w:eastAsia="zh-CN"/>
                    </w:rPr>
                    <w:t>煤矿矿井水</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highlight w:val="none"/>
                      <w:lang w:val="en-US" w:eastAsia="zh-CN"/>
                    </w:rPr>
                    <w:t>两座</w:t>
                  </w:r>
                  <w:r>
                    <w:rPr>
                      <w:rFonts w:hint="eastAsia" w:cs="Times New Roman"/>
                      <w:color w:val="auto"/>
                      <w:highlight w:val="none"/>
                      <w:lang w:val="en-US" w:eastAsia="zh-CN"/>
                    </w:rPr>
                    <w:t>搅拌站</w:t>
                  </w:r>
                  <w:r>
                    <w:rPr>
                      <w:rFonts w:hint="default" w:ascii="Times New Roman" w:hAnsi="Times New Roman" w:cs="Times New Roman"/>
                      <w:color w:val="auto"/>
                      <w:highlight w:val="none"/>
                      <w:lang w:val="en-US" w:eastAsia="zh-CN"/>
                    </w:rPr>
                    <w:t>均由本煤矿矿井水</w:t>
                  </w:r>
                  <w:r>
                    <w:rPr>
                      <w:rFonts w:hint="eastAsia" w:cs="Times New Roman"/>
                      <w:color w:val="auto"/>
                      <w:highlight w:val="none"/>
                      <w:lang w:val="en-US" w:eastAsia="zh-CN"/>
                    </w:rPr>
                    <w:t>供应。</w:t>
                  </w:r>
                </w:p>
              </w:tc>
              <w:tc>
                <w:tcPr>
                  <w:tcW w:w="707" w:type="pct"/>
                  <w:vAlign w:val="center"/>
                </w:tcPr>
                <w:p w14:paraId="7B88AF65">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否</w:t>
                  </w:r>
                </w:p>
              </w:tc>
            </w:tr>
            <w:tr w14:paraId="1FAA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2" w:type="pct"/>
                  <w:vMerge w:val="continue"/>
                  <w:vAlign w:val="center"/>
                </w:tcPr>
                <w:p w14:paraId="7767BE9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p>
              </w:tc>
              <w:tc>
                <w:tcPr>
                  <w:tcW w:w="832" w:type="pct"/>
                  <w:vAlign w:val="center"/>
                </w:tcPr>
                <w:p w14:paraId="4E05D83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排水</w:t>
                  </w:r>
                </w:p>
              </w:tc>
              <w:tc>
                <w:tcPr>
                  <w:tcW w:w="832" w:type="pct"/>
                  <w:vAlign w:val="center"/>
                </w:tcPr>
                <w:p w14:paraId="427A2198">
                  <w:pPr>
                    <w:pStyle w:val="46"/>
                    <w:keepNext w:val="0"/>
                    <w:keepLines w:val="0"/>
                    <w:pageBreakBefore w:val="0"/>
                    <w:kinsoku/>
                    <w:wordWrap/>
                    <w:overflowPunct/>
                    <w:topLinePunct w:val="0"/>
                    <w:autoSpaceDE/>
                    <w:autoSpaceDN/>
                    <w:bidi w:val="0"/>
                    <w:adjustRightInd w:val="0"/>
                    <w:snapToGrid w:val="0"/>
                    <w:spacing w:before="62" w:line="360" w:lineRule="auto"/>
                    <w:ind w:left="0" w:leftChars="0" w:firstLine="464"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color w:val="auto"/>
                      <w:spacing w:val="-4"/>
                      <w:sz w:val="24"/>
                      <w:szCs w:val="24"/>
                      <w:highlight w:val="none"/>
                    </w:rPr>
                    <w:t>项目运营不产生生产废水；项目</w:t>
                  </w:r>
                  <w:r>
                    <w:rPr>
                      <w:rFonts w:hint="default" w:ascii="Times New Roman" w:hAnsi="Times New Roman" w:eastAsia="宋体" w:cs="Times New Roman"/>
                      <w:color w:val="auto"/>
                      <w:sz w:val="24"/>
                      <w:szCs w:val="24"/>
                      <w:highlight w:val="none"/>
                    </w:rPr>
                    <w:t>工作人员从矿上现有职工</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color w:val="auto"/>
                      <w:sz w:val="24"/>
                      <w:szCs w:val="24"/>
                      <w:highlight w:val="none"/>
                    </w:rPr>
                    <w:t>抽调</w:t>
                  </w:r>
                  <w:r>
                    <w:rPr>
                      <w:rFonts w:hint="default" w:ascii="Times New Roman" w:hAnsi="Times New Roman" w:eastAsia="宋体" w:cs="Times New Roman"/>
                      <w:color w:val="auto"/>
                      <w:spacing w:val="-4"/>
                      <w:sz w:val="24"/>
                      <w:szCs w:val="24"/>
                      <w:highlight w:val="none"/>
                    </w:rPr>
                    <w:t>，不</w:t>
                  </w:r>
                  <w:r>
                    <w:rPr>
                      <w:rFonts w:hint="default" w:ascii="Times New Roman" w:hAnsi="Times New Roman" w:eastAsia="宋体" w:cs="Times New Roman"/>
                      <w:color w:val="auto"/>
                      <w:spacing w:val="-3"/>
                      <w:sz w:val="24"/>
                      <w:szCs w:val="24"/>
                      <w:highlight w:val="none"/>
                    </w:rPr>
                    <w:t>产生生活污水</w:t>
                  </w:r>
                </w:p>
              </w:tc>
              <w:tc>
                <w:tcPr>
                  <w:tcW w:w="832" w:type="pct"/>
                  <w:vAlign w:val="center"/>
                </w:tcPr>
                <w:p w14:paraId="41DBBF4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生活污水：</w:t>
                  </w:r>
                  <w:r>
                    <w:rPr>
                      <w:rFonts w:hint="default" w:ascii="Times New Roman" w:hAnsi="Times New Roman" w:eastAsia="宋体" w:cs="Times New Roman"/>
                      <w:color w:val="auto"/>
                      <w:sz w:val="24"/>
                      <w:szCs w:val="24"/>
                      <w:highlight w:val="none"/>
                      <w:lang w:val="en-US" w:eastAsia="zh-CN"/>
                    </w:rPr>
                    <w:t>不产生生活污水。</w:t>
                  </w:r>
                </w:p>
                <w:p w14:paraId="3053870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搅拌罐清洗废水：清洗废水不出搅拌罐，全部回用至下次生产用水（混凝土搅拌）；</w:t>
                  </w:r>
                </w:p>
                <w:p w14:paraId="25EAE6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罐车清洗在矿井下混凝土浇筑地点进行，清洗废水与混凝土共同进入浇筑点，不外排</w:t>
                  </w:r>
                </w:p>
              </w:tc>
              <w:tc>
                <w:tcPr>
                  <w:tcW w:w="960" w:type="pct"/>
                  <w:vAlign w:val="center"/>
                </w:tcPr>
                <w:p w14:paraId="5BD3594B">
                  <w:pPr>
                    <w:pStyle w:val="5"/>
                    <w:keepNext w:val="0"/>
                    <w:keepLines w:val="0"/>
                    <w:pageBreakBefore w:val="0"/>
                    <w:kinsoku/>
                    <w:wordWrap/>
                    <w:overflowPunct/>
                    <w:topLinePunct w:val="0"/>
                    <w:autoSpaceDE/>
                    <w:autoSpaceDN/>
                    <w:bidi w:val="0"/>
                    <w:adjustRightInd w:val="0"/>
                    <w:snapToGrid w:val="0"/>
                    <w:ind w:left="0" w:leftChars="0"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无新增劳动定员，不产生生活污水；</w:t>
                  </w:r>
                  <w:r>
                    <w:rPr>
                      <w:rFonts w:hint="default" w:ascii="Times New Roman" w:hAnsi="Times New Roman" w:cs="Times New Roman"/>
                      <w:color w:val="auto"/>
                      <w:highlight w:val="none"/>
                      <w:lang w:val="en-US" w:eastAsia="zh-CN"/>
                    </w:rPr>
                    <w:t>无生活污水产生排放；搅拌罐清洗废水：不出罐，直接用于下次搅拌用水；</w:t>
                  </w:r>
                  <w:r>
                    <w:rPr>
                      <w:rFonts w:hint="default" w:ascii="Times New Roman" w:hAnsi="Times New Roman" w:eastAsia="宋体" w:cs="Times New Roman"/>
                      <w:color w:val="auto"/>
                      <w:sz w:val="24"/>
                      <w:szCs w:val="24"/>
                      <w:highlight w:val="none"/>
                    </w:rPr>
                    <w:t>罐车清洗在矿井下混凝土浇筑地点进行，清洗废水与混凝土共同进入浇筑点，不外排</w:t>
                  </w:r>
                </w:p>
              </w:tc>
              <w:tc>
                <w:tcPr>
                  <w:tcW w:w="707" w:type="pct"/>
                  <w:vAlign w:val="center"/>
                </w:tcPr>
                <w:p w14:paraId="53C8A56C">
                  <w:pPr>
                    <w:pStyle w:val="5"/>
                    <w:ind w:left="0" w:leftChars="0" w:firstLine="0" w:firstLineChars="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否</w:t>
                  </w:r>
                </w:p>
              </w:tc>
            </w:tr>
            <w:tr w14:paraId="63709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32" w:type="pct"/>
                  <w:vMerge w:val="continue"/>
                  <w:vAlign w:val="center"/>
                </w:tcPr>
                <w:p w14:paraId="6549925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p>
              </w:tc>
              <w:tc>
                <w:tcPr>
                  <w:tcW w:w="832" w:type="pct"/>
                  <w:vAlign w:val="center"/>
                </w:tcPr>
                <w:p w14:paraId="7D8BD58D">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供暖</w:t>
                  </w:r>
                </w:p>
              </w:tc>
              <w:tc>
                <w:tcPr>
                  <w:tcW w:w="832" w:type="pct"/>
                  <w:tcMar>
                    <w:top w:w="0" w:type="dxa"/>
                    <w:left w:w="85" w:type="dxa"/>
                    <w:bottom w:w="0" w:type="dxa"/>
                    <w:right w:w="85" w:type="dxa"/>
                  </w:tcMar>
                  <w:vAlign w:val="center"/>
                </w:tcPr>
                <w:p w14:paraId="6470595B">
                  <w:pPr>
                    <w:pStyle w:val="46"/>
                    <w:keepNext w:val="0"/>
                    <w:keepLines w:val="0"/>
                    <w:pageBreakBefore w:val="0"/>
                    <w:widowControl w:val="0"/>
                    <w:kinsoku/>
                    <w:wordWrap/>
                    <w:overflowPunct/>
                    <w:topLinePunct w:val="0"/>
                    <w:autoSpaceDE/>
                    <w:autoSpaceDN/>
                    <w:bidi w:val="0"/>
                    <w:adjustRightInd w:val="0"/>
                    <w:snapToGrid w:val="0"/>
                    <w:spacing w:line="360" w:lineRule="auto"/>
                    <w:ind w:left="0" w:leftChars="0" w:firstLine="476"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pacing w:val="-1"/>
                      <w:sz w:val="24"/>
                      <w:szCs w:val="24"/>
                      <w:highlight w:val="none"/>
                    </w:rPr>
                    <w:t>搅拌站主楼冬季供暖热源依托于工业广场现有供暖</w:t>
                  </w:r>
                  <w:r>
                    <w:rPr>
                      <w:rFonts w:hint="default" w:ascii="Times New Roman" w:hAnsi="Times New Roman" w:eastAsia="宋体" w:cs="Times New Roman"/>
                      <w:color w:val="auto"/>
                      <w:spacing w:val="-5"/>
                      <w:sz w:val="24"/>
                      <w:szCs w:val="24"/>
                      <w:highlight w:val="none"/>
                    </w:rPr>
                    <w:t>系统，通过2台</w:t>
                  </w:r>
                  <w:r>
                    <w:rPr>
                      <w:rFonts w:hint="default" w:ascii="Times New Roman" w:hAnsi="Times New Roman" w:eastAsia="宋体" w:cs="Times New Roman"/>
                      <w:color w:val="auto"/>
                      <w:spacing w:val="-5"/>
                      <w:sz w:val="24"/>
                      <w:szCs w:val="24"/>
                      <w:highlight w:val="none"/>
                      <w:lang w:val="en-US" w:eastAsia="zh-CN"/>
                    </w:rPr>
                    <w:t>DZL</w:t>
                  </w:r>
                  <w:r>
                    <w:rPr>
                      <w:rFonts w:hint="default" w:ascii="Times New Roman" w:hAnsi="Times New Roman" w:eastAsia="宋体" w:cs="Times New Roman"/>
                      <w:color w:val="auto"/>
                      <w:spacing w:val="-5"/>
                      <w:sz w:val="24"/>
                      <w:szCs w:val="24"/>
                      <w:highlight w:val="none"/>
                    </w:rPr>
                    <w:t>14-1.25/115/70-</w:t>
                  </w:r>
                  <w:r>
                    <w:rPr>
                      <w:rFonts w:hint="default" w:ascii="Times New Roman" w:hAnsi="Times New Roman" w:eastAsia="宋体" w:cs="Times New Roman"/>
                      <w:color w:val="auto"/>
                      <w:spacing w:val="-5"/>
                      <w:sz w:val="24"/>
                      <w:szCs w:val="24"/>
                      <w:highlight w:val="none"/>
                      <w:lang w:val="en-US" w:eastAsia="zh-CN"/>
                    </w:rPr>
                    <w:t>AII</w:t>
                  </w:r>
                  <w:r>
                    <w:rPr>
                      <w:rFonts w:hint="default" w:ascii="Times New Roman" w:hAnsi="Times New Roman" w:eastAsia="宋体" w:cs="Times New Roman"/>
                      <w:color w:val="auto"/>
                      <w:spacing w:val="-6"/>
                      <w:sz w:val="24"/>
                      <w:szCs w:val="24"/>
                      <w:highlight w:val="none"/>
                    </w:rPr>
                    <w:t>燃煤型供热</w:t>
                  </w:r>
                  <w:r>
                    <w:rPr>
                      <w:rFonts w:hint="default" w:ascii="Times New Roman" w:hAnsi="Times New Roman" w:eastAsia="宋体" w:cs="Times New Roman"/>
                      <w:color w:val="auto"/>
                      <w:spacing w:val="-2"/>
                      <w:sz w:val="24"/>
                      <w:szCs w:val="24"/>
                      <w:highlight w:val="none"/>
                    </w:rPr>
                    <w:t>锅炉（一备一用）供暖。</w:t>
                  </w:r>
                </w:p>
              </w:tc>
              <w:tc>
                <w:tcPr>
                  <w:tcW w:w="832" w:type="pct"/>
                  <w:tcMar>
                    <w:top w:w="0" w:type="dxa"/>
                    <w:left w:w="85" w:type="dxa"/>
                    <w:bottom w:w="0" w:type="dxa"/>
                    <w:right w:w="85" w:type="dxa"/>
                  </w:tcMar>
                  <w:vAlign w:val="center"/>
                </w:tcPr>
                <w:p w14:paraId="3B9D769C">
                  <w:pPr>
                    <w:keepNext w:val="0"/>
                    <w:keepLines w:val="0"/>
                    <w:pageBreakBefore w:val="0"/>
                    <w:widowControl w:val="0"/>
                    <w:kinsoku/>
                    <w:wordWrap/>
                    <w:overflowPunct/>
                    <w:topLinePunct w:val="0"/>
                    <w:autoSpaceDE/>
                    <w:autoSpaceDN/>
                    <w:bidi w:val="0"/>
                    <w:adjustRightInd w:val="0"/>
                    <w:snapToGrid w:val="0"/>
                    <w:spacing w:line="360" w:lineRule="auto"/>
                    <w:ind w:firstLine="476"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pacing w:val="-1"/>
                      <w:sz w:val="24"/>
                      <w:szCs w:val="24"/>
                      <w:highlight w:val="none"/>
                    </w:rPr>
                    <w:t>搅拌站主楼冬季供暖热源依托于工业广场现有供暖</w:t>
                  </w:r>
                  <w:r>
                    <w:rPr>
                      <w:rFonts w:hint="default" w:ascii="Times New Roman" w:hAnsi="Times New Roman" w:eastAsia="宋体" w:cs="Times New Roman"/>
                      <w:color w:val="auto"/>
                      <w:spacing w:val="-5"/>
                      <w:sz w:val="24"/>
                      <w:szCs w:val="24"/>
                      <w:highlight w:val="none"/>
                    </w:rPr>
                    <w:t>系统，通过2台</w:t>
                  </w:r>
                  <w:r>
                    <w:rPr>
                      <w:rFonts w:hint="default" w:ascii="Times New Roman" w:hAnsi="Times New Roman" w:eastAsia="宋体" w:cs="Times New Roman"/>
                      <w:color w:val="auto"/>
                      <w:spacing w:val="-5"/>
                      <w:sz w:val="24"/>
                      <w:szCs w:val="24"/>
                      <w:highlight w:val="none"/>
                      <w:lang w:val="en-US" w:eastAsia="zh-CN"/>
                    </w:rPr>
                    <w:t>DZL</w:t>
                  </w:r>
                  <w:r>
                    <w:rPr>
                      <w:rFonts w:hint="default" w:ascii="Times New Roman" w:hAnsi="Times New Roman" w:eastAsia="宋体" w:cs="Times New Roman"/>
                      <w:color w:val="auto"/>
                      <w:spacing w:val="-5"/>
                      <w:sz w:val="24"/>
                      <w:szCs w:val="24"/>
                      <w:highlight w:val="none"/>
                    </w:rPr>
                    <w:t>14-1.25/115/70-</w:t>
                  </w:r>
                  <w:r>
                    <w:rPr>
                      <w:rFonts w:hint="default" w:ascii="Times New Roman" w:hAnsi="Times New Roman" w:eastAsia="宋体" w:cs="Times New Roman"/>
                      <w:color w:val="auto"/>
                      <w:spacing w:val="-5"/>
                      <w:sz w:val="24"/>
                      <w:szCs w:val="24"/>
                      <w:highlight w:val="none"/>
                      <w:lang w:val="en-US" w:eastAsia="zh-CN"/>
                    </w:rPr>
                    <w:t>AII</w:t>
                  </w:r>
                  <w:r>
                    <w:rPr>
                      <w:rFonts w:hint="default" w:ascii="Times New Roman" w:hAnsi="Times New Roman" w:eastAsia="宋体" w:cs="Times New Roman"/>
                      <w:color w:val="auto"/>
                      <w:spacing w:val="-6"/>
                      <w:sz w:val="24"/>
                      <w:szCs w:val="24"/>
                      <w:highlight w:val="none"/>
                    </w:rPr>
                    <w:t>燃煤型供热</w:t>
                  </w:r>
                  <w:r>
                    <w:rPr>
                      <w:rFonts w:hint="default" w:ascii="Times New Roman" w:hAnsi="Times New Roman" w:eastAsia="宋体" w:cs="Times New Roman"/>
                      <w:color w:val="auto"/>
                      <w:spacing w:val="-2"/>
                      <w:sz w:val="24"/>
                      <w:szCs w:val="24"/>
                      <w:highlight w:val="none"/>
                    </w:rPr>
                    <w:t>锅炉（一备一用）供暖。</w:t>
                  </w:r>
                </w:p>
              </w:tc>
              <w:tc>
                <w:tcPr>
                  <w:tcW w:w="960" w:type="pct"/>
                  <w:tcMar>
                    <w:top w:w="0" w:type="dxa"/>
                    <w:left w:w="85" w:type="dxa"/>
                    <w:bottom w:w="0" w:type="dxa"/>
                    <w:right w:w="85" w:type="dxa"/>
                  </w:tcMar>
                  <w:vAlign w:val="center"/>
                </w:tcPr>
                <w:p w14:paraId="607E407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依托工业广场现有供暖系统，</w:t>
                  </w:r>
                  <w:r>
                    <w:rPr>
                      <w:rFonts w:hint="default" w:ascii="Times New Roman" w:hAnsi="Times New Roman" w:eastAsia="宋体" w:cs="Times New Roman"/>
                      <w:color w:val="auto"/>
                      <w:spacing w:val="-5"/>
                      <w:sz w:val="24"/>
                      <w:szCs w:val="24"/>
                      <w:highlight w:val="none"/>
                    </w:rPr>
                    <w:t>通过2台</w:t>
                  </w:r>
                  <w:r>
                    <w:rPr>
                      <w:rFonts w:hint="default" w:ascii="Times New Roman" w:hAnsi="Times New Roman" w:cs="Times New Roman"/>
                      <w:color w:val="auto"/>
                      <w:spacing w:val="-5"/>
                      <w:sz w:val="24"/>
                      <w:szCs w:val="24"/>
                      <w:highlight w:val="none"/>
                      <w:lang w:eastAsia="zh-CN"/>
                    </w:rPr>
                    <w:t>（</w:t>
                  </w:r>
                  <w:r>
                    <w:rPr>
                      <w:rFonts w:hint="default" w:ascii="Times New Roman" w:hAnsi="Times New Roman" w:cs="Times New Roman"/>
                      <w:color w:val="auto"/>
                      <w:spacing w:val="-5"/>
                      <w:sz w:val="24"/>
                      <w:szCs w:val="24"/>
                      <w:highlight w:val="none"/>
                      <w:lang w:val="en-US" w:eastAsia="zh-CN"/>
                    </w:rPr>
                    <w:t>20t）</w:t>
                  </w:r>
                  <w:r>
                    <w:rPr>
                      <w:rFonts w:hint="default" w:ascii="Times New Roman" w:hAnsi="Times New Roman" w:eastAsia="宋体" w:cs="Times New Roman"/>
                      <w:color w:val="auto"/>
                      <w:spacing w:val="-5"/>
                      <w:sz w:val="24"/>
                      <w:szCs w:val="24"/>
                      <w:highlight w:val="none"/>
                      <w:lang w:val="en-US" w:eastAsia="zh-CN"/>
                    </w:rPr>
                    <w:t>DZL</w:t>
                  </w:r>
                  <w:r>
                    <w:rPr>
                      <w:rFonts w:hint="default" w:ascii="Times New Roman" w:hAnsi="Times New Roman" w:eastAsia="宋体" w:cs="Times New Roman"/>
                      <w:color w:val="auto"/>
                      <w:spacing w:val="-5"/>
                      <w:sz w:val="24"/>
                      <w:szCs w:val="24"/>
                      <w:highlight w:val="none"/>
                    </w:rPr>
                    <w:t>14-1.25/115/70-</w:t>
                  </w:r>
                  <w:r>
                    <w:rPr>
                      <w:rFonts w:hint="default" w:ascii="Times New Roman" w:hAnsi="Times New Roman" w:eastAsia="宋体" w:cs="Times New Roman"/>
                      <w:color w:val="auto"/>
                      <w:spacing w:val="-5"/>
                      <w:sz w:val="24"/>
                      <w:szCs w:val="24"/>
                      <w:highlight w:val="none"/>
                      <w:lang w:val="en-US" w:eastAsia="zh-CN"/>
                    </w:rPr>
                    <w:t>AII</w:t>
                  </w:r>
                  <w:r>
                    <w:rPr>
                      <w:rFonts w:hint="default" w:ascii="Times New Roman" w:hAnsi="Times New Roman" w:eastAsia="宋体" w:cs="Times New Roman"/>
                      <w:color w:val="auto"/>
                      <w:spacing w:val="-6"/>
                      <w:sz w:val="24"/>
                      <w:szCs w:val="24"/>
                      <w:highlight w:val="none"/>
                    </w:rPr>
                    <w:t>燃煤型供热</w:t>
                  </w:r>
                  <w:r>
                    <w:rPr>
                      <w:rFonts w:hint="default" w:ascii="Times New Roman" w:hAnsi="Times New Roman" w:eastAsia="宋体" w:cs="Times New Roman"/>
                      <w:color w:val="auto"/>
                      <w:spacing w:val="-2"/>
                      <w:sz w:val="24"/>
                      <w:szCs w:val="24"/>
                      <w:highlight w:val="none"/>
                    </w:rPr>
                    <w:t>锅炉（一备一用）供暖</w:t>
                  </w:r>
                  <w:r>
                    <w:rPr>
                      <w:rFonts w:hint="default" w:ascii="Times New Roman" w:hAnsi="Times New Roman" w:cs="Times New Roman"/>
                      <w:color w:val="auto"/>
                      <w:spacing w:val="-2"/>
                      <w:sz w:val="24"/>
                      <w:szCs w:val="24"/>
                      <w:highlight w:val="none"/>
                      <w:lang w:eastAsia="zh-CN"/>
                    </w:rPr>
                    <w:t>，</w:t>
                  </w:r>
                  <w:r>
                    <w:rPr>
                      <w:rFonts w:hint="default" w:ascii="Times New Roman" w:hAnsi="Times New Roman" w:cs="Times New Roman"/>
                      <w:color w:val="auto"/>
                      <w:spacing w:val="-2"/>
                      <w:sz w:val="24"/>
                      <w:szCs w:val="24"/>
                      <w:highlight w:val="none"/>
                      <w:lang w:val="en-US" w:eastAsia="zh-CN"/>
                    </w:rPr>
                    <w:t>供热余量能够满足本项目供暖需求</w:t>
                  </w:r>
                  <w:r>
                    <w:rPr>
                      <w:rFonts w:hint="default" w:ascii="Times New Roman" w:hAnsi="Times New Roman" w:eastAsia="宋体" w:cs="Times New Roman"/>
                      <w:color w:val="auto"/>
                      <w:spacing w:val="-2"/>
                      <w:sz w:val="24"/>
                      <w:szCs w:val="24"/>
                      <w:highlight w:val="none"/>
                    </w:rPr>
                    <w:t>。</w:t>
                  </w:r>
                  <w:r>
                    <w:rPr>
                      <w:rFonts w:hint="default" w:ascii="Times New Roman" w:hAnsi="Times New Roman" w:eastAsia="宋体" w:cs="Times New Roman"/>
                      <w:color w:val="auto"/>
                      <w:sz w:val="24"/>
                      <w:szCs w:val="24"/>
                      <w:highlight w:val="none"/>
                    </w:rPr>
                    <w:t>无新增供暖工程。</w:t>
                  </w:r>
                </w:p>
              </w:tc>
              <w:tc>
                <w:tcPr>
                  <w:tcW w:w="707" w:type="pct"/>
                  <w:tcMar>
                    <w:top w:w="0" w:type="dxa"/>
                    <w:left w:w="85" w:type="dxa"/>
                    <w:bottom w:w="0" w:type="dxa"/>
                    <w:right w:w="85" w:type="dxa"/>
                  </w:tcMar>
                  <w:vAlign w:val="center"/>
                </w:tcPr>
                <w:p w14:paraId="1942C80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否</w:t>
                  </w:r>
                </w:p>
              </w:tc>
            </w:tr>
            <w:tr w14:paraId="08CC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5" w:hRule="atLeast"/>
              </w:trPr>
              <w:tc>
                <w:tcPr>
                  <w:tcW w:w="832" w:type="pct"/>
                  <w:vMerge w:val="restart"/>
                  <w:vAlign w:val="center"/>
                </w:tcPr>
                <w:p w14:paraId="17252E3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环保工程</w:t>
                  </w:r>
                </w:p>
              </w:tc>
              <w:tc>
                <w:tcPr>
                  <w:tcW w:w="832" w:type="pct"/>
                  <w:vAlign w:val="center"/>
                </w:tcPr>
                <w:p w14:paraId="6309467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废气</w:t>
                  </w:r>
                </w:p>
              </w:tc>
              <w:tc>
                <w:tcPr>
                  <w:tcW w:w="832" w:type="pct"/>
                  <w:vAlign w:val="center"/>
                </w:tcPr>
                <w:p w14:paraId="3F0E3326">
                  <w:pPr>
                    <w:pStyle w:val="46"/>
                    <w:keepNext w:val="0"/>
                    <w:keepLines w:val="0"/>
                    <w:pageBreakBefore w:val="0"/>
                    <w:kinsoku/>
                    <w:wordWrap/>
                    <w:overflowPunct/>
                    <w:topLinePunct w:val="0"/>
                    <w:autoSpaceDE/>
                    <w:autoSpaceDN/>
                    <w:bidi w:val="0"/>
                    <w:adjustRightInd w:val="0"/>
                    <w:snapToGrid w:val="0"/>
                    <w:spacing w:before="225" w:line="360" w:lineRule="auto"/>
                    <w:ind w:left="0" w:leftChars="0" w:firstLine="472"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pacing w:val="-2"/>
                      <w:sz w:val="24"/>
                      <w:szCs w:val="24"/>
                      <w:highlight w:val="none"/>
                    </w:rPr>
                    <w:t>全封闭的砂石库结合洒水车洒水抑尘处理</w:t>
                  </w:r>
                  <w:r>
                    <w:rPr>
                      <w:rFonts w:hint="default" w:ascii="Times New Roman" w:hAnsi="Times New Roman" w:eastAsia="宋体" w:cs="Times New Roman"/>
                      <w:color w:val="auto"/>
                      <w:spacing w:val="-2"/>
                      <w:sz w:val="24"/>
                      <w:szCs w:val="24"/>
                      <w:highlight w:val="none"/>
                      <w:lang w:eastAsia="zh-CN"/>
                    </w:rPr>
                    <w:t>；</w:t>
                  </w:r>
                  <w:r>
                    <w:rPr>
                      <w:rFonts w:hint="default" w:ascii="Times New Roman" w:hAnsi="Times New Roman" w:eastAsia="宋体" w:cs="Times New Roman"/>
                      <w:color w:val="auto"/>
                      <w:spacing w:val="-1"/>
                      <w:sz w:val="24"/>
                      <w:szCs w:val="24"/>
                      <w:highlight w:val="none"/>
                    </w:rPr>
                    <w:t>水泥筒仓呼吸粉尘通过仓顶除尘器处理后从筒仓顶</w:t>
                  </w:r>
                  <w:r>
                    <w:rPr>
                      <w:rFonts w:hint="default" w:ascii="Times New Roman" w:hAnsi="Times New Roman" w:eastAsia="宋体" w:cs="Times New Roman"/>
                      <w:color w:val="auto"/>
                      <w:spacing w:val="2"/>
                      <w:sz w:val="24"/>
                      <w:szCs w:val="24"/>
                      <w:highlight w:val="none"/>
                    </w:rPr>
                    <w:t>部排放口排放（排放口高度为20</w:t>
                  </w:r>
                  <w:r>
                    <w:rPr>
                      <w:rFonts w:hint="default" w:ascii="Times New Roman" w:hAnsi="Times New Roman" w:eastAsia="宋体" w:cs="Times New Roman"/>
                      <w:color w:val="auto"/>
                      <w:spacing w:val="2"/>
                      <w:sz w:val="24"/>
                      <w:szCs w:val="24"/>
                      <w:highlight w:val="none"/>
                      <w:lang w:val="en-US" w:eastAsia="zh-CN"/>
                    </w:rPr>
                    <w:t>m</w:t>
                  </w:r>
                  <w:r>
                    <w:rPr>
                      <w:rFonts w:hint="default" w:ascii="Times New Roman" w:hAnsi="Times New Roman" w:eastAsia="宋体" w:cs="Times New Roman"/>
                      <w:color w:val="auto"/>
                      <w:spacing w:val="2"/>
                      <w:sz w:val="24"/>
                      <w:szCs w:val="24"/>
                      <w:highlight w:val="none"/>
                    </w:rPr>
                    <w:t>）</w:t>
                  </w:r>
                  <w:r>
                    <w:rPr>
                      <w:rFonts w:hint="default" w:ascii="Times New Roman" w:hAnsi="Times New Roman" w:eastAsia="宋体" w:cs="Times New Roman"/>
                      <w:color w:val="auto"/>
                      <w:spacing w:val="2"/>
                      <w:sz w:val="24"/>
                      <w:szCs w:val="24"/>
                      <w:highlight w:val="none"/>
                      <w:lang w:eastAsia="zh-CN"/>
                    </w:rPr>
                    <w:t>；</w:t>
                  </w:r>
                  <w:r>
                    <w:rPr>
                      <w:rFonts w:hint="default" w:ascii="Times New Roman" w:hAnsi="Times New Roman" w:eastAsia="宋体" w:cs="Times New Roman"/>
                      <w:color w:val="auto"/>
                      <w:spacing w:val="-2"/>
                      <w:sz w:val="24"/>
                      <w:szCs w:val="24"/>
                      <w:highlight w:val="none"/>
                    </w:rPr>
                    <w:t>上料仓内设置洒水抑尘装置</w:t>
                  </w:r>
                  <w:r>
                    <w:rPr>
                      <w:rFonts w:hint="default" w:ascii="Times New Roman" w:hAnsi="Times New Roman" w:eastAsia="宋体" w:cs="Times New Roman"/>
                      <w:color w:val="auto"/>
                      <w:spacing w:val="-2"/>
                      <w:sz w:val="24"/>
                      <w:szCs w:val="24"/>
                      <w:highlight w:val="none"/>
                      <w:lang w:eastAsia="zh-CN"/>
                    </w:rPr>
                    <w:t>；</w:t>
                  </w:r>
                  <w:r>
                    <w:rPr>
                      <w:rFonts w:hint="default" w:ascii="Times New Roman" w:hAnsi="Times New Roman" w:eastAsia="宋体" w:cs="Times New Roman"/>
                      <w:color w:val="auto"/>
                      <w:sz w:val="24"/>
                      <w:szCs w:val="24"/>
                      <w:highlight w:val="none"/>
                    </w:rPr>
                    <w:t>扩建120型全封闭拌合楼搅拌主机内，水泥、砂石骨料密闭投料后高速搅拌，粉料扰动产生含颗粒物工艺废气，为有组织废气源，排气筒编号DA00</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w:t>
                  </w:r>
                </w:p>
              </w:tc>
              <w:tc>
                <w:tcPr>
                  <w:tcW w:w="832" w:type="pct"/>
                  <w:vAlign w:val="center"/>
                </w:tcPr>
                <w:p w14:paraId="103C112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全封闭</w:t>
                  </w:r>
                  <w:r>
                    <w:rPr>
                      <w:rFonts w:hint="default" w:ascii="Times New Roman" w:hAnsi="Times New Roman" w:eastAsia="宋体" w:cs="Times New Roman"/>
                      <w:color w:val="auto"/>
                      <w:sz w:val="24"/>
                      <w:szCs w:val="24"/>
                      <w:highlight w:val="none"/>
                      <w:vertAlign w:val="baseline"/>
                      <w:lang w:val="en-US" w:eastAsia="zh-CN"/>
                    </w:rPr>
                    <w:t>砂石料场库房废气：封闭式砂石料场+洒水抑尘</w:t>
                  </w:r>
                </w:p>
                <w:p w14:paraId="30A393F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输送皮带</w:t>
                  </w:r>
                  <w:r>
                    <w:rPr>
                      <w:rFonts w:hint="default" w:ascii="Times New Roman" w:hAnsi="Times New Roman" w:eastAsia="宋体" w:cs="Times New Roman"/>
                      <w:color w:val="auto"/>
                      <w:sz w:val="24"/>
                      <w:szCs w:val="24"/>
                      <w:highlight w:val="none"/>
                      <w:vertAlign w:val="baseline"/>
                      <w:lang w:val="en-US" w:eastAsia="zh-CN"/>
                    </w:rPr>
                    <w:t>废气：全封闭</w:t>
                  </w:r>
                  <w:r>
                    <w:rPr>
                      <w:rFonts w:hint="eastAsia" w:cs="Times New Roman"/>
                      <w:color w:val="auto"/>
                      <w:sz w:val="24"/>
                      <w:szCs w:val="24"/>
                      <w:highlight w:val="none"/>
                      <w:vertAlign w:val="baseline"/>
                      <w:lang w:val="en-US" w:eastAsia="zh-CN"/>
                    </w:rPr>
                    <w:t>输送皮带</w:t>
                  </w:r>
                  <w:r>
                    <w:rPr>
                      <w:rFonts w:hint="default" w:ascii="Times New Roman" w:hAnsi="Times New Roman" w:eastAsia="宋体" w:cs="Times New Roman"/>
                      <w:color w:val="auto"/>
                      <w:sz w:val="24"/>
                      <w:szCs w:val="24"/>
                      <w:highlight w:val="none"/>
                      <w:vertAlign w:val="baseline"/>
                      <w:lang w:val="en-US" w:eastAsia="zh-CN"/>
                    </w:rPr>
                    <w:t>；搅拌废气：布袋除尘器处理后经15</w:t>
                  </w:r>
                  <w:r>
                    <w:rPr>
                      <w:rFonts w:hint="default" w:ascii="Times New Roman" w:hAnsi="Times New Roman" w:cs="Times New Roman"/>
                      <w:color w:val="auto"/>
                      <w:sz w:val="24"/>
                      <w:szCs w:val="24"/>
                      <w:highlight w:val="none"/>
                      <w:vertAlign w:val="baseline"/>
                      <w:lang w:val="en-US" w:eastAsia="zh-CN"/>
                    </w:rPr>
                    <w:t>m</w:t>
                  </w:r>
                  <w:r>
                    <w:rPr>
                      <w:rFonts w:hint="default" w:ascii="Times New Roman" w:hAnsi="Times New Roman" w:eastAsia="宋体" w:cs="Times New Roman"/>
                      <w:color w:val="auto"/>
                      <w:sz w:val="24"/>
                      <w:szCs w:val="24"/>
                      <w:highlight w:val="none"/>
                      <w:vertAlign w:val="baseline"/>
                      <w:lang w:val="en-US" w:eastAsia="zh-CN"/>
                    </w:rPr>
                    <w:t>高排气筒</w:t>
                  </w:r>
                  <w:r>
                    <w:rPr>
                      <w:rFonts w:hint="eastAsia" w:cs="Times New Roman"/>
                      <w:color w:val="auto"/>
                      <w:sz w:val="24"/>
                      <w:szCs w:val="24"/>
                      <w:highlight w:val="none"/>
                      <w:vertAlign w:val="baseline"/>
                      <w:lang w:val="en-US" w:eastAsia="zh-CN"/>
                    </w:rPr>
                    <w:t>（</w:t>
                  </w:r>
                  <w:r>
                    <w:rPr>
                      <w:rFonts w:hint="default" w:ascii="Times New Roman" w:hAnsi="Times New Roman" w:cs="Times New Roman"/>
                      <w:color w:val="auto"/>
                      <w:sz w:val="24"/>
                      <w:szCs w:val="24"/>
                      <w:highlight w:val="none"/>
                      <w:vertAlign w:val="baseline"/>
                      <w:lang w:val="en-US" w:eastAsia="zh-CN"/>
                    </w:rPr>
                    <w:t>DA</w:t>
                  </w:r>
                  <w:r>
                    <w:rPr>
                      <w:rFonts w:hint="default" w:ascii="Times New Roman" w:hAnsi="Times New Roman" w:eastAsia="宋体" w:cs="Times New Roman"/>
                      <w:color w:val="auto"/>
                      <w:sz w:val="24"/>
                      <w:szCs w:val="24"/>
                      <w:highlight w:val="none"/>
                      <w:vertAlign w:val="baseline"/>
                      <w:lang w:val="en-US" w:eastAsia="zh-CN"/>
                    </w:rPr>
                    <w:t>00</w:t>
                  </w:r>
                  <w:r>
                    <w:rPr>
                      <w:rFonts w:hint="default" w:ascii="Times New Roman" w:hAnsi="Times New Roman" w:cs="Times New Roman"/>
                      <w:color w:val="auto"/>
                      <w:sz w:val="24"/>
                      <w:szCs w:val="24"/>
                      <w:highlight w:val="none"/>
                      <w:vertAlign w:val="baseline"/>
                      <w:lang w:val="en-US" w:eastAsia="zh-CN"/>
                    </w:rPr>
                    <w:t>3</w:t>
                  </w:r>
                  <w:r>
                    <w:rPr>
                      <w:rFonts w:hint="eastAsia" w:cs="Times New Roman"/>
                      <w:color w:val="auto"/>
                      <w:sz w:val="24"/>
                      <w:szCs w:val="24"/>
                      <w:highlight w:val="none"/>
                      <w:vertAlign w:val="baseline"/>
                      <w:lang w:val="en-US" w:eastAsia="zh-CN"/>
                    </w:rPr>
                    <w:t>）</w:t>
                  </w:r>
                  <w:r>
                    <w:rPr>
                      <w:rFonts w:hint="default" w:ascii="Times New Roman" w:hAnsi="Times New Roman" w:eastAsia="宋体" w:cs="Times New Roman"/>
                      <w:color w:val="auto"/>
                      <w:sz w:val="24"/>
                      <w:szCs w:val="24"/>
                      <w:highlight w:val="none"/>
                      <w:vertAlign w:val="baseline"/>
                      <w:lang w:val="en-US" w:eastAsia="zh-CN"/>
                    </w:rPr>
                    <w:t>排放。</w:t>
                  </w:r>
                </w:p>
                <w:p w14:paraId="5872D82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筒仓：自带除尘器排</w:t>
                  </w:r>
                  <w:r>
                    <w:rPr>
                      <w:rFonts w:hint="default" w:ascii="Times New Roman" w:hAnsi="Times New Roman" w:cs="Times New Roman"/>
                      <w:color w:val="auto"/>
                      <w:sz w:val="24"/>
                      <w:szCs w:val="24"/>
                      <w:highlight w:val="none"/>
                      <w:vertAlign w:val="baseline"/>
                      <w:lang w:val="en-US" w:eastAsia="zh-CN"/>
                    </w:rPr>
                    <w:t>放（排放高度为20m）</w:t>
                  </w:r>
                </w:p>
              </w:tc>
              <w:tc>
                <w:tcPr>
                  <w:tcW w:w="960" w:type="pct"/>
                  <w:vAlign w:val="center"/>
                </w:tcPr>
                <w:p w14:paraId="46A7FFF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保留现有废气治理措施，新增扩建工程配套废气治理设施：</w:t>
                  </w:r>
                  <w:r>
                    <w:rPr>
                      <w:rFonts w:hint="default" w:ascii="Times New Roman" w:hAnsi="Times New Roman" w:cs="Times New Roman"/>
                      <w:color w:val="auto"/>
                      <w:sz w:val="24"/>
                      <w:szCs w:val="24"/>
                      <w:highlight w:val="none"/>
                      <w:lang w:val="en-US" w:eastAsia="zh-CN"/>
                    </w:rPr>
                    <w:t>全封闭</w:t>
                  </w:r>
                  <w:r>
                    <w:rPr>
                      <w:rFonts w:hint="default" w:ascii="Times New Roman" w:hAnsi="Times New Roman" w:eastAsia="宋体" w:cs="Times New Roman"/>
                      <w:color w:val="auto"/>
                      <w:sz w:val="24"/>
                      <w:szCs w:val="24"/>
                      <w:highlight w:val="none"/>
                    </w:rPr>
                    <w:t>砂石料场均采用全封闭结构并</w:t>
                  </w:r>
                  <w:r>
                    <w:rPr>
                      <w:rFonts w:hint="default" w:ascii="Times New Roman" w:hAnsi="Times New Roman" w:eastAsia="宋体" w:cs="Times New Roman"/>
                      <w:color w:val="auto"/>
                      <w:sz w:val="24"/>
                      <w:szCs w:val="24"/>
                      <w:highlight w:val="none"/>
                      <w:lang w:val="en-US" w:eastAsia="zh-CN"/>
                    </w:rPr>
                    <w:t>定期进行</w:t>
                  </w:r>
                  <w:r>
                    <w:rPr>
                      <w:rFonts w:hint="default" w:ascii="Times New Roman" w:hAnsi="Times New Roman" w:eastAsia="宋体" w:cs="Times New Roman"/>
                      <w:color w:val="auto"/>
                      <w:sz w:val="24"/>
                      <w:szCs w:val="24"/>
                      <w:highlight w:val="none"/>
                    </w:rPr>
                    <w:t>洒水抑尘；</w:t>
                  </w:r>
                  <w:r>
                    <w:rPr>
                      <w:rFonts w:hint="eastAsia" w:cs="Times New Roman"/>
                      <w:color w:val="auto"/>
                      <w:sz w:val="24"/>
                      <w:szCs w:val="24"/>
                      <w:highlight w:val="none"/>
                      <w:lang w:eastAsia="zh-CN"/>
                    </w:rPr>
                    <w:t>输送皮带</w:t>
                  </w:r>
                  <w:r>
                    <w:rPr>
                      <w:rFonts w:hint="default" w:ascii="Times New Roman" w:hAnsi="Times New Roman" w:eastAsia="宋体" w:cs="Times New Roman"/>
                      <w:color w:val="auto"/>
                      <w:sz w:val="24"/>
                      <w:szCs w:val="24"/>
                      <w:highlight w:val="none"/>
                    </w:rPr>
                    <w:t>采用全封闭形式；水泥筒仓呼吸粉尘通过自带除尘器处理后排放；搅拌废气经布袋除尘器处理后，通过15</w:t>
                  </w:r>
                  <w:r>
                    <w:rPr>
                      <w:rFonts w:hint="default" w:ascii="Times New Roman" w:hAnsi="Times New Roman"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rPr>
                    <w:t>高排气筒（00</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）排放。</w:t>
                  </w:r>
                </w:p>
              </w:tc>
              <w:tc>
                <w:tcPr>
                  <w:tcW w:w="707" w:type="pct"/>
                  <w:vAlign w:val="center"/>
                </w:tcPr>
                <w:p w14:paraId="3AA1BE7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r>
            <w:tr w14:paraId="7618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832" w:type="pct"/>
                  <w:vMerge w:val="continue"/>
                  <w:vAlign w:val="center"/>
                </w:tcPr>
                <w:p w14:paraId="2CE1613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p>
              </w:tc>
              <w:tc>
                <w:tcPr>
                  <w:tcW w:w="832" w:type="pct"/>
                  <w:vAlign w:val="center"/>
                </w:tcPr>
                <w:p w14:paraId="35661EE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废水</w:t>
                  </w:r>
                </w:p>
              </w:tc>
              <w:tc>
                <w:tcPr>
                  <w:tcW w:w="832" w:type="pct"/>
                  <w:vAlign w:val="center"/>
                </w:tcPr>
                <w:p w14:paraId="5BF15606">
                  <w:pPr>
                    <w:pStyle w:val="46"/>
                    <w:keepNext w:val="0"/>
                    <w:keepLines w:val="0"/>
                    <w:pageBreakBefore w:val="0"/>
                    <w:kinsoku/>
                    <w:wordWrap/>
                    <w:overflowPunct/>
                    <w:topLinePunct w:val="0"/>
                    <w:autoSpaceDE/>
                    <w:autoSpaceDN/>
                    <w:bidi w:val="0"/>
                    <w:adjustRightInd w:val="0"/>
                    <w:snapToGrid w:val="0"/>
                    <w:spacing w:before="62" w:line="360" w:lineRule="auto"/>
                    <w:ind w:left="0" w:leftChars="0" w:right="1" w:firstLine="464"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pacing w:val="-4"/>
                      <w:sz w:val="24"/>
                      <w:szCs w:val="24"/>
                      <w:highlight w:val="none"/>
                    </w:rPr>
                    <w:t>项目</w:t>
                  </w:r>
                  <w:r>
                    <w:rPr>
                      <w:rFonts w:hint="default" w:ascii="Times New Roman" w:hAnsi="Times New Roman" w:eastAsia="宋体" w:cs="Times New Roman"/>
                      <w:color w:val="auto"/>
                      <w:sz w:val="24"/>
                      <w:szCs w:val="24"/>
                      <w:highlight w:val="none"/>
                    </w:rPr>
                    <w:t>工作人员从矿上现有职工</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color w:val="auto"/>
                      <w:sz w:val="24"/>
                      <w:szCs w:val="24"/>
                      <w:highlight w:val="none"/>
                    </w:rPr>
                    <w:t>抽调</w:t>
                  </w:r>
                  <w:r>
                    <w:rPr>
                      <w:rFonts w:hint="default" w:ascii="Times New Roman" w:hAnsi="Times New Roman" w:eastAsia="宋体" w:cs="Times New Roman"/>
                      <w:color w:val="auto"/>
                      <w:spacing w:val="-4"/>
                      <w:sz w:val="24"/>
                      <w:szCs w:val="24"/>
                      <w:highlight w:val="none"/>
                    </w:rPr>
                    <w:t>，不产生生活污水；项目运营无</w:t>
                  </w:r>
                  <w:r>
                    <w:rPr>
                      <w:rFonts w:hint="default" w:ascii="Times New Roman" w:hAnsi="Times New Roman" w:eastAsia="宋体" w:cs="Times New Roman"/>
                      <w:color w:val="auto"/>
                      <w:spacing w:val="-5"/>
                      <w:sz w:val="24"/>
                      <w:szCs w:val="24"/>
                      <w:highlight w:val="none"/>
                    </w:rPr>
                    <w:t>生产废水产生</w:t>
                  </w:r>
                </w:p>
              </w:tc>
              <w:tc>
                <w:tcPr>
                  <w:tcW w:w="832" w:type="pct"/>
                  <w:vAlign w:val="center"/>
                </w:tcPr>
                <w:p w14:paraId="1474B04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生活污水：</w:t>
                  </w:r>
                  <w:r>
                    <w:rPr>
                      <w:rFonts w:hint="default" w:ascii="Times New Roman" w:hAnsi="Times New Roman" w:eastAsia="宋体" w:cs="Times New Roman"/>
                      <w:color w:val="auto"/>
                      <w:sz w:val="24"/>
                      <w:szCs w:val="24"/>
                      <w:highlight w:val="none"/>
                      <w:lang w:val="en-US" w:eastAsia="zh-CN"/>
                    </w:rPr>
                    <w:t>无新增劳动定员，不产生生活污水。</w:t>
                  </w:r>
                  <w:r>
                    <w:rPr>
                      <w:rFonts w:hint="default" w:ascii="Times New Roman" w:hAnsi="Times New Roman" w:eastAsia="宋体" w:cs="Times New Roman"/>
                      <w:b w:val="0"/>
                      <w:bCs w:val="0"/>
                      <w:color w:val="auto"/>
                      <w:sz w:val="24"/>
                      <w:szCs w:val="24"/>
                      <w:highlight w:val="none"/>
                      <w:vertAlign w:val="baseline"/>
                      <w:lang w:val="en-US" w:eastAsia="zh-CN"/>
                    </w:rPr>
                    <w:t>搅拌罐清洗废水：清洗废水不出搅拌罐，全部回用至下次生产用水（混凝土搅拌）</w:t>
                  </w:r>
                  <w:r>
                    <w:rPr>
                      <w:rFonts w:hint="eastAsia" w:cs="Times New Roman"/>
                      <w:b w:val="0"/>
                      <w:bCs w:val="0"/>
                      <w:color w:val="auto"/>
                      <w:sz w:val="24"/>
                      <w:szCs w:val="24"/>
                      <w:highlight w:val="none"/>
                      <w:vertAlign w:val="baseline"/>
                      <w:lang w:val="en-US" w:eastAsia="zh-CN"/>
                    </w:rPr>
                    <w:t>；罐车清洗在矿井下混凝土浇筑地点进行，清洗废水与混凝土共同进入浇筑点，不外排。</w:t>
                  </w:r>
                </w:p>
              </w:tc>
              <w:tc>
                <w:tcPr>
                  <w:tcW w:w="960" w:type="pct"/>
                  <w:vAlign w:val="center"/>
                </w:tcPr>
                <w:p w14:paraId="0A9A662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无新增劳动定员，不产生新增生活污水；全厂搅拌罐冲洗废水不出罐，全部回用至下次混凝土搅拌工序，不外排</w:t>
                  </w:r>
                  <w:r>
                    <w:rPr>
                      <w:rFonts w:hint="default" w:ascii="Times New Roman" w:hAnsi="Times New Roman" w:eastAsia="宋体" w:cs="Times New Roman"/>
                      <w:color w:val="auto"/>
                      <w:sz w:val="24"/>
                      <w:szCs w:val="24"/>
                      <w:highlight w:val="none"/>
                      <w:lang w:eastAsia="zh-CN"/>
                    </w:rPr>
                    <w:t>。</w:t>
                  </w:r>
                  <w:r>
                    <w:rPr>
                      <w:rFonts w:hint="eastAsia" w:cs="Times New Roman"/>
                      <w:color w:val="auto"/>
                      <w:highlight w:val="none"/>
                      <w:lang w:eastAsia="zh-CN"/>
                    </w:rPr>
                    <w:t>罐车</w:t>
                  </w:r>
                  <w:r>
                    <w:rPr>
                      <w:rFonts w:hint="default" w:ascii="Times New Roman" w:hAnsi="Times New Roman" w:cs="Times New Roman"/>
                      <w:color w:val="auto"/>
                      <w:highlight w:val="none"/>
                      <w:lang w:val="en-US" w:eastAsia="zh-CN"/>
                    </w:rPr>
                    <w:t>清洗在矿井下混凝土浇筑地点进行，清洗废水与混凝土共同进入浇筑点，不外排。</w:t>
                  </w:r>
                </w:p>
              </w:tc>
              <w:tc>
                <w:tcPr>
                  <w:tcW w:w="707" w:type="pct"/>
                  <w:vAlign w:val="center"/>
                </w:tcPr>
                <w:p w14:paraId="17E5C87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r>
            <w:tr w14:paraId="47324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32" w:type="pct"/>
                  <w:vMerge w:val="continue"/>
                  <w:vAlign w:val="center"/>
                </w:tcPr>
                <w:p w14:paraId="447C107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p>
              </w:tc>
              <w:tc>
                <w:tcPr>
                  <w:tcW w:w="832" w:type="pct"/>
                  <w:vAlign w:val="center"/>
                </w:tcPr>
                <w:p w14:paraId="47E1CD1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噪声</w:t>
                  </w:r>
                </w:p>
              </w:tc>
              <w:tc>
                <w:tcPr>
                  <w:tcW w:w="832" w:type="pct"/>
                  <w:vAlign w:val="center"/>
                </w:tcPr>
                <w:p w14:paraId="12614A47">
                  <w:pPr>
                    <w:keepNext w:val="0"/>
                    <w:keepLines w:val="0"/>
                    <w:pageBreakBefore w:val="0"/>
                    <w:widowControl w:val="0"/>
                    <w:kinsoku/>
                    <w:wordWrap/>
                    <w:overflowPunct/>
                    <w:topLinePunct w:val="0"/>
                    <w:autoSpaceDE/>
                    <w:autoSpaceDN/>
                    <w:bidi w:val="0"/>
                    <w:adjustRightInd w:val="0"/>
                    <w:snapToGrid w:val="0"/>
                    <w:spacing w:line="360" w:lineRule="auto"/>
                    <w:ind w:firstLine="472"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pacing w:val="-2"/>
                      <w:sz w:val="24"/>
                      <w:szCs w:val="24"/>
                      <w:highlight w:val="none"/>
                    </w:rPr>
                    <w:t>采用减振、消声、隔音等措施</w:t>
                  </w:r>
                </w:p>
              </w:tc>
              <w:tc>
                <w:tcPr>
                  <w:tcW w:w="832" w:type="pct"/>
                  <w:vAlign w:val="center"/>
                </w:tcPr>
                <w:p w14:paraId="6CF4D0E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基础减振、厂房隔声、控制车速、禁止鸣笛</w:t>
                  </w:r>
                </w:p>
              </w:tc>
              <w:tc>
                <w:tcPr>
                  <w:tcW w:w="960" w:type="pct"/>
                  <w:vAlign w:val="center"/>
                </w:tcPr>
                <w:p w14:paraId="59DAE54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扩建后厂区综合采用设备减振、消声、厂房隔声、车辆限速、禁鸣等降噪措施控制噪声。</w:t>
                  </w:r>
                </w:p>
              </w:tc>
              <w:tc>
                <w:tcPr>
                  <w:tcW w:w="707" w:type="pct"/>
                  <w:vAlign w:val="center"/>
                </w:tcPr>
                <w:p w14:paraId="4772DCA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否</w:t>
                  </w:r>
                </w:p>
              </w:tc>
            </w:tr>
            <w:tr w14:paraId="6D25A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1" w:hRule="atLeast"/>
              </w:trPr>
              <w:tc>
                <w:tcPr>
                  <w:tcW w:w="832" w:type="pct"/>
                  <w:vMerge w:val="continue"/>
                  <w:vAlign w:val="center"/>
                </w:tcPr>
                <w:p w14:paraId="06A18FE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p>
              </w:tc>
              <w:tc>
                <w:tcPr>
                  <w:tcW w:w="832" w:type="pct"/>
                  <w:vAlign w:val="center"/>
                </w:tcPr>
                <w:p w14:paraId="572A950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固废</w:t>
                  </w:r>
                </w:p>
              </w:tc>
              <w:tc>
                <w:tcPr>
                  <w:tcW w:w="832" w:type="pct"/>
                  <w:vAlign w:val="center"/>
                </w:tcPr>
                <w:p w14:paraId="197D75FF">
                  <w:pPr>
                    <w:keepNext w:val="0"/>
                    <w:keepLines w:val="0"/>
                    <w:pageBreakBefore w:val="0"/>
                    <w:widowControl w:val="0"/>
                    <w:kinsoku/>
                    <w:wordWrap/>
                    <w:overflowPunct/>
                    <w:topLinePunct w:val="0"/>
                    <w:autoSpaceDE/>
                    <w:autoSpaceDN/>
                    <w:bidi w:val="0"/>
                    <w:adjustRightInd w:val="0"/>
                    <w:snapToGrid w:val="0"/>
                    <w:spacing w:line="360" w:lineRule="auto"/>
                    <w:ind w:firstLine="464"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pacing w:val="-4"/>
                      <w:sz w:val="24"/>
                      <w:szCs w:val="24"/>
                      <w:highlight w:val="none"/>
                    </w:rPr>
                    <w:t>收集后回用于生产</w:t>
                  </w:r>
                  <w:r>
                    <w:rPr>
                      <w:rFonts w:hint="default" w:ascii="Times New Roman" w:hAnsi="Times New Roman" w:eastAsia="宋体" w:cs="Times New Roman"/>
                      <w:color w:val="auto"/>
                      <w:spacing w:val="-4"/>
                      <w:sz w:val="24"/>
                      <w:szCs w:val="24"/>
                      <w:highlight w:val="none"/>
                      <w:lang w:eastAsia="zh-CN"/>
                    </w:rPr>
                    <w:t>；</w:t>
                  </w:r>
                  <w:r>
                    <w:rPr>
                      <w:rFonts w:hint="default" w:ascii="Times New Roman" w:hAnsi="Times New Roman" w:eastAsia="宋体" w:cs="Times New Roman"/>
                      <w:color w:val="auto"/>
                      <w:spacing w:val="-1"/>
                      <w:sz w:val="24"/>
                      <w:szCs w:val="24"/>
                      <w:highlight w:val="none"/>
                    </w:rPr>
                    <w:t>项目无新增劳动定员，不产生生活垃圾</w:t>
                  </w:r>
                </w:p>
              </w:tc>
              <w:tc>
                <w:tcPr>
                  <w:tcW w:w="832" w:type="pct"/>
                  <w:vAlign w:val="center"/>
                </w:tcPr>
                <w:p w14:paraId="2272DB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筒仓除尘灰：筒仓内置除尘器，除尘灰落回仓内作为原料使用，不外排；</w:t>
                  </w:r>
                </w:p>
                <w:p w14:paraId="0A54298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搅拌工序除尘灰：定期清理作为原料使用，不外排；</w:t>
                  </w:r>
                  <w:r>
                    <w:rPr>
                      <w:rFonts w:hint="default" w:ascii="Times New Roman" w:hAnsi="Times New Roman" w:cs="Times New Roman"/>
                      <w:color w:val="auto"/>
                      <w:sz w:val="24"/>
                      <w:szCs w:val="24"/>
                      <w:highlight w:val="none"/>
                      <w:vertAlign w:val="baseline"/>
                      <w:lang w:val="en-US" w:eastAsia="zh-CN"/>
                    </w:rPr>
                    <w:t>不合格</w:t>
                  </w:r>
                  <w:r>
                    <w:rPr>
                      <w:rFonts w:hint="eastAsia" w:cs="Times New Roman"/>
                      <w:color w:val="auto"/>
                      <w:sz w:val="24"/>
                      <w:szCs w:val="24"/>
                      <w:highlight w:val="none"/>
                      <w:vertAlign w:val="baseline"/>
                      <w:lang w:val="en-US" w:eastAsia="zh-CN"/>
                    </w:rPr>
                    <w:t>成品</w:t>
                  </w:r>
                  <w:r>
                    <w:rPr>
                      <w:rFonts w:hint="default" w:ascii="Times New Roman" w:hAnsi="Times New Roman" w:cs="Times New Roman"/>
                      <w:color w:val="auto"/>
                      <w:sz w:val="24"/>
                      <w:szCs w:val="24"/>
                      <w:highlight w:val="none"/>
                      <w:vertAlign w:val="baseline"/>
                      <w:lang w:val="en-US" w:eastAsia="zh-CN"/>
                    </w:rPr>
                    <w:t>全部回用。</w:t>
                  </w:r>
                </w:p>
              </w:tc>
              <w:tc>
                <w:tcPr>
                  <w:tcW w:w="960" w:type="pct"/>
                  <w:vAlign w:val="center"/>
                </w:tcPr>
                <w:p w14:paraId="3115AFE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ascii="宋体" w:hAnsi="宋体" w:eastAsia="宋体" w:cs="宋体"/>
                      <w:color w:val="auto"/>
                      <w:sz w:val="24"/>
                      <w:szCs w:val="24"/>
                      <w:highlight w:val="none"/>
                    </w:rPr>
                    <w:t>筒仓、搅拌工序产生的除尘灰分别由各工序配套除尘器收集，收集的除尘灰定期清理后全部回用于生产，作为原料重新利用</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本项</w:t>
                  </w:r>
                  <w:r>
                    <w:rPr>
                      <w:rFonts w:hint="default" w:ascii="Times New Roman" w:hAnsi="Times New Roman" w:eastAsia="宋体" w:cs="Times New Roman"/>
                      <w:color w:val="auto"/>
                      <w:sz w:val="24"/>
                      <w:szCs w:val="24"/>
                      <w:highlight w:val="none"/>
                    </w:rPr>
                    <w:t>目无新增劳动定员，不产生生活垃圾，全厂固废均不外排。</w:t>
                  </w:r>
                  <w:r>
                    <w:rPr>
                      <w:rFonts w:hint="default" w:ascii="Times New Roman" w:hAnsi="Times New Roman" w:cs="Times New Roman"/>
                      <w:color w:val="auto"/>
                      <w:sz w:val="24"/>
                      <w:szCs w:val="24"/>
                      <w:highlight w:val="none"/>
                      <w:lang w:val="en-US" w:eastAsia="zh-CN"/>
                    </w:rPr>
                    <w:t>不合格产品作为原料全部回用。</w:t>
                  </w:r>
                </w:p>
              </w:tc>
              <w:tc>
                <w:tcPr>
                  <w:tcW w:w="707" w:type="pct"/>
                  <w:vAlign w:val="center"/>
                </w:tcPr>
                <w:p w14:paraId="17CB4A0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r>
          </w:tbl>
          <w:p w14:paraId="77784C8E">
            <w:pPr>
              <w:bidi w:val="0"/>
              <w:spacing w:line="360" w:lineRule="auto"/>
              <w:ind w:left="0" w:leftChars="0" w:firstLine="0" w:firstLineChars="0"/>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lang w:val="en-US" w:eastAsia="zh-CN"/>
              </w:rPr>
              <w:t>扩建主要生产设备</w:t>
            </w:r>
          </w:p>
          <w:p w14:paraId="7DE47CD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本项目主要生产设备见下表</w:t>
            </w:r>
          </w:p>
          <w:p w14:paraId="0056958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w:t>
            </w:r>
            <w:r>
              <w:rPr>
                <w:rFonts w:hint="default" w:ascii="Times New Roman" w:hAnsi="Times New Roman"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7-</w:t>
            </w:r>
            <w:r>
              <w:rPr>
                <w:rFonts w:hint="default" w:ascii="Times New Roman" w:hAnsi="Times New Roman"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val="en-US" w:eastAsia="zh-CN"/>
              </w:rPr>
              <w:t>扩建项目主要生产设备一览表</w:t>
            </w:r>
          </w:p>
          <w:tbl>
            <w:tblPr>
              <w:tblStyle w:val="15"/>
              <w:tblW w:w="83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2032"/>
              <w:gridCol w:w="1405"/>
              <w:gridCol w:w="983"/>
              <w:gridCol w:w="1253"/>
              <w:gridCol w:w="1546"/>
            </w:tblGrid>
            <w:tr w14:paraId="3E576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57" w:type="dxa"/>
                  <w:vAlign w:val="center"/>
                </w:tcPr>
                <w:p w14:paraId="4B5A662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序号</w:t>
                  </w:r>
                </w:p>
              </w:tc>
              <w:tc>
                <w:tcPr>
                  <w:tcW w:w="2032" w:type="dxa"/>
                  <w:vAlign w:val="center"/>
                </w:tcPr>
                <w:p w14:paraId="24577A5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设备名称</w:t>
                  </w:r>
                </w:p>
              </w:tc>
              <w:tc>
                <w:tcPr>
                  <w:tcW w:w="1405" w:type="dxa"/>
                  <w:vAlign w:val="center"/>
                </w:tcPr>
                <w:p w14:paraId="1838087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型号</w:t>
                  </w:r>
                </w:p>
              </w:tc>
              <w:tc>
                <w:tcPr>
                  <w:tcW w:w="983" w:type="dxa"/>
                  <w:vAlign w:val="center"/>
                </w:tcPr>
                <w:p w14:paraId="19E59E0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数量</w:t>
                  </w:r>
                </w:p>
              </w:tc>
              <w:tc>
                <w:tcPr>
                  <w:tcW w:w="1253" w:type="dxa"/>
                  <w:vAlign w:val="center"/>
                </w:tcPr>
                <w:p w14:paraId="4773FEF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单位</w:t>
                  </w:r>
                </w:p>
              </w:tc>
              <w:tc>
                <w:tcPr>
                  <w:tcW w:w="1546" w:type="dxa"/>
                  <w:vAlign w:val="center"/>
                </w:tcPr>
                <w:p w14:paraId="1267781A">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备注</w:t>
                  </w:r>
                </w:p>
              </w:tc>
            </w:tr>
            <w:tr w14:paraId="4ED3B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57" w:type="dxa"/>
                  <w:vAlign w:val="center"/>
                </w:tcPr>
                <w:p w14:paraId="31A2C15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1</w:t>
                  </w:r>
                </w:p>
              </w:tc>
              <w:tc>
                <w:tcPr>
                  <w:tcW w:w="2032" w:type="dxa"/>
                  <w:vAlign w:val="center"/>
                </w:tcPr>
                <w:p w14:paraId="79D38A5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拌合楼</w:t>
                  </w:r>
                </w:p>
              </w:tc>
              <w:tc>
                <w:tcPr>
                  <w:tcW w:w="1405" w:type="dxa"/>
                  <w:vAlign w:val="center"/>
                </w:tcPr>
                <w:p w14:paraId="2177FC6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120型</w:t>
                  </w:r>
                </w:p>
              </w:tc>
              <w:tc>
                <w:tcPr>
                  <w:tcW w:w="983" w:type="dxa"/>
                  <w:vAlign w:val="center"/>
                </w:tcPr>
                <w:p w14:paraId="3E9398A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1</w:t>
                  </w:r>
                </w:p>
              </w:tc>
              <w:tc>
                <w:tcPr>
                  <w:tcW w:w="1253" w:type="dxa"/>
                  <w:vAlign w:val="center"/>
                </w:tcPr>
                <w:p w14:paraId="68D229D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套</w:t>
                  </w:r>
                </w:p>
              </w:tc>
              <w:tc>
                <w:tcPr>
                  <w:tcW w:w="1546" w:type="dxa"/>
                  <w:vAlign w:val="center"/>
                </w:tcPr>
                <w:p w14:paraId="095AB86D">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新增</w:t>
                  </w:r>
                </w:p>
              </w:tc>
            </w:tr>
            <w:tr w14:paraId="41CF9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57" w:type="dxa"/>
                  <w:vAlign w:val="center"/>
                </w:tcPr>
                <w:p w14:paraId="6ED25F6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2</w:t>
                  </w:r>
                </w:p>
              </w:tc>
              <w:tc>
                <w:tcPr>
                  <w:tcW w:w="2032" w:type="dxa"/>
                  <w:vAlign w:val="center"/>
                </w:tcPr>
                <w:p w14:paraId="38D0EA2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输送皮带</w:t>
                  </w:r>
                </w:p>
              </w:tc>
              <w:tc>
                <w:tcPr>
                  <w:tcW w:w="1405" w:type="dxa"/>
                  <w:vAlign w:val="center"/>
                </w:tcPr>
                <w:p w14:paraId="0072AEE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SS-1000B</w:t>
                  </w:r>
                </w:p>
              </w:tc>
              <w:tc>
                <w:tcPr>
                  <w:tcW w:w="983" w:type="dxa"/>
                  <w:vAlign w:val="center"/>
                </w:tcPr>
                <w:p w14:paraId="2D8B19D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1</w:t>
                  </w:r>
                </w:p>
              </w:tc>
              <w:tc>
                <w:tcPr>
                  <w:tcW w:w="1253" w:type="dxa"/>
                  <w:vAlign w:val="center"/>
                </w:tcPr>
                <w:p w14:paraId="4C589B0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条</w:t>
                  </w:r>
                </w:p>
              </w:tc>
              <w:tc>
                <w:tcPr>
                  <w:tcW w:w="1546" w:type="dxa"/>
                  <w:vAlign w:val="center"/>
                </w:tcPr>
                <w:p w14:paraId="06D47BF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新增</w:t>
                  </w:r>
                </w:p>
              </w:tc>
            </w:tr>
            <w:tr w14:paraId="0ABD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57" w:type="dxa"/>
                  <w:vAlign w:val="center"/>
                </w:tcPr>
                <w:p w14:paraId="76EE537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3</w:t>
                  </w:r>
                </w:p>
              </w:tc>
              <w:tc>
                <w:tcPr>
                  <w:tcW w:w="2032" w:type="dxa"/>
                  <w:vAlign w:val="center"/>
                </w:tcPr>
                <w:p w14:paraId="201129A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水泥筒仓</w:t>
                  </w:r>
                </w:p>
              </w:tc>
              <w:tc>
                <w:tcPr>
                  <w:tcW w:w="1405" w:type="dxa"/>
                  <w:vAlign w:val="center"/>
                </w:tcPr>
                <w:p w14:paraId="4B345B4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200</w:t>
                  </w:r>
                  <w:r>
                    <w:rPr>
                      <w:rFonts w:hint="default" w:ascii="Times New Roman" w:hAnsi="Times New Roman" w:cs="Times New Roman"/>
                      <w:color w:val="auto"/>
                      <w:sz w:val="24"/>
                      <w:szCs w:val="24"/>
                      <w:highlight w:val="none"/>
                      <w:vertAlign w:val="baseline"/>
                      <w:lang w:val="en-US" w:eastAsia="zh-CN"/>
                    </w:rPr>
                    <w:t>T</w:t>
                  </w:r>
                </w:p>
              </w:tc>
              <w:tc>
                <w:tcPr>
                  <w:tcW w:w="983" w:type="dxa"/>
                  <w:vAlign w:val="center"/>
                </w:tcPr>
                <w:p w14:paraId="705323FD">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2</w:t>
                  </w:r>
                </w:p>
              </w:tc>
              <w:tc>
                <w:tcPr>
                  <w:tcW w:w="1253" w:type="dxa"/>
                  <w:vAlign w:val="center"/>
                </w:tcPr>
                <w:p w14:paraId="4E87D55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座</w:t>
                  </w:r>
                </w:p>
              </w:tc>
              <w:tc>
                <w:tcPr>
                  <w:tcW w:w="1546" w:type="dxa"/>
                  <w:vAlign w:val="center"/>
                </w:tcPr>
                <w:p w14:paraId="233F97A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新增</w:t>
                  </w:r>
                </w:p>
              </w:tc>
            </w:tr>
            <w:tr w14:paraId="7976B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57" w:type="dxa"/>
                  <w:vAlign w:val="center"/>
                </w:tcPr>
                <w:p w14:paraId="2801019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4</w:t>
                  </w:r>
                </w:p>
              </w:tc>
              <w:tc>
                <w:tcPr>
                  <w:tcW w:w="2032" w:type="dxa"/>
                  <w:vAlign w:val="center"/>
                </w:tcPr>
                <w:p w14:paraId="37D47A5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蓄水罐</w:t>
                  </w:r>
                </w:p>
              </w:tc>
              <w:tc>
                <w:tcPr>
                  <w:tcW w:w="1405" w:type="dxa"/>
                  <w:shd w:val="clear" w:color="auto" w:fill="auto"/>
                  <w:vAlign w:val="center"/>
                </w:tcPr>
                <w:p w14:paraId="3798B7B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983" w:type="dxa"/>
                  <w:shd w:val="clear" w:color="auto" w:fill="auto"/>
                  <w:vAlign w:val="center"/>
                </w:tcPr>
                <w:p w14:paraId="61BA05E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2</w:t>
                  </w:r>
                </w:p>
              </w:tc>
              <w:tc>
                <w:tcPr>
                  <w:tcW w:w="1253" w:type="dxa"/>
                  <w:shd w:val="clear" w:color="auto" w:fill="auto"/>
                  <w:vAlign w:val="center"/>
                </w:tcPr>
                <w:p w14:paraId="658BADC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座</w:t>
                  </w:r>
                </w:p>
              </w:tc>
              <w:tc>
                <w:tcPr>
                  <w:tcW w:w="1546" w:type="dxa"/>
                  <w:shd w:val="clear" w:color="auto" w:fill="auto"/>
                  <w:vAlign w:val="center"/>
                </w:tcPr>
                <w:p w14:paraId="3505FAB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新增</w:t>
                  </w:r>
                </w:p>
              </w:tc>
            </w:tr>
            <w:tr w14:paraId="0315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57" w:type="dxa"/>
                  <w:vAlign w:val="center"/>
                </w:tcPr>
                <w:p w14:paraId="0068DA9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5</w:t>
                  </w:r>
                </w:p>
              </w:tc>
              <w:tc>
                <w:tcPr>
                  <w:tcW w:w="2032" w:type="dxa"/>
                  <w:vAlign w:val="center"/>
                </w:tcPr>
                <w:p w14:paraId="1F7F441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全封闭</w:t>
                  </w:r>
                  <w:r>
                    <w:rPr>
                      <w:rFonts w:hint="default" w:ascii="Times New Roman" w:hAnsi="Times New Roman" w:eastAsia="宋体" w:cs="Times New Roman"/>
                      <w:color w:val="auto"/>
                      <w:sz w:val="24"/>
                      <w:szCs w:val="24"/>
                      <w:highlight w:val="none"/>
                      <w:vertAlign w:val="baseline"/>
                      <w:lang w:val="en-US" w:eastAsia="zh-CN"/>
                    </w:rPr>
                    <w:t>砂石料场</w:t>
                  </w:r>
                </w:p>
              </w:tc>
              <w:tc>
                <w:tcPr>
                  <w:tcW w:w="1405" w:type="dxa"/>
                  <w:shd w:val="clear" w:color="auto" w:fill="auto"/>
                  <w:vAlign w:val="center"/>
                </w:tcPr>
                <w:p w14:paraId="5E5BE8D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w:t>
                  </w:r>
                </w:p>
              </w:tc>
              <w:tc>
                <w:tcPr>
                  <w:tcW w:w="983" w:type="dxa"/>
                  <w:shd w:val="clear" w:color="auto" w:fill="auto"/>
                  <w:vAlign w:val="center"/>
                </w:tcPr>
                <w:p w14:paraId="1A366BB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1</w:t>
                  </w:r>
                </w:p>
              </w:tc>
              <w:tc>
                <w:tcPr>
                  <w:tcW w:w="1253" w:type="dxa"/>
                  <w:shd w:val="clear" w:color="auto" w:fill="auto"/>
                  <w:vAlign w:val="center"/>
                </w:tcPr>
                <w:p w14:paraId="03C3937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座</w:t>
                  </w:r>
                </w:p>
              </w:tc>
              <w:tc>
                <w:tcPr>
                  <w:tcW w:w="1546" w:type="dxa"/>
                  <w:shd w:val="clear" w:color="auto" w:fill="auto"/>
                  <w:vAlign w:val="center"/>
                </w:tcPr>
                <w:p w14:paraId="14E74ED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新增</w:t>
                  </w:r>
                </w:p>
              </w:tc>
            </w:tr>
            <w:tr w14:paraId="2F49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57" w:type="dxa"/>
                  <w:vAlign w:val="center"/>
                </w:tcPr>
                <w:p w14:paraId="78B471E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6</w:t>
                  </w:r>
                </w:p>
              </w:tc>
              <w:tc>
                <w:tcPr>
                  <w:tcW w:w="2032" w:type="dxa"/>
                  <w:vAlign w:val="center"/>
                </w:tcPr>
                <w:p w14:paraId="1594BB73">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装载机</w:t>
                  </w:r>
                </w:p>
              </w:tc>
              <w:tc>
                <w:tcPr>
                  <w:tcW w:w="1405" w:type="dxa"/>
                  <w:shd w:val="clear" w:color="auto" w:fill="auto"/>
                  <w:vAlign w:val="center"/>
                </w:tcPr>
                <w:p w14:paraId="1F697D0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983" w:type="dxa"/>
                  <w:shd w:val="clear" w:color="auto" w:fill="auto"/>
                  <w:vAlign w:val="center"/>
                </w:tcPr>
                <w:p w14:paraId="49A7F1F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2</w:t>
                  </w:r>
                </w:p>
              </w:tc>
              <w:tc>
                <w:tcPr>
                  <w:tcW w:w="1253" w:type="dxa"/>
                  <w:shd w:val="clear" w:color="auto" w:fill="auto"/>
                  <w:vAlign w:val="center"/>
                </w:tcPr>
                <w:p w14:paraId="70D55F95">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台</w:t>
                  </w:r>
                </w:p>
              </w:tc>
              <w:tc>
                <w:tcPr>
                  <w:tcW w:w="1546" w:type="dxa"/>
                  <w:shd w:val="clear" w:color="auto" w:fill="auto"/>
                  <w:vAlign w:val="center"/>
                </w:tcPr>
                <w:p w14:paraId="6C2D0B9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新增</w:t>
                  </w:r>
                </w:p>
              </w:tc>
            </w:tr>
            <w:tr w14:paraId="5A632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57" w:type="dxa"/>
                  <w:vAlign w:val="center"/>
                </w:tcPr>
                <w:p w14:paraId="10C40A2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7</w:t>
                  </w:r>
                </w:p>
              </w:tc>
              <w:tc>
                <w:tcPr>
                  <w:tcW w:w="2032" w:type="dxa"/>
                  <w:vAlign w:val="center"/>
                </w:tcPr>
                <w:p w14:paraId="44BE044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混凝土罐车</w:t>
                  </w:r>
                </w:p>
              </w:tc>
              <w:tc>
                <w:tcPr>
                  <w:tcW w:w="1405" w:type="dxa"/>
                  <w:shd w:val="clear" w:color="auto" w:fill="auto"/>
                  <w:vAlign w:val="center"/>
                </w:tcPr>
                <w:p w14:paraId="4418BB9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983" w:type="dxa"/>
                  <w:shd w:val="clear" w:color="auto" w:fill="auto"/>
                  <w:vAlign w:val="center"/>
                </w:tcPr>
                <w:p w14:paraId="55D51E1A">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10</w:t>
                  </w:r>
                </w:p>
              </w:tc>
              <w:tc>
                <w:tcPr>
                  <w:tcW w:w="1253" w:type="dxa"/>
                  <w:shd w:val="clear" w:color="auto" w:fill="auto"/>
                  <w:vAlign w:val="center"/>
                </w:tcPr>
                <w:p w14:paraId="024D3EB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台</w:t>
                  </w:r>
                </w:p>
              </w:tc>
              <w:tc>
                <w:tcPr>
                  <w:tcW w:w="1546" w:type="dxa"/>
                  <w:shd w:val="clear" w:color="auto" w:fill="auto"/>
                  <w:vAlign w:val="center"/>
                </w:tcPr>
                <w:p w14:paraId="3EB91AC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新增</w:t>
                  </w:r>
                </w:p>
              </w:tc>
            </w:tr>
            <w:tr w14:paraId="650D1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57" w:type="dxa"/>
                  <w:vAlign w:val="center"/>
                </w:tcPr>
                <w:p w14:paraId="238C9F70">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8</w:t>
                  </w:r>
                </w:p>
              </w:tc>
              <w:tc>
                <w:tcPr>
                  <w:tcW w:w="2032" w:type="dxa"/>
                  <w:vAlign w:val="center"/>
                </w:tcPr>
                <w:p w14:paraId="06F3C6B7">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6"/>
                      <w:sz w:val="24"/>
                      <w:szCs w:val="24"/>
                      <w:highlight w:val="none"/>
                    </w:rPr>
                    <w:t>配料斗</w:t>
                  </w:r>
                </w:p>
              </w:tc>
              <w:tc>
                <w:tcPr>
                  <w:tcW w:w="1405" w:type="dxa"/>
                  <w:shd w:val="clear" w:color="auto" w:fill="auto"/>
                  <w:vAlign w:val="center"/>
                </w:tcPr>
                <w:p w14:paraId="3EECA5AC">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83" w:type="dxa"/>
                  <w:shd w:val="clear" w:color="auto" w:fill="auto"/>
                  <w:vAlign w:val="center"/>
                </w:tcPr>
                <w:p w14:paraId="552512F0">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1253" w:type="dxa"/>
                  <w:shd w:val="clear" w:color="auto" w:fill="auto"/>
                  <w:vAlign w:val="center"/>
                </w:tcPr>
                <w:p w14:paraId="309C48E2">
                  <w:pPr>
                    <w:pStyle w:val="46"/>
                    <w:spacing w:before="57"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rPr>
                    <w:t>套</w:t>
                  </w:r>
                </w:p>
              </w:tc>
              <w:tc>
                <w:tcPr>
                  <w:tcW w:w="1546" w:type="dxa"/>
                  <w:shd w:val="clear" w:color="auto" w:fill="auto"/>
                  <w:vAlign w:val="center"/>
                </w:tcPr>
                <w:p w14:paraId="43A393B3">
                  <w:pPr>
                    <w:pStyle w:val="20"/>
                    <w:spacing w:line="360" w:lineRule="auto"/>
                    <w:ind w:left="0" w:leftChars="0" w:firstLine="0" w:firstLineChars="0"/>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现有</w:t>
                  </w:r>
                </w:p>
              </w:tc>
            </w:tr>
            <w:tr w14:paraId="127F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57" w:type="dxa"/>
                  <w:vAlign w:val="center"/>
                </w:tcPr>
                <w:p w14:paraId="34A4CCA8">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9</w:t>
                  </w:r>
                </w:p>
              </w:tc>
              <w:tc>
                <w:tcPr>
                  <w:tcW w:w="2032" w:type="dxa"/>
                  <w:vAlign w:val="center"/>
                </w:tcPr>
                <w:p w14:paraId="32A45C0B">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8"/>
                      <w:sz w:val="24"/>
                      <w:szCs w:val="24"/>
                      <w:highlight w:val="none"/>
                    </w:rPr>
                    <w:t>水平</w:t>
                  </w:r>
                  <w:r>
                    <w:rPr>
                      <w:rFonts w:hint="eastAsia" w:ascii="Times New Roman" w:hAnsi="Times New Roman" w:cs="Times New Roman"/>
                      <w:b w:val="0"/>
                      <w:bCs w:val="0"/>
                      <w:color w:val="auto"/>
                      <w:spacing w:val="8"/>
                      <w:sz w:val="24"/>
                      <w:szCs w:val="24"/>
                      <w:highlight w:val="none"/>
                      <w:lang w:eastAsia="zh-CN"/>
                    </w:rPr>
                    <w:t>输送皮带</w:t>
                  </w:r>
                  <w:r>
                    <w:rPr>
                      <w:rFonts w:hint="default" w:ascii="Times New Roman" w:hAnsi="Times New Roman" w:eastAsia="宋体" w:cs="Times New Roman"/>
                      <w:b w:val="0"/>
                      <w:bCs w:val="0"/>
                      <w:color w:val="auto"/>
                      <w:spacing w:val="8"/>
                      <w:sz w:val="24"/>
                      <w:szCs w:val="24"/>
                      <w:highlight w:val="none"/>
                    </w:rPr>
                    <w:t>机</w:t>
                  </w:r>
                </w:p>
              </w:tc>
              <w:tc>
                <w:tcPr>
                  <w:tcW w:w="1405" w:type="dxa"/>
                  <w:shd w:val="clear" w:color="auto" w:fill="auto"/>
                  <w:vAlign w:val="center"/>
                </w:tcPr>
                <w:p w14:paraId="79DB4267">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83" w:type="dxa"/>
                  <w:shd w:val="clear" w:color="auto" w:fill="auto"/>
                  <w:vAlign w:val="center"/>
                </w:tcPr>
                <w:p w14:paraId="4C679497">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1253" w:type="dxa"/>
                  <w:shd w:val="clear" w:color="auto" w:fill="auto"/>
                  <w:vAlign w:val="center"/>
                </w:tcPr>
                <w:p w14:paraId="7086B6DD">
                  <w:pPr>
                    <w:pStyle w:val="46"/>
                    <w:spacing w:before="35"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rPr>
                    <w:t>台</w:t>
                  </w:r>
                </w:p>
              </w:tc>
              <w:tc>
                <w:tcPr>
                  <w:tcW w:w="1546" w:type="dxa"/>
                  <w:shd w:val="clear" w:color="auto" w:fill="auto"/>
                  <w:vAlign w:val="center"/>
                </w:tcPr>
                <w:p w14:paraId="696A87AE">
                  <w:pPr>
                    <w:pStyle w:val="20"/>
                    <w:spacing w:line="360" w:lineRule="auto"/>
                    <w:ind w:left="0" w:leftChars="0" w:firstLine="0" w:firstLineChars="0"/>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现有</w:t>
                  </w:r>
                </w:p>
              </w:tc>
            </w:tr>
            <w:tr w14:paraId="7DC5C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57" w:type="dxa"/>
                  <w:vAlign w:val="center"/>
                </w:tcPr>
                <w:p w14:paraId="70D3047B">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10</w:t>
                  </w:r>
                </w:p>
              </w:tc>
              <w:tc>
                <w:tcPr>
                  <w:tcW w:w="2032" w:type="dxa"/>
                  <w:vAlign w:val="center"/>
                </w:tcPr>
                <w:p w14:paraId="4CAA3C27">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5"/>
                      <w:sz w:val="24"/>
                      <w:szCs w:val="24"/>
                      <w:highlight w:val="none"/>
                    </w:rPr>
                    <w:t>喷淋系统</w:t>
                  </w:r>
                </w:p>
              </w:tc>
              <w:tc>
                <w:tcPr>
                  <w:tcW w:w="1405" w:type="dxa"/>
                  <w:shd w:val="clear" w:color="auto" w:fill="auto"/>
                  <w:vAlign w:val="center"/>
                </w:tcPr>
                <w:p w14:paraId="2A3C0D65">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83" w:type="dxa"/>
                  <w:shd w:val="clear" w:color="auto" w:fill="auto"/>
                  <w:vAlign w:val="center"/>
                </w:tcPr>
                <w:p w14:paraId="5ABD0A88">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1253" w:type="dxa"/>
                  <w:shd w:val="clear" w:color="auto" w:fill="auto"/>
                  <w:vAlign w:val="center"/>
                </w:tcPr>
                <w:p w14:paraId="458C2CE5">
                  <w:pPr>
                    <w:pStyle w:val="46"/>
                    <w:spacing w:before="37"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rPr>
                    <w:t>套</w:t>
                  </w:r>
                </w:p>
              </w:tc>
              <w:tc>
                <w:tcPr>
                  <w:tcW w:w="1546" w:type="dxa"/>
                  <w:shd w:val="clear" w:color="auto" w:fill="auto"/>
                  <w:vAlign w:val="center"/>
                </w:tcPr>
                <w:p w14:paraId="52C1E019">
                  <w:pPr>
                    <w:pStyle w:val="20"/>
                    <w:spacing w:line="360" w:lineRule="auto"/>
                    <w:ind w:left="0" w:leftChars="0" w:firstLine="0" w:firstLineChars="0"/>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现有</w:t>
                  </w:r>
                </w:p>
              </w:tc>
            </w:tr>
            <w:tr w14:paraId="670C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57" w:type="dxa"/>
                  <w:vAlign w:val="center"/>
                </w:tcPr>
                <w:p w14:paraId="24AA9924">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11</w:t>
                  </w:r>
                </w:p>
              </w:tc>
              <w:tc>
                <w:tcPr>
                  <w:tcW w:w="2032" w:type="dxa"/>
                  <w:vAlign w:val="center"/>
                </w:tcPr>
                <w:p w14:paraId="75A6DA92">
                  <w:pPr>
                    <w:pStyle w:val="46"/>
                    <w:spacing w:before="35"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6"/>
                      <w:sz w:val="24"/>
                      <w:szCs w:val="24"/>
                      <w:highlight w:val="none"/>
                    </w:rPr>
                    <w:t>提升斗</w:t>
                  </w:r>
                </w:p>
              </w:tc>
              <w:tc>
                <w:tcPr>
                  <w:tcW w:w="1405" w:type="dxa"/>
                  <w:shd w:val="clear" w:color="auto" w:fill="auto"/>
                  <w:vAlign w:val="center"/>
                </w:tcPr>
                <w:p w14:paraId="3F087B68">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83" w:type="dxa"/>
                  <w:shd w:val="clear" w:color="auto" w:fill="auto"/>
                  <w:vAlign w:val="center"/>
                </w:tcPr>
                <w:p w14:paraId="0459EE57">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1253" w:type="dxa"/>
                  <w:shd w:val="clear" w:color="auto" w:fill="auto"/>
                  <w:vAlign w:val="center"/>
                </w:tcPr>
                <w:p w14:paraId="6EF3C784">
                  <w:pPr>
                    <w:spacing w:before="52"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2"/>
                      <w:sz w:val="24"/>
                      <w:szCs w:val="24"/>
                      <w:highlight w:val="none"/>
                    </w:rPr>
                    <w:t>/</w:t>
                  </w:r>
                </w:p>
              </w:tc>
              <w:tc>
                <w:tcPr>
                  <w:tcW w:w="1546" w:type="dxa"/>
                  <w:shd w:val="clear" w:color="auto" w:fill="auto"/>
                  <w:vAlign w:val="center"/>
                </w:tcPr>
                <w:p w14:paraId="330333C4">
                  <w:pPr>
                    <w:spacing w:line="360" w:lineRule="auto"/>
                    <w:ind w:left="0" w:leftChars="0" w:firstLine="0" w:firstLineChars="0"/>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现有</w:t>
                  </w:r>
                </w:p>
              </w:tc>
            </w:tr>
            <w:tr w14:paraId="2AAC0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57" w:type="dxa"/>
                  <w:vAlign w:val="center"/>
                </w:tcPr>
                <w:p w14:paraId="35DF842D">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12</w:t>
                  </w:r>
                </w:p>
              </w:tc>
              <w:tc>
                <w:tcPr>
                  <w:tcW w:w="2032" w:type="dxa"/>
                  <w:vAlign w:val="center"/>
                </w:tcPr>
                <w:p w14:paraId="4B51087C">
                  <w:pPr>
                    <w:pStyle w:val="46"/>
                    <w:spacing w:before="36"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7"/>
                      <w:sz w:val="24"/>
                      <w:szCs w:val="24"/>
                      <w:highlight w:val="none"/>
                    </w:rPr>
                    <w:t>螺旋输送机</w:t>
                  </w:r>
                </w:p>
              </w:tc>
              <w:tc>
                <w:tcPr>
                  <w:tcW w:w="1405" w:type="dxa"/>
                  <w:shd w:val="clear" w:color="auto" w:fill="auto"/>
                  <w:vAlign w:val="center"/>
                </w:tcPr>
                <w:p w14:paraId="09B71613">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83" w:type="dxa"/>
                  <w:shd w:val="clear" w:color="auto" w:fill="auto"/>
                  <w:vAlign w:val="center"/>
                </w:tcPr>
                <w:p w14:paraId="5E569411">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2</w:t>
                  </w:r>
                </w:p>
              </w:tc>
              <w:tc>
                <w:tcPr>
                  <w:tcW w:w="1253" w:type="dxa"/>
                  <w:shd w:val="clear" w:color="auto" w:fill="auto"/>
                  <w:vAlign w:val="center"/>
                </w:tcPr>
                <w:p w14:paraId="5856E746">
                  <w:pPr>
                    <w:pStyle w:val="46"/>
                    <w:spacing w:before="36"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rPr>
                    <w:t>套</w:t>
                  </w:r>
                </w:p>
              </w:tc>
              <w:tc>
                <w:tcPr>
                  <w:tcW w:w="1546" w:type="dxa"/>
                  <w:shd w:val="clear" w:color="auto" w:fill="auto"/>
                  <w:vAlign w:val="center"/>
                </w:tcPr>
                <w:p w14:paraId="19EF4CE4">
                  <w:pPr>
                    <w:spacing w:line="360" w:lineRule="auto"/>
                    <w:ind w:left="0" w:leftChars="0" w:firstLine="0" w:firstLineChars="0"/>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现有</w:t>
                  </w:r>
                </w:p>
              </w:tc>
            </w:tr>
            <w:tr w14:paraId="4808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57" w:type="dxa"/>
                  <w:vAlign w:val="center"/>
                </w:tcPr>
                <w:p w14:paraId="148F0E52">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13</w:t>
                  </w:r>
                </w:p>
              </w:tc>
              <w:tc>
                <w:tcPr>
                  <w:tcW w:w="2032" w:type="dxa"/>
                  <w:vAlign w:val="center"/>
                </w:tcPr>
                <w:p w14:paraId="1E4C0A36">
                  <w:pPr>
                    <w:pStyle w:val="46"/>
                    <w:spacing w:before="37"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8"/>
                      <w:sz w:val="24"/>
                      <w:szCs w:val="24"/>
                      <w:highlight w:val="none"/>
                    </w:rPr>
                    <w:t>搅拌机主机</w:t>
                  </w:r>
                </w:p>
              </w:tc>
              <w:tc>
                <w:tcPr>
                  <w:tcW w:w="1405" w:type="dxa"/>
                  <w:shd w:val="clear" w:color="auto" w:fill="auto"/>
                  <w:vAlign w:val="center"/>
                </w:tcPr>
                <w:p w14:paraId="39CC52E0">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6"/>
                      <w:sz w:val="24"/>
                      <w:szCs w:val="24"/>
                      <w:highlight w:val="none"/>
                    </w:rPr>
                    <w:t>1500</w:t>
                  </w:r>
                </w:p>
              </w:tc>
              <w:tc>
                <w:tcPr>
                  <w:tcW w:w="983" w:type="dxa"/>
                  <w:shd w:val="clear" w:color="auto" w:fill="auto"/>
                  <w:vAlign w:val="center"/>
                </w:tcPr>
                <w:p w14:paraId="419BDF7C">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1253" w:type="dxa"/>
                  <w:shd w:val="clear" w:color="auto" w:fill="auto"/>
                  <w:vAlign w:val="center"/>
                </w:tcPr>
                <w:p w14:paraId="47D2378B">
                  <w:pPr>
                    <w:pStyle w:val="46"/>
                    <w:spacing w:before="37"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rPr>
                    <w:t>台</w:t>
                  </w:r>
                </w:p>
              </w:tc>
              <w:tc>
                <w:tcPr>
                  <w:tcW w:w="1546" w:type="dxa"/>
                  <w:shd w:val="clear" w:color="auto" w:fill="auto"/>
                  <w:vAlign w:val="center"/>
                </w:tcPr>
                <w:p w14:paraId="1A22EF90">
                  <w:pPr>
                    <w:spacing w:line="360" w:lineRule="auto"/>
                    <w:ind w:left="0" w:leftChars="0" w:firstLine="0" w:firstLineChars="0"/>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现有</w:t>
                  </w:r>
                </w:p>
              </w:tc>
            </w:tr>
            <w:tr w14:paraId="69410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57" w:type="dxa"/>
                  <w:vAlign w:val="center"/>
                </w:tcPr>
                <w:p w14:paraId="6815EC19">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14</w:t>
                  </w:r>
                </w:p>
              </w:tc>
              <w:tc>
                <w:tcPr>
                  <w:tcW w:w="2032" w:type="dxa"/>
                  <w:vAlign w:val="center"/>
                </w:tcPr>
                <w:p w14:paraId="570DC7EA">
                  <w:pPr>
                    <w:pStyle w:val="46"/>
                    <w:spacing w:before="35"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8"/>
                      <w:sz w:val="24"/>
                      <w:szCs w:val="24"/>
                      <w:highlight w:val="none"/>
                    </w:rPr>
                    <w:t>加水计量系统</w:t>
                  </w:r>
                </w:p>
              </w:tc>
              <w:tc>
                <w:tcPr>
                  <w:tcW w:w="1405" w:type="dxa"/>
                  <w:shd w:val="clear" w:color="auto" w:fill="auto"/>
                  <w:vAlign w:val="center"/>
                </w:tcPr>
                <w:p w14:paraId="2477EDD9">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83" w:type="dxa"/>
                  <w:shd w:val="clear" w:color="auto" w:fill="auto"/>
                  <w:vAlign w:val="center"/>
                </w:tcPr>
                <w:p w14:paraId="2CBAE554">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1253" w:type="dxa"/>
                  <w:shd w:val="clear" w:color="auto" w:fill="auto"/>
                  <w:vAlign w:val="center"/>
                </w:tcPr>
                <w:p w14:paraId="74334D77">
                  <w:pPr>
                    <w:pStyle w:val="46"/>
                    <w:spacing w:before="35"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rPr>
                    <w:t>套</w:t>
                  </w:r>
                </w:p>
              </w:tc>
              <w:tc>
                <w:tcPr>
                  <w:tcW w:w="1546" w:type="dxa"/>
                  <w:shd w:val="clear" w:color="auto" w:fill="auto"/>
                  <w:vAlign w:val="center"/>
                </w:tcPr>
                <w:p w14:paraId="21DA07AA">
                  <w:pPr>
                    <w:spacing w:line="360" w:lineRule="auto"/>
                    <w:ind w:left="0" w:leftChars="0" w:firstLine="0" w:firstLineChars="0"/>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现有</w:t>
                  </w:r>
                </w:p>
              </w:tc>
            </w:tr>
            <w:tr w14:paraId="5955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57" w:type="dxa"/>
                  <w:vAlign w:val="center"/>
                </w:tcPr>
                <w:p w14:paraId="172811B3">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15</w:t>
                  </w:r>
                </w:p>
              </w:tc>
              <w:tc>
                <w:tcPr>
                  <w:tcW w:w="2032" w:type="dxa"/>
                  <w:vAlign w:val="center"/>
                </w:tcPr>
                <w:p w14:paraId="0B0F7E70">
                  <w:pPr>
                    <w:pStyle w:val="46"/>
                    <w:spacing w:before="36"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4"/>
                      <w:sz w:val="24"/>
                      <w:szCs w:val="24"/>
                      <w:highlight w:val="none"/>
                    </w:rPr>
                    <w:t>空压机</w:t>
                  </w:r>
                </w:p>
              </w:tc>
              <w:tc>
                <w:tcPr>
                  <w:tcW w:w="1405" w:type="dxa"/>
                  <w:shd w:val="clear" w:color="auto" w:fill="auto"/>
                  <w:vAlign w:val="center"/>
                </w:tcPr>
                <w:p w14:paraId="534E72B9">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83" w:type="dxa"/>
                  <w:shd w:val="clear" w:color="auto" w:fill="auto"/>
                  <w:vAlign w:val="center"/>
                </w:tcPr>
                <w:p w14:paraId="47EBCDC0">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1253" w:type="dxa"/>
                  <w:shd w:val="clear" w:color="auto" w:fill="auto"/>
                  <w:vAlign w:val="center"/>
                </w:tcPr>
                <w:p w14:paraId="394D39FE">
                  <w:pPr>
                    <w:pStyle w:val="46"/>
                    <w:spacing w:before="36"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rPr>
                    <w:t>台</w:t>
                  </w:r>
                </w:p>
              </w:tc>
              <w:tc>
                <w:tcPr>
                  <w:tcW w:w="1546" w:type="dxa"/>
                  <w:shd w:val="clear" w:color="auto" w:fill="auto"/>
                  <w:vAlign w:val="center"/>
                </w:tcPr>
                <w:p w14:paraId="6AADDED8">
                  <w:pPr>
                    <w:spacing w:line="360" w:lineRule="auto"/>
                    <w:ind w:left="0" w:leftChars="0" w:firstLine="0" w:firstLineChars="0"/>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现有</w:t>
                  </w:r>
                </w:p>
              </w:tc>
            </w:tr>
            <w:tr w14:paraId="67F29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57" w:type="dxa"/>
                  <w:vAlign w:val="center"/>
                </w:tcPr>
                <w:p w14:paraId="2EBF9F4D">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16</w:t>
                  </w:r>
                </w:p>
              </w:tc>
              <w:tc>
                <w:tcPr>
                  <w:tcW w:w="2032" w:type="dxa"/>
                  <w:vAlign w:val="center"/>
                </w:tcPr>
                <w:p w14:paraId="59B8858E">
                  <w:pPr>
                    <w:pStyle w:val="46"/>
                    <w:spacing w:before="68"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7"/>
                      <w:sz w:val="24"/>
                      <w:szCs w:val="24"/>
                      <w:highlight w:val="none"/>
                    </w:rPr>
                    <w:t>供气系统</w:t>
                  </w:r>
                </w:p>
              </w:tc>
              <w:tc>
                <w:tcPr>
                  <w:tcW w:w="1405" w:type="dxa"/>
                  <w:shd w:val="clear" w:color="auto" w:fill="auto"/>
                  <w:vAlign w:val="center"/>
                </w:tcPr>
                <w:p w14:paraId="43E9A84C">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83" w:type="dxa"/>
                  <w:shd w:val="clear" w:color="auto" w:fill="auto"/>
                  <w:vAlign w:val="center"/>
                </w:tcPr>
                <w:p w14:paraId="3C544FE8">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1253" w:type="dxa"/>
                  <w:shd w:val="clear" w:color="auto" w:fill="auto"/>
                  <w:vAlign w:val="center"/>
                </w:tcPr>
                <w:p w14:paraId="64B14C5D">
                  <w:pPr>
                    <w:pStyle w:val="46"/>
                    <w:spacing w:before="68"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rPr>
                    <w:t>套</w:t>
                  </w:r>
                </w:p>
              </w:tc>
              <w:tc>
                <w:tcPr>
                  <w:tcW w:w="1546" w:type="dxa"/>
                  <w:shd w:val="clear" w:color="auto" w:fill="auto"/>
                  <w:vAlign w:val="center"/>
                </w:tcPr>
                <w:p w14:paraId="29CF696B">
                  <w:pPr>
                    <w:spacing w:line="360" w:lineRule="auto"/>
                    <w:ind w:left="0" w:leftChars="0" w:firstLine="0" w:firstLineChars="0"/>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现有</w:t>
                  </w:r>
                </w:p>
              </w:tc>
            </w:tr>
            <w:tr w14:paraId="203C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57" w:type="dxa"/>
                  <w:vAlign w:val="center"/>
                </w:tcPr>
                <w:p w14:paraId="2891536C">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r>
                    <w:rPr>
                      <w:rFonts w:hint="default" w:ascii="Times New Roman" w:hAnsi="Times New Roman" w:cs="Times New Roman"/>
                      <w:b w:val="0"/>
                      <w:bCs w:val="0"/>
                      <w:color w:val="auto"/>
                      <w:sz w:val="24"/>
                      <w:szCs w:val="24"/>
                      <w:highlight w:val="none"/>
                      <w:vertAlign w:val="baseline"/>
                      <w:lang w:val="en-US" w:eastAsia="zh-CN"/>
                    </w:rPr>
                    <w:t>7</w:t>
                  </w:r>
                </w:p>
              </w:tc>
              <w:tc>
                <w:tcPr>
                  <w:tcW w:w="2032" w:type="dxa"/>
                  <w:vAlign w:val="center"/>
                </w:tcPr>
                <w:p w14:paraId="704F0268">
                  <w:pPr>
                    <w:pStyle w:val="46"/>
                    <w:spacing w:before="67"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6"/>
                      <w:sz w:val="24"/>
                      <w:szCs w:val="24"/>
                      <w:highlight w:val="none"/>
                    </w:rPr>
                    <w:t>装载机</w:t>
                  </w:r>
                </w:p>
              </w:tc>
              <w:tc>
                <w:tcPr>
                  <w:tcW w:w="1405" w:type="dxa"/>
                  <w:shd w:val="clear" w:color="auto" w:fill="auto"/>
                  <w:vAlign w:val="center"/>
                </w:tcPr>
                <w:p w14:paraId="289AB8CA">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83" w:type="dxa"/>
                  <w:shd w:val="clear" w:color="auto" w:fill="auto"/>
                  <w:vAlign w:val="center"/>
                </w:tcPr>
                <w:p w14:paraId="62C54E92">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1253" w:type="dxa"/>
                  <w:shd w:val="clear" w:color="auto" w:fill="auto"/>
                  <w:vAlign w:val="center"/>
                </w:tcPr>
                <w:p w14:paraId="0D9F3F76">
                  <w:pPr>
                    <w:pStyle w:val="46"/>
                    <w:spacing w:before="67"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rPr>
                    <w:t>台</w:t>
                  </w:r>
                </w:p>
              </w:tc>
              <w:tc>
                <w:tcPr>
                  <w:tcW w:w="1546" w:type="dxa"/>
                  <w:shd w:val="clear" w:color="auto" w:fill="auto"/>
                  <w:vAlign w:val="center"/>
                </w:tcPr>
                <w:p w14:paraId="7D994FC6">
                  <w:pPr>
                    <w:spacing w:line="360" w:lineRule="auto"/>
                    <w:ind w:left="0" w:leftChars="0" w:firstLine="0" w:firstLineChars="0"/>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现有</w:t>
                  </w:r>
                </w:p>
              </w:tc>
            </w:tr>
            <w:tr w14:paraId="18BB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157" w:type="dxa"/>
                  <w:vAlign w:val="center"/>
                </w:tcPr>
                <w:p w14:paraId="4B022478">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18</w:t>
                  </w:r>
                </w:p>
              </w:tc>
              <w:tc>
                <w:tcPr>
                  <w:tcW w:w="2032" w:type="dxa"/>
                  <w:vAlign w:val="center"/>
                </w:tcPr>
                <w:p w14:paraId="575E140D">
                  <w:pPr>
                    <w:pStyle w:val="46"/>
                    <w:spacing w:before="68"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pacing w:val="6"/>
                      <w:sz w:val="24"/>
                      <w:szCs w:val="24"/>
                      <w:highlight w:val="none"/>
                    </w:rPr>
                    <w:t>洒水车</w:t>
                  </w:r>
                </w:p>
              </w:tc>
              <w:tc>
                <w:tcPr>
                  <w:tcW w:w="1405" w:type="dxa"/>
                  <w:shd w:val="clear" w:color="auto" w:fill="auto"/>
                  <w:vAlign w:val="center"/>
                </w:tcPr>
                <w:p w14:paraId="5B9D461D">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983" w:type="dxa"/>
                  <w:shd w:val="clear" w:color="auto" w:fill="auto"/>
                  <w:vAlign w:val="center"/>
                </w:tcPr>
                <w:p w14:paraId="53192303">
                  <w:pPr>
                    <w:pStyle w:val="20"/>
                    <w:spacing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w:t>
                  </w:r>
                </w:p>
              </w:tc>
              <w:tc>
                <w:tcPr>
                  <w:tcW w:w="1253" w:type="dxa"/>
                  <w:shd w:val="clear" w:color="auto" w:fill="auto"/>
                  <w:vAlign w:val="center"/>
                </w:tcPr>
                <w:p w14:paraId="0EC14118">
                  <w:pPr>
                    <w:pStyle w:val="46"/>
                    <w:spacing w:before="69" w:line="360" w:lineRule="auto"/>
                    <w:ind w:left="0" w:leftChars="0" w:firstLine="0" w:firstLineChars="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rPr>
                    <w:t>台</w:t>
                  </w:r>
                </w:p>
              </w:tc>
              <w:tc>
                <w:tcPr>
                  <w:tcW w:w="1546" w:type="dxa"/>
                  <w:shd w:val="clear" w:color="auto" w:fill="auto"/>
                  <w:vAlign w:val="center"/>
                </w:tcPr>
                <w:p w14:paraId="114977BC">
                  <w:pPr>
                    <w:spacing w:line="360" w:lineRule="auto"/>
                    <w:ind w:left="0" w:leftChars="0" w:firstLine="0" w:firstLineChars="0"/>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现有</w:t>
                  </w:r>
                </w:p>
              </w:tc>
            </w:tr>
          </w:tbl>
          <w:p w14:paraId="7E87FD6A">
            <w:pPr>
              <w:bidi w:val="0"/>
              <w:spacing w:line="360" w:lineRule="auto"/>
              <w:ind w:left="0" w:leftChars="0" w:firstLine="0" w:firstLineChars="0"/>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8.</w:t>
            </w:r>
            <w:r>
              <w:rPr>
                <w:rFonts w:hint="default" w:ascii="Times New Roman" w:hAnsi="Times New Roman" w:eastAsia="宋体" w:cs="Times New Roman"/>
                <w:b/>
                <w:bCs/>
                <w:color w:val="auto"/>
                <w:sz w:val="24"/>
                <w:szCs w:val="24"/>
                <w:highlight w:val="none"/>
                <w:lang w:val="en-US" w:eastAsia="zh-CN"/>
              </w:rPr>
              <w:t>扩建原辅料及产品方案</w:t>
            </w:r>
          </w:p>
          <w:p w14:paraId="21EBC888">
            <w:pPr>
              <w:bidi w:val="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根据相关企业实际生产情况，项目生产商品混凝土原料使用量见下表。</w:t>
            </w:r>
          </w:p>
          <w:p w14:paraId="5F73F25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w:t>
            </w:r>
            <w:r>
              <w:rPr>
                <w:rFonts w:hint="default" w:ascii="Times New Roman" w:hAnsi="Times New Roman"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8-</w:t>
            </w:r>
            <w:r>
              <w:rPr>
                <w:rFonts w:hint="default" w:ascii="Times New Roman" w:hAnsi="Times New Roman"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val="en-US" w:eastAsia="zh-CN"/>
              </w:rPr>
              <w:t>扩建项目原辅材料消耗一览表</w:t>
            </w:r>
          </w:p>
          <w:tbl>
            <w:tblPr>
              <w:tblStyle w:val="15"/>
              <w:tblW w:w="79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1332"/>
              <w:gridCol w:w="1332"/>
              <w:gridCol w:w="1332"/>
              <w:gridCol w:w="1332"/>
              <w:gridCol w:w="1332"/>
            </w:tblGrid>
            <w:tr w14:paraId="148C5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332" w:type="dxa"/>
                  <w:vAlign w:val="center"/>
                </w:tcPr>
                <w:p w14:paraId="5AF6DED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序号</w:t>
                  </w:r>
                </w:p>
              </w:tc>
              <w:tc>
                <w:tcPr>
                  <w:tcW w:w="1332" w:type="dxa"/>
                  <w:vAlign w:val="center"/>
                </w:tcPr>
                <w:p w14:paraId="45EE6A2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原辅料名称</w:t>
                  </w:r>
                </w:p>
              </w:tc>
              <w:tc>
                <w:tcPr>
                  <w:tcW w:w="1332" w:type="dxa"/>
                  <w:vAlign w:val="center"/>
                </w:tcPr>
                <w:p w14:paraId="20F7B71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现有工程使用量</w:t>
                  </w:r>
                </w:p>
              </w:tc>
              <w:tc>
                <w:tcPr>
                  <w:tcW w:w="1332" w:type="dxa"/>
                  <w:vAlign w:val="center"/>
                </w:tcPr>
                <w:p w14:paraId="61417B1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扩建工程使用量</w:t>
                  </w:r>
                </w:p>
              </w:tc>
              <w:tc>
                <w:tcPr>
                  <w:tcW w:w="1332" w:type="dxa"/>
                  <w:vAlign w:val="center"/>
                </w:tcPr>
                <w:p w14:paraId="78B9D11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扩建后全厂使用量</w:t>
                  </w:r>
                </w:p>
              </w:tc>
              <w:tc>
                <w:tcPr>
                  <w:tcW w:w="1332" w:type="dxa"/>
                  <w:vAlign w:val="center"/>
                </w:tcPr>
                <w:p w14:paraId="479559C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单位</w:t>
                  </w:r>
                </w:p>
              </w:tc>
            </w:tr>
            <w:tr w14:paraId="3F646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332" w:type="dxa"/>
                  <w:vAlign w:val="center"/>
                </w:tcPr>
                <w:p w14:paraId="1F103B9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1</w:t>
                  </w:r>
                </w:p>
              </w:tc>
              <w:tc>
                <w:tcPr>
                  <w:tcW w:w="1332" w:type="dxa"/>
                  <w:vAlign w:val="center"/>
                </w:tcPr>
                <w:p w14:paraId="7F95D875">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水泥</w:t>
                  </w:r>
                </w:p>
              </w:tc>
              <w:tc>
                <w:tcPr>
                  <w:tcW w:w="1332" w:type="dxa"/>
                  <w:vAlign w:val="center"/>
                </w:tcPr>
                <w:p w14:paraId="362F8AA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pacing w:val="-4"/>
                      <w:sz w:val="24"/>
                      <w:szCs w:val="24"/>
                      <w:highlight w:val="none"/>
                    </w:rPr>
                    <w:t>10804</w:t>
                  </w:r>
                </w:p>
              </w:tc>
              <w:tc>
                <w:tcPr>
                  <w:tcW w:w="1332" w:type="dxa"/>
                  <w:shd w:val="clear" w:color="auto" w:fill="auto"/>
                  <w:vAlign w:val="center"/>
                </w:tcPr>
                <w:p w14:paraId="46D8266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sz w:val="24"/>
                      <w:szCs w:val="24"/>
                      <w:highlight w:val="none"/>
                      <w:vertAlign w:val="baseline"/>
                      <w:lang w:val="en-US" w:eastAsia="zh-CN"/>
                    </w:rPr>
                    <w:t>141575.76</w:t>
                  </w:r>
                </w:p>
              </w:tc>
              <w:tc>
                <w:tcPr>
                  <w:tcW w:w="1332" w:type="dxa"/>
                  <w:vAlign w:val="center"/>
                </w:tcPr>
                <w:p w14:paraId="56376E0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152379.76</w:t>
                  </w:r>
                </w:p>
              </w:tc>
              <w:tc>
                <w:tcPr>
                  <w:tcW w:w="1332" w:type="dxa"/>
                  <w:vAlign w:val="center"/>
                </w:tcPr>
                <w:p w14:paraId="50C1487A">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lang w:val="en-US" w:eastAsia="zh-CN"/>
                    </w:rPr>
                    <w:t>t/a</w:t>
                  </w:r>
                </w:p>
              </w:tc>
            </w:tr>
            <w:tr w14:paraId="4B9F4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332" w:type="dxa"/>
                  <w:vAlign w:val="center"/>
                </w:tcPr>
                <w:p w14:paraId="0AA08FD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2</w:t>
                  </w:r>
                </w:p>
              </w:tc>
              <w:tc>
                <w:tcPr>
                  <w:tcW w:w="1332" w:type="dxa"/>
                  <w:vAlign w:val="center"/>
                </w:tcPr>
                <w:p w14:paraId="630711F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石子</w:t>
                  </w:r>
                </w:p>
              </w:tc>
              <w:tc>
                <w:tcPr>
                  <w:tcW w:w="1332" w:type="dxa"/>
                  <w:vAlign w:val="center"/>
                </w:tcPr>
                <w:p w14:paraId="36FA1B1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pacing w:val="-2"/>
                      <w:sz w:val="24"/>
                      <w:szCs w:val="24"/>
                      <w:highlight w:val="none"/>
                    </w:rPr>
                    <w:t>56721</w:t>
                  </w:r>
                </w:p>
              </w:tc>
              <w:tc>
                <w:tcPr>
                  <w:tcW w:w="1332" w:type="dxa"/>
                  <w:shd w:val="clear" w:color="auto" w:fill="auto"/>
                  <w:vAlign w:val="center"/>
                </w:tcPr>
                <w:p w14:paraId="53A2B77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sz w:val="24"/>
                      <w:szCs w:val="24"/>
                      <w:highlight w:val="none"/>
                      <w:vertAlign w:val="baseline"/>
                      <w:lang w:val="en-US" w:eastAsia="zh-CN"/>
                    </w:rPr>
                    <w:t>353939.39</w:t>
                  </w:r>
                </w:p>
              </w:tc>
              <w:tc>
                <w:tcPr>
                  <w:tcW w:w="1332" w:type="dxa"/>
                  <w:vAlign w:val="center"/>
                </w:tcPr>
                <w:p w14:paraId="34DCD1C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410660.39</w:t>
                  </w:r>
                </w:p>
              </w:tc>
              <w:tc>
                <w:tcPr>
                  <w:tcW w:w="1332" w:type="dxa"/>
                  <w:vAlign w:val="center"/>
                </w:tcPr>
                <w:p w14:paraId="48C589F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lang w:val="en-US" w:eastAsia="zh-CN"/>
                    </w:rPr>
                    <w:t>t/a</w:t>
                  </w:r>
                </w:p>
              </w:tc>
            </w:tr>
            <w:tr w14:paraId="2A8C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332" w:type="dxa"/>
                  <w:vAlign w:val="center"/>
                </w:tcPr>
                <w:p w14:paraId="2CFD32E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3</w:t>
                  </w:r>
                </w:p>
              </w:tc>
              <w:tc>
                <w:tcPr>
                  <w:tcW w:w="1332" w:type="dxa"/>
                  <w:vAlign w:val="center"/>
                </w:tcPr>
                <w:p w14:paraId="5638B25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砂子</w:t>
                  </w:r>
                </w:p>
              </w:tc>
              <w:tc>
                <w:tcPr>
                  <w:tcW w:w="1332" w:type="dxa"/>
                  <w:vAlign w:val="center"/>
                </w:tcPr>
                <w:p w14:paraId="22D9021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pacing w:val="-4"/>
                      <w:sz w:val="24"/>
                      <w:szCs w:val="24"/>
                      <w:highlight w:val="none"/>
                    </w:rPr>
                    <w:t>18907</w:t>
                  </w:r>
                </w:p>
              </w:tc>
              <w:tc>
                <w:tcPr>
                  <w:tcW w:w="1332" w:type="dxa"/>
                  <w:shd w:val="clear" w:color="auto" w:fill="auto"/>
                  <w:vAlign w:val="center"/>
                </w:tcPr>
                <w:p w14:paraId="4FE0C5E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sz w:val="24"/>
                      <w:szCs w:val="24"/>
                      <w:highlight w:val="none"/>
                      <w:vertAlign w:val="baseline"/>
                      <w:lang w:val="en-US" w:eastAsia="zh-CN"/>
                    </w:rPr>
                    <w:t>141575.76</w:t>
                  </w:r>
                </w:p>
              </w:tc>
              <w:tc>
                <w:tcPr>
                  <w:tcW w:w="1332" w:type="dxa"/>
                  <w:vAlign w:val="center"/>
                </w:tcPr>
                <w:p w14:paraId="00510525">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160482.76</w:t>
                  </w:r>
                </w:p>
              </w:tc>
              <w:tc>
                <w:tcPr>
                  <w:tcW w:w="1332" w:type="dxa"/>
                  <w:vAlign w:val="center"/>
                </w:tcPr>
                <w:p w14:paraId="6B3AD8A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lang w:val="en-US" w:eastAsia="zh-CN"/>
                    </w:rPr>
                    <w:t>t/a</w:t>
                  </w:r>
                </w:p>
              </w:tc>
            </w:tr>
            <w:tr w14:paraId="77F49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332" w:type="dxa"/>
                  <w:vAlign w:val="center"/>
                </w:tcPr>
                <w:p w14:paraId="5A8744F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4</w:t>
                  </w:r>
                </w:p>
              </w:tc>
              <w:tc>
                <w:tcPr>
                  <w:tcW w:w="1332" w:type="dxa"/>
                  <w:vAlign w:val="center"/>
                </w:tcPr>
                <w:p w14:paraId="1A89B71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水</w:t>
                  </w:r>
                </w:p>
              </w:tc>
              <w:tc>
                <w:tcPr>
                  <w:tcW w:w="1332" w:type="dxa"/>
                  <w:vAlign w:val="center"/>
                </w:tcPr>
                <w:p w14:paraId="3976DD63">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pacing w:val="-2"/>
                      <w:sz w:val="24"/>
                      <w:szCs w:val="24"/>
                      <w:highlight w:val="none"/>
                    </w:rPr>
                    <w:t>3322.23</w:t>
                  </w:r>
                </w:p>
              </w:tc>
              <w:tc>
                <w:tcPr>
                  <w:tcW w:w="1332" w:type="dxa"/>
                  <w:shd w:val="clear" w:color="auto" w:fill="auto"/>
                  <w:vAlign w:val="center"/>
                </w:tcPr>
                <w:p w14:paraId="564699D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kern w:val="2"/>
                      <w:sz w:val="24"/>
                      <w:szCs w:val="24"/>
                      <w:highlight w:val="none"/>
                      <w:vertAlign w:val="baseline"/>
                      <w:lang w:val="en-US" w:eastAsia="zh-CN" w:bidi="ar-SA"/>
                    </w:rPr>
                    <w:t>64842.78</w:t>
                  </w:r>
                </w:p>
              </w:tc>
              <w:tc>
                <w:tcPr>
                  <w:tcW w:w="1332" w:type="dxa"/>
                  <w:vAlign w:val="center"/>
                </w:tcPr>
                <w:p w14:paraId="2E927A53">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68165.01</w:t>
                  </w:r>
                </w:p>
              </w:tc>
              <w:tc>
                <w:tcPr>
                  <w:tcW w:w="1332" w:type="dxa"/>
                  <w:vAlign w:val="center"/>
                </w:tcPr>
                <w:p w14:paraId="3CE1755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/a</w:t>
                  </w:r>
                </w:p>
              </w:tc>
            </w:tr>
          </w:tbl>
          <w:p w14:paraId="3032BECD">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表2-8-2原料配比数据</w:t>
            </w:r>
          </w:p>
          <w:tbl>
            <w:tblPr>
              <w:tblStyle w:val="15"/>
              <w:tblW w:w="79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8"/>
              <w:gridCol w:w="1443"/>
              <w:gridCol w:w="2106"/>
              <w:gridCol w:w="2107"/>
              <w:gridCol w:w="1212"/>
            </w:tblGrid>
            <w:tr w14:paraId="0F6C7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108" w:type="dxa"/>
                </w:tcPr>
                <w:p w14:paraId="65A2980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序号</w:t>
                  </w:r>
                </w:p>
              </w:tc>
              <w:tc>
                <w:tcPr>
                  <w:tcW w:w="1443" w:type="dxa"/>
                </w:tcPr>
                <w:p w14:paraId="55FB450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原辅料名称</w:t>
                  </w:r>
                </w:p>
              </w:tc>
              <w:tc>
                <w:tcPr>
                  <w:tcW w:w="2106" w:type="dxa"/>
                </w:tcPr>
                <w:p w14:paraId="429E7535">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C25混凝土</w:t>
                  </w:r>
                  <w:r>
                    <w:rPr>
                      <w:rFonts w:hint="default" w:ascii="Times New Roman" w:hAnsi="Times New Roman" w:eastAsia="宋体" w:cs="Times New Roman"/>
                      <w:color w:val="auto"/>
                      <w:sz w:val="24"/>
                      <w:szCs w:val="24"/>
                      <w:highlight w:val="none"/>
                      <w:vertAlign w:val="baseline"/>
                      <w:lang w:val="en-US" w:eastAsia="zh-CN"/>
                    </w:rPr>
                    <w:t>使用量</w:t>
                  </w:r>
                </w:p>
              </w:tc>
              <w:tc>
                <w:tcPr>
                  <w:tcW w:w="2107" w:type="dxa"/>
                </w:tcPr>
                <w:p w14:paraId="6763E485">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C30混凝土</w:t>
                  </w:r>
                  <w:r>
                    <w:rPr>
                      <w:rFonts w:hint="default" w:ascii="Times New Roman" w:hAnsi="Times New Roman" w:eastAsia="宋体" w:cs="Times New Roman"/>
                      <w:color w:val="auto"/>
                      <w:sz w:val="24"/>
                      <w:szCs w:val="24"/>
                      <w:highlight w:val="none"/>
                      <w:vertAlign w:val="baseline"/>
                      <w:lang w:val="en-US" w:eastAsia="zh-CN"/>
                    </w:rPr>
                    <w:t>使用量</w:t>
                  </w:r>
                </w:p>
              </w:tc>
              <w:tc>
                <w:tcPr>
                  <w:tcW w:w="1212" w:type="dxa"/>
                </w:tcPr>
                <w:p w14:paraId="1AFE9B6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单位</w:t>
                  </w:r>
                </w:p>
              </w:tc>
            </w:tr>
            <w:tr w14:paraId="7BD56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108" w:type="dxa"/>
                </w:tcPr>
                <w:p w14:paraId="2F32D7F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1</w:t>
                  </w:r>
                </w:p>
              </w:tc>
              <w:tc>
                <w:tcPr>
                  <w:tcW w:w="1443" w:type="dxa"/>
                </w:tcPr>
                <w:p w14:paraId="533EB5D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水泥</w:t>
                  </w:r>
                </w:p>
              </w:tc>
              <w:tc>
                <w:tcPr>
                  <w:tcW w:w="2106" w:type="dxa"/>
                </w:tcPr>
                <w:p w14:paraId="46A7E333">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pacing w:val="-4"/>
                      <w:sz w:val="24"/>
                      <w:szCs w:val="24"/>
                      <w:highlight w:val="none"/>
                      <w:lang w:val="en-US" w:eastAsia="zh-CN"/>
                    </w:rPr>
                    <w:t>0.40</w:t>
                  </w:r>
                </w:p>
              </w:tc>
              <w:tc>
                <w:tcPr>
                  <w:tcW w:w="2107" w:type="dxa"/>
                  <w:shd w:val="clear" w:color="auto" w:fill="auto"/>
                  <w:vAlign w:val="top"/>
                </w:tcPr>
                <w:p w14:paraId="6C3694A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sz w:val="24"/>
                      <w:szCs w:val="24"/>
                      <w:highlight w:val="none"/>
                      <w:vertAlign w:val="baseline"/>
                      <w:lang w:val="en-US" w:eastAsia="zh-CN"/>
                    </w:rPr>
                    <w:t>0.51</w:t>
                  </w:r>
                </w:p>
              </w:tc>
              <w:tc>
                <w:tcPr>
                  <w:tcW w:w="1212" w:type="dxa"/>
                </w:tcPr>
                <w:p w14:paraId="625D4D1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lang w:val="en-US" w:eastAsia="zh-CN"/>
                    </w:rPr>
                    <w:t>t/m</w:t>
                  </w:r>
                  <w:r>
                    <w:rPr>
                      <w:rFonts w:hint="default" w:ascii="Times New Roman" w:hAnsi="Times New Roman" w:cs="Times New Roman"/>
                      <w:color w:val="auto"/>
                      <w:sz w:val="24"/>
                      <w:szCs w:val="24"/>
                      <w:highlight w:val="none"/>
                      <w:vertAlign w:val="superscript"/>
                      <w:lang w:val="en-US" w:eastAsia="zh-CN"/>
                    </w:rPr>
                    <w:t>3</w:t>
                  </w:r>
                </w:p>
              </w:tc>
            </w:tr>
            <w:tr w14:paraId="530D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08" w:type="dxa"/>
                </w:tcPr>
                <w:p w14:paraId="653C867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2</w:t>
                  </w:r>
                </w:p>
              </w:tc>
              <w:tc>
                <w:tcPr>
                  <w:tcW w:w="1443" w:type="dxa"/>
                </w:tcPr>
                <w:p w14:paraId="4227CFF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石子</w:t>
                  </w:r>
                </w:p>
              </w:tc>
              <w:tc>
                <w:tcPr>
                  <w:tcW w:w="2106" w:type="dxa"/>
                </w:tcPr>
                <w:p w14:paraId="6524521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pacing w:val="-2"/>
                      <w:sz w:val="24"/>
                      <w:szCs w:val="24"/>
                      <w:highlight w:val="none"/>
                      <w:lang w:val="en-US" w:eastAsia="zh-CN"/>
                    </w:rPr>
                    <w:t>2.1</w:t>
                  </w:r>
                </w:p>
              </w:tc>
              <w:tc>
                <w:tcPr>
                  <w:tcW w:w="2107" w:type="dxa"/>
                  <w:shd w:val="clear" w:color="auto" w:fill="auto"/>
                  <w:vAlign w:val="top"/>
                </w:tcPr>
                <w:p w14:paraId="59D6B40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sz w:val="24"/>
                      <w:szCs w:val="24"/>
                      <w:highlight w:val="none"/>
                      <w:vertAlign w:val="baseline"/>
                      <w:lang w:val="en-US" w:eastAsia="zh-CN"/>
                    </w:rPr>
                    <w:t>1.26</w:t>
                  </w:r>
                </w:p>
              </w:tc>
              <w:tc>
                <w:tcPr>
                  <w:tcW w:w="1212" w:type="dxa"/>
                </w:tcPr>
                <w:p w14:paraId="768EDC2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lang w:val="en-US" w:eastAsia="zh-CN"/>
                    </w:rPr>
                    <w:t>t/m</w:t>
                  </w:r>
                  <w:r>
                    <w:rPr>
                      <w:rFonts w:hint="default" w:ascii="Times New Roman" w:hAnsi="Times New Roman" w:cs="Times New Roman"/>
                      <w:color w:val="auto"/>
                      <w:sz w:val="24"/>
                      <w:szCs w:val="24"/>
                      <w:highlight w:val="none"/>
                      <w:vertAlign w:val="superscript"/>
                      <w:lang w:val="en-US" w:eastAsia="zh-CN"/>
                    </w:rPr>
                    <w:t>3</w:t>
                  </w:r>
                </w:p>
              </w:tc>
            </w:tr>
            <w:tr w14:paraId="162C5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108" w:type="dxa"/>
                </w:tcPr>
                <w:p w14:paraId="3B264EF3">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3</w:t>
                  </w:r>
                </w:p>
              </w:tc>
              <w:tc>
                <w:tcPr>
                  <w:tcW w:w="1443" w:type="dxa"/>
                </w:tcPr>
                <w:p w14:paraId="45BB3CB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砂子</w:t>
                  </w:r>
                </w:p>
              </w:tc>
              <w:tc>
                <w:tcPr>
                  <w:tcW w:w="2106" w:type="dxa"/>
                </w:tcPr>
                <w:p w14:paraId="097E570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pacing w:val="-4"/>
                      <w:sz w:val="24"/>
                      <w:szCs w:val="24"/>
                      <w:highlight w:val="none"/>
                      <w:lang w:val="en-US" w:eastAsia="zh-CN"/>
                    </w:rPr>
                    <w:t>0.7</w:t>
                  </w:r>
                </w:p>
              </w:tc>
              <w:tc>
                <w:tcPr>
                  <w:tcW w:w="2107" w:type="dxa"/>
                  <w:shd w:val="clear" w:color="auto" w:fill="auto"/>
                  <w:vAlign w:val="top"/>
                </w:tcPr>
                <w:p w14:paraId="4C9ACEE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sz w:val="24"/>
                      <w:szCs w:val="24"/>
                      <w:highlight w:val="none"/>
                      <w:vertAlign w:val="baseline"/>
                      <w:lang w:val="en-US" w:eastAsia="zh-CN"/>
                    </w:rPr>
                    <w:t>0.51</w:t>
                  </w:r>
                </w:p>
              </w:tc>
              <w:tc>
                <w:tcPr>
                  <w:tcW w:w="1212" w:type="dxa"/>
                </w:tcPr>
                <w:p w14:paraId="455B9A2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lang w:val="en-US" w:eastAsia="zh-CN"/>
                    </w:rPr>
                    <w:t>t/m</w:t>
                  </w:r>
                  <w:r>
                    <w:rPr>
                      <w:rFonts w:hint="default" w:ascii="Times New Roman" w:hAnsi="Times New Roman" w:cs="Times New Roman"/>
                      <w:color w:val="auto"/>
                      <w:sz w:val="24"/>
                      <w:szCs w:val="24"/>
                      <w:highlight w:val="none"/>
                      <w:vertAlign w:val="superscript"/>
                      <w:lang w:val="en-US" w:eastAsia="zh-CN"/>
                    </w:rPr>
                    <w:t>3</w:t>
                  </w:r>
                </w:p>
              </w:tc>
            </w:tr>
            <w:tr w14:paraId="344D9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08" w:type="dxa"/>
                </w:tcPr>
                <w:p w14:paraId="7B8A1AD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4</w:t>
                  </w:r>
                </w:p>
              </w:tc>
              <w:tc>
                <w:tcPr>
                  <w:tcW w:w="1443" w:type="dxa"/>
                </w:tcPr>
                <w:p w14:paraId="52E32A5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水</w:t>
                  </w:r>
                </w:p>
              </w:tc>
              <w:tc>
                <w:tcPr>
                  <w:tcW w:w="2106" w:type="dxa"/>
                </w:tcPr>
                <w:p w14:paraId="386B15D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pacing w:val="-2"/>
                      <w:sz w:val="24"/>
                      <w:szCs w:val="24"/>
                      <w:highlight w:val="none"/>
                      <w:lang w:val="en-US" w:eastAsia="zh-CN"/>
                    </w:rPr>
                    <w:t>0.123</w:t>
                  </w:r>
                </w:p>
              </w:tc>
              <w:tc>
                <w:tcPr>
                  <w:tcW w:w="2107" w:type="dxa"/>
                  <w:shd w:val="clear" w:color="auto" w:fill="auto"/>
                  <w:vAlign w:val="top"/>
                </w:tcPr>
                <w:p w14:paraId="6D3EF7C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sz w:val="24"/>
                      <w:szCs w:val="24"/>
                      <w:highlight w:val="none"/>
                      <w:vertAlign w:val="baseline"/>
                      <w:lang w:val="en-US" w:eastAsia="zh-CN"/>
                    </w:rPr>
                    <w:t>0.23</w:t>
                  </w:r>
                </w:p>
              </w:tc>
              <w:tc>
                <w:tcPr>
                  <w:tcW w:w="1212" w:type="dxa"/>
                </w:tcPr>
                <w:p w14:paraId="0DF09D1A">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lang w:val="en-US" w:eastAsia="zh-CN"/>
                    </w:rPr>
                    <w:t>t/m</w:t>
                  </w:r>
                  <w:r>
                    <w:rPr>
                      <w:rFonts w:hint="default" w:ascii="Times New Roman" w:hAnsi="Times New Roman" w:cs="Times New Roman"/>
                      <w:color w:val="auto"/>
                      <w:sz w:val="24"/>
                      <w:szCs w:val="24"/>
                      <w:highlight w:val="none"/>
                      <w:vertAlign w:val="superscript"/>
                      <w:lang w:val="en-US" w:eastAsia="zh-CN"/>
                    </w:rPr>
                    <w:t>3</w:t>
                  </w:r>
                </w:p>
              </w:tc>
            </w:tr>
          </w:tbl>
          <w:p w14:paraId="14AC5A1E">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表2-8-3物料平衡表</w:t>
            </w:r>
          </w:p>
          <w:tbl>
            <w:tblPr>
              <w:tblStyle w:val="15"/>
              <w:tblW w:w="7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2"/>
              <w:gridCol w:w="2865"/>
              <w:gridCol w:w="1380"/>
              <w:gridCol w:w="2355"/>
            </w:tblGrid>
            <w:tr w14:paraId="66BE1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2" w:type="dxa"/>
                  <w:vAlign w:val="center"/>
                </w:tcPr>
                <w:p w14:paraId="421E5F00">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名称</w:t>
                  </w:r>
                </w:p>
              </w:tc>
              <w:tc>
                <w:tcPr>
                  <w:tcW w:w="2865" w:type="dxa"/>
                  <w:vAlign w:val="center"/>
                </w:tcPr>
                <w:p w14:paraId="0AFD544E">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进料量（t/a）</w:t>
                  </w:r>
                </w:p>
              </w:tc>
              <w:tc>
                <w:tcPr>
                  <w:tcW w:w="1380" w:type="dxa"/>
                  <w:vAlign w:val="center"/>
                </w:tcPr>
                <w:p w14:paraId="6ED58BAB">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名称</w:t>
                  </w:r>
                </w:p>
              </w:tc>
              <w:tc>
                <w:tcPr>
                  <w:tcW w:w="2355" w:type="dxa"/>
                  <w:vAlign w:val="center"/>
                </w:tcPr>
                <w:p w14:paraId="40F2FD93">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进料量（t/a）</w:t>
                  </w:r>
                </w:p>
              </w:tc>
            </w:tr>
            <w:tr w14:paraId="3D488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2" w:type="dxa"/>
                  <w:vAlign w:val="center"/>
                </w:tcPr>
                <w:p w14:paraId="3AB8DC77">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水泥</w:t>
                  </w:r>
                </w:p>
              </w:tc>
              <w:tc>
                <w:tcPr>
                  <w:tcW w:w="2865" w:type="dxa"/>
                  <w:vAlign w:val="center"/>
                </w:tcPr>
                <w:p w14:paraId="0CD3BAD3">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141575.76</w:t>
                  </w:r>
                </w:p>
              </w:tc>
              <w:tc>
                <w:tcPr>
                  <w:tcW w:w="1380" w:type="dxa"/>
                  <w:vAlign w:val="center"/>
                </w:tcPr>
                <w:p w14:paraId="4149BB0E">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混凝土</w:t>
                  </w:r>
                </w:p>
              </w:tc>
              <w:tc>
                <w:tcPr>
                  <w:tcW w:w="2355" w:type="dxa"/>
                  <w:vAlign w:val="center"/>
                </w:tcPr>
                <w:p w14:paraId="1F87135D">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700800</w:t>
                  </w:r>
                </w:p>
              </w:tc>
            </w:tr>
            <w:tr w14:paraId="2C56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2" w:type="dxa"/>
                  <w:vAlign w:val="center"/>
                </w:tcPr>
                <w:p w14:paraId="4C371409">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石子</w:t>
                  </w:r>
                </w:p>
              </w:tc>
              <w:tc>
                <w:tcPr>
                  <w:tcW w:w="2865" w:type="dxa"/>
                  <w:vAlign w:val="center"/>
                </w:tcPr>
                <w:p w14:paraId="461B0EDD">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353939.39</w:t>
                  </w:r>
                </w:p>
              </w:tc>
              <w:tc>
                <w:tcPr>
                  <w:tcW w:w="1380" w:type="dxa"/>
                  <w:vMerge w:val="restart"/>
                  <w:vAlign w:val="center"/>
                </w:tcPr>
                <w:p w14:paraId="61EC1EB8">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排放粉尘</w:t>
                  </w:r>
                </w:p>
              </w:tc>
              <w:tc>
                <w:tcPr>
                  <w:tcW w:w="2355" w:type="dxa"/>
                  <w:vMerge w:val="restart"/>
                  <w:vAlign w:val="center"/>
                </w:tcPr>
                <w:p w14:paraId="69108254">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0.256</w:t>
                  </w:r>
                </w:p>
              </w:tc>
            </w:tr>
            <w:tr w14:paraId="6E47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2" w:type="dxa"/>
                  <w:vAlign w:val="center"/>
                </w:tcPr>
                <w:p w14:paraId="262B8A97">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砂子</w:t>
                  </w:r>
                </w:p>
              </w:tc>
              <w:tc>
                <w:tcPr>
                  <w:tcW w:w="2865" w:type="dxa"/>
                  <w:vAlign w:val="center"/>
                </w:tcPr>
                <w:p w14:paraId="2CCF489F">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141575.76</w:t>
                  </w:r>
                </w:p>
              </w:tc>
              <w:tc>
                <w:tcPr>
                  <w:tcW w:w="1380" w:type="dxa"/>
                  <w:vMerge w:val="continue"/>
                  <w:vAlign w:val="center"/>
                </w:tcPr>
                <w:p w14:paraId="44C17D32">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p>
              </w:tc>
              <w:tc>
                <w:tcPr>
                  <w:tcW w:w="2355" w:type="dxa"/>
                  <w:vMerge w:val="continue"/>
                  <w:vAlign w:val="center"/>
                </w:tcPr>
                <w:p w14:paraId="5B4670EE">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p>
              </w:tc>
            </w:tr>
            <w:tr w14:paraId="3425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2" w:type="dxa"/>
                  <w:vAlign w:val="center"/>
                </w:tcPr>
                <w:p w14:paraId="2148A6A2">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水</w:t>
                  </w:r>
                </w:p>
              </w:tc>
              <w:tc>
                <w:tcPr>
                  <w:tcW w:w="2865" w:type="dxa"/>
                  <w:vAlign w:val="center"/>
                </w:tcPr>
                <w:p w14:paraId="6767B94E">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63709.09</w:t>
                  </w:r>
                </w:p>
              </w:tc>
              <w:tc>
                <w:tcPr>
                  <w:tcW w:w="1380" w:type="dxa"/>
                  <w:vMerge w:val="continue"/>
                  <w:vAlign w:val="center"/>
                </w:tcPr>
                <w:p w14:paraId="26092BA7">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p>
              </w:tc>
              <w:tc>
                <w:tcPr>
                  <w:tcW w:w="2355" w:type="dxa"/>
                  <w:vMerge w:val="continue"/>
                  <w:vAlign w:val="center"/>
                </w:tcPr>
                <w:p w14:paraId="2D5221CE">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p>
              </w:tc>
            </w:tr>
            <w:tr w14:paraId="64D1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2" w:type="dxa"/>
                  <w:vAlign w:val="center"/>
                </w:tcPr>
                <w:p w14:paraId="1136367A">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合计</w:t>
                  </w:r>
                </w:p>
              </w:tc>
              <w:tc>
                <w:tcPr>
                  <w:tcW w:w="2865" w:type="dxa"/>
                  <w:vAlign w:val="center"/>
                </w:tcPr>
                <w:p w14:paraId="21CE5060">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700800</w:t>
                  </w:r>
                </w:p>
              </w:tc>
              <w:tc>
                <w:tcPr>
                  <w:tcW w:w="1380" w:type="dxa"/>
                  <w:vMerge w:val="continue"/>
                  <w:vAlign w:val="center"/>
                </w:tcPr>
                <w:p w14:paraId="1E7A9620">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p>
              </w:tc>
              <w:tc>
                <w:tcPr>
                  <w:tcW w:w="2355" w:type="dxa"/>
                  <w:vAlign w:val="center"/>
                </w:tcPr>
                <w:p w14:paraId="75B1C3FB">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700800.256</w:t>
                  </w:r>
                </w:p>
              </w:tc>
            </w:tr>
          </w:tbl>
          <w:p w14:paraId="1EE83550">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w:t>
            </w:r>
            <w:r>
              <w:rPr>
                <w:rFonts w:hint="default" w:ascii="Times New Roman" w:hAnsi="Times New Roman"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8-</w:t>
            </w:r>
            <w:r>
              <w:rPr>
                <w:rFonts w:hint="default" w:ascii="Times New Roman" w:hAnsi="Times New Roman"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lang w:val="en-US" w:eastAsia="zh-CN"/>
              </w:rPr>
              <w:t>扩建产品方案一览表</w:t>
            </w:r>
          </w:p>
          <w:tbl>
            <w:tblPr>
              <w:tblStyle w:val="15"/>
              <w:tblW w:w="78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124"/>
              <w:gridCol w:w="1124"/>
              <w:gridCol w:w="1124"/>
              <w:gridCol w:w="1124"/>
              <w:gridCol w:w="1124"/>
              <w:gridCol w:w="1124"/>
            </w:tblGrid>
            <w:tr w14:paraId="38019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1124" w:type="dxa"/>
                  <w:vAlign w:val="center"/>
                </w:tcPr>
                <w:p w14:paraId="19FC4B4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序号</w:t>
                  </w:r>
                </w:p>
              </w:tc>
              <w:tc>
                <w:tcPr>
                  <w:tcW w:w="1124" w:type="dxa"/>
                  <w:vAlign w:val="center"/>
                </w:tcPr>
                <w:p w14:paraId="79AE506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产品名称</w:t>
                  </w:r>
                </w:p>
              </w:tc>
              <w:tc>
                <w:tcPr>
                  <w:tcW w:w="1124" w:type="dxa"/>
                  <w:vAlign w:val="center"/>
                </w:tcPr>
                <w:p w14:paraId="4B6ECC6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现有工程</w:t>
                  </w:r>
                </w:p>
              </w:tc>
              <w:tc>
                <w:tcPr>
                  <w:tcW w:w="1124" w:type="dxa"/>
                  <w:vAlign w:val="center"/>
                </w:tcPr>
                <w:p w14:paraId="76FDE1A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扩建工程</w:t>
                  </w:r>
                </w:p>
              </w:tc>
              <w:tc>
                <w:tcPr>
                  <w:tcW w:w="1124" w:type="dxa"/>
                  <w:vAlign w:val="center"/>
                </w:tcPr>
                <w:p w14:paraId="51D89213">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扩建后全厂</w:t>
                  </w:r>
                </w:p>
              </w:tc>
              <w:tc>
                <w:tcPr>
                  <w:tcW w:w="1124" w:type="dxa"/>
                  <w:vAlign w:val="center"/>
                </w:tcPr>
                <w:p w14:paraId="0563E80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单位</w:t>
                  </w:r>
                </w:p>
              </w:tc>
              <w:tc>
                <w:tcPr>
                  <w:tcW w:w="1124" w:type="dxa"/>
                  <w:vAlign w:val="center"/>
                </w:tcPr>
                <w:p w14:paraId="730907CD">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备注</w:t>
                  </w:r>
                </w:p>
              </w:tc>
            </w:tr>
            <w:tr w14:paraId="33CA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4" w:type="dxa"/>
                  <w:vAlign w:val="center"/>
                </w:tcPr>
                <w:p w14:paraId="5716C3F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1</w:t>
                  </w:r>
                </w:p>
              </w:tc>
              <w:tc>
                <w:tcPr>
                  <w:tcW w:w="1124" w:type="dxa"/>
                  <w:vAlign w:val="center"/>
                </w:tcPr>
                <w:p w14:paraId="6012EB63">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C</w:t>
                  </w:r>
                  <w:r>
                    <w:rPr>
                      <w:rFonts w:hint="default" w:ascii="Times New Roman" w:hAnsi="Times New Roman" w:eastAsia="宋体" w:cs="Times New Roman"/>
                      <w:color w:val="auto"/>
                      <w:sz w:val="24"/>
                      <w:szCs w:val="24"/>
                      <w:highlight w:val="none"/>
                      <w:vertAlign w:val="baseline"/>
                      <w:lang w:val="en-US" w:eastAsia="zh-CN"/>
                    </w:rPr>
                    <w:t>25混凝土</w:t>
                  </w:r>
                </w:p>
              </w:tc>
              <w:tc>
                <w:tcPr>
                  <w:tcW w:w="1124" w:type="dxa"/>
                  <w:vAlign w:val="center"/>
                </w:tcPr>
                <w:p w14:paraId="5222622D">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27010</w:t>
                  </w:r>
                </w:p>
              </w:tc>
              <w:tc>
                <w:tcPr>
                  <w:tcW w:w="1124" w:type="dxa"/>
                  <w:vAlign w:val="center"/>
                </w:tcPr>
                <w:p w14:paraId="29C3BF0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1124" w:type="dxa"/>
                  <w:vAlign w:val="center"/>
                </w:tcPr>
                <w:p w14:paraId="3E28455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27010</w:t>
                  </w:r>
                </w:p>
              </w:tc>
              <w:tc>
                <w:tcPr>
                  <w:tcW w:w="1124" w:type="dxa"/>
                  <w:vAlign w:val="center"/>
                </w:tcPr>
                <w:p w14:paraId="4ACCFC4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1"/>
                      <w:szCs w:val="21"/>
                      <w:highlight w:val="none"/>
                    </w:rPr>
                    <w:t>m³/a</w:t>
                  </w:r>
                </w:p>
              </w:tc>
              <w:tc>
                <w:tcPr>
                  <w:tcW w:w="1124" w:type="dxa"/>
                  <w:vAlign w:val="center"/>
                </w:tcPr>
                <w:p w14:paraId="02E0C2F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矿区自用</w:t>
                  </w:r>
                </w:p>
              </w:tc>
            </w:tr>
            <w:tr w14:paraId="1FF2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4" w:type="dxa"/>
                  <w:vAlign w:val="center"/>
                </w:tcPr>
                <w:p w14:paraId="1A949755">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2</w:t>
                  </w:r>
                </w:p>
              </w:tc>
              <w:tc>
                <w:tcPr>
                  <w:tcW w:w="1124" w:type="dxa"/>
                  <w:vAlign w:val="center"/>
                </w:tcPr>
                <w:p w14:paraId="136F1CC3">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C</w:t>
                  </w:r>
                  <w:r>
                    <w:rPr>
                      <w:rFonts w:hint="default" w:ascii="Times New Roman" w:hAnsi="Times New Roman" w:eastAsia="宋体" w:cs="Times New Roman"/>
                      <w:color w:val="auto"/>
                      <w:sz w:val="24"/>
                      <w:szCs w:val="24"/>
                      <w:highlight w:val="none"/>
                      <w:vertAlign w:val="baseline"/>
                      <w:lang w:val="en-US" w:eastAsia="zh-CN"/>
                    </w:rPr>
                    <w:t>30混凝土</w:t>
                  </w:r>
                </w:p>
              </w:tc>
              <w:tc>
                <w:tcPr>
                  <w:tcW w:w="1124" w:type="dxa"/>
                  <w:vAlign w:val="center"/>
                </w:tcPr>
                <w:p w14:paraId="1A5CEAD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1124" w:type="dxa"/>
                  <w:vAlign w:val="center"/>
                </w:tcPr>
                <w:p w14:paraId="4710A71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lang w:val="en-US" w:eastAsia="zh-CN"/>
                    </w:rPr>
                    <w:t>700800</w:t>
                  </w:r>
                </w:p>
              </w:tc>
              <w:tc>
                <w:tcPr>
                  <w:tcW w:w="1124" w:type="dxa"/>
                  <w:vAlign w:val="center"/>
                </w:tcPr>
                <w:p w14:paraId="389F6ED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700800</w:t>
                  </w:r>
                </w:p>
              </w:tc>
              <w:tc>
                <w:tcPr>
                  <w:tcW w:w="1124" w:type="dxa"/>
                  <w:vAlign w:val="center"/>
                </w:tcPr>
                <w:p w14:paraId="0793CE8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cs="Times New Roman"/>
                      <w:color w:val="auto"/>
                      <w:sz w:val="21"/>
                      <w:szCs w:val="21"/>
                      <w:highlight w:val="none"/>
                      <w:lang w:val="en-US" w:eastAsia="zh-CN"/>
                    </w:rPr>
                    <w:t>t</w:t>
                  </w:r>
                  <w:r>
                    <w:rPr>
                      <w:rFonts w:hint="default" w:ascii="Times New Roman" w:hAnsi="Times New Roman" w:eastAsia="宋体" w:cs="Times New Roman"/>
                      <w:color w:val="auto"/>
                      <w:sz w:val="21"/>
                      <w:szCs w:val="21"/>
                      <w:highlight w:val="none"/>
                    </w:rPr>
                    <w:t>/a</w:t>
                  </w:r>
                </w:p>
              </w:tc>
              <w:tc>
                <w:tcPr>
                  <w:tcW w:w="1124" w:type="dxa"/>
                  <w:vAlign w:val="center"/>
                </w:tcPr>
                <w:p w14:paraId="56C5282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矿区自用</w:t>
                  </w:r>
                </w:p>
              </w:tc>
            </w:tr>
          </w:tbl>
          <w:p w14:paraId="67D2872C">
            <w:pPr>
              <w:numPr>
                <w:ilvl w:val="0"/>
                <w:numId w:val="3"/>
              </w:numPr>
              <w:bidi w:val="0"/>
              <w:spacing w:line="360" w:lineRule="auto"/>
              <w:ind w:left="0" w:leftChars="0" w:firstLine="0" w:firstLineChars="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劳动定员及工作制度</w:t>
            </w:r>
          </w:p>
          <w:p w14:paraId="2FED29D6">
            <w:pPr>
              <w:bidi w:val="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（1）劳动定员</w:t>
            </w:r>
          </w:p>
          <w:p w14:paraId="68E2726C">
            <w:pPr>
              <w:pStyle w:val="5"/>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highlight w:val="none"/>
                <w:lang w:val="en-US" w:eastAsia="zh-CN"/>
              </w:rPr>
              <w:t>无新增劳动定员，全部由煤矿调配</w:t>
            </w:r>
            <w:r>
              <w:rPr>
                <w:rFonts w:hint="default" w:ascii="Times New Roman" w:hAnsi="Times New Roman" w:eastAsia="宋体" w:cs="Times New Roman"/>
                <w:color w:val="auto"/>
                <w:sz w:val="24"/>
                <w:szCs w:val="24"/>
                <w:highlight w:val="none"/>
                <w:lang w:val="en-US" w:eastAsia="zh-CN"/>
              </w:rPr>
              <w:t>。</w:t>
            </w:r>
          </w:p>
          <w:p w14:paraId="4D6863F8">
            <w:pPr>
              <w:bidi w:val="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（2）工作制度</w:t>
            </w:r>
          </w:p>
          <w:p w14:paraId="72EE7185">
            <w:pPr>
              <w:pStyle w:val="5"/>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highlight w:val="none"/>
                <w:lang w:val="en-US" w:eastAsia="zh-CN"/>
              </w:rPr>
              <w:t>本项目年工作330天，每天24</w:t>
            </w:r>
            <w:r>
              <w:rPr>
                <w:rFonts w:hint="default" w:ascii="Times New Roman" w:hAnsi="Times New Roman" w:cs="Times New Roman"/>
                <w:color w:val="auto"/>
                <w:sz w:val="24"/>
                <w:szCs w:val="24"/>
                <w:highlight w:val="none"/>
                <w:lang w:val="en-US" w:eastAsia="zh-CN"/>
              </w:rPr>
              <w:t>h</w:t>
            </w:r>
          </w:p>
          <w:p w14:paraId="04F6B9CA">
            <w:pPr>
              <w:bidi w:val="0"/>
              <w:spacing w:line="360" w:lineRule="auto"/>
              <w:ind w:left="0" w:leftChars="0" w:firstLine="0" w:firstLineChars="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10、公用工程</w:t>
            </w:r>
          </w:p>
          <w:p w14:paraId="5F734B71">
            <w:pPr>
              <w:bidi w:val="0"/>
              <w:spacing w:line="360" w:lineRule="auto"/>
              <w:ind w:left="0" w:leftChars="0" w:firstLine="0" w:firstLineChars="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（1）供电</w:t>
            </w:r>
          </w:p>
          <w:p w14:paraId="3ABBCC3B">
            <w:pPr>
              <w:bidi w:val="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pacing w:val="-4"/>
                <w:sz w:val="24"/>
                <w:szCs w:val="24"/>
                <w:highlight w:val="none"/>
              </w:rPr>
              <w:t>项目用电依托工业广场现有供电设施，用电来源于万利镇110/35/10</w:t>
            </w:r>
            <w:r>
              <w:rPr>
                <w:rFonts w:hint="default" w:ascii="Times New Roman" w:hAnsi="Times New Roman" w:eastAsia="宋体" w:cs="Times New Roman"/>
                <w:color w:val="auto"/>
                <w:spacing w:val="-4"/>
                <w:sz w:val="24"/>
                <w:szCs w:val="24"/>
                <w:highlight w:val="none"/>
                <w:lang w:val="en-US" w:eastAsia="zh-CN"/>
              </w:rPr>
              <w:t>kv</w:t>
            </w:r>
            <w:r>
              <w:rPr>
                <w:rFonts w:hint="default" w:ascii="Times New Roman" w:hAnsi="Times New Roman" w:eastAsia="宋体" w:cs="Times New Roman"/>
                <w:color w:val="auto"/>
                <w:spacing w:val="-4"/>
                <w:sz w:val="24"/>
                <w:szCs w:val="24"/>
                <w:highlight w:val="none"/>
              </w:rPr>
              <w:t>变电站。</w:t>
            </w:r>
            <w:r>
              <w:rPr>
                <w:rFonts w:hint="default" w:ascii="Times New Roman" w:hAnsi="Times New Roman" w:eastAsia="宋体" w:cs="Times New Roman"/>
                <w:color w:val="auto"/>
                <w:sz w:val="24"/>
                <w:szCs w:val="24"/>
                <w:highlight w:val="none"/>
                <w:lang w:val="en-US" w:eastAsia="zh-CN"/>
              </w:rPr>
              <w:t>（2）供暖</w:t>
            </w:r>
          </w:p>
          <w:p w14:paraId="2090F9DE">
            <w:pPr>
              <w:bidi w:val="0"/>
              <w:spacing w:line="360" w:lineRule="auto"/>
              <w:rPr>
                <w:rFonts w:hint="default" w:ascii="Times New Roman" w:hAnsi="Times New Roman" w:eastAsia="宋体" w:cs="Times New Roman"/>
                <w:color w:val="auto"/>
                <w:spacing w:val="-2"/>
                <w:sz w:val="24"/>
                <w:szCs w:val="24"/>
                <w:highlight w:val="none"/>
              </w:rPr>
            </w:pPr>
            <w:r>
              <w:rPr>
                <w:rFonts w:hint="default" w:ascii="Times New Roman" w:hAnsi="Times New Roman" w:eastAsia="宋体" w:cs="Times New Roman"/>
                <w:color w:val="auto"/>
                <w:spacing w:val="-1"/>
                <w:sz w:val="24"/>
                <w:szCs w:val="24"/>
                <w:highlight w:val="none"/>
              </w:rPr>
              <w:t>搅拌站主楼冬季供暖热源依托于工业广场现有供暖</w:t>
            </w:r>
            <w:r>
              <w:rPr>
                <w:rFonts w:hint="default" w:ascii="Times New Roman" w:hAnsi="Times New Roman" w:eastAsia="宋体" w:cs="Times New Roman"/>
                <w:color w:val="auto"/>
                <w:spacing w:val="-5"/>
                <w:sz w:val="24"/>
                <w:szCs w:val="24"/>
                <w:highlight w:val="none"/>
              </w:rPr>
              <w:t>系统，通过2台</w:t>
            </w:r>
            <w:r>
              <w:rPr>
                <w:rFonts w:hint="default" w:ascii="Times New Roman" w:hAnsi="Times New Roman" w:eastAsia="宋体" w:cs="Times New Roman"/>
                <w:color w:val="auto"/>
                <w:spacing w:val="-5"/>
                <w:sz w:val="24"/>
                <w:szCs w:val="24"/>
                <w:highlight w:val="none"/>
                <w:lang w:val="en-US" w:eastAsia="zh-CN"/>
              </w:rPr>
              <w:t>DZL</w:t>
            </w:r>
            <w:r>
              <w:rPr>
                <w:rFonts w:hint="default" w:ascii="Times New Roman" w:hAnsi="Times New Roman" w:eastAsia="宋体" w:cs="Times New Roman"/>
                <w:color w:val="auto"/>
                <w:spacing w:val="-5"/>
                <w:sz w:val="24"/>
                <w:szCs w:val="24"/>
                <w:highlight w:val="none"/>
              </w:rPr>
              <w:t>14-1.25/115/70-</w:t>
            </w:r>
            <w:r>
              <w:rPr>
                <w:rFonts w:hint="default" w:ascii="Times New Roman" w:hAnsi="Times New Roman" w:eastAsia="宋体" w:cs="Times New Roman"/>
                <w:color w:val="auto"/>
                <w:spacing w:val="-5"/>
                <w:sz w:val="24"/>
                <w:szCs w:val="24"/>
                <w:highlight w:val="none"/>
                <w:lang w:val="en-US" w:eastAsia="zh-CN"/>
              </w:rPr>
              <w:t>AII</w:t>
            </w:r>
            <w:r>
              <w:rPr>
                <w:rFonts w:hint="default" w:ascii="Times New Roman" w:hAnsi="Times New Roman" w:eastAsia="宋体" w:cs="Times New Roman"/>
                <w:color w:val="auto"/>
                <w:spacing w:val="-6"/>
                <w:sz w:val="24"/>
                <w:szCs w:val="24"/>
                <w:highlight w:val="none"/>
              </w:rPr>
              <w:t>燃煤型供热</w:t>
            </w:r>
            <w:r>
              <w:rPr>
                <w:rFonts w:hint="default" w:ascii="Times New Roman" w:hAnsi="Times New Roman" w:eastAsia="宋体" w:cs="Times New Roman"/>
                <w:color w:val="auto"/>
                <w:spacing w:val="-2"/>
                <w:sz w:val="24"/>
                <w:szCs w:val="24"/>
                <w:highlight w:val="none"/>
              </w:rPr>
              <w:t>锅炉（一备一用）供暖</w:t>
            </w:r>
          </w:p>
          <w:p w14:paraId="0D10D4E0">
            <w:pPr>
              <w:bidi w:val="0"/>
              <w:spacing w:line="360" w:lineRule="auto"/>
              <w:ind w:left="0" w:leftChars="0" w:firstLine="0" w:firstLineChars="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（3）供水</w:t>
            </w:r>
          </w:p>
          <w:p w14:paraId="5CE3876B">
            <w:pPr>
              <w:bidi w:val="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①生产用水</w:t>
            </w:r>
          </w:p>
          <w:p w14:paraId="0E713CD2">
            <w:pPr>
              <w:bidi w:val="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本项目生产用水包括生产混凝土搅拌用水、</w:t>
            </w:r>
            <w:r>
              <w:rPr>
                <w:rFonts w:hint="default" w:ascii="Times New Roman" w:hAnsi="Times New Roman" w:cs="Times New Roman" w:eastAsiaTheme="minorEastAsia"/>
                <w:color w:val="auto"/>
                <w:sz w:val="24"/>
                <w:szCs w:val="24"/>
                <w:highlight w:val="none"/>
                <w:lang w:val="en-US" w:eastAsia="zh-CN"/>
              </w:rPr>
              <w:t>全封闭砂石料场</w:t>
            </w:r>
            <w:r>
              <w:rPr>
                <w:rFonts w:hint="default" w:ascii="Times New Roman" w:hAnsi="Times New Roman" w:eastAsia="宋体" w:cs="Times New Roman"/>
                <w:color w:val="auto"/>
                <w:sz w:val="24"/>
                <w:szCs w:val="24"/>
                <w:highlight w:val="none"/>
                <w:lang w:val="en-US" w:eastAsia="zh-CN"/>
              </w:rPr>
              <w:t>抑尘用水、搅拌罐清洗用水，项目生产用水来自矿井水。</w:t>
            </w:r>
          </w:p>
          <w:p w14:paraId="175F1A1C">
            <w:pPr>
              <w:bidi w:val="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a</w:t>
            </w:r>
            <w:r>
              <w:rPr>
                <w:rFonts w:hint="default" w:ascii="Times New Roman" w:hAnsi="Times New Roman" w:eastAsia="宋体" w:cs="Times New Roman"/>
                <w:color w:val="auto"/>
                <w:sz w:val="24"/>
                <w:szCs w:val="24"/>
                <w:highlight w:val="none"/>
                <w:lang w:val="en-US" w:eastAsia="zh-CN"/>
              </w:rPr>
              <w:t>）搅拌用水</w:t>
            </w:r>
          </w:p>
          <w:p w14:paraId="168DE273">
            <w:pPr>
              <w:bidi w:val="0"/>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根据相关企业实际生产统计，混凝土搅拌工序用水量为</w:t>
            </w:r>
            <w:r>
              <w:rPr>
                <w:rFonts w:hint="default" w:ascii="Times New Roman" w:hAnsi="Times New Roman" w:cs="Times New Roman"/>
                <w:color w:val="auto"/>
                <w:sz w:val="24"/>
                <w:szCs w:val="24"/>
                <w:highlight w:val="none"/>
                <w:lang w:val="en-US" w:eastAsia="zh-CN"/>
              </w:rPr>
              <w:t>0.5m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产品，本项目年生产商品混凝土</w:t>
            </w:r>
            <w:r>
              <w:rPr>
                <w:rFonts w:hint="default" w:ascii="Times New Roman" w:hAnsi="Times New Roman" w:cs="Times New Roman"/>
                <w:color w:val="auto"/>
                <w:sz w:val="24"/>
                <w:szCs w:val="24"/>
                <w:highlight w:val="none"/>
                <w:lang w:val="en-US" w:eastAsia="zh-CN"/>
              </w:rPr>
              <w:t>700800t/a</w:t>
            </w:r>
            <w:r>
              <w:rPr>
                <w:rFonts w:hint="default" w:ascii="Times New Roman" w:hAnsi="Times New Roman" w:eastAsia="宋体" w:cs="Times New Roman"/>
                <w:color w:val="auto"/>
                <w:sz w:val="24"/>
                <w:szCs w:val="24"/>
                <w:highlight w:val="none"/>
                <w:lang w:val="en-US" w:eastAsia="zh-CN"/>
              </w:rPr>
              <w:t>，则搅拌用水量为</w:t>
            </w:r>
            <w:r>
              <w:rPr>
                <w:rFonts w:hint="default" w:ascii="Times New Roman" w:hAnsi="Times New Roman" w:cs="Times New Roman"/>
                <w:color w:val="auto"/>
                <w:sz w:val="24"/>
                <w:szCs w:val="24"/>
                <w:highlight w:val="none"/>
                <w:vertAlign w:val="baseline"/>
                <w:lang w:val="en-US" w:eastAsia="zh-CN"/>
              </w:rPr>
              <w:t>63709.09</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/a（每天用量为：174.55m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/a）。</w:t>
            </w:r>
          </w:p>
          <w:p w14:paraId="0BDAC3D4">
            <w:pPr>
              <w:bidi w:val="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b</w:t>
            </w:r>
            <w:r>
              <w:rPr>
                <w:rFonts w:hint="default" w:ascii="Times New Roman" w:hAnsi="Times New Roman" w:eastAsia="宋体" w:cs="Times New Roman"/>
                <w:color w:val="auto"/>
                <w:sz w:val="24"/>
                <w:szCs w:val="24"/>
                <w:highlight w:val="none"/>
                <w:lang w:val="en-US" w:eastAsia="zh-CN"/>
              </w:rPr>
              <w:t>）抑尘用水</w:t>
            </w:r>
          </w:p>
          <w:p w14:paraId="3DBA52C1">
            <w:pPr>
              <w:bidi w:val="0"/>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根据《室外给水设计标准》，</w:t>
            </w: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bCs/>
                <w:color w:val="auto"/>
                <w:kern w:val="0"/>
                <w:sz w:val="24"/>
                <w:szCs w:val="24"/>
                <w:highlight w:val="none"/>
                <w:vertAlign w:val="baseline"/>
                <w:lang w:val="en-US" w:eastAsia="zh-CN"/>
              </w:rPr>
              <w:t>砂石料厂库房</w:t>
            </w:r>
            <w:r>
              <w:rPr>
                <w:rFonts w:hint="default" w:ascii="Times New Roman" w:hAnsi="Times New Roman" w:eastAsia="宋体" w:cs="Times New Roman"/>
                <w:color w:val="auto"/>
                <w:sz w:val="24"/>
                <w:szCs w:val="24"/>
                <w:highlight w:val="none"/>
                <w:lang w:val="en-US" w:eastAsia="zh-CN"/>
              </w:rPr>
              <w:t>抑尘</w:t>
            </w:r>
            <w:r>
              <w:rPr>
                <w:rFonts w:hint="default" w:ascii="Times New Roman" w:hAnsi="Times New Roman" w:eastAsia="宋体" w:cs="Times New Roman"/>
                <w:bCs/>
                <w:color w:val="auto"/>
                <w:kern w:val="0"/>
                <w:sz w:val="24"/>
                <w:szCs w:val="24"/>
                <w:highlight w:val="none"/>
                <w:lang w:val="en-US" w:eastAsia="zh-CN"/>
              </w:rPr>
              <w:t>强度以</w:t>
            </w:r>
            <w:r>
              <w:rPr>
                <w:rFonts w:hint="default" w:ascii="Times New Roman" w:hAnsi="Times New Roman" w:cs="Times New Roman"/>
                <w:bCs/>
                <w:color w:val="auto"/>
                <w:kern w:val="0"/>
                <w:sz w:val="21"/>
                <w:szCs w:val="21"/>
                <w:highlight w:val="none"/>
                <w:lang w:val="en-US" w:eastAsia="zh-CN"/>
              </w:rPr>
              <w:t>2L/m</w:t>
            </w:r>
            <w:r>
              <w:rPr>
                <w:rFonts w:hint="default" w:ascii="Times New Roman" w:hAnsi="Times New Roman" w:cs="Times New Roman"/>
                <w:bCs/>
                <w:color w:val="auto"/>
                <w:kern w:val="0"/>
                <w:sz w:val="21"/>
                <w:szCs w:val="21"/>
                <w:highlight w:val="none"/>
                <w:vertAlign w:val="superscript"/>
                <w:lang w:val="en-US" w:eastAsia="zh-CN"/>
              </w:rPr>
              <w:t>2</w:t>
            </w:r>
            <w:r>
              <w:rPr>
                <w:rFonts w:hint="default" w:ascii="Times New Roman" w:hAnsi="Times New Roman" w:eastAsia="宋体" w:cs="Times New Roman"/>
                <w:bCs/>
                <w:color w:val="auto"/>
                <w:kern w:val="0"/>
                <w:sz w:val="24"/>
                <w:szCs w:val="24"/>
                <w:highlight w:val="none"/>
                <w:vertAlign w:val="baseline"/>
                <w:lang w:val="en-US" w:eastAsia="zh-CN"/>
              </w:rPr>
              <w:t>进行，本项目</w:t>
            </w:r>
            <w:r>
              <w:rPr>
                <w:rFonts w:hint="default" w:ascii="Times New Roman" w:hAnsi="Times New Roman" w:cs="Times New Roman" w:eastAsiaTheme="minorEastAsia"/>
                <w:color w:val="auto"/>
                <w:sz w:val="24"/>
                <w:szCs w:val="24"/>
                <w:highlight w:val="none"/>
              </w:rPr>
              <w:t>全封闭砂石料场</w:t>
            </w:r>
            <w:r>
              <w:rPr>
                <w:rFonts w:hint="default" w:ascii="Times New Roman" w:hAnsi="Times New Roman" w:eastAsia="宋体" w:cs="Times New Roman"/>
                <w:bCs/>
                <w:color w:val="auto"/>
                <w:kern w:val="0"/>
                <w:sz w:val="24"/>
                <w:szCs w:val="24"/>
                <w:highlight w:val="none"/>
                <w:vertAlign w:val="baseline"/>
                <w:lang w:val="en-US" w:eastAsia="zh-CN"/>
              </w:rPr>
              <w:t>面积为</w:t>
            </w:r>
            <w:r>
              <w:rPr>
                <w:rFonts w:hint="default" w:ascii="Times New Roman" w:hAnsi="Times New Roman" w:cs="Times New Roman"/>
                <w:bCs/>
                <w:color w:val="auto"/>
                <w:kern w:val="0"/>
                <w:sz w:val="21"/>
                <w:szCs w:val="21"/>
                <w:highlight w:val="none"/>
                <w:vertAlign w:val="baseline"/>
                <w:lang w:val="en-US" w:eastAsia="zh-CN"/>
              </w:rPr>
              <w:t>1053m</w:t>
            </w:r>
            <w:r>
              <w:rPr>
                <w:rFonts w:hint="default" w:ascii="Times New Roman" w:hAnsi="Times New Roman" w:cs="Times New Roman"/>
                <w:bCs/>
                <w:color w:val="auto"/>
                <w:kern w:val="0"/>
                <w:sz w:val="21"/>
                <w:szCs w:val="21"/>
                <w:highlight w:val="none"/>
                <w:vertAlign w:val="superscript"/>
                <w:lang w:val="en-US" w:eastAsia="zh-CN"/>
              </w:rPr>
              <w:t>2</w:t>
            </w:r>
            <w:r>
              <w:rPr>
                <w:rFonts w:hint="default" w:ascii="Times New Roman" w:hAnsi="Times New Roman" w:eastAsia="宋体" w:cs="Times New Roman"/>
                <w:bCs/>
                <w:color w:val="auto"/>
                <w:kern w:val="0"/>
                <w:sz w:val="24"/>
                <w:szCs w:val="24"/>
                <w:highlight w:val="none"/>
                <w:vertAlign w:val="baseline"/>
                <w:lang w:val="en-US" w:eastAsia="zh-CN"/>
              </w:rPr>
              <w:t>，则抑尘用水量为</w:t>
            </w:r>
            <w:r>
              <w:rPr>
                <w:rFonts w:hint="default" w:ascii="Times New Roman" w:hAnsi="Times New Roman" w:cs="Times New Roman"/>
                <w:color w:val="auto"/>
                <w:sz w:val="21"/>
                <w:szCs w:val="21"/>
                <w:highlight w:val="none"/>
                <w:lang w:val="en-US" w:eastAsia="zh-CN"/>
              </w:rPr>
              <w:t>768.69m</w:t>
            </w:r>
            <w:r>
              <w:rPr>
                <w:rFonts w:hint="default" w:ascii="Times New Roman" w:hAnsi="Times New Roman" w:cs="Times New Roman"/>
                <w:color w:val="auto"/>
                <w:sz w:val="21"/>
                <w:szCs w:val="21"/>
                <w:highlight w:val="none"/>
                <w:vertAlign w:val="superscript"/>
                <w:lang w:val="en-US" w:eastAsia="zh-CN"/>
              </w:rPr>
              <w:t>3</w:t>
            </w:r>
            <w:r>
              <w:rPr>
                <w:rFonts w:hint="default" w:ascii="Times New Roman" w:hAnsi="Times New Roman" w:cs="Times New Roman"/>
                <w:color w:val="auto"/>
                <w:sz w:val="21"/>
                <w:szCs w:val="21"/>
                <w:highlight w:val="none"/>
                <w:lang w:val="en-US" w:eastAsia="zh-CN"/>
              </w:rPr>
              <w:t>/a（每天用量为：2.32m</w:t>
            </w:r>
            <w:r>
              <w:rPr>
                <w:rFonts w:hint="default" w:ascii="Times New Roman" w:hAnsi="Times New Roman" w:cs="Times New Roman"/>
                <w:color w:val="auto"/>
                <w:sz w:val="21"/>
                <w:szCs w:val="21"/>
                <w:highlight w:val="none"/>
                <w:vertAlign w:val="superscript"/>
                <w:lang w:val="en-US" w:eastAsia="zh-CN"/>
              </w:rPr>
              <w:t>3</w:t>
            </w:r>
            <w:r>
              <w:rPr>
                <w:rFonts w:hint="default" w:ascii="Times New Roman" w:hAnsi="Times New Roman" w:cs="Times New Roman"/>
                <w:color w:val="auto"/>
                <w:sz w:val="21"/>
                <w:szCs w:val="21"/>
                <w:highlight w:val="none"/>
                <w:lang w:val="en-US" w:eastAsia="zh-CN"/>
              </w:rPr>
              <w:t>/a）。</w:t>
            </w:r>
          </w:p>
          <w:p w14:paraId="4494DA70">
            <w:pPr>
              <w:bidi w:val="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c</w:t>
            </w:r>
            <w:r>
              <w:rPr>
                <w:rFonts w:hint="default" w:ascii="Times New Roman" w:hAnsi="Times New Roman" w:eastAsia="宋体" w:cs="Times New Roman"/>
                <w:color w:val="auto"/>
                <w:sz w:val="24"/>
                <w:szCs w:val="24"/>
                <w:highlight w:val="none"/>
                <w:lang w:val="en-US" w:eastAsia="zh-CN"/>
              </w:rPr>
              <w:t>）搅拌罐清洗用水</w:t>
            </w:r>
          </w:p>
          <w:p w14:paraId="2D483990">
            <w:pPr>
              <w:bidi w:val="0"/>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项目厂区搅拌罐每天清洗1次，每次清洗用水量为</w:t>
            </w:r>
            <w:r>
              <w:rPr>
                <w:rFonts w:hint="default" w:ascii="Times New Roman" w:hAnsi="Times New Roman" w:cs="Times New Roman"/>
                <w:color w:val="auto"/>
                <w:sz w:val="24"/>
                <w:szCs w:val="24"/>
                <w:highlight w:val="none"/>
                <w:lang w:val="en-US" w:eastAsia="zh-CN"/>
              </w:rPr>
              <w:t>1m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，项目每年运行</w:t>
            </w:r>
            <w:r>
              <w:rPr>
                <w:rFonts w:hint="default" w:ascii="Times New Roman" w:hAnsi="Times New Roman" w:cs="Times New Roman"/>
                <w:color w:val="auto"/>
                <w:sz w:val="24"/>
                <w:szCs w:val="24"/>
                <w:highlight w:val="none"/>
                <w:lang w:val="en-US" w:eastAsia="zh-CN"/>
              </w:rPr>
              <w:t>365d</w:t>
            </w:r>
            <w:r>
              <w:rPr>
                <w:rFonts w:hint="default" w:ascii="Times New Roman" w:hAnsi="Times New Roman" w:eastAsia="宋体" w:cs="Times New Roman"/>
                <w:color w:val="auto"/>
                <w:sz w:val="24"/>
                <w:szCs w:val="24"/>
                <w:highlight w:val="none"/>
                <w:lang w:val="en-US" w:eastAsia="zh-CN"/>
              </w:rPr>
              <w:t>，则搅拌罐清洗用水量为</w:t>
            </w:r>
            <w:r>
              <w:rPr>
                <w:rFonts w:hint="default" w:ascii="Times New Roman" w:hAnsi="Times New Roman" w:cs="Times New Roman"/>
                <w:color w:val="auto"/>
                <w:sz w:val="24"/>
                <w:szCs w:val="24"/>
                <w:highlight w:val="none"/>
                <w:lang w:val="en-US" w:eastAsia="zh-CN"/>
              </w:rPr>
              <w:t>365m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/a（每天用量为：1m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/a）。</w:t>
            </w:r>
          </w:p>
          <w:p w14:paraId="394EF2B6">
            <w:pPr>
              <w:bidi w:val="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d）罐车清洗用水</w:t>
            </w:r>
          </w:p>
          <w:p w14:paraId="34B9A144">
            <w:pPr>
              <w:bidi w:val="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本项目配备罐车10台，</w:t>
            </w:r>
            <w:r>
              <w:rPr>
                <w:rFonts w:hint="default" w:ascii="Times New Roman" w:hAnsi="Times New Roman" w:cs="Times New Roman" w:eastAsiaTheme="minorEastAsia"/>
                <w:color w:val="auto"/>
                <w:sz w:val="24"/>
                <w:szCs w:val="24"/>
                <w:highlight w:val="none"/>
              </w:rPr>
              <w:t>根据《</w:t>
            </w:r>
            <w:r>
              <w:rPr>
                <w:rFonts w:hint="eastAsia" w:cs="Times New Roman" w:eastAsiaTheme="minorEastAsia"/>
                <w:color w:val="auto"/>
                <w:sz w:val="24"/>
                <w:szCs w:val="24"/>
                <w:highlight w:val="none"/>
                <w:lang w:eastAsia="zh-CN"/>
              </w:rPr>
              <w:t>行业用水定额</w:t>
            </w:r>
            <w:r>
              <w:rPr>
                <w:rFonts w:hint="default" w:ascii="Times New Roman" w:hAnsi="Times New Roman" w:cs="Times New Roman" w:eastAsiaTheme="minorEastAsia"/>
                <w:color w:val="auto"/>
                <w:sz w:val="24"/>
                <w:szCs w:val="24"/>
                <w:highlight w:val="none"/>
              </w:rPr>
              <w:t>》（</w:t>
            </w:r>
            <w:r>
              <w:rPr>
                <w:rFonts w:hint="eastAsia" w:cs="Times New Roman" w:eastAsiaTheme="minorEastAsia"/>
                <w:color w:val="auto"/>
                <w:sz w:val="24"/>
                <w:szCs w:val="24"/>
                <w:highlight w:val="none"/>
                <w:lang w:eastAsia="zh-CN"/>
              </w:rPr>
              <w:t>DB15/T385-2025</w:t>
            </w:r>
            <w:r>
              <w:rPr>
                <w:rFonts w:hint="default" w:ascii="Times New Roman" w:hAnsi="Times New Roman" w:cs="Times New Roman" w:eastAsiaTheme="minorEastAsia"/>
                <w:color w:val="auto"/>
                <w:sz w:val="24"/>
                <w:szCs w:val="24"/>
                <w:highlight w:val="none"/>
              </w:rPr>
              <w:t>）相</w:t>
            </w:r>
            <w:r>
              <w:rPr>
                <w:rFonts w:hint="default" w:ascii="Times New Roman" w:hAnsi="Times New Roman" w:cs="Times New Roman" w:eastAsiaTheme="minorEastAsia"/>
                <w:color w:val="auto"/>
                <w:sz w:val="24"/>
                <w:szCs w:val="24"/>
                <w:highlight w:val="none"/>
                <w:lang w:val="en-US" w:eastAsia="zh-CN"/>
              </w:rPr>
              <w:t>关要求</w:t>
            </w:r>
            <w:r>
              <w:rPr>
                <w:rFonts w:hint="eastAsia" w:cs="Times New Roman" w:eastAsiaTheme="minorEastAsia"/>
                <w:color w:val="auto"/>
                <w:sz w:val="24"/>
                <w:szCs w:val="24"/>
                <w:highlight w:val="none"/>
                <w:lang w:val="en-US" w:eastAsia="zh-CN"/>
              </w:rPr>
              <w:t>，大车单台</w:t>
            </w:r>
            <w:r>
              <w:rPr>
                <w:rFonts w:hint="default" w:ascii="Times New Roman" w:hAnsi="Times New Roman" w:cs="Times New Roman" w:eastAsiaTheme="minorEastAsia"/>
                <w:color w:val="auto"/>
                <w:sz w:val="24"/>
                <w:szCs w:val="24"/>
                <w:highlight w:val="none"/>
              </w:rPr>
              <w:t>每日</w:t>
            </w:r>
            <w:r>
              <w:rPr>
                <w:rFonts w:hint="default" w:ascii="Times New Roman" w:hAnsi="Times New Roman" w:cs="Times New Roman" w:eastAsiaTheme="minorEastAsia"/>
                <w:color w:val="auto"/>
                <w:sz w:val="24"/>
                <w:szCs w:val="24"/>
                <w:highlight w:val="none"/>
                <w:lang w:val="en-US" w:eastAsia="zh-CN"/>
              </w:rPr>
              <w:t>清洗</w:t>
            </w:r>
            <w:r>
              <w:rPr>
                <w:rFonts w:hint="eastAsia" w:cs="Times New Roman" w:eastAsiaTheme="minorEastAsia"/>
                <w:color w:val="auto"/>
                <w:sz w:val="24"/>
                <w:szCs w:val="24"/>
                <w:highlight w:val="none"/>
                <w:lang w:val="en-US" w:eastAsia="zh-CN"/>
              </w:rPr>
              <w:t>用水</w:t>
            </w:r>
            <w:r>
              <w:rPr>
                <w:rFonts w:hint="default" w:ascii="Times New Roman" w:hAnsi="Times New Roman" w:cs="Times New Roman" w:eastAsiaTheme="minorEastAsia"/>
                <w:color w:val="auto"/>
                <w:sz w:val="24"/>
                <w:szCs w:val="24"/>
                <w:highlight w:val="none"/>
              </w:rPr>
              <w:t>量</w:t>
            </w:r>
            <w:r>
              <w:rPr>
                <w:rFonts w:hint="default" w:ascii="Times New Roman" w:hAnsi="Times New Roman" w:cs="Times New Roman" w:eastAsiaTheme="minorEastAsia"/>
                <w:color w:val="auto"/>
                <w:sz w:val="24"/>
                <w:szCs w:val="24"/>
                <w:highlight w:val="none"/>
                <w:lang w:val="en-US" w:eastAsia="zh-CN"/>
              </w:rPr>
              <w:t>为</w:t>
            </w:r>
            <w:r>
              <w:rPr>
                <w:rFonts w:hint="default" w:ascii="Times New Roman" w:hAnsi="Times New Roman" w:cs="Times New Roman" w:eastAsiaTheme="minorEastAsia"/>
                <w:color w:val="auto"/>
                <w:sz w:val="24"/>
                <w:szCs w:val="24"/>
                <w:highlight w:val="none"/>
              </w:rPr>
              <w:t>0.03</w:t>
            </w:r>
            <w:r>
              <w:rPr>
                <w:rFonts w:hint="default" w:ascii="Times New Roman" w:hAnsi="Times New Roman" w:cs="Times New Roman" w:eastAsiaTheme="minorEastAsia"/>
                <w:color w:val="auto"/>
                <w:sz w:val="24"/>
                <w:szCs w:val="24"/>
                <w:highlight w:val="none"/>
                <w:lang w:val="en-US" w:eastAsia="zh-CN"/>
              </w:rPr>
              <w:t>m</w:t>
            </w:r>
            <w:r>
              <w:rPr>
                <w:rFonts w:hint="default" w:ascii="Times New Roman" w:hAnsi="Times New Roman" w:cs="Times New Roman" w:eastAsiaTheme="minorEastAsia"/>
                <w:color w:val="auto"/>
                <w:sz w:val="24"/>
                <w:szCs w:val="24"/>
                <w:highlight w:val="none"/>
                <w:vertAlign w:val="superscript"/>
                <w:lang w:val="en-US" w:eastAsia="zh-CN"/>
              </w:rPr>
              <w:t>3</w:t>
            </w:r>
            <w:r>
              <w:rPr>
                <w:rFonts w:hint="default" w:ascii="Times New Roman" w:hAnsi="Times New Roman" w:cs="Times New Roman" w:eastAsiaTheme="minorEastAsia"/>
                <w:color w:val="auto"/>
                <w:sz w:val="24"/>
                <w:szCs w:val="24"/>
                <w:highlight w:val="none"/>
                <w:lang w:val="en-US" w:eastAsia="zh-CN"/>
              </w:rPr>
              <w:t>/</w:t>
            </w:r>
            <w:r>
              <w:rPr>
                <w:rFonts w:hint="eastAsia" w:cs="Times New Roman" w:eastAsiaTheme="minorEastAsia"/>
                <w:color w:val="auto"/>
                <w:sz w:val="24"/>
                <w:szCs w:val="24"/>
                <w:highlight w:val="none"/>
                <w:lang w:val="en-US" w:eastAsia="zh-CN"/>
              </w:rPr>
              <w:t>辆</w:t>
            </w:r>
            <w:r>
              <w:rPr>
                <w:rFonts w:hint="default" w:ascii="Times New Roman" w:hAnsi="Times New Roman" w:cs="Times New Roman" w:eastAsiaTheme="minorEastAsia"/>
                <w:color w:val="auto"/>
                <w:sz w:val="24"/>
                <w:szCs w:val="24"/>
                <w:highlight w:val="none"/>
                <w:lang w:eastAsia="zh-CN"/>
              </w:rPr>
              <w:t>。</w:t>
            </w:r>
            <w:r>
              <w:rPr>
                <w:rFonts w:hint="eastAsia" w:cs="Times New Roman" w:eastAsiaTheme="minorEastAsia"/>
                <w:color w:val="auto"/>
                <w:sz w:val="24"/>
                <w:szCs w:val="24"/>
                <w:highlight w:val="none"/>
                <w:lang w:val="en-US" w:eastAsia="zh-CN"/>
              </w:rPr>
              <w:t>10台车每天用水量</w:t>
            </w:r>
            <w:r>
              <w:rPr>
                <w:rFonts w:hint="default" w:ascii="Times New Roman" w:hAnsi="Times New Roman" w:cs="Times New Roman" w:eastAsiaTheme="minorEastAsia"/>
                <w:color w:val="auto"/>
                <w:sz w:val="24"/>
                <w:szCs w:val="24"/>
                <w:highlight w:val="none"/>
                <w:lang w:val="en-US" w:eastAsia="zh-CN"/>
              </w:rPr>
              <w:t>为0.3m</w:t>
            </w:r>
            <w:r>
              <w:rPr>
                <w:rFonts w:hint="default" w:ascii="Times New Roman" w:hAnsi="Times New Roman" w:cs="Times New Roman" w:eastAsiaTheme="minorEastAsia"/>
                <w:color w:val="auto"/>
                <w:sz w:val="24"/>
                <w:szCs w:val="24"/>
                <w:highlight w:val="none"/>
                <w:vertAlign w:val="superscript"/>
                <w:lang w:val="en-US" w:eastAsia="zh-CN"/>
              </w:rPr>
              <w:t>3</w:t>
            </w:r>
            <w:r>
              <w:rPr>
                <w:rFonts w:hint="default" w:ascii="Times New Roman" w:hAnsi="Times New Roman" w:cs="Times New Roman" w:eastAsiaTheme="minorEastAsia"/>
                <w:color w:val="auto"/>
                <w:sz w:val="24"/>
                <w:szCs w:val="24"/>
                <w:highlight w:val="none"/>
                <w:lang w:val="en-US" w:eastAsia="zh-CN"/>
              </w:rPr>
              <w:t>/</w:t>
            </w:r>
            <w:r>
              <w:rPr>
                <w:rFonts w:hint="eastAsia" w:cs="Times New Roman" w:eastAsiaTheme="minorEastAsia"/>
                <w:color w:val="auto"/>
                <w:sz w:val="24"/>
                <w:szCs w:val="24"/>
                <w:highlight w:val="none"/>
                <w:lang w:val="en-US" w:eastAsia="zh-CN"/>
              </w:rPr>
              <w:t>d，本</w:t>
            </w:r>
            <w:r>
              <w:rPr>
                <w:rFonts w:hint="default" w:ascii="Times New Roman" w:hAnsi="Times New Roman" w:cs="Times New Roman" w:eastAsiaTheme="minorEastAsia"/>
                <w:color w:val="auto"/>
                <w:sz w:val="24"/>
                <w:szCs w:val="24"/>
                <w:highlight w:val="none"/>
                <w:lang w:val="en-US" w:eastAsia="zh-CN"/>
              </w:rPr>
              <w:t>项目运行365d，则罐车清洗用水量为109.5m</w:t>
            </w:r>
            <w:r>
              <w:rPr>
                <w:rFonts w:hint="default" w:ascii="Times New Roman" w:hAnsi="Times New Roman" w:cs="Times New Roman" w:eastAsiaTheme="minorEastAsia"/>
                <w:color w:val="auto"/>
                <w:sz w:val="24"/>
                <w:szCs w:val="24"/>
                <w:highlight w:val="none"/>
                <w:vertAlign w:val="superscript"/>
                <w:lang w:val="en-US" w:eastAsia="zh-CN"/>
              </w:rPr>
              <w:t>3</w:t>
            </w:r>
            <w:r>
              <w:rPr>
                <w:rFonts w:hint="default" w:ascii="Times New Roman" w:hAnsi="Times New Roman" w:cs="Times New Roman" w:eastAsiaTheme="minorEastAsia"/>
                <w:color w:val="auto"/>
                <w:sz w:val="24"/>
                <w:szCs w:val="24"/>
                <w:highlight w:val="none"/>
                <w:lang w:val="en-US" w:eastAsia="zh-CN"/>
              </w:rPr>
              <w:t>/a</w:t>
            </w:r>
            <w:r>
              <w:rPr>
                <w:rFonts w:hint="eastAsia" w:cs="Times New Roman" w:eastAsiaTheme="minorEastAsia"/>
                <w:color w:val="auto"/>
                <w:sz w:val="24"/>
                <w:szCs w:val="24"/>
                <w:highlight w:val="none"/>
                <w:lang w:val="en-US" w:eastAsia="zh-CN"/>
              </w:rPr>
              <w:t>。</w:t>
            </w:r>
          </w:p>
          <w:p w14:paraId="5ABF7AA1">
            <w:pPr>
              <w:bidi w:val="0"/>
              <w:spacing w:line="360" w:lineRule="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（4）排水</w:t>
            </w:r>
          </w:p>
          <w:p w14:paraId="7A8D1931">
            <w:pPr>
              <w:bidi w:val="0"/>
              <w:spacing w:line="360" w:lineRule="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本项目生产废水包括搅拌罐清洗用水，罐车清洗废水。</w:t>
            </w:r>
          </w:p>
          <w:p w14:paraId="21E28662">
            <w:pPr>
              <w:bidi w:val="0"/>
              <w:spacing w:line="360" w:lineRule="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①搅拌罐清洗</w:t>
            </w:r>
            <w:r>
              <w:rPr>
                <w:rFonts w:hint="eastAsia" w:cs="Times New Roman" w:eastAsiaTheme="minorEastAsia"/>
                <w:color w:val="auto"/>
                <w:sz w:val="24"/>
                <w:szCs w:val="24"/>
                <w:highlight w:val="none"/>
                <w:lang w:val="en-US" w:eastAsia="zh-CN"/>
              </w:rPr>
              <w:t>用水</w:t>
            </w:r>
            <w:r>
              <w:rPr>
                <w:rFonts w:hint="default" w:ascii="Times New Roman" w:hAnsi="Times New Roman" w:cs="Times New Roman" w:eastAsiaTheme="minorEastAsia"/>
                <w:color w:val="auto"/>
                <w:sz w:val="24"/>
                <w:szCs w:val="24"/>
                <w:highlight w:val="none"/>
                <w:lang w:val="en-US" w:eastAsia="zh-CN"/>
              </w:rPr>
              <w:t>：清洗废水留存于搅拌罐内，全部回用于下次混凝土搅拌工序，不外排；</w:t>
            </w:r>
          </w:p>
          <w:p w14:paraId="0FBF50DE">
            <w:pPr>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②罐车清洗废水：本</w:t>
            </w:r>
            <w:r>
              <w:rPr>
                <w:rFonts w:hint="eastAsia" w:cs="Times New Roman" w:eastAsiaTheme="minorEastAsia"/>
                <w:color w:val="auto"/>
                <w:sz w:val="24"/>
                <w:szCs w:val="24"/>
                <w:highlight w:val="none"/>
                <w:lang w:val="en-US" w:eastAsia="zh-CN"/>
              </w:rPr>
              <w:t>项目</w:t>
            </w:r>
            <w:r>
              <w:rPr>
                <w:rFonts w:hint="default" w:ascii="Times New Roman" w:hAnsi="Times New Roman" w:cs="Times New Roman" w:eastAsiaTheme="minorEastAsia"/>
                <w:color w:val="auto"/>
                <w:sz w:val="24"/>
                <w:szCs w:val="24"/>
                <w:highlight w:val="none"/>
                <w:lang w:val="en-US" w:eastAsia="zh-CN"/>
              </w:rPr>
              <w:t>罐车清洗在矿井下混凝土浇筑地点进行，清洗废水与混凝土共同进入浇筑点，不外排，清洗过程清洗用水消耗量</w:t>
            </w:r>
            <w:r>
              <w:rPr>
                <w:rFonts w:hint="eastAsia" w:cs="Times New Roman" w:eastAsiaTheme="minorEastAsia"/>
                <w:color w:val="auto"/>
                <w:sz w:val="24"/>
                <w:szCs w:val="24"/>
                <w:highlight w:val="none"/>
                <w:lang w:val="en-US" w:eastAsia="zh-CN"/>
              </w:rPr>
              <w:t>为</w:t>
            </w:r>
            <w:r>
              <w:rPr>
                <w:rFonts w:hint="default" w:ascii="Times New Roman" w:hAnsi="Times New Roman" w:cs="Times New Roman" w:eastAsiaTheme="minorEastAsia"/>
                <w:color w:val="auto"/>
                <w:sz w:val="24"/>
                <w:szCs w:val="24"/>
                <w:highlight w:val="none"/>
                <w:lang w:val="en-US" w:eastAsia="zh-CN"/>
              </w:rPr>
              <w:t>用水量的5%。清洗废水产生量为104.25m</w:t>
            </w:r>
            <w:r>
              <w:rPr>
                <w:rFonts w:hint="default" w:ascii="Times New Roman" w:hAnsi="Times New Roman" w:cs="Times New Roman" w:eastAsiaTheme="minorEastAsia"/>
                <w:color w:val="auto"/>
                <w:sz w:val="24"/>
                <w:szCs w:val="24"/>
                <w:highlight w:val="none"/>
                <w:vertAlign w:val="superscript"/>
                <w:lang w:val="en-US" w:eastAsia="zh-CN"/>
              </w:rPr>
              <w:t>3</w:t>
            </w:r>
            <w:r>
              <w:rPr>
                <w:rFonts w:hint="default" w:ascii="Times New Roman" w:hAnsi="Times New Roman" w:cs="Times New Roman" w:eastAsiaTheme="minorEastAsia"/>
                <w:color w:val="auto"/>
                <w:sz w:val="24"/>
                <w:szCs w:val="24"/>
                <w:highlight w:val="none"/>
                <w:lang w:val="en-US" w:eastAsia="zh-CN"/>
              </w:rPr>
              <w:t>/a.。</w:t>
            </w:r>
          </w:p>
          <w:p w14:paraId="7225C94F">
            <w:pPr>
              <w:bidi w:val="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③</w:t>
            </w:r>
            <w:r>
              <w:rPr>
                <w:rFonts w:hint="default" w:ascii="Times New Roman" w:hAnsi="Times New Roman" w:eastAsia="宋体" w:cs="Times New Roman"/>
                <w:color w:val="auto"/>
                <w:sz w:val="24"/>
                <w:szCs w:val="24"/>
                <w:highlight w:val="none"/>
                <w:lang w:val="en-US" w:eastAsia="zh-CN"/>
              </w:rPr>
              <w:t>生活污水</w:t>
            </w:r>
          </w:p>
          <w:p w14:paraId="1D761F3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720" w:firstLineChars="3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无新增劳动定员，不产生生活污水</w:t>
            </w:r>
          </w:p>
          <w:p w14:paraId="6B46EF29">
            <w:pPr>
              <w:bidi w:val="0"/>
              <w:spacing w:line="360" w:lineRule="auto"/>
              <w:ind w:left="0" w:leftChars="0" w:firstLine="0" w:firstLineChars="0"/>
              <w:jc w:val="center"/>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表2-10-1水平衡表（单位m</w:t>
            </w:r>
            <w:r>
              <w:rPr>
                <w:rFonts w:hint="default" w:ascii="Times New Roman" w:hAnsi="Times New Roman" w:cs="Times New Roman"/>
                <w:b/>
                <w:bCs/>
                <w:color w:val="auto"/>
                <w:sz w:val="24"/>
                <w:szCs w:val="24"/>
                <w:highlight w:val="none"/>
                <w:vertAlign w:val="superscript"/>
                <w:lang w:val="en-US" w:eastAsia="zh-CN"/>
              </w:rPr>
              <w:t>3</w:t>
            </w:r>
            <w:r>
              <w:rPr>
                <w:rFonts w:hint="default" w:ascii="Times New Roman" w:hAnsi="Times New Roman" w:cs="Times New Roman"/>
                <w:b/>
                <w:bCs/>
                <w:color w:val="auto"/>
                <w:sz w:val="24"/>
                <w:szCs w:val="24"/>
                <w:highlight w:val="none"/>
                <w:lang w:val="en-US" w:eastAsia="zh-CN"/>
              </w:rPr>
              <w:t>/d）</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3"/>
              <w:gridCol w:w="946"/>
              <w:gridCol w:w="1365"/>
              <w:gridCol w:w="1020"/>
              <w:gridCol w:w="825"/>
              <w:gridCol w:w="1275"/>
            </w:tblGrid>
            <w:tr w14:paraId="5EE0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vAlign w:val="center"/>
                </w:tcPr>
                <w:p w14:paraId="4181872B">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用水项目</w:t>
                  </w:r>
                </w:p>
              </w:tc>
              <w:tc>
                <w:tcPr>
                  <w:tcW w:w="1393" w:type="dxa"/>
                  <w:vAlign w:val="center"/>
                </w:tcPr>
                <w:p w14:paraId="1AD4BF75">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用量</w:t>
                  </w:r>
                </w:p>
              </w:tc>
              <w:tc>
                <w:tcPr>
                  <w:tcW w:w="946" w:type="dxa"/>
                  <w:vAlign w:val="center"/>
                </w:tcPr>
                <w:p w14:paraId="4B91816B">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新鲜水</w:t>
                  </w:r>
                </w:p>
              </w:tc>
              <w:tc>
                <w:tcPr>
                  <w:tcW w:w="1365" w:type="dxa"/>
                  <w:vAlign w:val="center"/>
                </w:tcPr>
                <w:p w14:paraId="4DAF8F41">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矿井水</w:t>
                  </w:r>
                </w:p>
              </w:tc>
              <w:tc>
                <w:tcPr>
                  <w:tcW w:w="1020" w:type="dxa"/>
                  <w:vAlign w:val="center"/>
                </w:tcPr>
                <w:p w14:paraId="3655210F">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消耗量</w:t>
                  </w:r>
                </w:p>
              </w:tc>
              <w:tc>
                <w:tcPr>
                  <w:tcW w:w="825" w:type="dxa"/>
                  <w:vAlign w:val="center"/>
                </w:tcPr>
                <w:p w14:paraId="1A2D12DD">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回用量</w:t>
                  </w:r>
                </w:p>
              </w:tc>
              <w:tc>
                <w:tcPr>
                  <w:tcW w:w="1275" w:type="dxa"/>
                  <w:vAlign w:val="center"/>
                </w:tcPr>
                <w:p w14:paraId="2DA53940">
                  <w:pPr>
                    <w:bidi w:val="0"/>
                    <w:spacing w:line="360" w:lineRule="auto"/>
                    <w:ind w:left="0" w:leftChars="0" w:firstLine="0" w:firstLineChars="0"/>
                    <w:jc w:val="center"/>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去向</w:t>
                  </w:r>
                </w:p>
              </w:tc>
            </w:tr>
            <w:tr w14:paraId="52072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vAlign w:val="center"/>
                </w:tcPr>
                <w:p w14:paraId="2F30983A">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搅拌用水</w:t>
                  </w:r>
                </w:p>
              </w:tc>
              <w:tc>
                <w:tcPr>
                  <w:tcW w:w="1393" w:type="dxa"/>
                  <w:vAlign w:val="center"/>
                </w:tcPr>
                <w:p w14:paraId="3BE100A8">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174.55</w:t>
                  </w:r>
                </w:p>
              </w:tc>
              <w:tc>
                <w:tcPr>
                  <w:tcW w:w="946" w:type="dxa"/>
                  <w:vAlign w:val="center"/>
                </w:tcPr>
                <w:p w14:paraId="5655AB7F">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0</w:t>
                  </w:r>
                </w:p>
              </w:tc>
              <w:tc>
                <w:tcPr>
                  <w:tcW w:w="1365" w:type="dxa"/>
                  <w:vAlign w:val="center"/>
                </w:tcPr>
                <w:p w14:paraId="4B269BAB">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174.55</w:t>
                  </w:r>
                </w:p>
              </w:tc>
              <w:tc>
                <w:tcPr>
                  <w:tcW w:w="1020" w:type="dxa"/>
                  <w:vAlign w:val="center"/>
                </w:tcPr>
                <w:p w14:paraId="0802EE11">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0</w:t>
                  </w:r>
                </w:p>
              </w:tc>
              <w:tc>
                <w:tcPr>
                  <w:tcW w:w="825" w:type="dxa"/>
                  <w:vAlign w:val="center"/>
                </w:tcPr>
                <w:p w14:paraId="3FE5EFAB">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0</w:t>
                  </w:r>
                </w:p>
              </w:tc>
              <w:tc>
                <w:tcPr>
                  <w:tcW w:w="1275" w:type="dxa"/>
                  <w:vAlign w:val="center"/>
                </w:tcPr>
                <w:p w14:paraId="727509EE">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进入产品</w:t>
                  </w:r>
                </w:p>
              </w:tc>
            </w:tr>
            <w:tr w14:paraId="610B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vAlign w:val="center"/>
                </w:tcPr>
                <w:p w14:paraId="5BC706C2">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lang w:val="en-US" w:eastAsia="zh-CN"/>
                    </w:rPr>
                    <w:t>抑尘用水</w:t>
                  </w:r>
                </w:p>
              </w:tc>
              <w:tc>
                <w:tcPr>
                  <w:tcW w:w="1393" w:type="dxa"/>
                  <w:vAlign w:val="center"/>
                </w:tcPr>
                <w:p w14:paraId="6BBE3863">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2.32</w:t>
                  </w:r>
                </w:p>
              </w:tc>
              <w:tc>
                <w:tcPr>
                  <w:tcW w:w="946" w:type="dxa"/>
                  <w:vAlign w:val="center"/>
                </w:tcPr>
                <w:p w14:paraId="20995EC6">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0</w:t>
                  </w:r>
                </w:p>
              </w:tc>
              <w:tc>
                <w:tcPr>
                  <w:tcW w:w="1365" w:type="dxa"/>
                  <w:vAlign w:val="center"/>
                </w:tcPr>
                <w:p w14:paraId="13B0C030">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2.32</w:t>
                  </w:r>
                </w:p>
              </w:tc>
              <w:tc>
                <w:tcPr>
                  <w:tcW w:w="1020" w:type="dxa"/>
                  <w:vAlign w:val="center"/>
                </w:tcPr>
                <w:p w14:paraId="0F8B19D7">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2.32</w:t>
                  </w:r>
                </w:p>
              </w:tc>
              <w:tc>
                <w:tcPr>
                  <w:tcW w:w="825" w:type="dxa"/>
                  <w:vAlign w:val="center"/>
                </w:tcPr>
                <w:p w14:paraId="6EB4232C">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0</w:t>
                  </w:r>
                </w:p>
              </w:tc>
              <w:tc>
                <w:tcPr>
                  <w:tcW w:w="1275" w:type="dxa"/>
                  <w:vAlign w:val="center"/>
                </w:tcPr>
                <w:p w14:paraId="5B34F000">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自然挥发</w:t>
                  </w:r>
                </w:p>
              </w:tc>
            </w:tr>
            <w:tr w14:paraId="7351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vAlign w:val="center"/>
                </w:tcPr>
                <w:p w14:paraId="3655FD6B">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lang w:val="en-US" w:eastAsia="zh-CN"/>
                    </w:rPr>
                    <w:t>搅拌罐清洗用水</w:t>
                  </w:r>
                </w:p>
              </w:tc>
              <w:tc>
                <w:tcPr>
                  <w:tcW w:w="1393" w:type="dxa"/>
                  <w:vAlign w:val="center"/>
                </w:tcPr>
                <w:p w14:paraId="113B8A82">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1</w:t>
                  </w:r>
                </w:p>
              </w:tc>
              <w:tc>
                <w:tcPr>
                  <w:tcW w:w="946" w:type="dxa"/>
                  <w:vAlign w:val="center"/>
                </w:tcPr>
                <w:p w14:paraId="1ECADBC3">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0</w:t>
                  </w:r>
                </w:p>
              </w:tc>
              <w:tc>
                <w:tcPr>
                  <w:tcW w:w="1365" w:type="dxa"/>
                  <w:vAlign w:val="center"/>
                </w:tcPr>
                <w:p w14:paraId="334414F3">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1</w:t>
                  </w:r>
                </w:p>
              </w:tc>
              <w:tc>
                <w:tcPr>
                  <w:tcW w:w="1020" w:type="dxa"/>
                  <w:vAlign w:val="center"/>
                </w:tcPr>
                <w:p w14:paraId="54F4B1F8">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0</w:t>
                  </w:r>
                </w:p>
              </w:tc>
              <w:tc>
                <w:tcPr>
                  <w:tcW w:w="825" w:type="dxa"/>
                  <w:vAlign w:val="center"/>
                </w:tcPr>
                <w:p w14:paraId="75E49405">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1</w:t>
                  </w:r>
                </w:p>
              </w:tc>
              <w:tc>
                <w:tcPr>
                  <w:tcW w:w="1275" w:type="dxa"/>
                  <w:vAlign w:val="center"/>
                </w:tcPr>
                <w:p w14:paraId="72B990CD">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进入产品</w:t>
                  </w:r>
                </w:p>
              </w:tc>
            </w:tr>
            <w:tr w14:paraId="79CBA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vAlign w:val="center"/>
                </w:tcPr>
                <w:p w14:paraId="020A645A">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罐车清洗</w:t>
                  </w:r>
                </w:p>
              </w:tc>
              <w:tc>
                <w:tcPr>
                  <w:tcW w:w="1393" w:type="dxa"/>
                  <w:vAlign w:val="center"/>
                </w:tcPr>
                <w:p w14:paraId="417B4FB9">
                  <w:pPr>
                    <w:bidi w:val="0"/>
                    <w:spacing w:line="360" w:lineRule="auto"/>
                    <w:ind w:left="0" w:leftChars="0" w:firstLine="0" w:firstLineChars="0"/>
                    <w:jc w:val="center"/>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0.3</w:t>
                  </w:r>
                </w:p>
              </w:tc>
              <w:tc>
                <w:tcPr>
                  <w:tcW w:w="946" w:type="dxa"/>
                  <w:vAlign w:val="center"/>
                </w:tcPr>
                <w:p w14:paraId="25C1579E">
                  <w:pPr>
                    <w:bidi w:val="0"/>
                    <w:spacing w:line="360" w:lineRule="auto"/>
                    <w:ind w:left="0" w:leftChars="0" w:firstLine="0" w:firstLineChars="0"/>
                    <w:jc w:val="center"/>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0</w:t>
                  </w:r>
                </w:p>
              </w:tc>
              <w:tc>
                <w:tcPr>
                  <w:tcW w:w="1365" w:type="dxa"/>
                  <w:vAlign w:val="center"/>
                </w:tcPr>
                <w:p w14:paraId="074591BD">
                  <w:pPr>
                    <w:bidi w:val="0"/>
                    <w:spacing w:line="360" w:lineRule="auto"/>
                    <w:ind w:left="0" w:leftChars="0" w:firstLine="0" w:firstLineChars="0"/>
                    <w:jc w:val="center"/>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0.3</w:t>
                  </w:r>
                </w:p>
              </w:tc>
              <w:tc>
                <w:tcPr>
                  <w:tcW w:w="1020" w:type="dxa"/>
                  <w:vAlign w:val="center"/>
                </w:tcPr>
                <w:p w14:paraId="1B6A2F10">
                  <w:pPr>
                    <w:bidi w:val="0"/>
                    <w:spacing w:line="360" w:lineRule="auto"/>
                    <w:ind w:left="0" w:leftChars="0" w:firstLine="0" w:firstLineChars="0"/>
                    <w:jc w:val="center"/>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0</w:t>
                  </w:r>
                </w:p>
              </w:tc>
              <w:tc>
                <w:tcPr>
                  <w:tcW w:w="825" w:type="dxa"/>
                  <w:vAlign w:val="center"/>
                </w:tcPr>
                <w:p w14:paraId="50671893">
                  <w:pPr>
                    <w:bidi w:val="0"/>
                    <w:spacing w:line="360" w:lineRule="auto"/>
                    <w:ind w:left="0" w:leftChars="0" w:firstLine="0" w:firstLineChars="0"/>
                    <w:jc w:val="center"/>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0.285</w:t>
                  </w:r>
                </w:p>
              </w:tc>
              <w:tc>
                <w:tcPr>
                  <w:tcW w:w="1275" w:type="dxa"/>
                  <w:vAlign w:val="center"/>
                </w:tcPr>
                <w:p w14:paraId="381D78E1">
                  <w:pPr>
                    <w:bidi w:val="0"/>
                    <w:spacing w:line="360" w:lineRule="auto"/>
                    <w:ind w:left="0" w:leftChars="0" w:firstLine="0" w:firstLineChars="0"/>
                    <w:jc w:val="center"/>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进入产品</w:t>
                  </w:r>
                </w:p>
              </w:tc>
            </w:tr>
            <w:tr w14:paraId="52FD1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dxa"/>
                  <w:vAlign w:val="center"/>
                </w:tcPr>
                <w:p w14:paraId="4C46A4C0">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总量</w:t>
                  </w:r>
                </w:p>
              </w:tc>
              <w:tc>
                <w:tcPr>
                  <w:tcW w:w="1393" w:type="dxa"/>
                  <w:vAlign w:val="center"/>
                </w:tcPr>
                <w:p w14:paraId="4970E477">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178.17</w:t>
                  </w:r>
                </w:p>
              </w:tc>
              <w:tc>
                <w:tcPr>
                  <w:tcW w:w="946" w:type="dxa"/>
                  <w:vAlign w:val="center"/>
                </w:tcPr>
                <w:p w14:paraId="0B29A5B6">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0</w:t>
                  </w:r>
                </w:p>
              </w:tc>
              <w:tc>
                <w:tcPr>
                  <w:tcW w:w="1365" w:type="dxa"/>
                  <w:vAlign w:val="center"/>
                </w:tcPr>
                <w:p w14:paraId="2BD974AB">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178.17</w:t>
                  </w:r>
                </w:p>
              </w:tc>
              <w:tc>
                <w:tcPr>
                  <w:tcW w:w="1020" w:type="dxa"/>
                  <w:vAlign w:val="center"/>
                </w:tcPr>
                <w:p w14:paraId="67707F31">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2.32</w:t>
                  </w:r>
                </w:p>
              </w:tc>
              <w:tc>
                <w:tcPr>
                  <w:tcW w:w="825" w:type="dxa"/>
                  <w:vAlign w:val="center"/>
                </w:tcPr>
                <w:p w14:paraId="7576C271">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1.285</w:t>
                  </w:r>
                </w:p>
              </w:tc>
              <w:tc>
                <w:tcPr>
                  <w:tcW w:w="1275" w:type="dxa"/>
                  <w:vAlign w:val="center"/>
                </w:tcPr>
                <w:p w14:paraId="5A578875">
                  <w:pPr>
                    <w:bidi w:val="0"/>
                    <w:spacing w:line="360" w:lineRule="auto"/>
                    <w:ind w:left="0" w:leftChars="0" w:firstLine="0" w:firstLine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w:t>
                  </w:r>
                </w:p>
              </w:tc>
            </w:tr>
          </w:tbl>
          <w:p w14:paraId="3BFCCC2C">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highlight w:val="none"/>
                <w:lang w:val="en-US" w:eastAsia="zh-CN"/>
              </w:rPr>
              <w:object>
                <v:shape id="_x0000_i1025" o:spt="75" type="#_x0000_t75" style="height:154.95pt;width:280.05pt;" o:ole="t" filled="f" o:preferrelative="t" stroked="f" coordsize="21600,21600">
                  <v:path/>
                  <v:fill on="f" focussize="0,0"/>
                  <v:stroke on="f"/>
                  <v:imagedata r:id="rId13" o:title=""/>
                  <o:lock v:ext="edit" aspectratio="f"/>
                  <w10:wrap type="none"/>
                  <w10:anchorlock/>
                </v:shape>
                <o:OLEObject Type="Embed" ProgID="Visio.Drawing.15" ShapeID="_x0000_i1025" DrawAspect="Content" ObjectID="_1468075725" r:id="rId12">
                  <o:LockedField>false</o:LockedField>
                </o:OLEObject>
              </w:object>
            </w:r>
          </w:p>
          <w:p w14:paraId="5A05E8B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720" w:firstLineChars="300"/>
              <w:jc w:val="both"/>
              <w:textAlignment w:val="auto"/>
              <w:rPr>
                <w:rFonts w:hint="default" w:ascii="Times New Roman" w:hAnsi="Times New Roman" w:eastAsia="宋体" w:cs="Times New Roman"/>
                <w:color w:val="auto"/>
                <w:sz w:val="24"/>
                <w:szCs w:val="24"/>
                <w:highlight w:val="none"/>
                <w:lang w:val="en-US" w:eastAsia="zh-CN"/>
              </w:rPr>
            </w:pPr>
          </w:p>
          <w:p w14:paraId="20E86EFD">
            <w:pPr>
              <w:bidi w:val="0"/>
              <w:spacing w:line="360" w:lineRule="auto"/>
              <w:ind w:left="0" w:leftChars="0" w:firstLine="0" w:firstLineChars="0"/>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图2-1水平衡图</w:t>
            </w:r>
          </w:p>
        </w:tc>
      </w:tr>
      <w:tr w14:paraId="33246C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4" w:type="dxa"/>
            <w:noWrap w:val="0"/>
            <w:vAlign w:val="center"/>
          </w:tcPr>
          <w:p w14:paraId="0D4BE0D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工艺流程和产排污环节</w:t>
            </w:r>
          </w:p>
        </w:tc>
        <w:tc>
          <w:tcPr>
            <w:tcW w:w="8576" w:type="dxa"/>
            <w:noWrap w:val="0"/>
            <w:vAlign w:val="top"/>
          </w:tcPr>
          <w:p w14:paraId="07B9A77D">
            <w:pPr>
              <w:pStyle w:val="6"/>
              <w:bidi w:val="0"/>
              <w:spacing w:line="360" w:lineRule="auto"/>
              <w:ind w:left="0" w:leftChars="0" w:firstLine="0" w:firstLine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1、工艺流程</w:t>
            </w:r>
          </w:p>
          <w:p w14:paraId="5935299F">
            <w:pPr>
              <w:pStyle w:val="6"/>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施工期</w:t>
            </w:r>
          </w:p>
          <w:p w14:paraId="20D6B10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施工期主要包括平整场地、沟槽开挖、土建施工等工程。对环境的影响主要表现为：施工过</w:t>
            </w:r>
            <w:r>
              <w:rPr>
                <w:rFonts w:hint="eastAsia" w:ascii="宋体" w:hAnsi="宋体" w:eastAsia="宋体" w:cs="宋体"/>
                <w:color w:val="auto"/>
                <w:sz w:val="24"/>
                <w:szCs w:val="24"/>
                <w:highlight w:val="none"/>
                <w:lang w:eastAsia="zh-CN"/>
              </w:rPr>
              <w:t>程中</w:t>
            </w:r>
            <w:r>
              <w:rPr>
                <w:rFonts w:hint="eastAsia" w:ascii="宋体" w:hAnsi="宋体" w:eastAsia="宋体" w:cs="宋体"/>
                <w:color w:val="auto"/>
                <w:sz w:val="24"/>
                <w:szCs w:val="24"/>
                <w:highlight w:val="none"/>
              </w:rPr>
              <w:t>产生的扬尘、施工废水、施工噪声、建筑垃圾等。</w:t>
            </w:r>
          </w:p>
          <w:p w14:paraId="3573AF8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施工期施工流程及主要污染物产生情况见下图。</w:t>
            </w:r>
          </w:p>
          <w:p w14:paraId="16E1BB59">
            <w:pPr>
              <w:keepNext w:val="0"/>
              <w:keepLines w:val="0"/>
              <w:pageBreakBefore w:val="0"/>
              <w:widowControl/>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drawing>
                <wp:inline distT="0" distB="0" distL="114300" distR="114300">
                  <wp:extent cx="5306060" cy="2045970"/>
                  <wp:effectExtent l="0" t="0" r="8890" b="11430"/>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4"/>
                          <a:stretch>
                            <a:fillRect/>
                          </a:stretch>
                        </pic:blipFill>
                        <pic:spPr>
                          <a:xfrm>
                            <a:off x="0" y="0"/>
                            <a:ext cx="5306060" cy="2045970"/>
                          </a:xfrm>
                          <a:prstGeom prst="rect">
                            <a:avLst/>
                          </a:prstGeom>
                        </pic:spPr>
                      </pic:pic>
                    </a:graphicData>
                  </a:graphic>
                </wp:inline>
              </w:drawing>
            </w:r>
          </w:p>
          <w:p w14:paraId="01575EBC">
            <w:pPr>
              <w:keepNext w:val="0"/>
              <w:keepLines w:val="0"/>
              <w:pageBreakBefore w:val="0"/>
              <w:widowControl/>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图</w:t>
            </w:r>
            <w:r>
              <w:rPr>
                <w:rFonts w:hint="eastAsia" w:ascii="宋体" w:hAnsi="宋体" w:eastAsia="宋体" w:cs="宋体"/>
                <w:b/>
                <w:bCs/>
                <w:color w:val="auto"/>
                <w:sz w:val="24"/>
                <w:szCs w:val="24"/>
                <w:highlight w:val="none"/>
                <w:lang w:val="en-US" w:eastAsia="zh-CN"/>
              </w:rPr>
              <w:t>1-1</w:t>
            </w:r>
            <w:r>
              <w:rPr>
                <w:rFonts w:hint="eastAsia" w:ascii="宋体" w:hAnsi="宋体" w:eastAsia="宋体" w:cs="宋体"/>
                <w:b/>
                <w:bCs/>
                <w:color w:val="auto"/>
                <w:sz w:val="24"/>
                <w:szCs w:val="24"/>
                <w:highlight w:val="none"/>
              </w:rPr>
              <w:t>施工期工艺流程及产污环节图</w:t>
            </w:r>
          </w:p>
          <w:p w14:paraId="0C59F2F2">
            <w:pPr>
              <w:pStyle w:val="6"/>
              <w:numPr>
                <w:ilvl w:val="0"/>
                <w:numId w:val="4"/>
              </w:numPr>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运营期</w:t>
            </w:r>
          </w:p>
          <w:p w14:paraId="78ED1B66">
            <w:pPr>
              <w:pStyle w:val="6"/>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本项目运营期工艺流程及产排污节点图如下。</w:t>
            </w:r>
          </w:p>
          <w:p w14:paraId="44AE2736">
            <w:pPr>
              <w:pStyle w:val="6"/>
              <w:keepNext w:val="0"/>
              <w:keepLines w:val="0"/>
              <w:pageBreakBefore w:val="0"/>
              <w:widowControl/>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drawing>
                <wp:inline distT="0" distB="0" distL="114300" distR="114300">
                  <wp:extent cx="5043805" cy="2525395"/>
                  <wp:effectExtent l="0" t="0" r="4445" b="8255"/>
                  <wp:docPr id="19" name="图片 19" descr="F:/1/玺凤拌合站/运营期工艺流程及产排污节点图.png运营期工艺流程及产排污节点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F:/1/玺凤拌合站/运营期工艺流程及产排污节点图.png运营期工艺流程及产排污节点图"/>
                          <pic:cNvPicPr>
                            <a:picLocks noChangeAspect="1"/>
                          </pic:cNvPicPr>
                        </pic:nvPicPr>
                        <pic:blipFill>
                          <a:blip r:embed="rId15"/>
                          <a:srcRect/>
                          <a:stretch>
                            <a:fillRect/>
                          </a:stretch>
                        </pic:blipFill>
                        <pic:spPr>
                          <a:xfrm>
                            <a:off x="0" y="0"/>
                            <a:ext cx="5043805" cy="2525395"/>
                          </a:xfrm>
                          <a:prstGeom prst="rect">
                            <a:avLst/>
                          </a:prstGeom>
                        </pic:spPr>
                      </pic:pic>
                    </a:graphicData>
                  </a:graphic>
                </wp:inline>
              </w:drawing>
            </w:r>
          </w:p>
          <w:p w14:paraId="4041818F">
            <w:pPr>
              <w:pStyle w:val="6"/>
              <w:keepNext w:val="0"/>
              <w:keepLines w:val="0"/>
              <w:pageBreakBefore w:val="0"/>
              <w:widowControl/>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图1-2</w:t>
            </w:r>
            <w:r>
              <w:rPr>
                <w:rFonts w:hint="eastAsia" w:ascii="宋体" w:hAnsi="宋体" w:cs="宋体"/>
                <w:b/>
                <w:bCs/>
                <w:color w:val="auto"/>
                <w:sz w:val="24"/>
                <w:szCs w:val="24"/>
                <w:highlight w:val="none"/>
                <w:lang w:val="en-US" w:eastAsia="zh-CN"/>
              </w:rPr>
              <w:t xml:space="preserve"> 运营</w:t>
            </w:r>
            <w:r>
              <w:rPr>
                <w:rFonts w:hint="eastAsia" w:ascii="宋体" w:hAnsi="宋体" w:eastAsia="宋体" w:cs="宋体"/>
                <w:b/>
                <w:bCs/>
                <w:color w:val="auto"/>
                <w:sz w:val="24"/>
                <w:szCs w:val="24"/>
                <w:highlight w:val="none"/>
                <w:lang w:val="en-US" w:eastAsia="zh-CN"/>
              </w:rPr>
              <w:t>期工艺流程及产排污节点图</w:t>
            </w:r>
          </w:p>
          <w:p w14:paraId="6BDF033E">
            <w:pPr>
              <w:pStyle w:val="6"/>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工艺流程简述：</w:t>
            </w:r>
          </w:p>
          <w:p w14:paraId="637AB7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全封闭砂石料场</w:t>
            </w:r>
            <w:r>
              <w:rPr>
                <w:rFonts w:hint="eastAsia" w:asciiTheme="minorEastAsia" w:hAnsiTheme="minorEastAsia" w:eastAsiaTheme="minorEastAsia" w:cstheme="minorEastAsia"/>
                <w:color w:val="auto"/>
                <w:kern w:val="0"/>
                <w:sz w:val="24"/>
                <w:szCs w:val="24"/>
                <w:highlight w:val="none"/>
                <w:lang w:val="en-US" w:eastAsia="zh-CN" w:bidi="ar"/>
              </w:rPr>
              <w:t>内砂石骨料由装载机转运至骨料上料仓，物料装卸过程产生无组织粉尘；上料仓配套自动称重系统，按生产配比精准计量骨料，计量后通过全封闭皮带廊道输送至拌合楼搅拌罐，皮带转运缝隙少量逸散无组织粉尘。</w:t>
            </w:r>
          </w:p>
          <w:p w14:paraId="4B91D9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水泥密闭储存于立式筒仓，罐车进料时筒仓内空气置换产生含尘呼吸废气；水泥经水泥筒仓仓底卸料、密闭螺旋输送机输送至粉料计量斗称重，全程密闭输送，仅计量落料环节产生少量粉尘；计量完成后沿封闭管道送入搅拌罐。生产用水经水泵输送至水计量箱定量配比，通过密闭管道加注至搅拌罐，该工序无废气、粉尘产生。</w:t>
            </w:r>
          </w:p>
          <w:p w14:paraId="416802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砂石、水泥、水全部进入全封闭负压搅拌罐高速混合拌合，物料碰撞、粉料扰动产生大量含颗粒物工艺废气（有组织废气）；搅拌完成后成品混凝土直接从罐底出料口装入混凝土罐车，即时外运供给煤矿，厂区不堆存成品，出料瞬时少量扬尘以无组织形式逸散。</w:t>
            </w:r>
          </w:p>
          <w:p w14:paraId="136342C5">
            <w:pPr>
              <w:pStyle w:val="6"/>
              <w:bidi w:val="0"/>
              <w:spacing w:line="360" w:lineRule="auto"/>
              <w:ind w:left="0" w:leftChars="0" w:firstLine="0" w:firstLine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lang w:val="en-US" w:eastAsia="zh-CN"/>
              </w:rPr>
              <w:t>主要污染工序</w:t>
            </w:r>
          </w:p>
          <w:p w14:paraId="1160EA54">
            <w:pPr>
              <w:pStyle w:val="6"/>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施工期</w:t>
            </w:r>
          </w:p>
          <w:p w14:paraId="4DF87A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废气：土建施工、建筑材料堆放和运输过程中产生的扬尘。</w:t>
            </w:r>
          </w:p>
          <w:p w14:paraId="171767D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废水：废水主要为施工废水和施工人员生活污水。</w:t>
            </w:r>
          </w:p>
          <w:p w14:paraId="5AA1A27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噪声：主要为施工机械的运转噪声及运输车辆噪声。</w:t>
            </w:r>
          </w:p>
          <w:p w14:paraId="22B40304">
            <w:pPr>
              <w:pStyle w:val="6"/>
              <w:bidi w:val="0"/>
              <w:spacing w:line="360" w:lineRule="auto"/>
              <w:rPr>
                <w:rFonts w:hint="eastAsia" w:ascii="宋体" w:hAnsi="宋体" w:eastAsia="宋体" w:cs="宋体"/>
                <w:color w:val="auto"/>
                <w:sz w:val="24"/>
                <w:szCs w:val="24"/>
                <w:highlight w:val="none"/>
              </w:rPr>
            </w:pPr>
            <w:r>
              <w:rPr>
                <w:rFonts w:hint="eastAsia" w:ascii="宋体" w:hAnsi="宋体" w:eastAsia="宋体" w:cs="宋体"/>
                <w:b w:val="0"/>
                <w:bCs/>
                <w:color w:val="auto"/>
                <w:sz w:val="24"/>
                <w:szCs w:val="24"/>
                <w:highlight w:val="none"/>
                <w:lang w:val="en-US" w:eastAsia="zh-CN"/>
              </w:rPr>
              <w:t>固废：主要为施工过程中的建筑垃圾以及施工人员生活垃圾。</w:t>
            </w:r>
          </w:p>
          <w:p w14:paraId="3B6CFB7E">
            <w:pPr>
              <w:pStyle w:val="6"/>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（2）运营期</w:t>
            </w:r>
          </w:p>
          <w:p w14:paraId="201EC4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0"/>
              <w:rPr>
                <w:rFonts w:hint="eastAsia" w:ascii="宋体" w:hAnsi="宋体" w:eastAsia="宋体" w:cs="宋体"/>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废气：</w:t>
            </w:r>
            <w:r>
              <w:rPr>
                <w:rFonts w:hint="eastAsia" w:asciiTheme="minorEastAsia" w:hAnsiTheme="minorEastAsia" w:eastAsiaTheme="minorEastAsia" w:cstheme="minorEastAsia"/>
                <w:color w:val="auto"/>
                <w:sz w:val="24"/>
                <w:szCs w:val="24"/>
                <w:highlight w:val="none"/>
              </w:rPr>
              <w:t>全封闭砂石料场</w:t>
            </w:r>
            <w:r>
              <w:rPr>
                <w:rFonts w:hint="eastAsia" w:ascii="宋体" w:hAnsi="宋体" w:cs="宋体"/>
                <w:b w:val="0"/>
                <w:bCs/>
                <w:color w:val="auto"/>
                <w:sz w:val="24"/>
                <w:szCs w:val="24"/>
                <w:highlight w:val="none"/>
                <w:lang w:val="en-US" w:eastAsia="zh-CN"/>
              </w:rPr>
              <w:t>堆存</w:t>
            </w:r>
            <w:r>
              <w:rPr>
                <w:rFonts w:hint="eastAsia" w:ascii="宋体" w:hAnsi="宋体" w:eastAsia="宋体" w:cs="宋体"/>
                <w:b w:val="0"/>
                <w:bCs/>
                <w:color w:val="auto"/>
                <w:sz w:val="24"/>
                <w:szCs w:val="24"/>
                <w:highlight w:val="none"/>
                <w:lang w:val="en-US" w:eastAsia="zh-CN"/>
              </w:rPr>
              <w:t>废气；</w:t>
            </w:r>
            <w:r>
              <w:rPr>
                <w:rFonts w:hint="eastAsia" w:ascii="宋体" w:hAnsi="宋体" w:cs="宋体"/>
                <w:b w:val="0"/>
                <w:bCs/>
                <w:color w:val="auto"/>
                <w:sz w:val="24"/>
                <w:szCs w:val="24"/>
                <w:highlight w:val="none"/>
                <w:lang w:val="en-US" w:eastAsia="zh-CN"/>
              </w:rPr>
              <w:t>输送皮带</w:t>
            </w:r>
            <w:r>
              <w:rPr>
                <w:rFonts w:hint="eastAsia" w:ascii="宋体" w:hAnsi="宋体" w:eastAsia="宋体" w:cs="宋体"/>
                <w:b w:val="0"/>
                <w:bCs/>
                <w:color w:val="auto"/>
                <w:sz w:val="24"/>
                <w:szCs w:val="24"/>
                <w:highlight w:val="none"/>
                <w:lang w:val="en-US" w:eastAsia="zh-CN"/>
              </w:rPr>
              <w:t>废气；筒仓废气；搅拌废气</w:t>
            </w:r>
            <w:r>
              <w:rPr>
                <w:rFonts w:hint="eastAsia" w:ascii="宋体" w:hAnsi="宋体" w:eastAsia="宋体" w:cs="宋体"/>
                <w:color w:val="auto"/>
                <w:sz w:val="24"/>
                <w:szCs w:val="24"/>
                <w:highlight w:val="none"/>
                <w:lang w:val="en-US" w:eastAsia="zh-CN"/>
              </w:rPr>
              <w:t>。</w:t>
            </w:r>
          </w:p>
          <w:p w14:paraId="1EB4091D">
            <w:pP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废水：拌合楼搅拌罐清洗废水。</w:t>
            </w:r>
            <w:r>
              <w:rPr>
                <w:rFonts w:hint="eastAsia" w:ascii="宋体" w:hAnsi="宋体" w:eastAsia="宋体" w:cs="宋体"/>
                <w:b w:val="0"/>
                <w:bCs w:val="0"/>
                <w:color w:val="auto"/>
                <w:sz w:val="24"/>
                <w:szCs w:val="24"/>
                <w:highlight w:val="none"/>
                <w:vertAlign w:val="baseline"/>
                <w:lang w:val="en-US" w:eastAsia="zh-CN"/>
              </w:rPr>
              <w:t>搅拌罐清洗废水不出搅拌罐，全部回用至下次生产用水（混凝土搅拌</w:t>
            </w:r>
            <w:r>
              <w:rPr>
                <w:rFonts w:hint="eastAsia" w:ascii="宋体" w:hAnsi="宋体" w:cs="宋体"/>
                <w:b w:val="0"/>
                <w:bCs w:val="0"/>
                <w:color w:val="auto"/>
                <w:sz w:val="24"/>
                <w:szCs w:val="24"/>
                <w:highlight w:val="none"/>
                <w:vertAlign w:val="baseline"/>
                <w:lang w:val="en-US" w:eastAsia="zh-CN"/>
              </w:rPr>
              <w:t>）。</w:t>
            </w:r>
            <w:r>
              <w:rPr>
                <w:rFonts w:hint="eastAsia" w:ascii="宋体" w:hAnsi="宋体" w:eastAsia="宋体" w:cs="宋体"/>
                <w:b w:val="0"/>
                <w:bCs w:val="0"/>
                <w:color w:val="auto"/>
                <w:sz w:val="24"/>
                <w:szCs w:val="24"/>
                <w:highlight w:val="none"/>
                <w:vertAlign w:val="baseline"/>
                <w:lang w:val="en-US" w:eastAsia="zh-CN"/>
              </w:rPr>
              <w:t>；</w:t>
            </w:r>
            <w:r>
              <w:rPr>
                <w:rFonts w:hint="eastAsia" w:ascii="宋体" w:hAnsi="宋体" w:eastAsia="宋体" w:cs="宋体"/>
                <w:color w:val="auto"/>
                <w:sz w:val="24"/>
                <w:szCs w:val="24"/>
                <w:highlight w:val="none"/>
              </w:rPr>
              <w:t>罐车清洗在矿井下混凝土浇筑地点进行，清洗废水与混凝土共同进入浇筑点，不</w:t>
            </w:r>
            <w:r>
              <w:rPr>
                <w:rFonts w:hint="eastAsia" w:ascii="宋体" w:hAnsi="宋体" w:cs="宋体"/>
                <w:color w:val="auto"/>
                <w:sz w:val="24"/>
                <w:szCs w:val="24"/>
                <w:highlight w:val="none"/>
                <w:lang w:eastAsia="zh-CN"/>
              </w:rPr>
              <w:t>外排。</w:t>
            </w:r>
          </w:p>
          <w:p w14:paraId="725A13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噪声：项目产生的噪声主要为机械噪声和车辆运输噪声。</w:t>
            </w:r>
          </w:p>
          <w:p w14:paraId="2D6D05A2">
            <w:pPr>
              <w:pStyle w:val="5"/>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固体废物：搅拌粉尘、筒仓除尘灰落回筒仓</w:t>
            </w:r>
            <w:r>
              <w:rPr>
                <w:rFonts w:hint="eastAsia" w:ascii="宋体" w:hAnsi="宋体" w:cs="宋体"/>
                <w:color w:val="auto"/>
                <w:sz w:val="24"/>
                <w:szCs w:val="24"/>
                <w:highlight w:val="none"/>
                <w:lang w:val="en-US" w:eastAsia="zh-CN"/>
              </w:rPr>
              <w:t>、不合格产品</w:t>
            </w:r>
            <w:r>
              <w:rPr>
                <w:rFonts w:hint="eastAsia" w:ascii="宋体" w:hAnsi="宋体" w:eastAsia="宋体" w:cs="宋体"/>
                <w:color w:val="auto"/>
                <w:sz w:val="24"/>
                <w:szCs w:val="24"/>
                <w:highlight w:val="none"/>
                <w:lang w:val="en-US" w:eastAsia="zh-CN"/>
              </w:rPr>
              <w:t>；</w:t>
            </w:r>
          </w:p>
        </w:tc>
      </w:tr>
      <w:tr w14:paraId="5B76E4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4" w:type="dxa"/>
            <w:noWrap w:val="0"/>
            <w:vAlign w:val="center"/>
          </w:tcPr>
          <w:p w14:paraId="6BE1145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与项目有关的原有环境污染问题</w:t>
            </w:r>
          </w:p>
        </w:tc>
        <w:tc>
          <w:tcPr>
            <w:tcW w:w="8576" w:type="dxa"/>
            <w:noWrap w:val="0"/>
            <w:vAlign w:val="center"/>
          </w:tcPr>
          <w:p w14:paraId="4FEB20A1">
            <w:pPr>
              <w:bidi w:val="0"/>
              <w:spacing w:line="360" w:lineRule="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w:t>
            </w:r>
            <w:r>
              <w:rPr>
                <w:rFonts w:hint="eastAsia"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环保手续履行情况</w:t>
            </w:r>
          </w:p>
          <w:p w14:paraId="6065F39D">
            <w:pPr>
              <w:bidi w:val="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4"/>
                <w:szCs w:val="24"/>
                <w:highlight w:val="none"/>
                <w:lang w:val="en-US" w:eastAsia="zh-CN"/>
              </w:rPr>
              <w:t>（1）2022年11月10日鄂尔多斯市生态环境局东胜区分局以鄂环东审字</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sz w:val="24"/>
                <w:szCs w:val="24"/>
                <w:highlight w:val="none"/>
                <w:lang w:val="en-US" w:eastAsia="zh-CN"/>
              </w:rPr>
              <w:t>2022</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sz w:val="24"/>
                <w:szCs w:val="24"/>
                <w:highlight w:val="none"/>
                <w:lang w:val="en-US" w:eastAsia="zh-CN"/>
              </w:rPr>
              <w:t>6号</w:t>
            </w:r>
            <w:r>
              <w:rPr>
                <w:rFonts w:hint="eastAsia" w:cs="Times New Roman"/>
                <w:color w:val="auto"/>
                <w:sz w:val="24"/>
                <w:szCs w:val="24"/>
                <w:highlight w:val="none"/>
                <w:lang w:val="en-US" w:eastAsia="zh-CN"/>
              </w:rPr>
              <w:t>文</w:t>
            </w:r>
            <w:r>
              <w:rPr>
                <w:rFonts w:hint="default" w:ascii="Times New Roman" w:hAnsi="Times New Roman" w:eastAsia="宋体" w:cs="Times New Roman"/>
                <w:color w:val="auto"/>
                <w:sz w:val="24"/>
                <w:szCs w:val="24"/>
                <w:highlight w:val="none"/>
                <w:lang w:val="en-US" w:eastAsia="zh-CN"/>
              </w:rPr>
              <w:t>批复了《国能包头能源有限责任公司万利一矿配套搅拌站建设项目环境影响报告表》</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批复文件作为附件附后。</w:t>
            </w:r>
          </w:p>
          <w:p w14:paraId="6BAAE3F6">
            <w:pPr>
              <w:pStyle w:val="2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2023年1月15日项目完成竣工自主环保验收，编制验收报告并形成验收意见，验收资料作为附件附后</w:t>
            </w:r>
            <w:r>
              <w:rPr>
                <w:rFonts w:hint="default" w:ascii="Times New Roman" w:hAnsi="Times New Roman" w:eastAsia="宋体" w:cs="Times New Roman"/>
                <w:color w:val="auto"/>
                <w:sz w:val="24"/>
                <w:szCs w:val="24"/>
                <w:highlight w:val="none"/>
                <w:lang w:val="en-US" w:eastAsia="zh-CN"/>
              </w:rPr>
              <w:t>。</w:t>
            </w:r>
          </w:p>
          <w:p w14:paraId="483B3415">
            <w:pPr>
              <w:pStyle w:val="20"/>
              <w:spacing w:line="360" w:lineRule="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w:t>
            </w:r>
            <w:r>
              <w:rPr>
                <w:rFonts w:hint="default" w:ascii="Times New Roman" w:hAnsi="Times New Roman" w:eastAsia="宋体" w:cs="Times New Roman"/>
                <w:color w:val="auto"/>
                <w:sz w:val="24"/>
                <w:szCs w:val="24"/>
                <w:highlight w:val="none"/>
              </w:rPr>
              <w:t>本项目已完成排污许可登记，登记编号：911506023289339046001，排污登记回执作为附件附后；企业严格按照排污登记要求落实自行监测、台账记录等环境管理工作。</w:t>
            </w:r>
          </w:p>
          <w:p w14:paraId="063B8ADD">
            <w:pPr>
              <w:pStyle w:val="20"/>
              <w:spacing w:line="360" w:lineRule="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现有工程污染物排放情况</w:t>
            </w:r>
          </w:p>
          <w:p w14:paraId="6551F3E9">
            <w:pPr>
              <w:pStyle w:val="20"/>
              <w:spacing w:line="360" w:lineRule="auto"/>
              <w:jc w:val="center"/>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表2-10-2项目环境监测计划表</w:t>
            </w:r>
          </w:p>
          <w:tbl>
            <w:tblPr>
              <w:tblStyle w:val="15"/>
              <w:tblW w:w="83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5"/>
              <w:gridCol w:w="1305"/>
              <w:gridCol w:w="1179"/>
              <w:gridCol w:w="1390"/>
              <w:gridCol w:w="2829"/>
            </w:tblGrid>
            <w:tr w14:paraId="6804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675" w:type="dxa"/>
                  <w:vAlign w:val="center"/>
                </w:tcPr>
                <w:p w14:paraId="0C90E065">
                  <w:pPr>
                    <w:ind w:left="0" w:leftChars="0" w:firstLine="0" w:firstLineChars="0"/>
                    <w:jc w:val="center"/>
                    <w:rPr>
                      <w:rFonts w:hint="default" w:ascii="Times New Roman" w:hAnsi="Times New Roman" w:cs="Times New Roman" w:eastAsiaTheme="minorEastAsia"/>
                      <w:color w:val="auto"/>
                      <w:sz w:val="21"/>
                      <w:szCs w:val="21"/>
                      <w:highlight w:val="none"/>
                      <w:vertAlign w:val="baseline"/>
                      <w:lang w:val="en-US" w:eastAsia="zh-CN"/>
                    </w:rPr>
                  </w:pPr>
                  <w:r>
                    <w:rPr>
                      <w:rFonts w:hint="default" w:ascii="Times New Roman" w:hAnsi="Times New Roman" w:cs="Times New Roman" w:eastAsiaTheme="minorEastAsia"/>
                      <w:color w:val="auto"/>
                      <w:sz w:val="21"/>
                      <w:szCs w:val="21"/>
                      <w:highlight w:val="none"/>
                      <w:vertAlign w:val="baseline"/>
                      <w:lang w:val="en-US" w:eastAsia="zh-CN"/>
                    </w:rPr>
                    <w:t>监测对象</w:t>
                  </w:r>
                </w:p>
              </w:tc>
              <w:tc>
                <w:tcPr>
                  <w:tcW w:w="1305" w:type="dxa"/>
                  <w:vAlign w:val="center"/>
                </w:tcPr>
                <w:p w14:paraId="2ED20B23">
                  <w:pPr>
                    <w:ind w:left="0" w:leftChars="0" w:firstLine="0" w:firstLineChars="0"/>
                    <w:jc w:val="center"/>
                    <w:rPr>
                      <w:rFonts w:hint="default" w:ascii="Times New Roman" w:hAnsi="Times New Roman" w:cs="Times New Roman" w:eastAsiaTheme="minorEastAsia"/>
                      <w:color w:val="auto"/>
                      <w:sz w:val="21"/>
                      <w:szCs w:val="21"/>
                      <w:highlight w:val="none"/>
                      <w:vertAlign w:val="baseline"/>
                      <w:lang w:val="en-US" w:eastAsia="zh-CN"/>
                    </w:rPr>
                  </w:pPr>
                  <w:r>
                    <w:rPr>
                      <w:rFonts w:hint="default" w:ascii="Times New Roman" w:hAnsi="Times New Roman" w:cs="Times New Roman" w:eastAsiaTheme="minorEastAsia"/>
                      <w:color w:val="auto"/>
                      <w:sz w:val="21"/>
                      <w:szCs w:val="21"/>
                      <w:highlight w:val="none"/>
                      <w:vertAlign w:val="baseline"/>
                      <w:lang w:val="en-US" w:eastAsia="zh-CN"/>
                    </w:rPr>
                    <w:t>监测点位</w:t>
                  </w:r>
                </w:p>
              </w:tc>
              <w:tc>
                <w:tcPr>
                  <w:tcW w:w="1179" w:type="dxa"/>
                  <w:vAlign w:val="center"/>
                </w:tcPr>
                <w:p w14:paraId="15A779DF">
                  <w:pPr>
                    <w:ind w:left="0" w:leftChars="0" w:firstLine="0" w:firstLineChars="0"/>
                    <w:jc w:val="center"/>
                    <w:rPr>
                      <w:rFonts w:hint="default" w:ascii="Times New Roman" w:hAnsi="Times New Roman" w:cs="Times New Roman" w:eastAsiaTheme="minorEastAsia"/>
                      <w:color w:val="auto"/>
                      <w:sz w:val="21"/>
                      <w:szCs w:val="21"/>
                      <w:highlight w:val="none"/>
                      <w:vertAlign w:val="baseline"/>
                      <w:lang w:val="en-US" w:eastAsia="zh-CN"/>
                    </w:rPr>
                  </w:pPr>
                  <w:r>
                    <w:rPr>
                      <w:rFonts w:hint="default" w:ascii="Times New Roman" w:hAnsi="Times New Roman" w:cs="Times New Roman" w:eastAsiaTheme="minorEastAsia"/>
                      <w:color w:val="auto"/>
                      <w:sz w:val="21"/>
                      <w:szCs w:val="21"/>
                      <w:highlight w:val="none"/>
                      <w:vertAlign w:val="baseline"/>
                      <w:lang w:val="en-US" w:eastAsia="zh-CN"/>
                    </w:rPr>
                    <w:t>监测因子</w:t>
                  </w:r>
                </w:p>
              </w:tc>
              <w:tc>
                <w:tcPr>
                  <w:tcW w:w="1390" w:type="dxa"/>
                  <w:vAlign w:val="center"/>
                </w:tcPr>
                <w:p w14:paraId="2815D7C6">
                  <w:pPr>
                    <w:ind w:left="0" w:leftChars="0" w:firstLine="0" w:firstLineChars="0"/>
                    <w:jc w:val="center"/>
                    <w:rPr>
                      <w:rFonts w:hint="default" w:ascii="Times New Roman" w:hAnsi="Times New Roman" w:cs="Times New Roman" w:eastAsiaTheme="minorEastAsia"/>
                      <w:color w:val="auto"/>
                      <w:sz w:val="21"/>
                      <w:szCs w:val="21"/>
                      <w:highlight w:val="none"/>
                      <w:vertAlign w:val="baseline"/>
                      <w:lang w:val="en-US" w:eastAsia="zh-CN"/>
                    </w:rPr>
                  </w:pPr>
                  <w:r>
                    <w:rPr>
                      <w:rFonts w:hint="default" w:ascii="Times New Roman" w:hAnsi="Times New Roman" w:cs="Times New Roman" w:eastAsiaTheme="minorEastAsia"/>
                      <w:color w:val="auto"/>
                      <w:sz w:val="21"/>
                      <w:szCs w:val="21"/>
                      <w:highlight w:val="none"/>
                      <w:vertAlign w:val="baseline"/>
                      <w:lang w:val="en-US" w:eastAsia="zh-CN"/>
                    </w:rPr>
                    <w:t>监测频次</w:t>
                  </w:r>
                </w:p>
              </w:tc>
              <w:tc>
                <w:tcPr>
                  <w:tcW w:w="2829" w:type="dxa"/>
                  <w:vAlign w:val="center"/>
                </w:tcPr>
                <w:p w14:paraId="544A002B">
                  <w:pPr>
                    <w:ind w:left="0" w:leftChars="0" w:firstLine="0" w:firstLineChars="0"/>
                    <w:jc w:val="center"/>
                    <w:rPr>
                      <w:rFonts w:hint="default" w:ascii="Times New Roman" w:hAnsi="Times New Roman" w:cs="Times New Roman" w:eastAsiaTheme="minorEastAsia"/>
                      <w:color w:val="auto"/>
                      <w:sz w:val="21"/>
                      <w:szCs w:val="21"/>
                      <w:highlight w:val="none"/>
                      <w:vertAlign w:val="baseline"/>
                      <w:lang w:val="en-US" w:eastAsia="zh-CN"/>
                    </w:rPr>
                  </w:pPr>
                  <w:r>
                    <w:rPr>
                      <w:rFonts w:hint="default" w:ascii="Times New Roman" w:hAnsi="Times New Roman" w:cs="Times New Roman" w:eastAsiaTheme="minorEastAsia"/>
                      <w:color w:val="auto"/>
                      <w:sz w:val="21"/>
                      <w:szCs w:val="21"/>
                      <w:highlight w:val="none"/>
                      <w:vertAlign w:val="baseline"/>
                      <w:lang w:val="en-US" w:eastAsia="zh-CN"/>
                    </w:rPr>
                    <w:t>执行标准</w:t>
                  </w:r>
                </w:p>
              </w:tc>
            </w:tr>
            <w:tr w14:paraId="18808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1675" w:type="dxa"/>
                  <w:vMerge w:val="restart"/>
                  <w:vAlign w:val="center"/>
                </w:tcPr>
                <w:p w14:paraId="1DD5B6AF">
                  <w:pPr>
                    <w:ind w:left="0" w:leftChars="0" w:firstLine="0" w:firstLineChars="0"/>
                    <w:jc w:val="center"/>
                    <w:rPr>
                      <w:rFonts w:hint="default" w:ascii="Times New Roman" w:hAnsi="Times New Roman" w:cs="Times New Roman" w:eastAsiaTheme="minorEastAsia"/>
                      <w:color w:val="auto"/>
                      <w:sz w:val="21"/>
                      <w:szCs w:val="21"/>
                      <w:highlight w:val="none"/>
                      <w:vertAlign w:val="baseline"/>
                      <w:lang w:val="en-US" w:eastAsia="zh-CN"/>
                    </w:rPr>
                  </w:pPr>
                  <w:r>
                    <w:rPr>
                      <w:rFonts w:hint="default" w:ascii="Times New Roman" w:hAnsi="Times New Roman" w:cs="Times New Roman" w:eastAsiaTheme="minorEastAsia"/>
                      <w:color w:val="auto"/>
                      <w:sz w:val="21"/>
                      <w:szCs w:val="21"/>
                      <w:highlight w:val="none"/>
                      <w:vertAlign w:val="baseline"/>
                      <w:lang w:val="en-US" w:eastAsia="zh-CN"/>
                    </w:rPr>
                    <w:t>废气</w:t>
                  </w:r>
                </w:p>
              </w:tc>
              <w:tc>
                <w:tcPr>
                  <w:tcW w:w="6703" w:type="dxa"/>
                  <w:gridSpan w:val="4"/>
                  <w:vAlign w:val="center"/>
                </w:tcPr>
                <w:p w14:paraId="0EA17193">
                  <w:pPr>
                    <w:ind w:left="0" w:leftChars="0" w:firstLine="0" w:firstLineChars="0"/>
                    <w:jc w:val="center"/>
                    <w:rPr>
                      <w:rFonts w:hint="default" w:ascii="Times New Roman" w:hAnsi="Times New Roman" w:cs="Times New Roman" w:eastAsiaTheme="minorEastAsia"/>
                      <w:color w:val="auto"/>
                      <w:sz w:val="21"/>
                      <w:szCs w:val="21"/>
                      <w:highlight w:val="none"/>
                      <w:vertAlign w:val="baseline"/>
                    </w:rPr>
                  </w:pPr>
                  <w:r>
                    <w:rPr>
                      <w:rFonts w:hint="default" w:ascii="Times New Roman" w:hAnsi="Times New Roman" w:cs="Times New Roman" w:eastAsiaTheme="minorEastAsia"/>
                      <w:color w:val="auto"/>
                      <w:sz w:val="21"/>
                      <w:szCs w:val="21"/>
                      <w:highlight w:val="none"/>
                      <w:vertAlign w:val="baseline"/>
                    </w:rPr>
                    <w:t>本项目厂界颗粒物监测计划与工业广场例行监测</w:t>
                  </w:r>
                  <w:r>
                    <w:rPr>
                      <w:rFonts w:hint="eastAsia" w:cs="Times New Roman" w:eastAsiaTheme="minorEastAsia"/>
                      <w:color w:val="auto"/>
                      <w:sz w:val="21"/>
                      <w:szCs w:val="21"/>
                      <w:highlight w:val="none"/>
                      <w:vertAlign w:val="baseline"/>
                      <w:lang w:val="en-US" w:eastAsia="zh-CN"/>
                    </w:rPr>
                    <w:t>计划</w:t>
                  </w:r>
                  <w:r>
                    <w:rPr>
                      <w:rFonts w:hint="default" w:ascii="Times New Roman" w:hAnsi="Times New Roman" w:cs="Times New Roman" w:eastAsiaTheme="minorEastAsia"/>
                      <w:color w:val="auto"/>
                      <w:sz w:val="21"/>
                      <w:szCs w:val="21"/>
                      <w:highlight w:val="none"/>
                      <w:vertAlign w:val="baseline"/>
                    </w:rPr>
                    <w:t>合并，执行《大气污染物综合排放标准》</w:t>
                  </w:r>
                  <w:r>
                    <w:rPr>
                      <w:rFonts w:hint="eastAsia" w:cs="Times New Roman" w:eastAsiaTheme="minorEastAsia"/>
                      <w:color w:val="auto"/>
                      <w:sz w:val="21"/>
                      <w:szCs w:val="21"/>
                      <w:highlight w:val="none"/>
                      <w:vertAlign w:val="baseline"/>
                      <w:lang w:eastAsia="zh-CN"/>
                    </w:rPr>
                    <w:t>（</w:t>
                  </w:r>
                  <w:r>
                    <w:rPr>
                      <w:rFonts w:hint="default" w:ascii="Times New Roman" w:hAnsi="Times New Roman" w:cs="Times New Roman" w:eastAsiaTheme="minorEastAsia"/>
                      <w:color w:val="auto"/>
                      <w:sz w:val="21"/>
                      <w:szCs w:val="21"/>
                      <w:highlight w:val="none"/>
                      <w:vertAlign w:val="baseline"/>
                    </w:rPr>
                    <w:t>GB16297-199</w:t>
                  </w:r>
                  <w:r>
                    <w:rPr>
                      <w:rFonts w:hint="default" w:ascii="Times New Roman" w:hAnsi="Times New Roman" w:cs="Times New Roman" w:eastAsiaTheme="minorEastAsia"/>
                      <w:color w:val="auto"/>
                      <w:sz w:val="21"/>
                      <w:szCs w:val="21"/>
                      <w:highlight w:val="none"/>
                      <w:vertAlign w:val="baseline"/>
                      <w:lang w:val="en-US" w:eastAsia="zh-CN"/>
                    </w:rPr>
                    <w:t>6</w:t>
                  </w:r>
                  <w:r>
                    <w:rPr>
                      <w:rFonts w:hint="eastAsia" w:cs="Times New Roman" w:eastAsiaTheme="minorEastAsia"/>
                      <w:color w:val="auto"/>
                      <w:sz w:val="21"/>
                      <w:szCs w:val="21"/>
                      <w:highlight w:val="none"/>
                      <w:vertAlign w:val="baseline"/>
                      <w:lang w:val="en-US" w:eastAsia="zh-CN"/>
                    </w:rPr>
                    <w:t>）</w:t>
                  </w:r>
                  <w:r>
                    <w:rPr>
                      <w:rFonts w:hint="default" w:ascii="Times New Roman" w:hAnsi="Times New Roman" w:cs="Times New Roman" w:eastAsiaTheme="minorEastAsia"/>
                      <w:color w:val="auto"/>
                      <w:sz w:val="21"/>
                      <w:szCs w:val="21"/>
                      <w:highlight w:val="none"/>
                      <w:vertAlign w:val="baseline"/>
                    </w:rPr>
                    <w:t>表2标准限值</w:t>
                  </w:r>
                </w:p>
              </w:tc>
            </w:tr>
            <w:tr w14:paraId="6144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2" w:hRule="atLeast"/>
              </w:trPr>
              <w:tc>
                <w:tcPr>
                  <w:tcW w:w="1675" w:type="dxa"/>
                  <w:vMerge w:val="continue"/>
                  <w:vAlign w:val="center"/>
                </w:tcPr>
                <w:p w14:paraId="06868BE7">
                  <w:pPr>
                    <w:jc w:val="center"/>
                    <w:rPr>
                      <w:rFonts w:hint="default" w:ascii="Times New Roman" w:hAnsi="Times New Roman" w:cs="Times New Roman" w:eastAsiaTheme="minorEastAsia"/>
                      <w:color w:val="auto"/>
                      <w:sz w:val="21"/>
                      <w:szCs w:val="21"/>
                      <w:highlight w:val="none"/>
                      <w:vertAlign w:val="baseline"/>
                    </w:rPr>
                  </w:pPr>
                </w:p>
              </w:tc>
              <w:tc>
                <w:tcPr>
                  <w:tcW w:w="1305" w:type="dxa"/>
                  <w:vAlign w:val="center"/>
                </w:tcPr>
                <w:p w14:paraId="2525804F">
                  <w:pPr>
                    <w:ind w:left="0" w:leftChars="0" w:firstLine="0" w:firstLineChars="0"/>
                    <w:jc w:val="center"/>
                    <w:rPr>
                      <w:rFonts w:hint="default" w:ascii="Times New Roman" w:hAnsi="Times New Roman" w:cs="Times New Roman" w:eastAsiaTheme="minorEastAsia"/>
                      <w:color w:val="auto"/>
                      <w:sz w:val="21"/>
                      <w:szCs w:val="21"/>
                      <w:highlight w:val="none"/>
                      <w:vertAlign w:val="baseline"/>
                    </w:rPr>
                  </w:pPr>
                  <w:r>
                    <w:rPr>
                      <w:rFonts w:hint="default" w:ascii="Times New Roman" w:hAnsi="Times New Roman" w:cs="Times New Roman" w:eastAsiaTheme="minorEastAsia"/>
                      <w:color w:val="auto"/>
                      <w:sz w:val="21"/>
                      <w:szCs w:val="21"/>
                      <w:highlight w:val="none"/>
                      <w:vertAlign w:val="baseline"/>
                    </w:rPr>
                    <w:t>水泥筒仓排气口DA001、DA002</w:t>
                  </w:r>
                </w:p>
              </w:tc>
              <w:tc>
                <w:tcPr>
                  <w:tcW w:w="1179" w:type="dxa"/>
                  <w:vAlign w:val="center"/>
                </w:tcPr>
                <w:p w14:paraId="66899798">
                  <w:pPr>
                    <w:ind w:left="0" w:leftChars="0" w:firstLine="0" w:firstLineChars="0"/>
                    <w:jc w:val="center"/>
                    <w:rPr>
                      <w:rFonts w:hint="default" w:ascii="Times New Roman" w:hAnsi="Times New Roman" w:cs="Times New Roman" w:eastAsiaTheme="minorEastAsia"/>
                      <w:color w:val="auto"/>
                      <w:sz w:val="21"/>
                      <w:szCs w:val="21"/>
                      <w:highlight w:val="none"/>
                      <w:vertAlign w:val="baseline"/>
                      <w:lang w:val="en-US" w:eastAsia="zh-CN"/>
                    </w:rPr>
                  </w:pPr>
                  <w:r>
                    <w:rPr>
                      <w:rFonts w:hint="default" w:ascii="Times New Roman" w:hAnsi="Times New Roman" w:cs="Times New Roman" w:eastAsiaTheme="minorEastAsia"/>
                      <w:color w:val="auto"/>
                      <w:sz w:val="21"/>
                      <w:szCs w:val="21"/>
                      <w:highlight w:val="none"/>
                      <w:vertAlign w:val="baseline"/>
                      <w:lang w:val="en-US" w:eastAsia="zh-CN"/>
                    </w:rPr>
                    <w:t>颗粒物</w:t>
                  </w:r>
                </w:p>
              </w:tc>
              <w:tc>
                <w:tcPr>
                  <w:tcW w:w="1390" w:type="dxa"/>
                  <w:vAlign w:val="center"/>
                </w:tcPr>
                <w:p w14:paraId="52365534">
                  <w:pPr>
                    <w:ind w:left="0" w:leftChars="0" w:firstLine="0" w:firstLineChars="0"/>
                    <w:jc w:val="center"/>
                    <w:rPr>
                      <w:rFonts w:hint="default" w:ascii="Times New Roman" w:hAnsi="Times New Roman" w:cs="Times New Roman" w:eastAsiaTheme="minorEastAsia"/>
                      <w:color w:val="auto"/>
                      <w:sz w:val="21"/>
                      <w:szCs w:val="21"/>
                      <w:highlight w:val="none"/>
                      <w:vertAlign w:val="baseline"/>
                      <w:lang w:val="en-US" w:eastAsia="zh-CN"/>
                    </w:rPr>
                  </w:pPr>
                  <w:r>
                    <w:rPr>
                      <w:rFonts w:hint="default" w:ascii="Times New Roman" w:hAnsi="Times New Roman" w:cs="Times New Roman" w:eastAsiaTheme="minorEastAsia"/>
                      <w:color w:val="auto"/>
                      <w:sz w:val="21"/>
                      <w:szCs w:val="21"/>
                      <w:highlight w:val="none"/>
                      <w:vertAlign w:val="baseline"/>
                      <w:lang w:val="en-US" w:eastAsia="zh-CN"/>
                    </w:rPr>
                    <w:t>每</w:t>
                  </w:r>
                  <w:r>
                    <w:rPr>
                      <w:rFonts w:hint="eastAsia" w:cs="Times New Roman" w:eastAsiaTheme="minorEastAsia"/>
                      <w:color w:val="auto"/>
                      <w:sz w:val="21"/>
                      <w:szCs w:val="21"/>
                      <w:highlight w:val="none"/>
                      <w:vertAlign w:val="baseline"/>
                      <w:lang w:val="en-US" w:eastAsia="zh-CN"/>
                    </w:rPr>
                    <w:t>两</w:t>
                  </w:r>
                  <w:r>
                    <w:rPr>
                      <w:rFonts w:hint="default" w:ascii="Times New Roman" w:hAnsi="Times New Roman" w:cs="Times New Roman" w:eastAsiaTheme="minorEastAsia"/>
                      <w:color w:val="auto"/>
                      <w:sz w:val="21"/>
                      <w:szCs w:val="21"/>
                      <w:highlight w:val="none"/>
                      <w:vertAlign w:val="baseline"/>
                      <w:lang w:val="en-US" w:eastAsia="zh-CN"/>
                    </w:rPr>
                    <w:t>年一次</w:t>
                  </w:r>
                </w:p>
              </w:tc>
              <w:tc>
                <w:tcPr>
                  <w:tcW w:w="2829" w:type="dxa"/>
                  <w:vAlign w:val="center"/>
                </w:tcPr>
                <w:p w14:paraId="5C1D3120">
                  <w:pPr>
                    <w:ind w:left="0" w:leftChars="0" w:firstLine="0" w:firstLineChars="0"/>
                    <w:rPr>
                      <w:rFonts w:hint="default" w:ascii="Times New Roman" w:hAnsi="Times New Roman" w:cs="Times New Roman" w:eastAsiaTheme="minorEastAsia"/>
                      <w:color w:val="auto"/>
                      <w:sz w:val="21"/>
                      <w:szCs w:val="21"/>
                      <w:highlight w:val="none"/>
                      <w:vertAlign w:val="baseline"/>
                    </w:rPr>
                  </w:pPr>
                  <w:r>
                    <w:rPr>
                      <w:rFonts w:hint="default" w:ascii="Times New Roman" w:hAnsi="Times New Roman" w:eastAsia="宋体" w:cs="Times New Roman"/>
                      <w:b w:val="0"/>
                      <w:bCs w:val="0"/>
                      <w:color w:val="auto"/>
                      <w:kern w:val="0"/>
                      <w:sz w:val="21"/>
                      <w:szCs w:val="21"/>
                      <w:highlight w:val="none"/>
                    </w:rPr>
                    <w:t>《水泥工业大气污染物排放标准》（</w:t>
                  </w:r>
                  <w:r>
                    <w:rPr>
                      <w:rFonts w:hint="default" w:ascii="Times New Roman" w:hAnsi="Times New Roman" w:eastAsia="宋体" w:cs="Times New Roman"/>
                      <w:b w:val="0"/>
                      <w:bCs w:val="0"/>
                      <w:color w:val="auto"/>
                      <w:kern w:val="0"/>
                      <w:sz w:val="21"/>
                      <w:szCs w:val="21"/>
                      <w:highlight w:val="none"/>
                      <w:lang w:val="en-US" w:eastAsia="zh-CN"/>
                    </w:rPr>
                    <w:t>GB</w:t>
                  </w:r>
                  <w:r>
                    <w:rPr>
                      <w:rFonts w:hint="default" w:ascii="Times New Roman" w:hAnsi="Times New Roman" w:eastAsia="宋体" w:cs="Times New Roman"/>
                      <w:b w:val="0"/>
                      <w:bCs w:val="0"/>
                      <w:color w:val="auto"/>
                      <w:kern w:val="0"/>
                      <w:sz w:val="21"/>
                      <w:szCs w:val="21"/>
                      <w:highlight w:val="none"/>
                    </w:rPr>
                    <w:t>4915-2013）</w:t>
                  </w:r>
                  <w:r>
                    <w:rPr>
                      <w:rFonts w:hint="eastAsia" w:cs="Times New Roman"/>
                      <w:b w:val="0"/>
                      <w:bCs w:val="0"/>
                      <w:color w:val="auto"/>
                      <w:kern w:val="0"/>
                      <w:sz w:val="21"/>
                      <w:szCs w:val="21"/>
                      <w:highlight w:val="none"/>
                      <w:lang w:eastAsia="zh-CN"/>
                    </w:rPr>
                    <w:t>（</w:t>
                  </w:r>
                  <w:r>
                    <w:rPr>
                      <w:rFonts w:hint="default" w:ascii="Times New Roman" w:hAnsi="Times New Roman" w:eastAsia="宋体" w:cs="Times New Roman"/>
                      <w:color w:val="auto"/>
                      <w:sz w:val="21"/>
                      <w:szCs w:val="21"/>
                      <w:highlight w:val="none"/>
                    </w:rPr>
                    <w:t>含</w:t>
                  </w:r>
                  <w:r>
                    <w:rPr>
                      <w:rFonts w:hint="eastAsia" w:cs="Times New Roman"/>
                      <w:color w:val="auto"/>
                      <w:sz w:val="21"/>
                      <w:szCs w:val="21"/>
                      <w:highlight w:val="none"/>
                      <w:lang w:val="en-US" w:eastAsia="zh-CN"/>
                    </w:rPr>
                    <w:t>2025年修改单）</w:t>
                  </w:r>
                  <w:r>
                    <w:rPr>
                      <w:rFonts w:hint="default" w:ascii="Times New Roman" w:hAnsi="Times New Roman" w:eastAsia="宋体" w:cs="Times New Roman"/>
                      <w:b w:val="0"/>
                      <w:bCs w:val="0"/>
                      <w:color w:val="auto"/>
                      <w:kern w:val="0"/>
                      <w:sz w:val="21"/>
                      <w:szCs w:val="21"/>
                      <w:highlight w:val="none"/>
                      <w:lang w:val="en-US" w:eastAsia="zh-CN"/>
                    </w:rPr>
                    <w:t>表2中</w:t>
                  </w:r>
                  <w:r>
                    <w:rPr>
                      <w:rFonts w:hint="default" w:ascii="Times New Roman" w:hAnsi="Times New Roman" w:eastAsia="宋体" w:cs="Times New Roman"/>
                      <w:color w:val="auto"/>
                      <w:sz w:val="21"/>
                      <w:szCs w:val="21"/>
                      <w:highlight w:val="none"/>
                      <w:lang w:val="en-US" w:eastAsia="zh-CN"/>
                    </w:rPr>
                    <w:t>水泥制品生产颗粒物排放标准</w:t>
                  </w:r>
                </w:p>
              </w:tc>
            </w:tr>
            <w:tr w14:paraId="6D99E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1675" w:type="dxa"/>
                  <w:vAlign w:val="center"/>
                </w:tcPr>
                <w:p w14:paraId="390A667C">
                  <w:pPr>
                    <w:ind w:left="0" w:leftChars="0" w:firstLine="0" w:firstLineChars="0"/>
                    <w:jc w:val="center"/>
                    <w:rPr>
                      <w:rFonts w:hint="default" w:ascii="Times New Roman" w:hAnsi="Times New Roman" w:cs="Times New Roman" w:eastAsiaTheme="minorEastAsia"/>
                      <w:color w:val="auto"/>
                      <w:sz w:val="21"/>
                      <w:szCs w:val="21"/>
                      <w:highlight w:val="none"/>
                      <w:vertAlign w:val="baseline"/>
                      <w:lang w:val="en-US" w:eastAsia="zh-CN"/>
                    </w:rPr>
                  </w:pPr>
                  <w:r>
                    <w:rPr>
                      <w:rFonts w:hint="default" w:ascii="Times New Roman" w:hAnsi="Times New Roman" w:cs="Times New Roman" w:eastAsiaTheme="minorEastAsia"/>
                      <w:color w:val="auto"/>
                      <w:sz w:val="21"/>
                      <w:szCs w:val="21"/>
                      <w:highlight w:val="none"/>
                      <w:vertAlign w:val="baseline"/>
                      <w:lang w:val="en-US" w:eastAsia="zh-CN"/>
                    </w:rPr>
                    <w:t>噪声</w:t>
                  </w:r>
                </w:p>
              </w:tc>
              <w:tc>
                <w:tcPr>
                  <w:tcW w:w="6703" w:type="dxa"/>
                  <w:gridSpan w:val="4"/>
                  <w:vAlign w:val="center"/>
                </w:tcPr>
                <w:p w14:paraId="7AE56C01">
                  <w:pPr>
                    <w:ind w:left="0" w:leftChars="0" w:firstLine="0" w:firstLineChars="0"/>
                    <w:jc w:val="center"/>
                    <w:rPr>
                      <w:rFonts w:hint="default" w:ascii="Times New Roman" w:hAnsi="Times New Roman" w:cs="Times New Roman" w:eastAsiaTheme="minorEastAsia"/>
                      <w:color w:val="auto"/>
                      <w:sz w:val="21"/>
                      <w:szCs w:val="21"/>
                      <w:highlight w:val="none"/>
                      <w:vertAlign w:val="baseline"/>
                    </w:rPr>
                  </w:pPr>
                  <w:r>
                    <w:rPr>
                      <w:rFonts w:hint="default" w:ascii="Times New Roman" w:hAnsi="Times New Roman" w:cs="Times New Roman" w:eastAsiaTheme="minorEastAsia"/>
                      <w:color w:val="auto"/>
                      <w:sz w:val="21"/>
                      <w:szCs w:val="21"/>
                      <w:highlight w:val="none"/>
                      <w:vertAlign w:val="baseline"/>
                    </w:rPr>
                    <w:t>项目噪声监测计划与工业广场例行监测合并，执行《工业企业厂界环境噪声排放标准》</w:t>
                  </w:r>
                  <w:r>
                    <w:rPr>
                      <w:rFonts w:hint="eastAsia" w:cs="Times New Roman" w:eastAsiaTheme="minorEastAsia"/>
                      <w:color w:val="auto"/>
                      <w:sz w:val="21"/>
                      <w:szCs w:val="21"/>
                      <w:highlight w:val="none"/>
                      <w:vertAlign w:val="baseline"/>
                      <w:lang w:eastAsia="zh-CN"/>
                    </w:rPr>
                    <w:t>（</w:t>
                  </w:r>
                  <w:r>
                    <w:rPr>
                      <w:rFonts w:hint="default" w:ascii="Times New Roman" w:hAnsi="Times New Roman" w:cs="Times New Roman" w:eastAsiaTheme="minorEastAsia"/>
                      <w:color w:val="auto"/>
                      <w:sz w:val="21"/>
                      <w:szCs w:val="21"/>
                      <w:highlight w:val="none"/>
                      <w:vertAlign w:val="baseline"/>
                    </w:rPr>
                    <w:t>GB12348-2008</w:t>
                  </w:r>
                  <w:r>
                    <w:rPr>
                      <w:rFonts w:hint="eastAsia" w:cs="Times New Roman" w:eastAsiaTheme="minorEastAsia"/>
                      <w:color w:val="auto"/>
                      <w:sz w:val="21"/>
                      <w:szCs w:val="21"/>
                      <w:highlight w:val="none"/>
                      <w:vertAlign w:val="baseline"/>
                      <w:lang w:eastAsia="zh-CN"/>
                    </w:rPr>
                    <w:t>）</w:t>
                  </w:r>
                  <w:r>
                    <w:rPr>
                      <w:rFonts w:hint="default" w:ascii="Times New Roman" w:hAnsi="Times New Roman" w:cs="Times New Roman" w:eastAsiaTheme="minorEastAsia"/>
                      <w:color w:val="auto"/>
                      <w:sz w:val="21"/>
                      <w:szCs w:val="21"/>
                      <w:highlight w:val="none"/>
                      <w:vertAlign w:val="baseline"/>
                    </w:rPr>
                    <w:t>中3类区标准限值</w:t>
                  </w:r>
                </w:p>
              </w:tc>
            </w:tr>
          </w:tbl>
          <w:p w14:paraId="7F2488B2">
            <w:pPr>
              <w:pStyle w:val="20"/>
              <w:spacing w:line="360" w:lineRule="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搅拌站</w:t>
            </w:r>
            <w:r>
              <w:rPr>
                <w:rFonts w:hint="default" w:ascii="Times New Roman" w:hAnsi="Times New Roman" w:eastAsia="宋体" w:cs="Times New Roman"/>
                <w:color w:val="auto"/>
                <w:sz w:val="24"/>
                <w:szCs w:val="24"/>
                <w:highlight w:val="none"/>
              </w:rPr>
              <w:t>目前暂无全年监测数据，仅有</w:t>
            </w:r>
            <w:r>
              <w:rPr>
                <w:rFonts w:hint="default" w:ascii="Times New Roman" w:hAnsi="Times New Roman" w:eastAsia="宋体" w:cs="Times New Roman"/>
                <w:color w:val="auto"/>
                <w:sz w:val="24"/>
                <w:szCs w:val="24"/>
                <w:highlight w:val="none"/>
                <w:lang w:val="en-US" w:eastAsia="zh-CN"/>
              </w:rPr>
              <w:t>2026年</w:t>
            </w:r>
            <w:r>
              <w:rPr>
                <w:rFonts w:hint="default" w:ascii="Times New Roman" w:hAnsi="Times New Roman" w:eastAsia="宋体" w:cs="Times New Roman"/>
                <w:color w:val="auto"/>
                <w:sz w:val="24"/>
                <w:szCs w:val="24"/>
                <w:highlight w:val="none"/>
              </w:rPr>
              <w:t>一季度监测数据。</w:t>
            </w:r>
            <w:r>
              <w:rPr>
                <w:rFonts w:hint="default" w:ascii="Times New Roman" w:hAnsi="Times New Roman" w:eastAsia="宋体" w:cs="Times New Roman"/>
                <w:color w:val="auto"/>
                <w:sz w:val="24"/>
                <w:szCs w:val="24"/>
                <w:highlight w:val="none"/>
                <w:lang w:val="en-US" w:eastAsia="zh-CN"/>
              </w:rPr>
              <w:t>无固定污染源排放，</w:t>
            </w:r>
            <w:r>
              <w:rPr>
                <w:rFonts w:hint="default" w:ascii="Times New Roman" w:hAnsi="Times New Roman" w:eastAsia="宋体" w:cs="Times New Roman"/>
                <w:color w:val="auto"/>
                <w:sz w:val="24"/>
                <w:szCs w:val="24"/>
                <w:highlight w:val="none"/>
              </w:rPr>
              <w:t>一季度各项监测指标均稳定达标、无</w:t>
            </w:r>
            <w:r>
              <w:rPr>
                <w:rFonts w:hint="default" w:ascii="Times New Roman" w:hAnsi="Times New Roman" w:eastAsia="宋体" w:cs="Times New Roman"/>
                <w:color w:val="auto"/>
                <w:sz w:val="24"/>
                <w:szCs w:val="24"/>
                <w:highlight w:val="none"/>
                <w:lang w:val="en-US" w:eastAsia="zh-CN"/>
              </w:rPr>
              <w:t>超标现象</w:t>
            </w:r>
          </w:p>
          <w:p w14:paraId="1C6447B7">
            <w:pP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cs="Times New Roman" w:eastAsiaTheme="minorEastAsia"/>
                <w:color w:val="auto"/>
                <w:sz w:val="24"/>
                <w:szCs w:val="24"/>
                <w:highlight w:val="none"/>
              </w:rPr>
              <w:t>现有工程厂界无组织TSP差值0.136mg/m³，满足</w:t>
            </w:r>
            <w:r>
              <w:rPr>
                <w:rFonts w:hint="default" w:ascii="Times New Roman" w:hAnsi="Times New Roman" w:eastAsia="宋体" w:cs="Times New Roman"/>
                <w:color w:val="auto"/>
                <w:sz w:val="24"/>
                <w:szCs w:val="24"/>
                <w:highlight w:val="none"/>
                <w:lang w:val="en-US" w:eastAsia="zh-CN"/>
              </w:rPr>
              <w:t>《水泥工业大气污染物排放标准》（GB4915-2013）</w:t>
            </w:r>
            <w:r>
              <w:rPr>
                <w:rFonts w:hint="eastAsia" w:cs="Times New Roman"/>
                <w:b w:val="0"/>
                <w:bCs w:val="0"/>
                <w:color w:val="auto"/>
                <w:kern w:val="0"/>
                <w:sz w:val="24"/>
                <w:szCs w:val="24"/>
                <w:highlight w:val="none"/>
                <w:lang w:eastAsia="zh-CN"/>
              </w:rPr>
              <w:t>（</w:t>
            </w:r>
            <w:r>
              <w:rPr>
                <w:rFonts w:hint="default" w:ascii="Times New Roman" w:hAnsi="Times New Roman" w:eastAsia="宋体" w:cs="Times New Roman"/>
                <w:color w:val="auto"/>
                <w:sz w:val="24"/>
                <w:szCs w:val="24"/>
                <w:highlight w:val="none"/>
              </w:rPr>
              <w:t>含</w:t>
            </w:r>
            <w:r>
              <w:rPr>
                <w:rFonts w:hint="eastAsia" w:cs="Times New Roman"/>
                <w:color w:val="auto"/>
                <w:sz w:val="24"/>
                <w:szCs w:val="24"/>
                <w:highlight w:val="none"/>
                <w:lang w:val="en-US" w:eastAsia="zh-CN"/>
              </w:rPr>
              <w:t>2025年修改单</w:t>
            </w:r>
            <w:r>
              <w:rPr>
                <w:rFonts w:hint="eastAsia" w:cs="Times New Roman"/>
                <w:b w:val="0"/>
                <w:bCs w:val="0"/>
                <w:color w:val="auto"/>
                <w:kern w:val="0"/>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表3无组织排放浓度限值</w:t>
            </w:r>
            <w:r>
              <w:rPr>
                <w:rFonts w:hint="eastAsia" w:cs="Times New Roman"/>
                <w:color w:val="auto"/>
                <w:sz w:val="24"/>
                <w:szCs w:val="24"/>
                <w:highlight w:val="none"/>
                <w:lang w:val="en-US" w:eastAsia="zh-CN"/>
              </w:rPr>
              <w:t>要求</w:t>
            </w:r>
            <w:r>
              <w:rPr>
                <w:rFonts w:hint="default" w:ascii="Times New Roman" w:hAnsi="Times New Roman" w:cs="Times New Roman" w:eastAsiaTheme="minorEastAsia"/>
                <w:color w:val="auto"/>
                <w:sz w:val="24"/>
                <w:szCs w:val="24"/>
                <w:highlight w:val="none"/>
              </w:rPr>
              <w:t>；搅拌有组织颗粒物经除尘后</w:t>
            </w:r>
            <w:r>
              <w:rPr>
                <w:rFonts w:hint="default" w:ascii="Times New Roman" w:hAnsi="Times New Roman" w:cs="Times New Roman" w:eastAsiaTheme="minorEastAsia"/>
                <w:color w:val="auto"/>
                <w:sz w:val="24"/>
                <w:szCs w:val="24"/>
                <w:highlight w:val="none"/>
                <w:lang w:val="en-US" w:eastAsia="zh-CN"/>
              </w:rPr>
              <w:t>第一季度</w:t>
            </w:r>
            <w:r>
              <w:rPr>
                <w:rFonts w:hint="default" w:ascii="Times New Roman" w:hAnsi="Times New Roman" w:cs="Times New Roman" w:eastAsiaTheme="minorEastAsia"/>
                <w:color w:val="auto"/>
                <w:sz w:val="24"/>
                <w:szCs w:val="24"/>
                <w:highlight w:val="none"/>
              </w:rPr>
              <w:t>稳定达标，无超标排放记录；厂区日常洒水、密闭储运，扬尘管控效果稳定。</w:t>
            </w:r>
          </w:p>
          <w:p w14:paraId="54335166">
            <w:pPr>
              <w:pStyle w:val="2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（2）噪声昼间</w:t>
            </w:r>
            <w:r>
              <w:rPr>
                <w:rFonts w:hint="default" w:ascii="Times New Roman" w:hAnsi="Times New Roman" w:cs="Times New Roman"/>
                <w:color w:val="auto"/>
                <w:sz w:val="24"/>
                <w:szCs w:val="24"/>
                <w:highlight w:val="none"/>
                <w:lang w:val="en-US" w:eastAsia="zh-CN"/>
              </w:rPr>
              <w:t>区间</w:t>
            </w:r>
            <w:r>
              <w:rPr>
                <w:rFonts w:hint="default" w:ascii="Times New Roman" w:hAnsi="Times New Roman" w:eastAsia="宋体" w:cs="Times New Roman"/>
                <w:color w:val="auto"/>
                <w:sz w:val="24"/>
                <w:szCs w:val="24"/>
                <w:highlight w:val="none"/>
                <w:lang w:val="en-US" w:eastAsia="zh-CN"/>
              </w:rPr>
              <w:t>值为5</w:t>
            </w:r>
            <w:r>
              <w:rPr>
                <w:rFonts w:hint="default" w:ascii="Times New Roman" w:hAnsi="Times New Roman"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0-55.3</w:t>
            </w:r>
            <w:r>
              <w:rPr>
                <w:rFonts w:hint="default" w:ascii="Times New Roman" w:hAnsi="Times New Roman" w:eastAsia="宋体" w:cs="Times New Roman"/>
                <w:color w:val="auto"/>
                <w:sz w:val="24"/>
                <w:szCs w:val="24"/>
                <w:highlight w:val="none"/>
                <w:lang w:val="en-US" w:eastAsia="zh-CN"/>
              </w:rPr>
              <w:t>，夜间</w:t>
            </w:r>
            <w:r>
              <w:rPr>
                <w:rFonts w:hint="default" w:ascii="Times New Roman" w:hAnsi="Times New Roman" w:cs="Times New Roman"/>
                <w:color w:val="auto"/>
                <w:sz w:val="24"/>
                <w:szCs w:val="24"/>
                <w:highlight w:val="none"/>
                <w:lang w:val="en-US" w:eastAsia="zh-CN"/>
              </w:rPr>
              <w:t>区间</w:t>
            </w:r>
            <w:r>
              <w:rPr>
                <w:rFonts w:hint="default" w:ascii="Times New Roman" w:hAnsi="Times New Roman" w:eastAsia="宋体" w:cs="Times New Roman"/>
                <w:color w:val="auto"/>
                <w:sz w:val="24"/>
                <w:szCs w:val="24"/>
                <w:highlight w:val="none"/>
                <w:lang w:val="en-US" w:eastAsia="zh-CN"/>
              </w:rPr>
              <w:t>值为</w:t>
            </w:r>
            <w:r>
              <w:rPr>
                <w:rFonts w:hint="default" w:ascii="Times New Roman" w:hAnsi="Times New Roman" w:cs="Times New Roman"/>
                <w:color w:val="auto"/>
                <w:sz w:val="24"/>
                <w:szCs w:val="24"/>
                <w:highlight w:val="none"/>
                <w:lang w:val="en-US" w:eastAsia="zh-CN"/>
              </w:rPr>
              <w:t>43.0-</w:t>
            </w:r>
            <w:r>
              <w:rPr>
                <w:rFonts w:hint="default" w:ascii="Times New Roman" w:hAnsi="Times New Roman" w:eastAsia="宋体" w:cs="Times New Roman"/>
                <w:color w:val="auto"/>
                <w:sz w:val="24"/>
                <w:szCs w:val="24"/>
                <w:highlight w:val="none"/>
                <w:lang w:val="en-US" w:eastAsia="zh-CN"/>
              </w:rPr>
              <w:t>47.7</w:t>
            </w:r>
            <w:r>
              <w:rPr>
                <w:rFonts w:hint="eastAsia" w:ascii="Times New Roman" w:hAnsi="Times New Roman" w:cs="Times New Roman"/>
                <w:color w:val="auto"/>
                <w:sz w:val="24"/>
                <w:szCs w:val="24"/>
                <w:highlight w:val="none"/>
                <w:lang w:val="en-US" w:eastAsia="zh-CN"/>
              </w:rPr>
              <w:t>，满足</w:t>
            </w:r>
            <w:r>
              <w:rPr>
                <w:rFonts w:hint="default" w:ascii="Times New Roman" w:hAnsi="Times New Roman" w:eastAsia="宋体" w:cs="Times New Roman"/>
                <w:b w:val="0"/>
                <w:bCs w:val="0"/>
                <w:color w:val="auto"/>
                <w:sz w:val="24"/>
                <w:szCs w:val="24"/>
                <w:highlight w:val="none"/>
                <w:lang w:val="en-US" w:eastAsia="zh-CN"/>
              </w:rPr>
              <w:t>《声环境质量标准》（</w:t>
            </w:r>
            <w:r>
              <w:rPr>
                <w:rFonts w:hint="default" w:ascii="Times New Roman" w:hAnsi="Times New Roman" w:cs="Times New Roman"/>
                <w:b w:val="0"/>
                <w:bCs w:val="0"/>
                <w:color w:val="auto"/>
                <w:sz w:val="24"/>
                <w:szCs w:val="24"/>
                <w:highlight w:val="none"/>
                <w:lang w:val="en-US" w:eastAsia="zh-CN"/>
              </w:rPr>
              <w:t>GB</w:t>
            </w:r>
            <w:r>
              <w:rPr>
                <w:rFonts w:hint="default" w:ascii="Times New Roman" w:hAnsi="Times New Roman" w:eastAsia="宋体" w:cs="Times New Roman"/>
                <w:b w:val="0"/>
                <w:bCs w:val="0"/>
                <w:color w:val="auto"/>
                <w:sz w:val="24"/>
                <w:szCs w:val="24"/>
                <w:highlight w:val="none"/>
                <w:lang w:val="en-US" w:eastAsia="zh-CN"/>
              </w:rPr>
              <w:t>3096-2008）中3类标准</w:t>
            </w:r>
            <w:r>
              <w:rPr>
                <w:rFonts w:hint="eastAsia" w:ascii="Times New Roman" w:hAnsi="Times New Roman" w:cs="Times New Roman"/>
                <w:b w:val="0"/>
                <w:bCs w:val="0"/>
                <w:color w:val="auto"/>
                <w:sz w:val="24"/>
                <w:szCs w:val="24"/>
                <w:highlight w:val="none"/>
                <w:lang w:val="en-US" w:eastAsia="zh-CN"/>
              </w:rPr>
              <w:t>限值。</w:t>
            </w:r>
          </w:p>
          <w:p w14:paraId="79839C5F">
            <w:pPr>
              <w:pStyle w:val="2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vertAlign w:val="baseline"/>
                <w:lang w:val="en-US" w:eastAsia="zh-CN"/>
              </w:rPr>
              <w:t>搅拌罐清洗废水：清洗废水不出搅拌罐，全部回用至下次生产用水（混凝土搅拌）</w:t>
            </w:r>
          </w:p>
          <w:p w14:paraId="7BAD8BE7">
            <w:pPr>
              <w:pStyle w:val="2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布袋除尘器收集的除尘灰全部密闭转运回用于混凝土拌合工序，100</w:t>
            </w:r>
            <w:r>
              <w:rPr>
                <w:rFonts w:hint="eastAsia" w:ascii="Times New Roman" w:hAnsi="Times New Roman" w:cs="Times New Roman"/>
                <w:color w:val="auto"/>
                <w:sz w:val="24"/>
                <w:szCs w:val="24"/>
                <w:highlight w:val="none"/>
                <w:lang w:eastAsia="zh-CN"/>
              </w:rPr>
              <w:t>%资源化</w:t>
            </w:r>
            <w:r>
              <w:rPr>
                <w:rFonts w:hint="default" w:ascii="Times New Roman" w:hAnsi="Times New Roman" w:eastAsia="宋体" w:cs="Times New Roman"/>
                <w:color w:val="auto"/>
                <w:sz w:val="24"/>
                <w:szCs w:val="24"/>
                <w:highlight w:val="none"/>
              </w:rPr>
              <w:t>回用，不对外处置、不</w:t>
            </w:r>
            <w:r>
              <w:rPr>
                <w:rFonts w:hint="eastAsia" w:ascii="Times New Roman" w:hAnsi="Times New Roman" w:cs="Times New Roman"/>
                <w:color w:val="auto"/>
                <w:sz w:val="24"/>
                <w:szCs w:val="24"/>
                <w:highlight w:val="none"/>
                <w:lang w:eastAsia="zh-CN"/>
              </w:rPr>
              <w:t>外排。</w:t>
            </w:r>
          </w:p>
          <w:p w14:paraId="78279610">
            <w:pPr>
              <w:pStyle w:val="20"/>
              <w:spacing w:line="360" w:lineRule="auto"/>
              <w:rPr>
                <w:rFonts w:ascii="宋体" w:hAnsi="宋体" w:eastAsia="宋体" w:cs="宋体"/>
                <w:sz w:val="24"/>
                <w:szCs w:val="24"/>
              </w:rPr>
            </w:pPr>
            <w:r>
              <w:rPr>
                <w:rFonts w:hint="eastAsia" w:ascii="Times New Roman" w:hAnsi="Times New Roman" w:cs="Times New Roman"/>
                <w:color w:val="auto"/>
                <w:sz w:val="24"/>
                <w:szCs w:val="24"/>
                <w:highlight w:val="none"/>
                <w:lang w:val="en-US" w:eastAsia="zh-CN"/>
              </w:rPr>
              <w:t>3.</w:t>
            </w:r>
            <w:r>
              <w:rPr>
                <w:rFonts w:ascii="宋体" w:hAnsi="宋体" w:eastAsia="宋体" w:cs="宋体"/>
                <w:sz w:val="24"/>
                <w:szCs w:val="24"/>
              </w:rPr>
              <w:t>现有工程污染防治措施</w:t>
            </w:r>
          </w:p>
          <w:p w14:paraId="47A843C0">
            <w:pPr>
              <w:numPr>
                <w:ilvl w:val="0"/>
                <w:numId w:val="5"/>
              </w:num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有组织</w:t>
            </w:r>
            <w:r>
              <w:rPr>
                <w:rFonts w:hint="eastAsia" w:asciiTheme="minorEastAsia" w:hAnsiTheme="minorEastAsia" w:eastAsiaTheme="minorEastAsia" w:cstheme="minorEastAsia"/>
                <w:color w:val="auto"/>
                <w:sz w:val="24"/>
                <w:szCs w:val="24"/>
              </w:rPr>
              <w:t>废气：水泥筒仓、搅拌主机分别配套布袋除尘器，收集处理进料及搅拌工序有组织颗粒物；</w:t>
            </w:r>
          </w:p>
          <w:p w14:paraId="7FB629D1">
            <w:pPr>
              <w:numPr>
                <w:ilvl w:val="0"/>
                <w:numId w:val="5"/>
              </w:num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无组织废气:</w:t>
            </w:r>
            <w:r>
              <w:rPr>
                <w:rFonts w:hint="eastAsia" w:asciiTheme="minorEastAsia" w:hAnsiTheme="minorEastAsia" w:eastAsiaTheme="minorEastAsia" w:cstheme="minorEastAsia"/>
                <w:color w:val="auto"/>
                <w:sz w:val="24"/>
                <w:szCs w:val="24"/>
              </w:rPr>
              <w:t>砂石骨料采用全封闭棚储存，砂石料场定期洒水抑尘，控制堆存、装卸无组织粉尘；物料输送采用</w:t>
            </w:r>
            <w:r>
              <w:rPr>
                <w:rFonts w:hint="eastAsia" w:asciiTheme="minorEastAsia" w:hAnsiTheme="minorEastAsia" w:eastAsiaTheme="minorEastAsia" w:cstheme="minorEastAsia"/>
                <w:color w:val="auto"/>
                <w:sz w:val="24"/>
                <w:szCs w:val="24"/>
                <w:lang w:val="en-US" w:eastAsia="zh-CN"/>
              </w:rPr>
              <w:t>全</w:t>
            </w:r>
            <w:r>
              <w:rPr>
                <w:rFonts w:hint="eastAsia" w:asciiTheme="minorEastAsia" w:hAnsiTheme="minorEastAsia" w:eastAsiaTheme="minorEastAsia" w:cstheme="minorEastAsia"/>
                <w:color w:val="auto"/>
                <w:sz w:val="24"/>
                <w:szCs w:val="24"/>
              </w:rPr>
              <w:t>密闭廊道，厂区地面定期洒水清扫，管控道路及转运无组织扬尘</w:t>
            </w:r>
          </w:p>
          <w:p w14:paraId="76A50E9C">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废水：搅拌罐清洗废水全部留存于罐体内部，直接回用于下一批次混凝土搅拌工序，生产废水全部循环利用，不外排；罐车清洗废水在矿井下混凝土浇筑地点进行，清洗废水与混凝土共同进入浇筑点，不外排；项目劳动定员由矿内现有职工调配，不新增生活污水。</w:t>
            </w:r>
          </w:p>
          <w:p w14:paraId="5614B188">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）噪声：优先选用低噪声生产设备，搅拌主机、风机等高噪设备配套基础减振装置；生产厂房采用封闭结构隔声降噪，结合厂区空间距离衰减，控制厂界噪声排放。</w:t>
            </w:r>
          </w:p>
          <w:p w14:paraId="49BA72F6">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）固体废物：布袋除尘器收集的除尘灰全部密闭回收，100%回用于混凝土拌合生产；生产产生的不合格混凝土全部返回搅拌工序回用，不外排；不新增职工生活垃圾，依托矿区现有环卫系统统一清运处置。</w:t>
            </w:r>
          </w:p>
          <w:p w14:paraId="2090ADDD">
            <w:pPr>
              <w:pStyle w:val="20"/>
              <w:spacing w:line="360" w:lineRule="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与项目有关的原有环境污染问题</w:t>
            </w:r>
          </w:p>
          <w:p w14:paraId="22623639">
            <w:pPr>
              <w:pStyle w:val="20"/>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本项目仅有2026年一季度自行监测报告，其他时期均未进行自行监测，无法判定项目运行期间污染物是否可以达标排放。</w:t>
            </w:r>
          </w:p>
          <w:p w14:paraId="32C45813">
            <w:pPr>
              <w:pStyle w:val="20"/>
              <w:spacing w:line="360" w:lineRule="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b w:val="0"/>
                <w:bCs w:val="0"/>
                <w:color w:val="auto"/>
                <w:sz w:val="24"/>
                <w:szCs w:val="24"/>
                <w:highlight w:val="none"/>
                <w:lang w:val="en-US" w:eastAsia="zh-CN"/>
              </w:rPr>
              <w:t>整改方案</w:t>
            </w:r>
          </w:p>
          <w:p w14:paraId="18487AA7">
            <w:pPr>
              <w:pStyle w:val="20"/>
              <w:spacing w:line="360" w:lineRule="auto"/>
              <w:rPr>
                <w:rFonts w:hint="eastAsia" w:ascii="宋体" w:hAnsi="宋体" w:eastAsia="宋体" w:cs="宋体"/>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本项目生产运行后</w:t>
            </w:r>
            <w:r>
              <w:rPr>
                <w:rFonts w:hint="eastAsia" w:ascii="Times New Roman" w:hAnsi="Times New Roman" w:cs="Times New Roman"/>
                <w:color w:val="auto"/>
                <w:sz w:val="24"/>
                <w:szCs w:val="24"/>
                <w:highlight w:val="none"/>
                <w:lang w:val="en-US" w:eastAsia="zh-CN"/>
              </w:rPr>
              <w:t>由</w:t>
            </w:r>
            <w:r>
              <w:rPr>
                <w:rFonts w:hint="default" w:ascii="Times New Roman" w:hAnsi="Times New Roman" w:cs="Times New Roman"/>
                <w:color w:val="auto"/>
                <w:sz w:val="24"/>
                <w:szCs w:val="24"/>
                <w:highlight w:val="none"/>
                <w:lang w:val="en-US" w:eastAsia="zh-CN"/>
              </w:rPr>
              <w:t>建设单位制定自行监测方案，严格按照方案要求定期进行自行监测。</w:t>
            </w:r>
          </w:p>
        </w:tc>
      </w:tr>
    </w:tbl>
    <w:p w14:paraId="14D77E2E">
      <w:pPr>
        <w:pStyle w:val="12"/>
        <w:jc w:val="center"/>
        <w:rPr>
          <w:rFonts w:ascii="黑体" w:hAnsi="黑体" w:eastAsia="黑体"/>
          <w:snapToGrid w:val="0"/>
          <w:color w:val="auto"/>
          <w:sz w:val="36"/>
          <w:szCs w:val="36"/>
          <w:highlight w:val="none"/>
        </w:rPr>
        <w:sectPr>
          <w:pgSz w:w="11906" w:h="16838"/>
          <w:pgMar w:top="1701" w:right="1531" w:bottom="1701" w:left="1531" w:header="851" w:footer="851" w:gutter="0"/>
          <w:pgNumType w:fmt="decimal"/>
          <w:cols w:space="720" w:num="1"/>
          <w:docGrid w:linePitch="312" w:charSpace="0"/>
        </w:sectPr>
      </w:pPr>
    </w:p>
    <w:p w14:paraId="137A1858">
      <w:pPr>
        <w:pStyle w:val="12"/>
        <w:jc w:val="center"/>
        <w:outlineLvl w:val="0"/>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三、区域环境质量现状、环境保护目标及评价标准</w:t>
      </w:r>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5"/>
        <w:gridCol w:w="8265"/>
      </w:tblGrid>
      <w:tr w14:paraId="2A73D0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906" w:hRule="atLeast"/>
          <w:jc w:val="center"/>
        </w:trPr>
        <w:tc>
          <w:tcPr>
            <w:tcW w:w="725" w:type="dxa"/>
            <w:noWrap w:val="0"/>
            <w:vAlign w:val="center"/>
          </w:tcPr>
          <w:p w14:paraId="769CF9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r>
              <w:rPr>
                <w:rFonts w:hint="eastAsia"/>
                <w:color w:val="auto"/>
                <w:highlight w:val="none"/>
              </w:rPr>
              <w:t>区域环境质量现状</w:t>
            </w:r>
          </w:p>
        </w:tc>
        <w:tc>
          <w:tcPr>
            <w:tcW w:w="8265" w:type="dxa"/>
            <w:noWrap w:val="0"/>
            <w:vAlign w:val="center"/>
          </w:tcPr>
          <w:p w14:paraId="170CA348">
            <w:pPr>
              <w:spacing w:line="360" w:lineRule="auto"/>
              <w:ind w:left="0" w:leftChars="0" w:firstLine="0" w:firstLineChars="0"/>
              <w:rPr>
                <w:rFonts w:hint="eastAsia"/>
                <w:b/>
                <w:bCs/>
                <w:color w:val="auto"/>
                <w:sz w:val="24"/>
                <w:highlight w:val="none"/>
              </w:rPr>
            </w:pPr>
            <w:r>
              <w:rPr>
                <w:rFonts w:hint="eastAsia"/>
                <w:b/>
                <w:bCs/>
                <w:color w:val="auto"/>
                <w:sz w:val="24"/>
                <w:highlight w:val="none"/>
              </w:rPr>
              <w:t>1</w:t>
            </w:r>
            <w:r>
              <w:rPr>
                <w:rFonts w:hint="eastAsia"/>
                <w:b/>
                <w:bCs/>
                <w:color w:val="auto"/>
                <w:sz w:val="24"/>
                <w:highlight w:val="none"/>
                <w:lang w:eastAsia="zh-CN"/>
              </w:rPr>
              <w:t xml:space="preserve">. </w:t>
            </w:r>
            <w:r>
              <w:rPr>
                <w:rFonts w:hint="eastAsia"/>
                <w:b/>
                <w:bCs/>
                <w:color w:val="auto"/>
                <w:sz w:val="24"/>
                <w:highlight w:val="none"/>
              </w:rPr>
              <w:t>大气环境</w:t>
            </w:r>
          </w:p>
          <w:p w14:paraId="15D978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基本污染物</w:t>
            </w:r>
          </w:p>
          <w:p w14:paraId="3158F0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根据内蒙古自治区生态环境厅202</w:t>
            </w:r>
            <w:r>
              <w:rPr>
                <w:rFonts w:hint="default"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年</w:t>
            </w:r>
            <w:r>
              <w:rPr>
                <w:rFonts w:hint="default"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月发布的《202</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年内蒙古自治区生态环境状况公</w:t>
            </w:r>
            <w:r>
              <w:rPr>
                <w:rFonts w:hint="default" w:ascii="Times New Roman" w:hAnsi="Times New Roman" w:cs="Times New Roman"/>
                <w:color w:val="auto"/>
                <w:sz w:val="24"/>
                <w:szCs w:val="24"/>
                <w:highlight w:val="none"/>
                <w:lang w:val="en-US" w:eastAsia="zh-CN"/>
              </w:rPr>
              <w:t>报</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eastAsia="zh-CN"/>
              </w:rPr>
              <w:t>，202</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lang w:eastAsia="zh-CN"/>
              </w:rPr>
              <w:t>年全区城市环境空气各项污染物年均浓度均达标。</w:t>
            </w:r>
          </w:p>
          <w:p w14:paraId="366B06DA">
            <w:pPr>
              <w:keepNext w:val="0"/>
              <w:keepLines w:val="0"/>
              <w:pageBreakBefore w:val="0"/>
              <w:widowControl w:val="0"/>
              <w:tabs>
                <w:tab w:val="left" w:pos="1809"/>
              </w:tabs>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auto"/>
                <w:sz w:val="24"/>
                <w:szCs w:val="24"/>
                <w:highlight w:val="none"/>
                <w:lang w:val="zh-CN"/>
              </w:rPr>
            </w:pPr>
            <w:r>
              <w:rPr>
                <w:rFonts w:hint="default" w:ascii="Times New Roman" w:hAnsi="Times New Roman" w:cs="Times New Roman"/>
                <w:color w:val="auto"/>
                <w:sz w:val="24"/>
                <w:szCs w:val="24"/>
                <w:highlight w:val="none"/>
                <w:lang w:val="en-US" w:eastAsia="zh-CN"/>
              </w:rPr>
              <w:t>本项目位于鄂尔多斯市东胜区万利镇，本项目区域</w:t>
            </w:r>
            <w:r>
              <w:rPr>
                <w:rFonts w:hint="default" w:ascii="Times New Roman" w:hAnsi="Times New Roman" w:cs="Times New Roman"/>
                <w:color w:val="auto"/>
                <w:sz w:val="24"/>
                <w:szCs w:val="24"/>
                <w:highlight w:val="none"/>
                <w:lang w:val="zh-CN"/>
              </w:rPr>
              <w:t>各污染物年平均浓度均低于</w:t>
            </w:r>
            <w:r>
              <w:rPr>
                <w:rFonts w:hint="default" w:ascii="Times New Roman" w:hAnsi="Times New Roman" w:eastAsia="宋体" w:cs="Times New Roman"/>
                <w:color w:val="auto"/>
                <w:sz w:val="24"/>
                <w:szCs w:val="24"/>
                <w:highlight w:val="none"/>
              </w:rPr>
              <w:t>《环境空气质量标准》（</w:t>
            </w:r>
            <w:r>
              <w:rPr>
                <w:rFonts w:hint="eastAsia" w:ascii="Times New Roman" w:hAnsi="Times New Roman" w:cs="Times New Roman"/>
                <w:color w:val="auto"/>
                <w:sz w:val="24"/>
                <w:szCs w:val="24"/>
                <w:highlight w:val="none"/>
                <w:lang w:val="en-US" w:eastAsia="zh-CN"/>
              </w:rPr>
              <w:t>GB</w:t>
            </w:r>
            <w:r>
              <w:rPr>
                <w:rFonts w:hint="default" w:ascii="Times New Roman" w:hAnsi="Times New Roman" w:eastAsia="宋体" w:cs="Times New Roman"/>
                <w:color w:val="auto"/>
                <w:sz w:val="24"/>
                <w:szCs w:val="24"/>
                <w:highlight w:val="none"/>
              </w:rPr>
              <w:t>3095-2026）</w:t>
            </w:r>
            <w:r>
              <w:rPr>
                <w:rFonts w:hint="default" w:ascii="Times New Roman" w:hAnsi="Times New Roman" w:cs="Times New Roman"/>
                <w:color w:val="auto"/>
                <w:sz w:val="24"/>
                <w:szCs w:val="24"/>
                <w:highlight w:val="none"/>
                <w:lang w:val="en-US" w:eastAsia="zh-CN"/>
              </w:rPr>
              <w:t>过渡阶段二</w:t>
            </w:r>
            <w:r>
              <w:rPr>
                <w:rFonts w:hint="default" w:ascii="Times New Roman" w:hAnsi="Times New Roman" w:cs="Times New Roman"/>
                <w:color w:val="auto"/>
                <w:sz w:val="24"/>
                <w:szCs w:val="24"/>
                <w:highlight w:val="none"/>
                <w:lang w:val="zh-CN"/>
              </w:rPr>
              <w:t>级标准要求，项目所在区域为达标区。</w:t>
            </w:r>
          </w:p>
          <w:p w14:paraId="0B665595">
            <w:pPr>
              <w:pStyle w:val="41"/>
              <w:spacing w:line="360" w:lineRule="auto"/>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eastAsia="zh-CN"/>
              </w:rPr>
              <w:t>）</w:t>
            </w:r>
            <w:r>
              <w:rPr>
                <w:rFonts w:hint="eastAsia" w:cs="Times New Roman"/>
                <w:color w:val="auto"/>
                <w:sz w:val="24"/>
                <w:szCs w:val="24"/>
                <w:highlight w:val="none"/>
                <w:lang w:eastAsia="zh-CN"/>
              </w:rPr>
              <w:t>其他</w:t>
            </w:r>
            <w:r>
              <w:rPr>
                <w:rFonts w:hint="default" w:ascii="Times New Roman" w:hAnsi="Times New Roman" w:cs="Times New Roman"/>
                <w:color w:val="auto"/>
                <w:sz w:val="24"/>
                <w:szCs w:val="24"/>
                <w:highlight w:val="none"/>
                <w:lang w:val="en-US" w:eastAsia="zh-CN"/>
              </w:rPr>
              <w:t>监测因子</w:t>
            </w:r>
          </w:p>
          <w:p w14:paraId="16B5A254">
            <w:pPr>
              <w:keepNext w:val="0"/>
              <w:keepLines w:val="0"/>
              <w:pageBreakBefore w:val="0"/>
              <w:widowControl/>
              <w:kinsoku/>
              <w:wordWrap/>
              <w:overflowPunct/>
              <w:topLinePunct w:val="0"/>
              <w:autoSpaceDE/>
              <w:autoSpaceDN/>
              <w:bidi w:val="0"/>
              <w:adjustRightInd/>
              <w:snapToGrid w:val="0"/>
              <w:spacing w:line="360" w:lineRule="auto"/>
              <w:ind w:left="0" w:right="0" w:firstLine="480" w:firstLineChars="200"/>
              <w:jc w:val="both"/>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根据工程特征确定本项目大气特征因子为</w:t>
            </w:r>
            <w:r>
              <w:rPr>
                <w:rFonts w:hint="default" w:ascii="Times New Roman" w:hAnsi="Times New Roman" w:cs="Times New Roman"/>
                <w:color w:val="auto"/>
                <w:kern w:val="0"/>
                <w:sz w:val="24"/>
                <w:szCs w:val="24"/>
                <w:highlight w:val="none"/>
                <w:lang w:val="en-US" w:eastAsia="zh-CN" w:bidi="ar-SA"/>
              </w:rPr>
              <w:t>总悬浮颗粒物</w:t>
            </w:r>
            <w:r>
              <w:rPr>
                <w:rFonts w:hint="default" w:ascii="Times New Roman" w:hAnsi="Times New Roman" w:eastAsia="宋体" w:cs="Times New Roman"/>
                <w:color w:val="auto"/>
                <w:kern w:val="0"/>
                <w:sz w:val="24"/>
                <w:szCs w:val="24"/>
                <w:highlight w:val="none"/>
                <w:lang w:val="en-US" w:eastAsia="zh-CN" w:bidi="ar-SA"/>
              </w:rPr>
              <w:t>，委托内蒙古</w:t>
            </w:r>
            <w:r>
              <w:rPr>
                <w:rFonts w:hint="default" w:ascii="Times New Roman" w:hAnsi="Times New Roman" w:cs="Times New Roman"/>
                <w:color w:val="auto"/>
                <w:kern w:val="0"/>
                <w:sz w:val="24"/>
                <w:szCs w:val="24"/>
                <w:highlight w:val="none"/>
                <w:lang w:val="en-US" w:eastAsia="zh-CN" w:bidi="ar-SA"/>
              </w:rPr>
              <w:t>意丰环保科技有限公司</w:t>
            </w:r>
            <w:r>
              <w:rPr>
                <w:rFonts w:hint="default" w:ascii="Times New Roman" w:hAnsi="Times New Roman" w:eastAsia="宋体" w:cs="Times New Roman"/>
                <w:color w:val="auto"/>
                <w:kern w:val="0"/>
                <w:sz w:val="24"/>
                <w:szCs w:val="24"/>
                <w:highlight w:val="none"/>
                <w:lang w:val="en-US" w:eastAsia="zh-CN" w:bidi="ar-SA"/>
              </w:rPr>
              <w:t>于202</w:t>
            </w:r>
            <w:r>
              <w:rPr>
                <w:rFonts w:hint="default" w:ascii="Times New Roman" w:hAnsi="Times New Roman" w:cs="Times New Roman"/>
                <w:color w:val="auto"/>
                <w:kern w:val="0"/>
                <w:sz w:val="24"/>
                <w:szCs w:val="24"/>
                <w:highlight w:val="none"/>
                <w:lang w:val="en-US" w:eastAsia="zh-CN" w:bidi="ar-SA"/>
              </w:rPr>
              <w:t>6</w:t>
            </w:r>
            <w:r>
              <w:rPr>
                <w:rFonts w:hint="default" w:ascii="Times New Roman" w:hAnsi="Times New Roman" w:eastAsia="宋体" w:cs="Times New Roman"/>
                <w:color w:val="auto"/>
                <w:kern w:val="0"/>
                <w:sz w:val="24"/>
                <w:szCs w:val="24"/>
                <w:highlight w:val="none"/>
                <w:lang w:val="en-US" w:eastAsia="zh-CN" w:bidi="ar-SA"/>
              </w:rPr>
              <w:t>.</w:t>
            </w:r>
            <w:r>
              <w:rPr>
                <w:rFonts w:hint="default" w:ascii="Times New Roman" w:hAnsi="Times New Roman" w:cs="Times New Roman"/>
                <w:color w:val="auto"/>
                <w:kern w:val="0"/>
                <w:sz w:val="24"/>
                <w:szCs w:val="24"/>
                <w:highlight w:val="none"/>
                <w:lang w:val="en-US" w:eastAsia="zh-CN" w:bidi="ar-SA"/>
              </w:rPr>
              <w:t>04</w:t>
            </w:r>
            <w:r>
              <w:rPr>
                <w:rFonts w:hint="default" w:ascii="Times New Roman" w:hAnsi="Times New Roman" w:eastAsia="宋体" w:cs="Times New Roman"/>
                <w:color w:val="auto"/>
                <w:kern w:val="0"/>
                <w:sz w:val="24"/>
                <w:szCs w:val="24"/>
                <w:highlight w:val="none"/>
                <w:lang w:val="en-US" w:eastAsia="zh-CN" w:bidi="ar-SA"/>
              </w:rPr>
              <w:t>.</w:t>
            </w:r>
            <w:r>
              <w:rPr>
                <w:rFonts w:hint="default" w:ascii="Times New Roman" w:hAnsi="Times New Roman" w:cs="Times New Roman"/>
                <w:color w:val="auto"/>
                <w:kern w:val="0"/>
                <w:sz w:val="24"/>
                <w:szCs w:val="24"/>
                <w:highlight w:val="none"/>
                <w:lang w:val="en-US" w:eastAsia="zh-CN" w:bidi="ar-SA"/>
              </w:rPr>
              <w:t>28</w:t>
            </w:r>
            <w:r>
              <w:rPr>
                <w:rFonts w:hint="default" w:ascii="Times New Roman" w:hAnsi="Times New Roman" w:eastAsia="宋体" w:cs="Times New Roman"/>
                <w:color w:val="auto"/>
                <w:kern w:val="0"/>
                <w:sz w:val="24"/>
                <w:szCs w:val="24"/>
                <w:highlight w:val="none"/>
                <w:lang w:val="en-US" w:eastAsia="zh-CN" w:bidi="ar-SA"/>
              </w:rPr>
              <w:t>-202</w:t>
            </w:r>
            <w:r>
              <w:rPr>
                <w:rFonts w:hint="default" w:ascii="Times New Roman" w:hAnsi="Times New Roman" w:cs="Times New Roman"/>
                <w:color w:val="auto"/>
                <w:kern w:val="0"/>
                <w:sz w:val="24"/>
                <w:szCs w:val="24"/>
                <w:highlight w:val="none"/>
                <w:lang w:val="en-US" w:eastAsia="zh-CN" w:bidi="ar-SA"/>
              </w:rPr>
              <w:t>6</w:t>
            </w:r>
            <w:r>
              <w:rPr>
                <w:rFonts w:hint="default" w:ascii="Times New Roman" w:hAnsi="Times New Roman" w:eastAsia="宋体" w:cs="Times New Roman"/>
                <w:color w:val="auto"/>
                <w:kern w:val="0"/>
                <w:sz w:val="24"/>
                <w:szCs w:val="24"/>
                <w:highlight w:val="none"/>
                <w:lang w:val="en-US" w:eastAsia="zh-CN" w:bidi="ar-SA"/>
              </w:rPr>
              <w:t>.</w:t>
            </w:r>
            <w:r>
              <w:rPr>
                <w:rFonts w:hint="default" w:ascii="Times New Roman" w:hAnsi="Times New Roman" w:cs="Times New Roman"/>
                <w:color w:val="auto"/>
                <w:kern w:val="0"/>
                <w:sz w:val="24"/>
                <w:szCs w:val="24"/>
                <w:highlight w:val="none"/>
                <w:lang w:val="en-US" w:eastAsia="zh-CN" w:bidi="ar-SA"/>
              </w:rPr>
              <w:t>05</w:t>
            </w:r>
            <w:r>
              <w:rPr>
                <w:rFonts w:hint="default" w:ascii="Times New Roman" w:hAnsi="Times New Roman" w:eastAsia="宋体" w:cs="Times New Roman"/>
                <w:color w:val="auto"/>
                <w:kern w:val="0"/>
                <w:sz w:val="24"/>
                <w:szCs w:val="24"/>
                <w:highlight w:val="none"/>
                <w:lang w:val="en-US" w:eastAsia="zh-CN" w:bidi="ar-SA"/>
              </w:rPr>
              <w:t>.</w:t>
            </w:r>
            <w:r>
              <w:rPr>
                <w:rFonts w:hint="default" w:ascii="Times New Roman" w:hAnsi="Times New Roman" w:cs="Times New Roman"/>
                <w:color w:val="auto"/>
                <w:kern w:val="0"/>
                <w:sz w:val="24"/>
                <w:szCs w:val="24"/>
                <w:highlight w:val="none"/>
                <w:lang w:val="en-US" w:eastAsia="zh-CN" w:bidi="ar-SA"/>
              </w:rPr>
              <w:t>01</w:t>
            </w:r>
            <w:r>
              <w:rPr>
                <w:rFonts w:hint="default" w:ascii="Times New Roman" w:hAnsi="Times New Roman" w:eastAsia="宋体" w:cs="Times New Roman"/>
                <w:color w:val="auto"/>
                <w:kern w:val="0"/>
                <w:sz w:val="24"/>
                <w:szCs w:val="24"/>
                <w:highlight w:val="none"/>
                <w:lang w:val="en-US" w:eastAsia="zh-CN" w:bidi="ar-SA"/>
              </w:rPr>
              <w:t>对特征因子进行</w:t>
            </w:r>
            <w:r>
              <w:rPr>
                <w:rFonts w:hint="default" w:ascii="Times New Roman" w:hAnsi="Times New Roman" w:cs="Times New Roman"/>
                <w:color w:val="auto"/>
                <w:kern w:val="0"/>
                <w:sz w:val="24"/>
                <w:szCs w:val="24"/>
                <w:highlight w:val="none"/>
                <w:lang w:val="en-US" w:eastAsia="zh-CN" w:bidi="ar-SA"/>
              </w:rPr>
              <w:t>检</w:t>
            </w:r>
            <w:r>
              <w:rPr>
                <w:rFonts w:hint="default" w:ascii="Times New Roman" w:hAnsi="Times New Roman" w:eastAsia="宋体" w:cs="Times New Roman"/>
                <w:color w:val="auto"/>
                <w:kern w:val="0"/>
                <w:sz w:val="24"/>
                <w:szCs w:val="24"/>
                <w:highlight w:val="none"/>
                <w:lang w:val="en-US" w:eastAsia="zh-CN" w:bidi="ar-SA"/>
              </w:rPr>
              <w:t>测，监测点位情况见表3-1</w:t>
            </w:r>
            <w:r>
              <w:rPr>
                <w:rFonts w:hint="default" w:ascii="Times New Roman" w:hAnsi="Times New Roman" w:cs="Times New Roman"/>
                <w:color w:val="auto"/>
                <w:kern w:val="0"/>
                <w:sz w:val="24"/>
                <w:szCs w:val="24"/>
                <w:highlight w:val="none"/>
                <w:lang w:val="en-US" w:eastAsia="zh-CN" w:bidi="ar-SA"/>
              </w:rPr>
              <w:t>-1</w:t>
            </w:r>
            <w:r>
              <w:rPr>
                <w:rFonts w:hint="default" w:ascii="Times New Roman" w:hAnsi="Times New Roman" w:eastAsia="宋体" w:cs="Times New Roman"/>
                <w:color w:val="auto"/>
                <w:kern w:val="0"/>
                <w:sz w:val="24"/>
                <w:szCs w:val="24"/>
                <w:highlight w:val="none"/>
                <w:lang w:val="en-US" w:eastAsia="zh-CN" w:bidi="ar-SA"/>
              </w:rPr>
              <w:t>，监测点位图见附</w:t>
            </w:r>
            <w:r>
              <w:rPr>
                <w:rFonts w:hint="default" w:ascii="Times New Roman" w:hAnsi="Times New Roman" w:cs="Times New Roman"/>
                <w:color w:val="auto"/>
                <w:kern w:val="0"/>
                <w:sz w:val="24"/>
                <w:szCs w:val="24"/>
                <w:highlight w:val="none"/>
                <w:lang w:val="en-US" w:eastAsia="zh-CN" w:bidi="ar-SA"/>
              </w:rPr>
              <w:t>图2</w:t>
            </w:r>
            <w:r>
              <w:rPr>
                <w:rFonts w:hint="default" w:ascii="Times New Roman" w:hAnsi="Times New Roman" w:eastAsia="宋体" w:cs="Times New Roman"/>
                <w:color w:val="auto"/>
                <w:kern w:val="0"/>
                <w:sz w:val="24"/>
                <w:szCs w:val="24"/>
                <w:highlight w:val="none"/>
                <w:lang w:val="en-US" w:eastAsia="zh-CN" w:bidi="ar-SA"/>
              </w:rPr>
              <w:t>。</w:t>
            </w:r>
          </w:p>
          <w:p w14:paraId="7C801EE4">
            <w:pPr>
              <w:keepNext w:val="0"/>
              <w:keepLines w:val="0"/>
              <w:pageBreakBefore w:val="0"/>
              <w:widowControl/>
              <w:kinsoku/>
              <w:wordWrap/>
              <w:overflowPunct/>
              <w:topLinePunct w:val="0"/>
              <w:autoSpaceDE/>
              <w:autoSpaceDN/>
              <w:bidi w:val="0"/>
              <w:adjustRightInd/>
              <w:snapToGrid w:val="0"/>
              <w:spacing w:line="240" w:lineRule="auto"/>
              <w:ind w:left="0" w:leftChars="0" w:right="0" w:firstLine="0" w:firstLineChars="0"/>
              <w:jc w:val="center"/>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b/>
                <w:bCs/>
                <w:color w:val="auto"/>
                <w:kern w:val="0"/>
                <w:sz w:val="24"/>
                <w:szCs w:val="24"/>
                <w:highlight w:val="none"/>
                <w:lang w:val="en-US" w:eastAsia="zh-CN" w:bidi="ar-SA"/>
              </w:rPr>
              <w:t>表3-1</w:t>
            </w:r>
            <w:r>
              <w:rPr>
                <w:rFonts w:hint="default" w:ascii="Times New Roman" w:hAnsi="Times New Roman" w:cs="Times New Roman"/>
                <w:b/>
                <w:bCs/>
                <w:color w:val="auto"/>
                <w:kern w:val="0"/>
                <w:sz w:val="24"/>
                <w:szCs w:val="24"/>
                <w:highlight w:val="none"/>
                <w:lang w:val="en-US" w:eastAsia="zh-CN" w:bidi="ar-SA"/>
              </w:rPr>
              <w:t>-1</w:t>
            </w:r>
            <w:r>
              <w:rPr>
                <w:rFonts w:hint="default" w:ascii="Times New Roman" w:hAnsi="Times New Roman" w:eastAsia="宋体" w:cs="Times New Roman"/>
                <w:b/>
                <w:bCs/>
                <w:color w:val="auto"/>
                <w:kern w:val="0"/>
                <w:sz w:val="24"/>
                <w:szCs w:val="24"/>
                <w:highlight w:val="none"/>
                <w:lang w:val="en-US" w:eastAsia="zh-CN" w:bidi="ar-SA"/>
              </w:rPr>
              <w:t>监测点位情况一览表</w:t>
            </w:r>
          </w:p>
          <w:tbl>
            <w:tblPr>
              <w:tblStyle w:val="15"/>
              <w:tblW w:w="7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1763"/>
              <w:gridCol w:w="1763"/>
              <w:gridCol w:w="3269"/>
            </w:tblGrid>
            <w:tr w14:paraId="2FFC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 w:type="dxa"/>
                  <w:vAlign w:val="center"/>
                </w:tcPr>
                <w:p w14:paraId="38A0B5CB">
                  <w:pPr>
                    <w:keepNext w:val="0"/>
                    <w:keepLines w:val="0"/>
                    <w:pageBreakBefore w:val="0"/>
                    <w:widowControl/>
                    <w:kinsoku/>
                    <w:wordWrap/>
                    <w:overflowPunct/>
                    <w:topLinePunct w:val="0"/>
                    <w:autoSpaceDE/>
                    <w:autoSpaceDN/>
                    <w:bidi w:val="0"/>
                    <w:adjustRightInd/>
                    <w:snapToGrid w:val="0"/>
                    <w:spacing w:line="240" w:lineRule="auto"/>
                    <w:ind w:right="0"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bidi="ar-SA"/>
                    </w:rPr>
                  </w:pPr>
                  <w:r>
                    <w:rPr>
                      <w:rFonts w:hint="default" w:ascii="Times New Roman" w:hAnsi="Times New Roman" w:eastAsia="宋体" w:cs="Times New Roman"/>
                      <w:color w:val="auto"/>
                      <w:kern w:val="0"/>
                      <w:sz w:val="24"/>
                      <w:szCs w:val="24"/>
                      <w:highlight w:val="none"/>
                      <w:vertAlign w:val="baseline"/>
                      <w:lang w:val="en-US" w:eastAsia="zh-CN" w:bidi="ar-SA"/>
                    </w:rPr>
                    <w:t>序号</w:t>
                  </w:r>
                </w:p>
              </w:tc>
              <w:tc>
                <w:tcPr>
                  <w:tcW w:w="1763" w:type="dxa"/>
                  <w:vAlign w:val="center"/>
                </w:tcPr>
                <w:p w14:paraId="5BDD4983">
                  <w:pPr>
                    <w:keepNext w:val="0"/>
                    <w:keepLines w:val="0"/>
                    <w:pageBreakBefore w:val="0"/>
                    <w:widowControl/>
                    <w:kinsoku/>
                    <w:wordWrap/>
                    <w:overflowPunct/>
                    <w:topLinePunct w:val="0"/>
                    <w:autoSpaceDE/>
                    <w:autoSpaceDN/>
                    <w:bidi w:val="0"/>
                    <w:adjustRightInd/>
                    <w:snapToGrid w:val="0"/>
                    <w:spacing w:line="240" w:lineRule="auto"/>
                    <w:ind w:right="0"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bidi="ar-SA"/>
                    </w:rPr>
                  </w:pPr>
                  <w:r>
                    <w:rPr>
                      <w:rFonts w:hint="default" w:ascii="Times New Roman" w:hAnsi="Times New Roman" w:cs="Times New Roman"/>
                      <w:color w:val="auto"/>
                      <w:kern w:val="0"/>
                      <w:sz w:val="24"/>
                      <w:szCs w:val="24"/>
                      <w:highlight w:val="none"/>
                      <w:vertAlign w:val="baseline"/>
                      <w:lang w:val="en-US" w:eastAsia="zh-CN" w:bidi="ar-SA"/>
                    </w:rPr>
                    <w:t>监测因子</w:t>
                  </w:r>
                </w:p>
              </w:tc>
              <w:tc>
                <w:tcPr>
                  <w:tcW w:w="1763" w:type="dxa"/>
                  <w:vAlign w:val="center"/>
                </w:tcPr>
                <w:p w14:paraId="42A677C6">
                  <w:pPr>
                    <w:keepNext w:val="0"/>
                    <w:keepLines w:val="0"/>
                    <w:pageBreakBefore w:val="0"/>
                    <w:widowControl/>
                    <w:kinsoku/>
                    <w:wordWrap/>
                    <w:overflowPunct/>
                    <w:topLinePunct w:val="0"/>
                    <w:autoSpaceDE/>
                    <w:autoSpaceDN/>
                    <w:bidi w:val="0"/>
                    <w:adjustRightInd/>
                    <w:snapToGrid w:val="0"/>
                    <w:spacing w:line="240" w:lineRule="auto"/>
                    <w:ind w:right="0"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bidi="ar-SA"/>
                    </w:rPr>
                  </w:pPr>
                  <w:r>
                    <w:rPr>
                      <w:rFonts w:hint="default" w:ascii="Times New Roman" w:hAnsi="Times New Roman" w:eastAsia="宋体" w:cs="Times New Roman"/>
                      <w:color w:val="auto"/>
                      <w:kern w:val="0"/>
                      <w:sz w:val="24"/>
                      <w:szCs w:val="24"/>
                      <w:highlight w:val="none"/>
                      <w:vertAlign w:val="baseline"/>
                      <w:lang w:val="en-US" w:eastAsia="zh-CN" w:bidi="ar-SA"/>
                    </w:rPr>
                    <w:t>点位名称</w:t>
                  </w:r>
                </w:p>
              </w:tc>
              <w:tc>
                <w:tcPr>
                  <w:tcW w:w="3269" w:type="dxa"/>
                  <w:vAlign w:val="center"/>
                </w:tcPr>
                <w:p w14:paraId="6649AF6D">
                  <w:pPr>
                    <w:keepNext w:val="0"/>
                    <w:keepLines w:val="0"/>
                    <w:pageBreakBefore w:val="0"/>
                    <w:widowControl/>
                    <w:kinsoku/>
                    <w:wordWrap/>
                    <w:overflowPunct/>
                    <w:topLinePunct w:val="0"/>
                    <w:autoSpaceDE/>
                    <w:autoSpaceDN/>
                    <w:bidi w:val="0"/>
                    <w:adjustRightInd/>
                    <w:snapToGrid w:val="0"/>
                    <w:spacing w:line="240" w:lineRule="auto"/>
                    <w:ind w:right="0"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bidi="ar-SA"/>
                    </w:rPr>
                  </w:pPr>
                  <w:r>
                    <w:rPr>
                      <w:rFonts w:hint="default" w:ascii="Times New Roman" w:hAnsi="Times New Roman" w:eastAsia="宋体" w:cs="Times New Roman"/>
                      <w:color w:val="auto"/>
                      <w:kern w:val="0"/>
                      <w:sz w:val="24"/>
                      <w:szCs w:val="24"/>
                      <w:highlight w:val="none"/>
                      <w:vertAlign w:val="baseline"/>
                      <w:lang w:val="en-US" w:eastAsia="zh-CN" w:bidi="ar-SA"/>
                    </w:rPr>
                    <w:t>点位坐标</w:t>
                  </w:r>
                </w:p>
              </w:tc>
            </w:tr>
            <w:tr w14:paraId="60E30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042" w:type="dxa"/>
                  <w:vAlign w:val="center"/>
                </w:tcPr>
                <w:p w14:paraId="4BC10230">
                  <w:pPr>
                    <w:keepNext w:val="0"/>
                    <w:keepLines w:val="0"/>
                    <w:pageBreakBefore w:val="0"/>
                    <w:widowControl/>
                    <w:kinsoku/>
                    <w:wordWrap/>
                    <w:overflowPunct/>
                    <w:topLinePunct w:val="0"/>
                    <w:autoSpaceDE/>
                    <w:autoSpaceDN/>
                    <w:bidi w:val="0"/>
                    <w:adjustRightInd/>
                    <w:snapToGrid w:val="0"/>
                    <w:spacing w:line="240" w:lineRule="auto"/>
                    <w:ind w:right="0"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bidi="ar-SA"/>
                    </w:rPr>
                  </w:pPr>
                  <w:r>
                    <w:rPr>
                      <w:rFonts w:hint="default" w:ascii="Times New Roman" w:hAnsi="Times New Roman" w:eastAsia="宋体" w:cs="Times New Roman"/>
                      <w:color w:val="auto"/>
                      <w:kern w:val="0"/>
                      <w:sz w:val="24"/>
                      <w:szCs w:val="24"/>
                      <w:highlight w:val="none"/>
                      <w:vertAlign w:val="baseline"/>
                      <w:lang w:val="en-US" w:eastAsia="zh-CN" w:bidi="ar-SA"/>
                    </w:rPr>
                    <w:t>1</w:t>
                  </w:r>
                </w:p>
              </w:tc>
              <w:tc>
                <w:tcPr>
                  <w:tcW w:w="1763" w:type="dxa"/>
                  <w:vAlign w:val="center"/>
                </w:tcPr>
                <w:p w14:paraId="3E87767F">
                  <w:pPr>
                    <w:keepNext w:val="0"/>
                    <w:keepLines w:val="0"/>
                    <w:pageBreakBefore w:val="0"/>
                    <w:widowControl/>
                    <w:kinsoku/>
                    <w:wordWrap/>
                    <w:overflowPunct/>
                    <w:topLinePunct w:val="0"/>
                    <w:autoSpaceDE/>
                    <w:autoSpaceDN/>
                    <w:bidi w:val="0"/>
                    <w:adjustRightInd/>
                    <w:snapToGrid w:val="0"/>
                    <w:spacing w:line="240" w:lineRule="auto"/>
                    <w:ind w:right="0"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bidi="ar-SA"/>
                    </w:rPr>
                  </w:pPr>
                  <w:r>
                    <w:rPr>
                      <w:rFonts w:hint="default" w:ascii="Times New Roman" w:hAnsi="Times New Roman" w:cs="Times New Roman"/>
                      <w:color w:val="auto"/>
                      <w:sz w:val="24"/>
                      <w:szCs w:val="24"/>
                      <w:highlight w:val="none"/>
                      <w:lang w:val="en-US" w:eastAsia="zh-CN"/>
                    </w:rPr>
                    <w:t>TSP</w:t>
                  </w:r>
                </w:p>
              </w:tc>
              <w:tc>
                <w:tcPr>
                  <w:tcW w:w="1763" w:type="dxa"/>
                  <w:vAlign w:val="center"/>
                </w:tcPr>
                <w:p w14:paraId="1F3C2C82">
                  <w:pPr>
                    <w:keepNext w:val="0"/>
                    <w:keepLines w:val="0"/>
                    <w:pageBreakBefore w:val="0"/>
                    <w:widowControl/>
                    <w:kinsoku/>
                    <w:wordWrap/>
                    <w:overflowPunct/>
                    <w:topLinePunct w:val="0"/>
                    <w:autoSpaceDE/>
                    <w:autoSpaceDN/>
                    <w:bidi w:val="0"/>
                    <w:adjustRightInd/>
                    <w:snapToGrid w:val="0"/>
                    <w:spacing w:line="240" w:lineRule="auto"/>
                    <w:ind w:right="0"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bidi="ar-SA"/>
                    </w:rPr>
                  </w:pPr>
                  <w:r>
                    <w:rPr>
                      <w:rFonts w:hint="default" w:ascii="Times New Roman" w:hAnsi="Times New Roman" w:eastAsia="宋体" w:cs="Times New Roman"/>
                      <w:color w:val="auto"/>
                      <w:kern w:val="0"/>
                      <w:sz w:val="24"/>
                      <w:szCs w:val="24"/>
                      <w:highlight w:val="none"/>
                      <w:vertAlign w:val="baseline"/>
                      <w:lang w:val="en-US" w:eastAsia="zh-CN" w:bidi="ar-SA"/>
                    </w:rPr>
                    <w:t>厂址</w:t>
                  </w:r>
                </w:p>
              </w:tc>
              <w:tc>
                <w:tcPr>
                  <w:tcW w:w="3269" w:type="dxa"/>
                  <w:vAlign w:val="center"/>
                </w:tcPr>
                <w:p w14:paraId="1A6C8CF3">
                  <w:pPr>
                    <w:keepNext w:val="0"/>
                    <w:keepLines w:val="0"/>
                    <w:pageBreakBefore w:val="0"/>
                    <w:widowControl/>
                    <w:kinsoku/>
                    <w:wordWrap/>
                    <w:overflowPunct/>
                    <w:topLinePunct w:val="0"/>
                    <w:autoSpaceDE/>
                    <w:autoSpaceDN/>
                    <w:bidi w:val="0"/>
                    <w:adjustRightInd/>
                    <w:snapToGrid w:val="0"/>
                    <w:spacing w:line="240" w:lineRule="auto"/>
                    <w:ind w:right="0" w:firstLine="0" w:firstLineChars="0"/>
                    <w:jc w:val="center"/>
                    <w:textAlignment w:val="auto"/>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lang w:val="en-US" w:eastAsia="zh-CN"/>
                    </w:rPr>
                    <w:t>110</w:t>
                  </w:r>
                  <w:r>
                    <w:rPr>
                      <w:rFonts w:hint="default" w:ascii="Times New Roman" w:hAnsi="Times New Roman" w:cs="Times New Roman"/>
                      <w:color w:val="auto"/>
                      <w:sz w:val="24"/>
                      <w:szCs w:val="24"/>
                      <w:highlight w:val="none"/>
                      <w:u w:val="none"/>
                    </w:rPr>
                    <w:t>度</w:t>
                  </w:r>
                  <w:r>
                    <w:rPr>
                      <w:rFonts w:hint="default" w:ascii="Times New Roman" w:hAnsi="Times New Roman" w:cs="Times New Roman"/>
                      <w:color w:val="auto"/>
                      <w:sz w:val="24"/>
                      <w:szCs w:val="24"/>
                      <w:highlight w:val="none"/>
                      <w:u w:val="none"/>
                      <w:lang w:val="en-US" w:eastAsia="zh-CN"/>
                    </w:rPr>
                    <w:t>0</w:t>
                  </w:r>
                  <w:r>
                    <w:rPr>
                      <w:rFonts w:hint="default" w:ascii="Times New Roman" w:hAnsi="Times New Roman" w:cs="Times New Roman"/>
                      <w:color w:val="auto"/>
                      <w:sz w:val="24"/>
                      <w:szCs w:val="24"/>
                      <w:highlight w:val="none"/>
                      <w:u w:val="none"/>
                    </w:rPr>
                    <w:t>分</w:t>
                  </w:r>
                  <w:r>
                    <w:rPr>
                      <w:rFonts w:hint="default" w:ascii="Times New Roman" w:hAnsi="Times New Roman" w:cs="Times New Roman"/>
                      <w:color w:val="auto"/>
                      <w:sz w:val="24"/>
                      <w:szCs w:val="24"/>
                      <w:highlight w:val="none"/>
                      <w:u w:val="none"/>
                      <w:lang w:val="en-US" w:eastAsia="zh-CN"/>
                    </w:rPr>
                    <w:t>36.552</w:t>
                  </w:r>
                  <w:r>
                    <w:rPr>
                      <w:rFonts w:hint="default" w:ascii="Times New Roman" w:hAnsi="Times New Roman" w:cs="Times New Roman"/>
                      <w:color w:val="auto"/>
                      <w:sz w:val="24"/>
                      <w:szCs w:val="24"/>
                      <w:highlight w:val="none"/>
                      <w:u w:val="none"/>
                    </w:rPr>
                    <w:t>秒</w:t>
                  </w:r>
                </w:p>
                <w:p w14:paraId="7759C834">
                  <w:pPr>
                    <w:keepNext w:val="0"/>
                    <w:keepLines w:val="0"/>
                    <w:pageBreakBefore w:val="0"/>
                    <w:widowControl/>
                    <w:kinsoku/>
                    <w:wordWrap/>
                    <w:overflowPunct/>
                    <w:topLinePunct w:val="0"/>
                    <w:autoSpaceDE/>
                    <w:autoSpaceDN/>
                    <w:bidi w:val="0"/>
                    <w:adjustRightInd/>
                    <w:snapToGrid w:val="0"/>
                    <w:spacing w:line="240" w:lineRule="auto"/>
                    <w:ind w:right="0"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bidi="ar-SA"/>
                    </w:rPr>
                  </w:pPr>
                  <w:r>
                    <w:rPr>
                      <w:rFonts w:hint="default" w:ascii="Times New Roman" w:hAnsi="Times New Roman" w:cs="Times New Roman"/>
                      <w:color w:val="auto"/>
                      <w:sz w:val="24"/>
                      <w:szCs w:val="24"/>
                      <w:highlight w:val="none"/>
                      <w:u w:val="none"/>
                      <w:lang w:val="en-US" w:eastAsia="zh-CN"/>
                    </w:rPr>
                    <w:t>39</w:t>
                  </w:r>
                  <w:r>
                    <w:rPr>
                      <w:rFonts w:hint="default" w:ascii="Times New Roman" w:hAnsi="Times New Roman" w:cs="Times New Roman"/>
                      <w:color w:val="auto"/>
                      <w:sz w:val="24"/>
                      <w:szCs w:val="24"/>
                      <w:highlight w:val="none"/>
                      <w:u w:val="none"/>
                    </w:rPr>
                    <w:t>度</w:t>
                  </w:r>
                  <w:r>
                    <w:rPr>
                      <w:rFonts w:hint="default" w:ascii="Times New Roman" w:hAnsi="Times New Roman" w:cs="Times New Roman"/>
                      <w:color w:val="auto"/>
                      <w:sz w:val="24"/>
                      <w:szCs w:val="24"/>
                      <w:highlight w:val="none"/>
                      <w:u w:val="none"/>
                      <w:lang w:val="en-US" w:eastAsia="zh-CN"/>
                    </w:rPr>
                    <w:t>54</w:t>
                  </w:r>
                  <w:r>
                    <w:rPr>
                      <w:rFonts w:hint="default" w:ascii="Times New Roman" w:hAnsi="Times New Roman" w:cs="Times New Roman"/>
                      <w:color w:val="auto"/>
                      <w:sz w:val="24"/>
                      <w:szCs w:val="24"/>
                      <w:highlight w:val="none"/>
                      <w:u w:val="none"/>
                    </w:rPr>
                    <w:t>分</w:t>
                  </w:r>
                  <w:r>
                    <w:rPr>
                      <w:rFonts w:hint="default" w:ascii="Times New Roman" w:hAnsi="Times New Roman" w:cs="Times New Roman"/>
                      <w:color w:val="auto"/>
                      <w:sz w:val="24"/>
                      <w:szCs w:val="24"/>
                      <w:highlight w:val="none"/>
                      <w:u w:val="none"/>
                      <w:lang w:val="en-US" w:eastAsia="zh-CN"/>
                    </w:rPr>
                    <w:t>56.010</w:t>
                  </w:r>
                  <w:r>
                    <w:rPr>
                      <w:rFonts w:hint="default" w:ascii="Times New Roman" w:hAnsi="Times New Roman" w:cs="Times New Roman"/>
                      <w:color w:val="auto"/>
                      <w:sz w:val="24"/>
                      <w:szCs w:val="24"/>
                      <w:highlight w:val="none"/>
                      <w:u w:val="none"/>
                    </w:rPr>
                    <w:t>秒</w:t>
                  </w:r>
                </w:p>
              </w:tc>
            </w:tr>
          </w:tbl>
          <w:p w14:paraId="40124DB3">
            <w:pPr>
              <w:widowControl/>
              <w:snapToGrid w:val="0"/>
              <w:spacing w:line="360" w:lineRule="auto"/>
              <w:ind w:right="0"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检测结果如下。</w:t>
            </w:r>
          </w:p>
          <w:p w14:paraId="3E969E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4"/>
                <w:szCs w:val="24"/>
                <w:highlight w:val="none"/>
                <w:vertAlign w:val="baseline"/>
                <w:lang w:val="en-US" w:eastAsia="zh-CN"/>
              </w:rPr>
            </w:pPr>
            <w:r>
              <w:rPr>
                <w:rFonts w:hint="default" w:ascii="Times New Roman" w:hAnsi="Times New Roman" w:eastAsia="宋体" w:cs="Times New Roman"/>
                <w:b/>
                <w:bCs/>
                <w:color w:val="auto"/>
                <w:sz w:val="24"/>
                <w:szCs w:val="24"/>
                <w:highlight w:val="none"/>
                <w:lang w:val="en-US" w:eastAsia="zh-CN"/>
              </w:rPr>
              <w:t>表3-</w:t>
            </w:r>
            <w:r>
              <w:rPr>
                <w:rFonts w:hint="default" w:ascii="Times New Roman" w:hAnsi="Times New Roman" w:cs="Times New Roman"/>
                <w:b/>
                <w:bCs/>
                <w:color w:val="auto"/>
                <w:sz w:val="24"/>
                <w:szCs w:val="24"/>
                <w:highlight w:val="none"/>
                <w:lang w:val="en-US" w:eastAsia="zh-CN"/>
              </w:rPr>
              <w:t>1-2</w:t>
            </w:r>
            <w:r>
              <w:rPr>
                <w:rFonts w:hint="default" w:ascii="Times New Roman" w:hAnsi="Times New Roman" w:eastAsia="宋体" w:cs="Times New Roman"/>
                <w:b/>
                <w:bCs/>
                <w:color w:val="auto"/>
                <w:sz w:val="24"/>
                <w:szCs w:val="24"/>
                <w:highlight w:val="none"/>
                <w:lang w:val="en-US" w:eastAsia="zh-CN"/>
              </w:rPr>
              <w:t>环境空气监测结果统计一览表</w:t>
            </w:r>
          </w:p>
          <w:tbl>
            <w:tblPr>
              <w:tblStyle w:val="15"/>
              <w:tblW w:w="8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
              <w:gridCol w:w="1210"/>
              <w:gridCol w:w="1229"/>
              <w:gridCol w:w="976"/>
              <w:gridCol w:w="1372"/>
              <w:gridCol w:w="897"/>
              <w:gridCol w:w="742"/>
              <w:gridCol w:w="788"/>
            </w:tblGrid>
            <w:tr w14:paraId="26ECD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882" w:type="dxa"/>
                  <w:noWrap w:val="0"/>
                  <w:vAlign w:val="center"/>
                </w:tcPr>
                <w:p w14:paraId="66E357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污染物</w:t>
                  </w:r>
                </w:p>
              </w:tc>
              <w:tc>
                <w:tcPr>
                  <w:tcW w:w="1210" w:type="dxa"/>
                  <w:noWrap w:val="0"/>
                  <w:vAlign w:val="center"/>
                </w:tcPr>
                <w:p w14:paraId="688ACB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评价指标</w:t>
                  </w:r>
                </w:p>
              </w:tc>
              <w:tc>
                <w:tcPr>
                  <w:tcW w:w="1229" w:type="dxa"/>
                  <w:noWrap w:val="0"/>
                  <w:vAlign w:val="center"/>
                </w:tcPr>
                <w:p w14:paraId="513B4A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现状浓度</w:t>
                  </w:r>
                </w:p>
              </w:tc>
              <w:tc>
                <w:tcPr>
                  <w:tcW w:w="976" w:type="dxa"/>
                  <w:noWrap w:val="0"/>
                  <w:vAlign w:val="center"/>
                </w:tcPr>
                <w:p w14:paraId="19F66B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标准值</w:t>
                  </w:r>
                </w:p>
              </w:tc>
              <w:tc>
                <w:tcPr>
                  <w:tcW w:w="1372" w:type="dxa"/>
                  <w:noWrap w:val="0"/>
                  <w:vAlign w:val="center"/>
                </w:tcPr>
                <w:p w14:paraId="7078AD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最大浓度占标率</w:t>
                  </w:r>
                  <w:r>
                    <w:rPr>
                      <w:rFonts w:hint="default" w:ascii="Times New Roman" w:hAnsi="Times New Roman" w:cs="Times New Roman"/>
                      <w:color w:val="auto"/>
                      <w:kern w:val="0"/>
                      <w:sz w:val="24"/>
                      <w:szCs w:val="24"/>
                      <w:highlight w:val="none"/>
                      <w:vertAlign w:val="baseline"/>
                      <w:lang w:val="en-US" w:eastAsia="zh-CN"/>
                    </w:rPr>
                    <w:t>（</w:t>
                  </w:r>
                  <w:r>
                    <w:rPr>
                      <w:rFonts w:hint="default" w:ascii="Times New Roman" w:hAnsi="Times New Roman" w:eastAsia="宋体" w:cs="Times New Roman"/>
                      <w:color w:val="auto"/>
                      <w:kern w:val="0"/>
                      <w:sz w:val="24"/>
                      <w:szCs w:val="24"/>
                      <w:highlight w:val="none"/>
                      <w:vertAlign w:val="baseline"/>
                      <w:lang w:val="en-US" w:eastAsia="zh-CN"/>
                    </w:rPr>
                    <w:t>%</w:t>
                  </w:r>
                  <w:r>
                    <w:rPr>
                      <w:rFonts w:hint="default" w:ascii="Times New Roman" w:hAnsi="Times New Roman" w:cs="Times New Roman"/>
                      <w:color w:val="auto"/>
                      <w:kern w:val="0"/>
                      <w:sz w:val="24"/>
                      <w:szCs w:val="24"/>
                      <w:highlight w:val="none"/>
                      <w:vertAlign w:val="baseline"/>
                      <w:lang w:val="en-US" w:eastAsia="zh-CN"/>
                    </w:rPr>
                    <w:t>）</w:t>
                  </w:r>
                </w:p>
              </w:tc>
              <w:tc>
                <w:tcPr>
                  <w:tcW w:w="897" w:type="dxa"/>
                  <w:noWrap w:val="0"/>
                  <w:vAlign w:val="center"/>
                </w:tcPr>
                <w:p w14:paraId="220C36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超标率</w:t>
                  </w:r>
                  <w:r>
                    <w:rPr>
                      <w:rFonts w:hint="default" w:ascii="Times New Roman" w:hAnsi="Times New Roman" w:cs="Times New Roman"/>
                      <w:color w:val="auto"/>
                      <w:kern w:val="0"/>
                      <w:sz w:val="24"/>
                      <w:szCs w:val="24"/>
                      <w:highlight w:val="none"/>
                      <w:vertAlign w:val="baseline"/>
                      <w:lang w:val="en-US" w:eastAsia="zh-CN"/>
                    </w:rPr>
                    <w:t>（</w:t>
                  </w:r>
                  <w:r>
                    <w:rPr>
                      <w:rFonts w:hint="default" w:ascii="Times New Roman" w:hAnsi="Times New Roman" w:eastAsia="宋体" w:cs="Times New Roman"/>
                      <w:color w:val="auto"/>
                      <w:kern w:val="0"/>
                      <w:sz w:val="24"/>
                      <w:szCs w:val="24"/>
                      <w:highlight w:val="none"/>
                      <w:vertAlign w:val="baseline"/>
                      <w:lang w:val="en-US" w:eastAsia="zh-CN"/>
                    </w:rPr>
                    <w:t>%</w:t>
                  </w:r>
                  <w:r>
                    <w:rPr>
                      <w:rFonts w:hint="default" w:ascii="Times New Roman" w:hAnsi="Times New Roman" w:cs="Times New Roman"/>
                      <w:color w:val="auto"/>
                      <w:kern w:val="0"/>
                      <w:sz w:val="24"/>
                      <w:szCs w:val="24"/>
                      <w:highlight w:val="none"/>
                      <w:vertAlign w:val="baseline"/>
                      <w:lang w:val="en-US" w:eastAsia="zh-CN"/>
                    </w:rPr>
                    <w:t>）</w:t>
                  </w:r>
                </w:p>
              </w:tc>
              <w:tc>
                <w:tcPr>
                  <w:tcW w:w="742" w:type="dxa"/>
                  <w:noWrap w:val="0"/>
                  <w:vAlign w:val="center"/>
                </w:tcPr>
                <w:p w14:paraId="3C9458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超标倍数</w:t>
                  </w:r>
                </w:p>
              </w:tc>
              <w:tc>
                <w:tcPr>
                  <w:tcW w:w="788" w:type="dxa"/>
                  <w:noWrap w:val="0"/>
                  <w:vAlign w:val="center"/>
                </w:tcPr>
                <w:p w14:paraId="5125C2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达标情况</w:t>
                  </w:r>
                </w:p>
              </w:tc>
            </w:tr>
            <w:tr w14:paraId="24E8D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82" w:type="dxa"/>
                  <w:noWrap w:val="0"/>
                  <w:vAlign w:val="center"/>
                </w:tcPr>
                <w:p w14:paraId="42BE76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cs="Times New Roman"/>
                      <w:color w:val="auto"/>
                      <w:kern w:val="0"/>
                      <w:sz w:val="24"/>
                      <w:szCs w:val="24"/>
                      <w:highlight w:val="none"/>
                      <w:vertAlign w:val="baseline"/>
                      <w:lang w:val="en-US" w:eastAsia="zh-CN" w:bidi="ar-SA"/>
                    </w:rPr>
                    <w:t>TSP</w:t>
                  </w:r>
                </w:p>
              </w:tc>
              <w:tc>
                <w:tcPr>
                  <w:tcW w:w="1210" w:type="dxa"/>
                  <w:noWrap w:val="0"/>
                  <w:vAlign w:val="center"/>
                </w:tcPr>
                <w:p w14:paraId="14F5521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24平均</w:t>
                  </w:r>
                  <w:r>
                    <w:rPr>
                      <w:rFonts w:hint="default" w:ascii="Times New Roman" w:hAnsi="Times New Roman" w:cs="Times New Roman"/>
                      <w:color w:val="auto"/>
                      <w:kern w:val="0"/>
                      <w:sz w:val="24"/>
                      <w:szCs w:val="24"/>
                      <w:highlight w:val="none"/>
                      <w:vertAlign w:val="baseline"/>
                      <w:lang w:val="en-US" w:eastAsia="zh-CN"/>
                    </w:rPr>
                    <w:t>浓度</w:t>
                  </w:r>
                  <w:r>
                    <w:rPr>
                      <w:rFonts w:hint="default" w:ascii="Times New Roman" w:hAnsi="Times New Roman" w:eastAsia="宋体" w:cs="Times New Roman"/>
                      <w:color w:val="auto"/>
                      <w:kern w:val="0"/>
                      <w:sz w:val="24"/>
                      <w:szCs w:val="24"/>
                      <w:highlight w:val="none"/>
                      <w:vertAlign w:val="baseline"/>
                      <w:lang w:val="en-US" w:eastAsia="zh-CN"/>
                    </w:rPr>
                    <w:t>值</w:t>
                  </w:r>
                </w:p>
              </w:tc>
              <w:tc>
                <w:tcPr>
                  <w:tcW w:w="1229" w:type="dxa"/>
                  <w:noWrap w:val="0"/>
                  <w:vAlign w:val="center"/>
                </w:tcPr>
                <w:p w14:paraId="1348B9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vertAlign w:val="baseline"/>
                      <w:lang w:val="en-US" w:eastAsia="zh-CN"/>
                    </w:rPr>
                  </w:pPr>
                  <w:r>
                    <w:rPr>
                      <w:rFonts w:hint="default" w:ascii="Times New Roman" w:hAnsi="Times New Roman" w:cs="Times New Roman"/>
                      <w:color w:val="auto"/>
                      <w:kern w:val="0"/>
                      <w:sz w:val="24"/>
                      <w:szCs w:val="24"/>
                      <w:highlight w:val="none"/>
                      <w:vertAlign w:val="baseline"/>
                      <w:lang w:val="en-US" w:eastAsia="zh-CN"/>
                    </w:rPr>
                    <w:t>187-193</w:t>
                  </w:r>
                </w:p>
                <w:p w14:paraId="0E8FA6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μg/m</w:t>
                  </w:r>
                  <w:r>
                    <w:rPr>
                      <w:rFonts w:hint="default" w:ascii="Times New Roman" w:hAnsi="Times New Roman" w:cs="Times New Roman"/>
                      <w:color w:val="auto"/>
                      <w:kern w:val="0"/>
                      <w:sz w:val="24"/>
                      <w:szCs w:val="24"/>
                      <w:highlight w:val="none"/>
                      <w:vertAlign w:val="superscript"/>
                      <w:lang w:val="en-US" w:eastAsia="zh-CN"/>
                    </w:rPr>
                    <w:t>3</w:t>
                  </w:r>
                </w:p>
              </w:tc>
              <w:tc>
                <w:tcPr>
                  <w:tcW w:w="976" w:type="dxa"/>
                  <w:noWrap w:val="0"/>
                  <w:vAlign w:val="center"/>
                </w:tcPr>
                <w:p w14:paraId="318894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300</w:t>
                  </w:r>
                </w:p>
                <w:p w14:paraId="0B24F9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μg/m</w:t>
                  </w:r>
                  <w:r>
                    <w:rPr>
                      <w:rFonts w:hint="default" w:ascii="Times New Roman" w:hAnsi="Times New Roman" w:cs="Times New Roman"/>
                      <w:color w:val="auto"/>
                      <w:kern w:val="0"/>
                      <w:sz w:val="24"/>
                      <w:szCs w:val="24"/>
                      <w:highlight w:val="none"/>
                      <w:vertAlign w:val="superscript"/>
                      <w:lang w:val="en-US" w:eastAsia="zh-CN"/>
                    </w:rPr>
                    <w:t>3</w:t>
                  </w:r>
                </w:p>
              </w:tc>
              <w:tc>
                <w:tcPr>
                  <w:tcW w:w="1372" w:type="dxa"/>
                  <w:noWrap w:val="0"/>
                  <w:vAlign w:val="center"/>
                </w:tcPr>
                <w:p w14:paraId="5F27B7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cs="Times New Roman"/>
                      <w:color w:val="auto"/>
                      <w:kern w:val="0"/>
                      <w:sz w:val="24"/>
                      <w:szCs w:val="24"/>
                      <w:highlight w:val="none"/>
                      <w:vertAlign w:val="baseline"/>
                      <w:lang w:val="en-US" w:eastAsia="zh-CN"/>
                    </w:rPr>
                    <w:t>64.33</w:t>
                  </w:r>
                </w:p>
              </w:tc>
              <w:tc>
                <w:tcPr>
                  <w:tcW w:w="897" w:type="dxa"/>
                  <w:noWrap w:val="0"/>
                  <w:vAlign w:val="center"/>
                </w:tcPr>
                <w:p w14:paraId="6A8E14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0</w:t>
                  </w:r>
                </w:p>
              </w:tc>
              <w:tc>
                <w:tcPr>
                  <w:tcW w:w="742" w:type="dxa"/>
                  <w:noWrap w:val="0"/>
                  <w:vAlign w:val="center"/>
                </w:tcPr>
                <w:p w14:paraId="3627C0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0</w:t>
                  </w:r>
                </w:p>
              </w:tc>
              <w:tc>
                <w:tcPr>
                  <w:tcW w:w="788" w:type="dxa"/>
                  <w:noWrap w:val="0"/>
                  <w:vAlign w:val="center"/>
                </w:tcPr>
                <w:p w14:paraId="1F98D0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达标</w:t>
                  </w:r>
                </w:p>
              </w:tc>
            </w:tr>
          </w:tbl>
          <w:p w14:paraId="2136B53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根据表3-2，监测期间</w:t>
            </w:r>
            <w:r>
              <w:rPr>
                <w:rFonts w:hint="default" w:ascii="Times New Roman" w:hAnsi="Times New Roman" w:cs="Times New Roman"/>
                <w:color w:val="auto"/>
                <w:kern w:val="0"/>
                <w:sz w:val="24"/>
                <w:szCs w:val="24"/>
                <w:highlight w:val="none"/>
                <w:vertAlign w:val="baseline"/>
                <w:lang w:val="en-US" w:eastAsia="zh-CN" w:bidi="ar-SA"/>
              </w:rPr>
              <w:t>总悬浮颗粒物日均值</w:t>
            </w:r>
            <w:r>
              <w:rPr>
                <w:rFonts w:hint="default" w:ascii="Times New Roman" w:hAnsi="Times New Roman" w:eastAsia="宋体" w:cs="Times New Roman"/>
                <w:color w:val="auto"/>
                <w:sz w:val="24"/>
                <w:szCs w:val="24"/>
                <w:highlight w:val="none"/>
                <w:lang w:val="en-US" w:eastAsia="zh-CN"/>
              </w:rPr>
              <w:t>浓度满足</w:t>
            </w:r>
            <w:r>
              <w:rPr>
                <w:rFonts w:hint="default" w:ascii="Times New Roman" w:hAnsi="Times New Roman" w:eastAsia="宋体" w:cs="Times New Roman"/>
                <w:color w:val="auto"/>
                <w:sz w:val="24"/>
                <w:szCs w:val="24"/>
                <w:highlight w:val="none"/>
              </w:rPr>
              <w:t>《环境空气质量标准》（</w:t>
            </w:r>
            <w:r>
              <w:rPr>
                <w:rFonts w:hint="default" w:ascii="Times New Roman" w:hAnsi="Times New Roman" w:cs="Times New Roman"/>
                <w:color w:val="auto"/>
                <w:sz w:val="24"/>
                <w:szCs w:val="24"/>
                <w:highlight w:val="none"/>
                <w:lang w:val="en-US" w:eastAsia="zh-CN"/>
              </w:rPr>
              <w:t>GB</w:t>
            </w:r>
            <w:r>
              <w:rPr>
                <w:rFonts w:hint="default" w:ascii="Times New Roman" w:hAnsi="Times New Roman" w:eastAsia="宋体" w:cs="Times New Roman"/>
                <w:color w:val="auto"/>
                <w:sz w:val="24"/>
                <w:szCs w:val="24"/>
                <w:highlight w:val="none"/>
              </w:rPr>
              <w:t>3095-2026）</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cs="Times New Roman"/>
                <w:color w:val="auto"/>
                <w:sz w:val="24"/>
                <w:szCs w:val="24"/>
                <w:highlight w:val="none"/>
                <w:lang w:val="en-US" w:eastAsia="zh-CN"/>
              </w:rPr>
              <w:t>的</w:t>
            </w:r>
            <w:r>
              <w:rPr>
                <w:rFonts w:hint="default" w:ascii="Times New Roman" w:hAnsi="Times New Roman" w:eastAsia="宋体" w:cs="Times New Roman"/>
                <w:color w:val="auto"/>
                <w:sz w:val="24"/>
                <w:szCs w:val="24"/>
                <w:highlight w:val="none"/>
                <w:lang w:val="en-US" w:eastAsia="zh-CN"/>
              </w:rPr>
              <w:t>二级标准要求。</w:t>
            </w:r>
          </w:p>
          <w:p w14:paraId="1D5690AD">
            <w:pPr>
              <w:spacing w:line="360" w:lineRule="auto"/>
              <w:ind w:left="0" w:leftChars="0" w:firstLine="0" w:firstLineChars="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2、</w:t>
            </w:r>
            <w:r>
              <w:rPr>
                <w:rFonts w:hint="default" w:ascii="Times New Roman" w:hAnsi="Times New Roman" w:cs="Times New Roman"/>
                <w:b/>
                <w:bCs/>
                <w:color w:val="auto"/>
                <w:sz w:val="24"/>
                <w:szCs w:val="24"/>
                <w:highlight w:val="none"/>
              </w:rPr>
              <w:t>声环境</w:t>
            </w:r>
          </w:p>
          <w:p w14:paraId="7052D06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①监测点及监测频次</w:t>
            </w:r>
          </w:p>
          <w:p w14:paraId="0EC4FD5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监测因子：等效连续声级。</w:t>
            </w:r>
            <w:r>
              <w:rPr>
                <w:rFonts w:hint="eastAsia"/>
                <w:color w:val="auto"/>
                <w:sz w:val="24"/>
                <w:szCs w:val="24"/>
                <w:highlight w:val="none"/>
                <w:lang w:val="en-US" w:eastAsia="zh-CN"/>
              </w:rPr>
              <w:t>委托内蒙古意丰环保科技有限公司进行检测。</w:t>
            </w:r>
          </w:p>
          <w:p w14:paraId="103EE07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检测时间：2026.04.28-2026.04.29</w:t>
            </w:r>
          </w:p>
          <w:p w14:paraId="6B69179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监测布点：</w:t>
            </w:r>
            <w:r>
              <w:rPr>
                <w:rFonts w:hint="eastAsia" w:cs="Times New Roman"/>
                <w:b w:val="0"/>
                <w:bCs w:val="0"/>
                <w:color w:val="auto"/>
                <w:sz w:val="24"/>
                <w:szCs w:val="24"/>
                <w:highlight w:val="none"/>
                <w:lang w:val="en-US" w:eastAsia="zh-CN"/>
              </w:rPr>
              <w:t>厂界外东南西北1处各布设1点</w:t>
            </w:r>
            <w:r>
              <w:rPr>
                <w:rFonts w:hint="default" w:ascii="Times New Roman" w:hAnsi="Times New Roman" w:eastAsia="宋体" w:cs="Times New Roman"/>
                <w:b w:val="0"/>
                <w:bCs w:val="0"/>
                <w:color w:val="auto"/>
                <w:sz w:val="24"/>
                <w:szCs w:val="24"/>
                <w:highlight w:val="none"/>
                <w:lang w:val="en-US" w:eastAsia="zh-CN"/>
              </w:rPr>
              <w:t>。</w:t>
            </w:r>
          </w:p>
          <w:p w14:paraId="234EA1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表3-</w:t>
            </w:r>
            <w:r>
              <w:rPr>
                <w:rFonts w:hint="eastAsia" w:cs="Times New Roman"/>
                <w:b/>
                <w:bCs/>
                <w:color w:val="auto"/>
                <w:sz w:val="24"/>
                <w:szCs w:val="24"/>
                <w:highlight w:val="none"/>
                <w:lang w:val="en-US" w:eastAsia="zh-CN"/>
              </w:rPr>
              <w:t>1-3</w:t>
            </w:r>
            <w:r>
              <w:rPr>
                <w:rFonts w:hint="default" w:ascii="Times New Roman" w:hAnsi="Times New Roman" w:eastAsia="宋体" w:cs="Times New Roman"/>
                <w:b/>
                <w:bCs/>
                <w:color w:val="auto"/>
                <w:sz w:val="24"/>
                <w:szCs w:val="24"/>
                <w:highlight w:val="none"/>
                <w:lang w:val="en-US" w:eastAsia="zh-CN"/>
              </w:rPr>
              <w:t>噪声监测点位置及监测因子一览表</w:t>
            </w:r>
          </w:p>
          <w:tbl>
            <w:tblPr>
              <w:tblStyle w:val="14"/>
              <w:tblW w:w="4994" w:type="pct"/>
              <w:tblInd w:w="0" w:type="dxa"/>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108" w:type="dxa"/>
                <w:bottom w:w="0" w:type="dxa"/>
                <w:right w:w="108" w:type="dxa"/>
              </w:tblCellMar>
            </w:tblPr>
            <w:tblGrid>
              <w:gridCol w:w="947"/>
              <w:gridCol w:w="1707"/>
              <w:gridCol w:w="1872"/>
              <w:gridCol w:w="1840"/>
              <w:gridCol w:w="1663"/>
            </w:tblGrid>
            <w:tr w14:paraId="168C4997">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357" w:hRule="atLeast"/>
              </w:trPr>
              <w:tc>
                <w:tcPr>
                  <w:tcW w:w="589" w:type="pct"/>
                  <w:tcBorders>
                    <w:tl2br w:val="nil"/>
                    <w:tr2bl w:val="nil"/>
                  </w:tcBorders>
                  <w:noWrap w:val="0"/>
                  <w:vAlign w:val="center"/>
                </w:tcPr>
                <w:p w14:paraId="1220FA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序号</w:t>
                  </w:r>
                </w:p>
              </w:tc>
              <w:tc>
                <w:tcPr>
                  <w:tcW w:w="1062" w:type="pct"/>
                  <w:tcBorders>
                    <w:tl2br w:val="nil"/>
                    <w:tr2bl w:val="nil"/>
                  </w:tcBorders>
                  <w:noWrap w:val="0"/>
                  <w:vAlign w:val="center"/>
                </w:tcPr>
                <w:p w14:paraId="46B2F1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监测点名称</w:t>
                  </w:r>
                </w:p>
              </w:tc>
              <w:tc>
                <w:tcPr>
                  <w:tcW w:w="1165" w:type="pct"/>
                  <w:tcBorders>
                    <w:tl2br w:val="nil"/>
                    <w:tr2bl w:val="nil"/>
                  </w:tcBorders>
                  <w:noWrap w:val="0"/>
                  <w:vAlign w:val="center"/>
                </w:tcPr>
                <w:p w14:paraId="5845CA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具体位置</w:t>
                  </w:r>
                </w:p>
              </w:tc>
              <w:tc>
                <w:tcPr>
                  <w:tcW w:w="1146" w:type="pct"/>
                  <w:tcBorders>
                    <w:tl2br w:val="nil"/>
                    <w:tr2bl w:val="nil"/>
                  </w:tcBorders>
                  <w:noWrap w:val="0"/>
                  <w:vAlign w:val="center"/>
                </w:tcPr>
                <w:p w14:paraId="61D40D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功能区</w:t>
                  </w:r>
                </w:p>
              </w:tc>
              <w:tc>
                <w:tcPr>
                  <w:tcW w:w="1035" w:type="pct"/>
                  <w:tcBorders>
                    <w:tl2br w:val="nil"/>
                    <w:tr2bl w:val="nil"/>
                  </w:tcBorders>
                  <w:noWrap w:val="0"/>
                  <w:vAlign w:val="center"/>
                </w:tcPr>
                <w:p w14:paraId="7A1DED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监测因子</w:t>
                  </w:r>
                </w:p>
              </w:tc>
            </w:tr>
            <w:tr w14:paraId="696FAFA1">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269" w:hRule="atLeast"/>
              </w:trPr>
              <w:tc>
                <w:tcPr>
                  <w:tcW w:w="589" w:type="pct"/>
                  <w:tcBorders>
                    <w:tl2br w:val="nil"/>
                    <w:tr2bl w:val="nil"/>
                  </w:tcBorders>
                  <w:noWrap w:val="0"/>
                  <w:vAlign w:val="center"/>
                </w:tcPr>
                <w:p w14:paraId="767D95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w:t>
                  </w:r>
                </w:p>
              </w:tc>
              <w:tc>
                <w:tcPr>
                  <w:tcW w:w="1062" w:type="pct"/>
                  <w:tcBorders>
                    <w:tl2br w:val="nil"/>
                    <w:tr2bl w:val="nil"/>
                  </w:tcBorders>
                  <w:noWrap w:val="0"/>
                  <w:vAlign w:val="center"/>
                </w:tcPr>
                <w:p w14:paraId="71EF5F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厂界东侧</w:t>
                  </w:r>
                </w:p>
              </w:tc>
              <w:tc>
                <w:tcPr>
                  <w:tcW w:w="1165" w:type="pct"/>
                  <w:tcBorders>
                    <w:tl2br w:val="nil"/>
                    <w:tr2bl w:val="nil"/>
                  </w:tcBorders>
                  <w:noWrap w:val="0"/>
                  <w:vAlign w:val="center"/>
                </w:tcPr>
                <w:p w14:paraId="418ABE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厂界外1处</w:t>
                  </w:r>
                </w:p>
              </w:tc>
              <w:tc>
                <w:tcPr>
                  <w:tcW w:w="1146" w:type="pct"/>
                  <w:vMerge w:val="restart"/>
                  <w:tcBorders>
                    <w:tl2br w:val="nil"/>
                    <w:tr2bl w:val="nil"/>
                  </w:tcBorders>
                  <w:noWrap w:val="0"/>
                  <w:vAlign w:val="center"/>
                </w:tcPr>
                <w:p w14:paraId="43B148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类区</w:t>
                  </w:r>
                </w:p>
              </w:tc>
              <w:tc>
                <w:tcPr>
                  <w:tcW w:w="1035" w:type="pct"/>
                  <w:vMerge w:val="restart"/>
                  <w:tcBorders>
                    <w:tl2br w:val="nil"/>
                    <w:tr2bl w:val="nil"/>
                  </w:tcBorders>
                  <w:noWrap w:val="0"/>
                  <w:vAlign w:val="center"/>
                </w:tcPr>
                <w:p w14:paraId="2B73D9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等效连续声级</w:t>
                  </w:r>
                </w:p>
              </w:tc>
            </w:tr>
            <w:tr w14:paraId="525CD008">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92" w:hRule="atLeast"/>
              </w:trPr>
              <w:tc>
                <w:tcPr>
                  <w:tcW w:w="589" w:type="pct"/>
                  <w:tcBorders>
                    <w:tl2br w:val="nil"/>
                    <w:tr2bl w:val="nil"/>
                  </w:tcBorders>
                  <w:noWrap w:val="0"/>
                  <w:vAlign w:val="center"/>
                </w:tcPr>
                <w:p w14:paraId="6AFABD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w:t>
                  </w:r>
                </w:p>
              </w:tc>
              <w:tc>
                <w:tcPr>
                  <w:tcW w:w="1062" w:type="pct"/>
                  <w:tcBorders>
                    <w:tl2br w:val="nil"/>
                    <w:tr2bl w:val="nil"/>
                  </w:tcBorders>
                  <w:noWrap w:val="0"/>
                  <w:vAlign w:val="center"/>
                </w:tcPr>
                <w:p w14:paraId="762692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厂界南侧</w:t>
                  </w:r>
                </w:p>
              </w:tc>
              <w:tc>
                <w:tcPr>
                  <w:tcW w:w="1165" w:type="pct"/>
                  <w:tcBorders>
                    <w:tl2br w:val="nil"/>
                    <w:tr2bl w:val="nil"/>
                  </w:tcBorders>
                  <w:noWrap w:val="0"/>
                  <w:vAlign w:val="center"/>
                </w:tcPr>
                <w:p w14:paraId="3AFF49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厂界外1处</w:t>
                  </w:r>
                </w:p>
              </w:tc>
              <w:tc>
                <w:tcPr>
                  <w:tcW w:w="1146" w:type="pct"/>
                  <w:vMerge w:val="continue"/>
                  <w:tcBorders>
                    <w:tl2br w:val="nil"/>
                    <w:tr2bl w:val="nil"/>
                  </w:tcBorders>
                  <w:noWrap w:val="0"/>
                  <w:vAlign w:val="center"/>
                </w:tcPr>
                <w:p w14:paraId="151414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p>
              </w:tc>
              <w:tc>
                <w:tcPr>
                  <w:tcW w:w="1035" w:type="pct"/>
                  <w:vMerge w:val="continue"/>
                  <w:tcBorders>
                    <w:tl2br w:val="nil"/>
                    <w:tr2bl w:val="nil"/>
                  </w:tcBorders>
                  <w:noWrap w:val="0"/>
                  <w:vAlign w:val="center"/>
                </w:tcPr>
                <w:p w14:paraId="31955C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p>
              </w:tc>
            </w:tr>
            <w:tr w14:paraId="18C93CB8">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186" w:hRule="atLeast"/>
              </w:trPr>
              <w:tc>
                <w:tcPr>
                  <w:tcW w:w="589" w:type="pct"/>
                  <w:tcBorders>
                    <w:tl2br w:val="nil"/>
                    <w:tr2bl w:val="nil"/>
                  </w:tcBorders>
                  <w:noWrap w:val="0"/>
                  <w:vAlign w:val="center"/>
                </w:tcPr>
                <w:p w14:paraId="4B3D95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w:t>
                  </w:r>
                </w:p>
              </w:tc>
              <w:tc>
                <w:tcPr>
                  <w:tcW w:w="1062" w:type="pct"/>
                  <w:tcBorders>
                    <w:tl2br w:val="nil"/>
                    <w:tr2bl w:val="nil"/>
                  </w:tcBorders>
                  <w:noWrap w:val="0"/>
                  <w:vAlign w:val="center"/>
                </w:tcPr>
                <w:p w14:paraId="0EA3C5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厂界西侧</w:t>
                  </w:r>
                </w:p>
              </w:tc>
              <w:tc>
                <w:tcPr>
                  <w:tcW w:w="1165" w:type="pct"/>
                  <w:tcBorders>
                    <w:tl2br w:val="nil"/>
                    <w:tr2bl w:val="nil"/>
                  </w:tcBorders>
                  <w:noWrap w:val="0"/>
                  <w:vAlign w:val="center"/>
                </w:tcPr>
                <w:p w14:paraId="3E1402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厂界外1处</w:t>
                  </w:r>
                </w:p>
              </w:tc>
              <w:tc>
                <w:tcPr>
                  <w:tcW w:w="1146" w:type="pct"/>
                  <w:vMerge w:val="continue"/>
                  <w:tcBorders>
                    <w:tl2br w:val="nil"/>
                    <w:tr2bl w:val="nil"/>
                  </w:tcBorders>
                  <w:noWrap w:val="0"/>
                  <w:vAlign w:val="center"/>
                </w:tcPr>
                <w:p w14:paraId="7BB097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p>
              </w:tc>
              <w:tc>
                <w:tcPr>
                  <w:tcW w:w="1035" w:type="pct"/>
                  <w:vMerge w:val="continue"/>
                  <w:tcBorders>
                    <w:tl2br w:val="nil"/>
                    <w:tr2bl w:val="nil"/>
                  </w:tcBorders>
                  <w:noWrap w:val="0"/>
                  <w:vAlign w:val="center"/>
                </w:tcPr>
                <w:p w14:paraId="3DD696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p>
              </w:tc>
            </w:tr>
            <w:tr w14:paraId="36AAB524">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322" w:hRule="atLeast"/>
              </w:trPr>
              <w:tc>
                <w:tcPr>
                  <w:tcW w:w="589" w:type="pct"/>
                  <w:tcBorders>
                    <w:tl2br w:val="nil"/>
                    <w:tr2bl w:val="nil"/>
                  </w:tcBorders>
                  <w:noWrap w:val="0"/>
                  <w:vAlign w:val="center"/>
                </w:tcPr>
                <w:p w14:paraId="1CF458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4</w:t>
                  </w:r>
                </w:p>
              </w:tc>
              <w:tc>
                <w:tcPr>
                  <w:tcW w:w="1062" w:type="pct"/>
                  <w:tcBorders>
                    <w:tl2br w:val="nil"/>
                    <w:tr2bl w:val="nil"/>
                  </w:tcBorders>
                  <w:noWrap w:val="0"/>
                  <w:vAlign w:val="center"/>
                </w:tcPr>
                <w:p w14:paraId="3C7D4B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厂界北侧</w:t>
                  </w:r>
                </w:p>
              </w:tc>
              <w:tc>
                <w:tcPr>
                  <w:tcW w:w="1165" w:type="pct"/>
                  <w:tcBorders>
                    <w:tl2br w:val="nil"/>
                    <w:tr2bl w:val="nil"/>
                  </w:tcBorders>
                  <w:noWrap w:val="0"/>
                  <w:vAlign w:val="center"/>
                </w:tcPr>
                <w:p w14:paraId="6AA875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厂界外1处</w:t>
                  </w:r>
                </w:p>
              </w:tc>
              <w:tc>
                <w:tcPr>
                  <w:tcW w:w="1146" w:type="pct"/>
                  <w:vMerge w:val="continue"/>
                  <w:tcBorders>
                    <w:tl2br w:val="nil"/>
                    <w:tr2bl w:val="nil"/>
                  </w:tcBorders>
                  <w:noWrap w:val="0"/>
                  <w:vAlign w:val="center"/>
                </w:tcPr>
                <w:p w14:paraId="02A915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p>
              </w:tc>
              <w:tc>
                <w:tcPr>
                  <w:tcW w:w="1035" w:type="pct"/>
                  <w:vMerge w:val="continue"/>
                  <w:tcBorders>
                    <w:tl2br w:val="nil"/>
                    <w:tr2bl w:val="nil"/>
                  </w:tcBorders>
                  <w:noWrap w:val="0"/>
                  <w:vAlign w:val="center"/>
                </w:tcPr>
                <w:p w14:paraId="416F9B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4"/>
                      <w:szCs w:val="24"/>
                      <w:highlight w:val="none"/>
                      <w:lang w:val="en-US" w:eastAsia="zh-CN"/>
                    </w:rPr>
                  </w:pPr>
                </w:p>
              </w:tc>
            </w:tr>
          </w:tbl>
          <w:p w14:paraId="6C09F96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②检测结果</w:t>
            </w:r>
          </w:p>
          <w:p w14:paraId="4D5E4B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表3-</w:t>
            </w:r>
            <w:r>
              <w:rPr>
                <w:rFonts w:hint="eastAsia" w:cs="Times New Roman"/>
                <w:b/>
                <w:bCs/>
                <w:color w:val="auto"/>
                <w:sz w:val="24"/>
                <w:szCs w:val="24"/>
                <w:highlight w:val="none"/>
                <w:lang w:val="en-US" w:eastAsia="zh-CN"/>
              </w:rPr>
              <w:t>1-4</w:t>
            </w:r>
            <w:r>
              <w:rPr>
                <w:rFonts w:hint="default" w:ascii="Times New Roman" w:hAnsi="Times New Roman" w:eastAsia="宋体" w:cs="Times New Roman"/>
                <w:b/>
                <w:bCs/>
                <w:color w:val="auto"/>
                <w:sz w:val="24"/>
                <w:szCs w:val="24"/>
                <w:highlight w:val="none"/>
                <w:lang w:val="en-US" w:eastAsia="zh-CN"/>
              </w:rPr>
              <w:t>项目四周声环境质量现状监测结果</w:t>
            </w:r>
          </w:p>
          <w:tbl>
            <w:tblPr>
              <w:tblStyle w:val="15"/>
              <w:tblW w:w="79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
              <w:gridCol w:w="889"/>
              <w:gridCol w:w="1238"/>
              <w:gridCol w:w="1302"/>
              <w:gridCol w:w="482"/>
              <w:gridCol w:w="1195"/>
              <w:gridCol w:w="1273"/>
              <w:gridCol w:w="445"/>
              <w:gridCol w:w="711"/>
            </w:tblGrid>
            <w:tr w14:paraId="48CBB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439" w:type="dxa"/>
                  <w:vMerge w:val="restart"/>
                  <w:noWrap w:val="0"/>
                  <w:vAlign w:val="center"/>
                </w:tcPr>
                <w:p w14:paraId="10CEA49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序号</w:t>
                  </w:r>
                </w:p>
              </w:tc>
              <w:tc>
                <w:tcPr>
                  <w:tcW w:w="889" w:type="dxa"/>
                  <w:vMerge w:val="restart"/>
                  <w:noWrap w:val="0"/>
                  <w:vAlign w:val="center"/>
                </w:tcPr>
                <w:p w14:paraId="3AA7E7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测量方位</w:t>
                  </w:r>
                </w:p>
              </w:tc>
              <w:tc>
                <w:tcPr>
                  <w:tcW w:w="3022" w:type="dxa"/>
                  <w:gridSpan w:val="3"/>
                  <w:noWrap w:val="0"/>
                  <w:vAlign w:val="center"/>
                </w:tcPr>
                <w:p w14:paraId="224D95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昼间</w:t>
                  </w:r>
                  <w:r>
                    <w:rPr>
                      <w:rFonts w:hint="default" w:ascii="Times New Roman" w:hAnsi="Times New Roman" w:cs="Times New Roman"/>
                      <w:b w:val="0"/>
                      <w:bCs w:val="0"/>
                      <w:color w:val="auto"/>
                      <w:sz w:val="21"/>
                      <w:szCs w:val="21"/>
                      <w:highlight w:val="none"/>
                      <w:lang w:val="en-US" w:eastAsia="zh-CN"/>
                    </w:rPr>
                    <w:t>dB（A）</w:t>
                  </w:r>
                </w:p>
              </w:tc>
              <w:tc>
                <w:tcPr>
                  <w:tcW w:w="2913" w:type="dxa"/>
                  <w:gridSpan w:val="3"/>
                  <w:noWrap w:val="0"/>
                  <w:vAlign w:val="center"/>
                </w:tcPr>
                <w:p w14:paraId="6D0D01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夜间</w:t>
                  </w:r>
                  <w:r>
                    <w:rPr>
                      <w:rFonts w:hint="default" w:ascii="Times New Roman" w:hAnsi="Times New Roman" w:cs="Times New Roman"/>
                      <w:b w:val="0"/>
                      <w:bCs w:val="0"/>
                      <w:color w:val="auto"/>
                      <w:sz w:val="21"/>
                      <w:szCs w:val="21"/>
                      <w:highlight w:val="none"/>
                      <w:lang w:val="en-US" w:eastAsia="zh-CN"/>
                    </w:rPr>
                    <w:t>dB（A）</w:t>
                  </w:r>
                </w:p>
              </w:tc>
              <w:tc>
                <w:tcPr>
                  <w:tcW w:w="711" w:type="dxa"/>
                  <w:vMerge w:val="restart"/>
                  <w:noWrap w:val="0"/>
                  <w:vAlign w:val="center"/>
                </w:tcPr>
                <w:p w14:paraId="41A7DB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是否达标</w:t>
                  </w:r>
                </w:p>
              </w:tc>
            </w:tr>
            <w:tr w14:paraId="0EF8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439" w:type="dxa"/>
                  <w:vMerge w:val="continue"/>
                  <w:noWrap w:val="0"/>
                  <w:vAlign w:val="center"/>
                </w:tcPr>
                <w:p w14:paraId="68604E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889" w:type="dxa"/>
                  <w:vMerge w:val="continue"/>
                  <w:noWrap w:val="0"/>
                  <w:vAlign w:val="center"/>
                </w:tcPr>
                <w:p w14:paraId="1D09BB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2540" w:type="dxa"/>
                  <w:gridSpan w:val="2"/>
                  <w:noWrap w:val="0"/>
                  <w:vAlign w:val="center"/>
                </w:tcPr>
                <w:p w14:paraId="1B3137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检测结果</w:t>
                  </w:r>
                </w:p>
              </w:tc>
              <w:tc>
                <w:tcPr>
                  <w:tcW w:w="482" w:type="dxa"/>
                  <w:vMerge w:val="restart"/>
                  <w:noWrap w:val="0"/>
                  <w:vAlign w:val="center"/>
                </w:tcPr>
                <w:p w14:paraId="63E5EC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标准限值</w:t>
                  </w:r>
                </w:p>
              </w:tc>
              <w:tc>
                <w:tcPr>
                  <w:tcW w:w="2468" w:type="dxa"/>
                  <w:gridSpan w:val="2"/>
                  <w:noWrap w:val="0"/>
                  <w:vAlign w:val="center"/>
                </w:tcPr>
                <w:p w14:paraId="759403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检测结果</w:t>
                  </w:r>
                </w:p>
              </w:tc>
              <w:tc>
                <w:tcPr>
                  <w:tcW w:w="445" w:type="dxa"/>
                  <w:vMerge w:val="restart"/>
                  <w:noWrap w:val="0"/>
                  <w:vAlign w:val="center"/>
                </w:tcPr>
                <w:p w14:paraId="1A8E6F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标准限值</w:t>
                  </w:r>
                </w:p>
              </w:tc>
              <w:tc>
                <w:tcPr>
                  <w:tcW w:w="711" w:type="dxa"/>
                  <w:vMerge w:val="continue"/>
                  <w:noWrap w:val="0"/>
                  <w:vAlign w:val="center"/>
                </w:tcPr>
                <w:p w14:paraId="07AB4D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1FE4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9" w:type="dxa"/>
                  <w:vMerge w:val="continue"/>
                  <w:noWrap w:val="0"/>
                  <w:vAlign w:val="center"/>
                </w:tcPr>
                <w:p w14:paraId="069432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889" w:type="dxa"/>
                  <w:vMerge w:val="continue"/>
                  <w:noWrap w:val="0"/>
                  <w:vAlign w:val="center"/>
                </w:tcPr>
                <w:p w14:paraId="3E6CD2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238" w:type="dxa"/>
                  <w:noWrap w:val="0"/>
                  <w:vAlign w:val="center"/>
                </w:tcPr>
                <w:p w14:paraId="174A1A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2026.04.28</w:t>
                  </w:r>
                </w:p>
              </w:tc>
              <w:tc>
                <w:tcPr>
                  <w:tcW w:w="1302" w:type="dxa"/>
                  <w:noWrap w:val="0"/>
                  <w:vAlign w:val="center"/>
                </w:tcPr>
                <w:p w14:paraId="230B60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2026.04.29</w:t>
                  </w:r>
                </w:p>
              </w:tc>
              <w:tc>
                <w:tcPr>
                  <w:tcW w:w="482" w:type="dxa"/>
                  <w:vMerge w:val="continue"/>
                  <w:noWrap w:val="0"/>
                  <w:vAlign w:val="center"/>
                </w:tcPr>
                <w:p w14:paraId="13E146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195" w:type="dxa"/>
                  <w:shd w:val="clear" w:color="auto" w:fill="auto"/>
                  <w:noWrap w:val="0"/>
                  <w:vAlign w:val="center"/>
                </w:tcPr>
                <w:p w14:paraId="13A9F8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2026.04.28</w:t>
                  </w:r>
                </w:p>
              </w:tc>
              <w:tc>
                <w:tcPr>
                  <w:tcW w:w="1273" w:type="dxa"/>
                  <w:shd w:val="clear" w:color="auto" w:fill="auto"/>
                  <w:noWrap w:val="0"/>
                  <w:vAlign w:val="center"/>
                </w:tcPr>
                <w:p w14:paraId="2F39B7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2026.04.29</w:t>
                  </w:r>
                </w:p>
              </w:tc>
              <w:tc>
                <w:tcPr>
                  <w:tcW w:w="445" w:type="dxa"/>
                  <w:vMerge w:val="continue"/>
                  <w:noWrap w:val="0"/>
                  <w:vAlign w:val="center"/>
                </w:tcPr>
                <w:p w14:paraId="4704C2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1" w:type="dxa"/>
                  <w:vMerge w:val="continue"/>
                  <w:noWrap w:val="0"/>
                  <w:vAlign w:val="center"/>
                </w:tcPr>
                <w:p w14:paraId="3D21A4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266F4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dxa"/>
                  <w:noWrap w:val="0"/>
                  <w:vAlign w:val="center"/>
                </w:tcPr>
                <w:p w14:paraId="67ADAF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w:t>
                  </w:r>
                </w:p>
              </w:tc>
              <w:tc>
                <w:tcPr>
                  <w:tcW w:w="889" w:type="dxa"/>
                  <w:noWrap w:val="0"/>
                  <w:vAlign w:val="center"/>
                </w:tcPr>
                <w:p w14:paraId="0409CC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东厂界</w:t>
                  </w:r>
                </w:p>
              </w:tc>
              <w:tc>
                <w:tcPr>
                  <w:tcW w:w="1238" w:type="dxa"/>
                  <w:noWrap w:val="0"/>
                  <w:vAlign w:val="center"/>
                </w:tcPr>
                <w:p w14:paraId="13C9DA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54</w:t>
                  </w:r>
                </w:p>
              </w:tc>
              <w:tc>
                <w:tcPr>
                  <w:tcW w:w="1302" w:type="dxa"/>
                  <w:noWrap w:val="0"/>
                  <w:vAlign w:val="center"/>
                </w:tcPr>
                <w:p w14:paraId="579A4F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56</w:t>
                  </w:r>
                </w:p>
              </w:tc>
              <w:tc>
                <w:tcPr>
                  <w:tcW w:w="482" w:type="dxa"/>
                  <w:vMerge w:val="restart"/>
                  <w:noWrap w:val="0"/>
                  <w:vAlign w:val="center"/>
                </w:tcPr>
                <w:p w14:paraId="56BFD5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65</w:t>
                  </w:r>
                </w:p>
              </w:tc>
              <w:tc>
                <w:tcPr>
                  <w:tcW w:w="1195" w:type="dxa"/>
                  <w:noWrap w:val="0"/>
                  <w:vAlign w:val="center"/>
                </w:tcPr>
                <w:p w14:paraId="0ACC18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44</w:t>
                  </w:r>
                </w:p>
              </w:tc>
              <w:tc>
                <w:tcPr>
                  <w:tcW w:w="1273" w:type="dxa"/>
                  <w:noWrap w:val="0"/>
                  <w:vAlign w:val="center"/>
                </w:tcPr>
                <w:p w14:paraId="250CED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44</w:t>
                  </w:r>
                </w:p>
              </w:tc>
              <w:tc>
                <w:tcPr>
                  <w:tcW w:w="445" w:type="dxa"/>
                  <w:vMerge w:val="restart"/>
                  <w:noWrap w:val="0"/>
                  <w:vAlign w:val="center"/>
                </w:tcPr>
                <w:p w14:paraId="77B518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55</w:t>
                  </w:r>
                </w:p>
              </w:tc>
              <w:tc>
                <w:tcPr>
                  <w:tcW w:w="711" w:type="dxa"/>
                  <w:noWrap w:val="0"/>
                  <w:vAlign w:val="center"/>
                </w:tcPr>
                <w:p w14:paraId="5CCDB0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达标</w:t>
                  </w:r>
                </w:p>
              </w:tc>
            </w:tr>
            <w:tr w14:paraId="0CCA7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dxa"/>
                  <w:noWrap w:val="0"/>
                  <w:vAlign w:val="center"/>
                </w:tcPr>
                <w:p w14:paraId="7B5374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w:t>
                  </w:r>
                </w:p>
              </w:tc>
              <w:tc>
                <w:tcPr>
                  <w:tcW w:w="889" w:type="dxa"/>
                  <w:noWrap w:val="0"/>
                  <w:vAlign w:val="center"/>
                </w:tcPr>
                <w:p w14:paraId="3C3E57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西厂界</w:t>
                  </w:r>
                </w:p>
              </w:tc>
              <w:tc>
                <w:tcPr>
                  <w:tcW w:w="1238" w:type="dxa"/>
                  <w:noWrap w:val="0"/>
                  <w:vAlign w:val="center"/>
                </w:tcPr>
                <w:p w14:paraId="50AD31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5</w:t>
                  </w:r>
                  <w:r>
                    <w:rPr>
                      <w:rFonts w:hint="default" w:ascii="Times New Roman" w:hAnsi="Times New Roman" w:cs="Times New Roman"/>
                      <w:b w:val="0"/>
                      <w:bCs w:val="0"/>
                      <w:color w:val="auto"/>
                      <w:sz w:val="21"/>
                      <w:szCs w:val="21"/>
                      <w:highlight w:val="none"/>
                      <w:lang w:val="en-US" w:eastAsia="zh-CN"/>
                    </w:rPr>
                    <w:t>1</w:t>
                  </w:r>
                </w:p>
              </w:tc>
              <w:tc>
                <w:tcPr>
                  <w:tcW w:w="1302" w:type="dxa"/>
                  <w:noWrap w:val="0"/>
                  <w:vAlign w:val="center"/>
                </w:tcPr>
                <w:p w14:paraId="3ABD44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53</w:t>
                  </w:r>
                </w:p>
              </w:tc>
              <w:tc>
                <w:tcPr>
                  <w:tcW w:w="482" w:type="dxa"/>
                  <w:vMerge w:val="continue"/>
                  <w:noWrap w:val="0"/>
                  <w:vAlign w:val="center"/>
                </w:tcPr>
                <w:p w14:paraId="4CED5F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195" w:type="dxa"/>
                  <w:noWrap w:val="0"/>
                  <w:vAlign w:val="center"/>
                </w:tcPr>
                <w:p w14:paraId="6C4911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44</w:t>
                  </w:r>
                </w:p>
              </w:tc>
              <w:tc>
                <w:tcPr>
                  <w:tcW w:w="1273" w:type="dxa"/>
                  <w:noWrap w:val="0"/>
                  <w:vAlign w:val="center"/>
                </w:tcPr>
                <w:p w14:paraId="50CCF9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44</w:t>
                  </w:r>
                </w:p>
              </w:tc>
              <w:tc>
                <w:tcPr>
                  <w:tcW w:w="445" w:type="dxa"/>
                  <w:vMerge w:val="continue"/>
                  <w:noWrap w:val="0"/>
                  <w:vAlign w:val="center"/>
                </w:tcPr>
                <w:p w14:paraId="0A77A6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1" w:type="dxa"/>
                  <w:noWrap w:val="0"/>
                  <w:vAlign w:val="center"/>
                </w:tcPr>
                <w:p w14:paraId="19FAD1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达标</w:t>
                  </w:r>
                </w:p>
              </w:tc>
            </w:tr>
            <w:tr w14:paraId="44BA0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dxa"/>
                  <w:noWrap w:val="0"/>
                  <w:vAlign w:val="center"/>
                </w:tcPr>
                <w:p w14:paraId="3A23E4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w:t>
                  </w:r>
                </w:p>
              </w:tc>
              <w:tc>
                <w:tcPr>
                  <w:tcW w:w="889" w:type="dxa"/>
                  <w:noWrap w:val="0"/>
                  <w:vAlign w:val="center"/>
                </w:tcPr>
                <w:p w14:paraId="48AAC8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南厂界</w:t>
                  </w:r>
                </w:p>
              </w:tc>
              <w:tc>
                <w:tcPr>
                  <w:tcW w:w="1238" w:type="dxa"/>
                  <w:noWrap w:val="0"/>
                  <w:vAlign w:val="center"/>
                </w:tcPr>
                <w:p w14:paraId="0314DA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5</w:t>
                  </w:r>
                  <w:r>
                    <w:rPr>
                      <w:rFonts w:hint="default" w:ascii="Times New Roman" w:hAnsi="Times New Roman" w:cs="Times New Roman"/>
                      <w:b w:val="0"/>
                      <w:bCs w:val="0"/>
                      <w:color w:val="auto"/>
                      <w:sz w:val="21"/>
                      <w:szCs w:val="21"/>
                      <w:highlight w:val="none"/>
                      <w:lang w:val="en-US" w:eastAsia="zh-CN"/>
                    </w:rPr>
                    <w:t>0</w:t>
                  </w:r>
                </w:p>
              </w:tc>
              <w:tc>
                <w:tcPr>
                  <w:tcW w:w="1302" w:type="dxa"/>
                  <w:noWrap w:val="0"/>
                  <w:vAlign w:val="center"/>
                </w:tcPr>
                <w:p w14:paraId="7DC0B1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54</w:t>
                  </w:r>
                </w:p>
              </w:tc>
              <w:tc>
                <w:tcPr>
                  <w:tcW w:w="482" w:type="dxa"/>
                  <w:vMerge w:val="continue"/>
                  <w:noWrap w:val="0"/>
                  <w:vAlign w:val="center"/>
                </w:tcPr>
                <w:p w14:paraId="5380E0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195" w:type="dxa"/>
                  <w:noWrap w:val="0"/>
                  <w:vAlign w:val="center"/>
                </w:tcPr>
                <w:p w14:paraId="62B607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47</w:t>
                  </w:r>
                </w:p>
              </w:tc>
              <w:tc>
                <w:tcPr>
                  <w:tcW w:w="1273" w:type="dxa"/>
                  <w:noWrap w:val="0"/>
                  <w:vAlign w:val="center"/>
                </w:tcPr>
                <w:p w14:paraId="25DA00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44</w:t>
                  </w:r>
                </w:p>
              </w:tc>
              <w:tc>
                <w:tcPr>
                  <w:tcW w:w="445" w:type="dxa"/>
                  <w:vMerge w:val="continue"/>
                  <w:noWrap w:val="0"/>
                  <w:vAlign w:val="center"/>
                </w:tcPr>
                <w:p w14:paraId="50434D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1" w:type="dxa"/>
                  <w:noWrap w:val="0"/>
                  <w:vAlign w:val="center"/>
                </w:tcPr>
                <w:p w14:paraId="6E80C2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达标</w:t>
                  </w:r>
                </w:p>
              </w:tc>
            </w:tr>
            <w:tr w14:paraId="4BCC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dxa"/>
                  <w:noWrap w:val="0"/>
                  <w:vAlign w:val="center"/>
                </w:tcPr>
                <w:p w14:paraId="166EA9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w:t>
                  </w:r>
                </w:p>
              </w:tc>
              <w:tc>
                <w:tcPr>
                  <w:tcW w:w="889" w:type="dxa"/>
                  <w:noWrap w:val="0"/>
                  <w:vAlign w:val="center"/>
                </w:tcPr>
                <w:p w14:paraId="3BE4B5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北厂界</w:t>
                  </w:r>
                </w:p>
              </w:tc>
              <w:tc>
                <w:tcPr>
                  <w:tcW w:w="1238" w:type="dxa"/>
                  <w:noWrap w:val="0"/>
                  <w:vAlign w:val="center"/>
                </w:tcPr>
                <w:p w14:paraId="1E2779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48</w:t>
                  </w:r>
                </w:p>
              </w:tc>
              <w:tc>
                <w:tcPr>
                  <w:tcW w:w="1302" w:type="dxa"/>
                  <w:noWrap w:val="0"/>
                  <w:vAlign w:val="center"/>
                </w:tcPr>
                <w:p w14:paraId="39BC6D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55</w:t>
                  </w:r>
                </w:p>
              </w:tc>
              <w:tc>
                <w:tcPr>
                  <w:tcW w:w="482" w:type="dxa"/>
                  <w:vMerge w:val="continue"/>
                  <w:noWrap w:val="0"/>
                  <w:vAlign w:val="center"/>
                </w:tcPr>
                <w:p w14:paraId="1AEA5A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195" w:type="dxa"/>
                  <w:noWrap w:val="0"/>
                  <w:vAlign w:val="center"/>
                </w:tcPr>
                <w:p w14:paraId="6DB487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47</w:t>
                  </w:r>
                </w:p>
              </w:tc>
              <w:tc>
                <w:tcPr>
                  <w:tcW w:w="1273" w:type="dxa"/>
                  <w:noWrap w:val="0"/>
                  <w:vAlign w:val="center"/>
                </w:tcPr>
                <w:p w14:paraId="52325F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43</w:t>
                  </w:r>
                </w:p>
              </w:tc>
              <w:tc>
                <w:tcPr>
                  <w:tcW w:w="445" w:type="dxa"/>
                  <w:vMerge w:val="continue"/>
                  <w:noWrap w:val="0"/>
                  <w:vAlign w:val="center"/>
                </w:tcPr>
                <w:p w14:paraId="4C4EA2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11" w:type="dxa"/>
                  <w:noWrap w:val="0"/>
                  <w:vAlign w:val="center"/>
                </w:tcPr>
                <w:p w14:paraId="418221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达标</w:t>
                  </w:r>
                </w:p>
              </w:tc>
            </w:tr>
          </w:tbl>
          <w:p w14:paraId="4EE1FB0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监测结果表明，项目所有监测点昼夜间噪声值均满足《声环境质量标准》（</w:t>
            </w:r>
            <w:r>
              <w:rPr>
                <w:rFonts w:hint="default" w:ascii="Times New Roman" w:hAnsi="Times New Roman" w:cs="Times New Roman"/>
                <w:b w:val="0"/>
                <w:bCs w:val="0"/>
                <w:color w:val="auto"/>
                <w:sz w:val="24"/>
                <w:szCs w:val="24"/>
                <w:highlight w:val="none"/>
                <w:lang w:val="en-US" w:eastAsia="zh-CN"/>
              </w:rPr>
              <w:t>GB</w:t>
            </w:r>
            <w:r>
              <w:rPr>
                <w:rFonts w:hint="default" w:ascii="Times New Roman" w:hAnsi="Times New Roman" w:eastAsia="宋体" w:cs="Times New Roman"/>
                <w:b w:val="0"/>
                <w:bCs w:val="0"/>
                <w:color w:val="auto"/>
                <w:sz w:val="24"/>
                <w:szCs w:val="24"/>
                <w:highlight w:val="none"/>
                <w:lang w:val="en-US" w:eastAsia="zh-CN"/>
              </w:rPr>
              <w:t>3096-2008）中</w:t>
            </w:r>
            <w:r>
              <w:rPr>
                <w:rFonts w:hint="default" w:ascii="Times New Roman" w:hAnsi="Times New Roman"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类标准限值。表明项目所在地在监测期间声环境质量较好。</w:t>
            </w:r>
          </w:p>
          <w:p w14:paraId="1843E838">
            <w:pPr>
              <w:spacing w:line="360" w:lineRule="auto"/>
              <w:ind w:firstLine="0" w:firstLineChars="0"/>
              <w:rPr>
                <w:rFonts w:hint="default" w:eastAsia="宋体"/>
                <w:b/>
                <w:bCs/>
                <w:color w:val="auto"/>
                <w:sz w:val="24"/>
                <w:szCs w:val="24"/>
                <w:highlight w:val="none"/>
                <w:lang w:val="en-US" w:eastAsia="zh-CN"/>
              </w:rPr>
            </w:pPr>
            <w:r>
              <w:rPr>
                <w:rFonts w:hint="eastAsia"/>
                <w:b/>
                <w:bCs/>
                <w:color w:val="auto"/>
                <w:sz w:val="24"/>
                <w:szCs w:val="24"/>
                <w:highlight w:val="none"/>
                <w:lang w:val="en-US" w:eastAsia="zh-CN"/>
              </w:rPr>
              <w:t>3、</w:t>
            </w:r>
            <w:r>
              <w:rPr>
                <w:rFonts w:hint="eastAsia"/>
                <w:b/>
                <w:bCs/>
                <w:color w:val="auto"/>
                <w:sz w:val="24"/>
                <w:szCs w:val="24"/>
                <w:highlight w:val="none"/>
              </w:rPr>
              <w:t>地下水</w:t>
            </w:r>
            <w:r>
              <w:rPr>
                <w:rFonts w:hint="eastAsia"/>
                <w:b/>
                <w:bCs/>
                <w:color w:val="auto"/>
                <w:sz w:val="24"/>
                <w:szCs w:val="24"/>
                <w:highlight w:val="none"/>
                <w:lang w:eastAsia="zh-CN"/>
              </w:rPr>
              <w:t>、</w:t>
            </w:r>
            <w:r>
              <w:rPr>
                <w:rFonts w:hint="eastAsia"/>
                <w:b/>
                <w:bCs/>
                <w:color w:val="auto"/>
                <w:sz w:val="24"/>
                <w:szCs w:val="24"/>
                <w:highlight w:val="none"/>
                <w:lang w:val="en-US" w:eastAsia="zh-CN"/>
              </w:rPr>
              <w:t>土壤环境</w:t>
            </w:r>
          </w:p>
          <w:p w14:paraId="3798E55A">
            <w:pPr>
              <w:keepNext w:val="0"/>
              <w:keepLines w:val="0"/>
              <w:widowControl/>
              <w:suppressLineNumbers w:val="0"/>
              <w:spacing w:line="360" w:lineRule="auto"/>
              <w:jc w:val="left"/>
              <w:rPr>
                <w:color w:val="auto"/>
                <w:highlight w:val="none"/>
              </w:rPr>
            </w:pPr>
            <w:r>
              <w:rPr>
                <w:rFonts w:hint="eastAsia"/>
                <w:color w:val="auto"/>
                <w:sz w:val="24"/>
                <w:szCs w:val="24"/>
                <w:highlight w:val="none"/>
                <w:lang w:val="en-US" w:eastAsia="zh-CN"/>
              </w:rPr>
              <w:t>根据《建设项目环境影响报告表编制技术指南（污染影响类）（试行）》中要求，地下水、土壤环境原则上不开展环境质量现状调查。</w:t>
            </w:r>
            <w:r>
              <w:rPr>
                <w:rFonts w:hint="eastAsia" w:asciiTheme="minorEastAsia" w:hAnsiTheme="minorEastAsia" w:eastAsiaTheme="minorEastAsia" w:cstheme="minorEastAsia"/>
                <w:color w:val="auto"/>
                <w:kern w:val="0"/>
                <w:sz w:val="24"/>
                <w:szCs w:val="24"/>
                <w:highlight w:val="none"/>
                <w:lang w:val="en-US" w:eastAsia="zh-CN" w:bidi="ar"/>
              </w:rPr>
              <w:t>本搅拌站全场作业区、物料堆放区、通行区域等均采用C25抗渗混凝土全覆盖硬化处理，重点区域加厚浇筑并做好缝隙密封防渗及排水找坡，配套蓄水池采用钢筋混凝土复合防渗结构，同时采用地上钢结构蓄水罐储存用水，全程无地下储水设施，雨水均可集中收集循环利用，有效阻断污染物下渗途径，彻底隔绝生产活动与原生土壤、地下水的接触，运营过程中不会对区域土壤及地下水环境造成影响</w:t>
            </w:r>
            <w:r>
              <w:rPr>
                <w:rFonts w:ascii="宋体" w:hAnsi="宋体" w:eastAsia="宋体" w:cs="宋体"/>
                <w:color w:val="auto"/>
                <w:kern w:val="0"/>
                <w:sz w:val="24"/>
                <w:szCs w:val="24"/>
                <w:highlight w:val="none"/>
                <w:lang w:val="en-US" w:eastAsia="zh-CN" w:bidi="ar"/>
              </w:rPr>
              <w:t>。</w:t>
            </w:r>
          </w:p>
        </w:tc>
      </w:tr>
      <w:tr w14:paraId="51B14A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725" w:type="dxa"/>
            <w:noWrap w:val="0"/>
            <w:vAlign w:val="center"/>
          </w:tcPr>
          <w:p w14:paraId="7C6FC9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highlight w:val="none"/>
              </w:rPr>
            </w:pPr>
            <w:r>
              <w:rPr>
                <w:rFonts w:hint="eastAsia"/>
                <w:color w:val="auto"/>
                <w:highlight w:val="none"/>
              </w:rPr>
              <w:t>环境保护目标</w:t>
            </w:r>
          </w:p>
        </w:tc>
        <w:tc>
          <w:tcPr>
            <w:tcW w:w="8265" w:type="dxa"/>
            <w:noWrap w:val="0"/>
            <w:vAlign w:val="center"/>
          </w:tcPr>
          <w:p w14:paraId="792FA33F">
            <w:pPr>
              <w:pStyle w:val="6"/>
              <w:bidi w:val="0"/>
              <w:spacing w:line="360" w:lineRule="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eastAsia="zh-CN"/>
              </w:rPr>
              <w:t>本项目位于</w:t>
            </w:r>
            <w:r>
              <w:rPr>
                <w:rFonts w:hint="eastAsia" w:asciiTheme="minorEastAsia" w:hAnsiTheme="minorEastAsia" w:eastAsiaTheme="minorEastAsia" w:cstheme="minorEastAsia"/>
                <w:color w:val="auto"/>
                <w:sz w:val="24"/>
                <w:szCs w:val="24"/>
                <w:highlight w:val="none"/>
                <w:lang w:val="en-US" w:eastAsia="zh-CN"/>
              </w:rPr>
              <w:t>内蒙古自治区鄂尔多斯市东胜区万利镇</w:t>
            </w:r>
            <w:r>
              <w:rPr>
                <w:rFonts w:hint="eastAsia" w:asciiTheme="minorEastAsia" w:hAnsiTheme="minorEastAsia" w:eastAsiaTheme="minorEastAsia" w:cstheme="minorEastAsia"/>
                <w:color w:val="auto"/>
                <w:sz w:val="24"/>
                <w:szCs w:val="24"/>
                <w:highlight w:val="none"/>
                <w:u w:val="none"/>
              </w:rPr>
              <w:t>国能包头能源有限责任公司万利一矿</w:t>
            </w:r>
            <w:r>
              <w:rPr>
                <w:rFonts w:hint="eastAsia" w:asciiTheme="minorEastAsia" w:hAnsiTheme="minorEastAsia" w:eastAsiaTheme="minorEastAsia" w:cstheme="minorEastAsia"/>
                <w:color w:val="auto"/>
                <w:sz w:val="24"/>
                <w:szCs w:val="24"/>
                <w:highlight w:val="none"/>
                <w:u w:val="none"/>
                <w:lang w:val="en-US" w:eastAsia="zh-CN"/>
              </w:rPr>
              <w:t>工业广场现有空地</w:t>
            </w:r>
            <w:r>
              <w:rPr>
                <w:rFonts w:hint="eastAsia" w:asciiTheme="minorEastAsia" w:hAnsiTheme="minorEastAsia" w:eastAsiaTheme="minorEastAsia" w:cstheme="minorEastAsia"/>
                <w:color w:val="auto"/>
                <w:sz w:val="24"/>
                <w:szCs w:val="24"/>
                <w:highlight w:val="none"/>
                <w:lang w:eastAsia="zh-CN"/>
              </w:rPr>
              <w:t>。根据现场调查，本项目周围不涉及自然保护区、风景名胜区、水源保护区等重要生态保护区域。项目区域内无铁路、重要公路、大型电力、水利等重要国民经济建筑物及军事设施，项目厂界外</w:t>
            </w:r>
            <w:r>
              <w:rPr>
                <w:rFonts w:hint="eastAsia" w:asciiTheme="minorEastAsia" w:hAnsiTheme="minorEastAsia" w:eastAsiaTheme="minorEastAsia" w:cstheme="minorEastAsia"/>
                <w:color w:val="auto"/>
                <w:sz w:val="24"/>
                <w:szCs w:val="24"/>
                <w:highlight w:val="none"/>
                <w:lang w:val="en-US" w:eastAsia="zh-CN"/>
              </w:rPr>
              <w:t>500m范围内无居住区、文化区和农村地区人群较集中区域。</w:t>
            </w:r>
          </w:p>
          <w:p w14:paraId="43CD42AE">
            <w:pPr>
              <w:pStyle w:val="6"/>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color w:val="auto"/>
                <w:highlight w:val="none"/>
                <w:lang w:val="en-US" w:eastAsia="zh-CN"/>
              </w:rPr>
            </w:pPr>
            <w:r>
              <w:rPr>
                <w:rFonts w:hint="eastAsia"/>
                <w:b/>
                <w:bCs/>
                <w:color w:val="auto"/>
                <w:highlight w:val="none"/>
                <w:lang w:val="en-US" w:eastAsia="zh-CN"/>
              </w:rPr>
              <w:t>表3-1-5环境保护目标一览表</w:t>
            </w:r>
          </w:p>
          <w:tbl>
            <w:tblPr>
              <w:tblStyle w:val="15"/>
              <w:tblW w:w="7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0"/>
              <w:gridCol w:w="658"/>
              <w:gridCol w:w="1088"/>
              <w:gridCol w:w="1137"/>
              <w:gridCol w:w="1125"/>
              <w:gridCol w:w="1138"/>
              <w:gridCol w:w="1548"/>
            </w:tblGrid>
            <w:tr w14:paraId="23DAC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0" w:type="dxa"/>
                  <w:vAlign w:val="center"/>
                </w:tcPr>
                <w:p w14:paraId="4430AC25">
                  <w:pPr>
                    <w:pStyle w:val="6"/>
                    <w:keepNext w:val="0"/>
                    <w:keepLines w:val="0"/>
                    <w:pageBreakBefore w:val="0"/>
                    <w:widowControl/>
                    <w:kinsoku/>
                    <w:wordWrap/>
                    <w:overflowPunct/>
                    <w:topLinePunct w:val="0"/>
                    <w:autoSpaceDE/>
                    <w:autoSpaceDN/>
                    <w:bidi w:val="0"/>
                    <w:adjustRightInd/>
                    <w:snapToGrid w:val="0"/>
                    <w:spacing w:line="36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环境要素</w:t>
                  </w:r>
                </w:p>
              </w:tc>
              <w:tc>
                <w:tcPr>
                  <w:tcW w:w="658" w:type="dxa"/>
                  <w:vAlign w:val="center"/>
                </w:tcPr>
                <w:p w14:paraId="66DCB83F">
                  <w:pPr>
                    <w:pStyle w:val="6"/>
                    <w:keepNext w:val="0"/>
                    <w:keepLines w:val="0"/>
                    <w:pageBreakBefore w:val="0"/>
                    <w:widowControl/>
                    <w:kinsoku/>
                    <w:wordWrap/>
                    <w:overflowPunct/>
                    <w:topLinePunct w:val="0"/>
                    <w:autoSpaceDE/>
                    <w:autoSpaceDN/>
                    <w:bidi w:val="0"/>
                    <w:adjustRightInd/>
                    <w:snapToGrid w:val="0"/>
                    <w:spacing w:line="36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名称</w:t>
                  </w:r>
                </w:p>
              </w:tc>
              <w:tc>
                <w:tcPr>
                  <w:tcW w:w="1088" w:type="dxa"/>
                  <w:vAlign w:val="center"/>
                </w:tcPr>
                <w:p w14:paraId="664D6B91">
                  <w:pPr>
                    <w:pStyle w:val="6"/>
                    <w:keepNext w:val="0"/>
                    <w:keepLines w:val="0"/>
                    <w:pageBreakBefore w:val="0"/>
                    <w:widowControl/>
                    <w:kinsoku/>
                    <w:wordWrap/>
                    <w:overflowPunct/>
                    <w:topLinePunct w:val="0"/>
                    <w:autoSpaceDE/>
                    <w:autoSpaceDN/>
                    <w:bidi w:val="0"/>
                    <w:adjustRightInd/>
                    <w:snapToGrid w:val="0"/>
                    <w:spacing w:line="36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保护对象</w:t>
                  </w:r>
                </w:p>
              </w:tc>
              <w:tc>
                <w:tcPr>
                  <w:tcW w:w="1137" w:type="dxa"/>
                  <w:vAlign w:val="center"/>
                </w:tcPr>
                <w:p w14:paraId="15E9F0CB">
                  <w:pPr>
                    <w:pStyle w:val="6"/>
                    <w:keepNext w:val="0"/>
                    <w:keepLines w:val="0"/>
                    <w:pageBreakBefore w:val="0"/>
                    <w:widowControl/>
                    <w:kinsoku/>
                    <w:wordWrap/>
                    <w:overflowPunct/>
                    <w:topLinePunct w:val="0"/>
                    <w:autoSpaceDE/>
                    <w:autoSpaceDN/>
                    <w:bidi w:val="0"/>
                    <w:adjustRightInd/>
                    <w:snapToGrid w:val="0"/>
                    <w:spacing w:line="36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保护人数</w:t>
                  </w:r>
                </w:p>
              </w:tc>
              <w:tc>
                <w:tcPr>
                  <w:tcW w:w="1125" w:type="dxa"/>
                  <w:vAlign w:val="center"/>
                </w:tcPr>
                <w:p w14:paraId="5AF4E3E7">
                  <w:pPr>
                    <w:pStyle w:val="6"/>
                    <w:keepNext w:val="0"/>
                    <w:keepLines w:val="0"/>
                    <w:pageBreakBefore w:val="0"/>
                    <w:widowControl/>
                    <w:kinsoku/>
                    <w:wordWrap/>
                    <w:overflowPunct/>
                    <w:topLinePunct w:val="0"/>
                    <w:autoSpaceDE/>
                    <w:autoSpaceDN/>
                    <w:bidi w:val="0"/>
                    <w:adjustRightInd/>
                    <w:snapToGrid w:val="0"/>
                    <w:spacing w:line="36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相对厂址位置</w:t>
                  </w:r>
                </w:p>
              </w:tc>
              <w:tc>
                <w:tcPr>
                  <w:tcW w:w="1138" w:type="dxa"/>
                  <w:vAlign w:val="center"/>
                </w:tcPr>
                <w:p w14:paraId="16271D12">
                  <w:pPr>
                    <w:pStyle w:val="6"/>
                    <w:keepNext w:val="0"/>
                    <w:keepLines w:val="0"/>
                    <w:pageBreakBefore w:val="0"/>
                    <w:widowControl/>
                    <w:kinsoku/>
                    <w:wordWrap/>
                    <w:overflowPunct/>
                    <w:topLinePunct w:val="0"/>
                    <w:autoSpaceDE/>
                    <w:autoSpaceDN/>
                    <w:bidi w:val="0"/>
                    <w:adjustRightInd/>
                    <w:snapToGrid w:val="0"/>
                    <w:spacing w:line="36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相对厂界距离</w:t>
                  </w:r>
                </w:p>
              </w:tc>
              <w:tc>
                <w:tcPr>
                  <w:tcW w:w="1548" w:type="dxa"/>
                  <w:vAlign w:val="center"/>
                </w:tcPr>
                <w:p w14:paraId="03A26D37">
                  <w:pPr>
                    <w:pStyle w:val="6"/>
                    <w:keepNext w:val="0"/>
                    <w:keepLines w:val="0"/>
                    <w:pageBreakBefore w:val="0"/>
                    <w:widowControl/>
                    <w:kinsoku/>
                    <w:wordWrap/>
                    <w:overflowPunct/>
                    <w:topLinePunct w:val="0"/>
                    <w:autoSpaceDE/>
                    <w:autoSpaceDN/>
                    <w:bidi w:val="0"/>
                    <w:adjustRightInd/>
                    <w:snapToGrid w:val="0"/>
                    <w:spacing w:line="36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功能要求</w:t>
                  </w:r>
                </w:p>
              </w:tc>
            </w:tr>
            <w:tr w14:paraId="15682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0" w:type="dxa"/>
                  <w:vAlign w:val="center"/>
                </w:tcPr>
                <w:p w14:paraId="7FD36886">
                  <w:pPr>
                    <w:pStyle w:val="6"/>
                    <w:keepNext w:val="0"/>
                    <w:keepLines w:val="0"/>
                    <w:pageBreakBefore w:val="0"/>
                    <w:widowControl/>
                    <w:kinsoku/>
                    <w:wordWrap/>
                    <w:overflowPunct/>
                    <w:topLinePunct w:val="0"/>
                    <w:autoSpaceDE/>
                    <w:autoSpaceDN/>
                    <w:bidi w:val="0"/>
                    <w:adjustRightInd/>
                    <w:snapToGrid w:val="0"/>
                    <w:spacing w:line="36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大气环境</w:t>
                  </w:r>
                </w:p>
              </w:tc>
              <w:tc>
                <w:tcPr>
                  <w:tcW w:w="5146" w:type="dxa"/>
                  <w:gridSpan w:val="5"/>
                  <w:vAlign w:val="center"/>
                </w:tcPr>
                <w:p w14:paraId="564C7961">
                  <w:pPr>
                    <w:keepNext w:val="0"/>
                    <w:keepLines w:val="0"/>
                    <w:widowControl/>
                    <w:suppressLineNumbers w:val="0"/>
                    <w:spacing w:line="360" w:lineRule="auto"/>
                    <w:ind w:left="0" w:leftChars="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厂界外500</w:t>
                  </w:r>
                  <w:r>
                    <w:rPr>
                      <w:rFonts w:hint="eastAsia" w:ascii="宋体" w:hAnsi="宋体" w:cs="宋体"/>
                      <w:color w:val="auto"/>
                      <w:sz w:val="21"/>
                      <w:szCs w:val="21"/>
                      <w:highlight w:val="none"/>
                      <w:vertAlign w:val="baseline"/>
                      <w:lang w:val="en-US" w:eastAsia="zh-CN"/>
                    </w:rPr>
                    <w:t>m</w:t>
                  </w:r>
                  <w:r>
                    <w:rPr>
                      <w:rFonts w:hint="eastAsia" w:ascii="宋体" w:hAnsi="宋体" w:eastAsia="宋体" w:cs="宋体"/>
                      <w:color w:val="auto"/>
                      <w:kern w:val="0"/>
                      <w:sz w:val="21"/>
                      <w:szCs w:val="21"/>
                      <w:highlight w:val="none"/>
                      <w:lang w:val="en-US" w:eastAsia="zh-CN" w:bidi="ar"/>
                    </w:rPr>
                    <w:t>范围内自然保护区、风景名胜区、居</w:t>
                  </w:r>
                  <w:r>
                    <w:rPr>
                      <w:rFonts w:hint="eastAsia" w:ascii="宋体" w:hAnsi="宋体" w:cs="宋体"/>
                      <w:color w:val="auto"/>
                      <w:kern w:val="0"/>
                      <w:sz w:val="21"/>
                      <w:szCs w:val="21"/>
                      <w:highlight w:val="none"/>
                      <w:lang w:val="en-US" w:eastAsia="zh-CN" w:bidi="ar"/>
                    </w:rPr>
                    <w:t>住</w:t>
                  </w:r>
                  <w:r>
                    <w:rPr>
                      <w:rFonts w:hint="eastAsia" w:ascii="宋体" w:hAnsi="宋体" w:eastAsia="宋体" w:cs="宋体"/>
                      <w:color w:val="auto"/>
                      <w:kern w:val="0"/>
                      <w:sz w:val="21"/>
                      <w:szCs w:val="21"/>
                      <w:highlight w:val="none"/>
                      <w:lang w:val="en-US" w:eastAsia="zh-CN" w:bidi="ar"/>
                    </w:rPr>
                    <w:t>区、文化区和农村地区中人群较集中的区域等。</w:t>
                  </w:r>
                </w:p>
              </w:tc>
              <w:tc>
                <w:tcPr>
                  <w:tcW w:w="1548" w:type="dxa"/>
                  <w:vAlign w:val="center"/>
                </w:tcPr>
                <w:p w14:paraId="6135A67E">
                  <w:pPr>
                    <w:pStyle w:val="6"/>
                    <w:keepNext w:val="0"/>
                    <w:keepLines w:val="0"/>
                    <w:pageBreakBefore w:val="0"/>
                    <w:widowControl/>
                    <w:kinsoku/>
                    <w:wordWrap/>
                    <w:overflowPunct/>
                    <w:topLinePunct w:val="0"/>
                    <w:autoSpaceDE/>
                    <w:autoSpaceDN/>
                    <w:bidi w:val="0"/>
                    <w:adjustRightInd/>
                    <w:snapToGrid w:val="0"/>
                    <w:spacing w:line="36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《环境空气质量标准》（</w:t>
                  </w:r>
                  <w:r>
                    <w:rPr>
                      <w:rFonts w:hint="eastAsia" w:ascii="宋体" w:hAnsi="宋体" w:cs="宋体"/>
                      <w:color w:val="auto"/>
                      <w:sz w:val="21"/>
                      <w:szCs w:val="21"/>
                      <w:highlight w:val="none"/>
                      <w:lang w:val="en-US" w:eastAsia="zh-CN"/>
                    </w:rPr>
                    <w:t>GB</w:t>
                  </w:r>
                  <w:r>
                    <w:rPr>
                      <w:rFonts w:hint="eastAsia" w:ascii="宋体" w:hAnsi="宋体" w:eastAsia="宋体" w:cs="宋体"/>
                      <w:color w:val="auto"/>
                      <w:sz w:val="21"/>
                      <w:szCs w:val="21"/>
                      <w:highlight w:val="none"/>
                    </w:rPr>
                    <w:t>3095-2026）</w:t>
                  </w:r>
                  <w:r>
                    <w:rPr>
                      <w:rFonts w:hint="eastAsia" w:ascii="宋体" w:hAnsi="宋体" w:eastAsia="宋体" w:cs="宋体"/>
                      <w:color w:val="auto"/>
                      <w:sz w:val="21"/>
                      <w:szCs w:val="21"/>
                      <w:highlight w:val="none"/>
                      <w:lang w:val="en-US" w:eastAsia="zh-CN"/>
                    </w:rPr>
                    <w:t>二级</w:t>
                  </w:r>
                </w:p>
              </w:tc>
            </w:tr>
            <w:tr w14:paraId="640E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0" w:type="dxa"/>
                  <w:vAlign w:val="center"/>
                </w:tcPr>
                <w:p w14:paraId="64D4C795">
                  <w:pPr>
                    <w:pStyle w:val="6"/>
                    <w:keepNext w:val="0"/>
                    <w:keepLines w:val="0"/>
                    <w:pageBreakBefore w:val="0"/>
                    <w:widowControl/>
                    <w:kinsoku/>
                    <w:wordWrap/>
                    <w:overflowPunct/>
                    <w:topLinePunct w:val="0"/>
                    <w:autoSpaceDE/>
                    <w:autoSpaceDN/>
                    <w:bidi w:val="0"/>
                    <w:adjustRightInd/>
                    <w:snapToGrid w:val="0"/>
                    <w:spacing w:line="36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声环境</w:t>
                  </w:r>
                </w:p>
              </w:tc>
              <w:tc>
                <w:tcPr>
                  <w:tcW w:w="5146" w:type="dxa"/>
                  <w:gridSpan w:val="5"/>
                  <w:vAlign w:val="center"/>
                </w:tcPr>
                <w:p w14:paraId="6129F036">
                  <w:pPr>
                    <w:pStyle w:val="6"/>
                    <w:keepNext w:val="0"/>
                    <w:keepLines w:val="0"/>
                    <w:pageBreakBefore w:val="0"/>
                    <w:widowControl/>
                    <w:kinsoku/>
                    <w:wordWrap/>
                    <w:overflowPunct/>
                    <w:topLinePunct w:val="0"/>
                    <w:autoSpaceDE/>
                    <w:autoSpaceDN/>
                    <w:bidi w:val="0"/>
                    <w:adjustRightInd/>
                    <w:snapToGrid w:val="0"/>
                    <w:spacing w:line="36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厂界外50</w:t>
                  </w:r>
                  <w:r>
                    <w:rPr>
                      <w:rFonts w:hint="eastAsia" w:ascii="宋体" w:hAnsi="宋体" w:cs="宋体"/>
                      <w:color w:val="auto"/>
                      <w:sz w:val="21"/>
                      <w:szCs w:val="21"/>
                      <w:highlight w:val="none"/>
                      <w:vertAlign w:val="baseline"/>
                      <w:lang w:val="en-US" w:eastAsia="zh-CN"/>
                    </w:rPr>
                    <w:t>m</w:t>
                  </w:r>
                  <w:r>
                    <w:rPr>
                      <w:rFonts w:hint="eastAsia" w:ascii="宋体" w:hAnsi="宋体" w:eastAsia="宋体" w:cs="宋体"/>
                      <w:color w:val="auto"/>
                      <w:sz w:val="21"/>
                      <w:szCs w:val="21"/>
                      <w:highlight w:val="none"/>
                      <w:vertAlign w:val="baseline"/>
                      <w:lang w:val="en-US" w:eastAsia="zh-CN"/>
                    </w:rPr>
                    <w:t>范围内无声环境保护目标</w:t>
                  </w:r>
                </w:p>
              </w:tc>
              <w:tc>
                <w:tcPr>
                  <w:tcW w:w="1548" w:type="dxa"/>
                  <w:vAlign w:val="center"/>
                </w:tcPr>
                <w:p w14:paraId="5D0CEF67">
                  <w:pPr>
                    <w:pStyle w:val="6"/>
                    <w:keepNext w:val="0"/>
                    <w:keepLines w:val="0"/>
                    <w:pageBreakBefore w:val="0"/>
                    <w:widowControl/>
                    <w:kinsoku/>
                    <w:wordWrap/>
                    <w:overflowPunct/>
                    <w:topLinePunct w:val="0"/>
                    <w:autoSpaceDE/>
                    <w:autoSpaceDN/>
                    <w:bidi w:val="0"/>
                    <w:adjustRightInd/>
                    <w:snapToGrid w:val="0"/>
                    <w:spacing w:line="360" w:lineRule="auto"/>
                    <w:ind w:firstLine="0" w:firstLineChars="0"/>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lang w:val="en-US" w:eastAsia="zh-CN"/>
                    </w:rPr>
                    <w:t>《声环境质量标准》（</w:t>
                  </w:r>
                  <w:r>
                    <w:rPr>
                      <w:rFonts w:hint="eastAsia" w:ascii="宋体" w:hAnsi="宋体" w:cs="宋体"/>
                      <w:b w:val="0"/>
                      <w:bCs w:val="0"/>
                      <w:color w:val="auto"/>
                      <w:sz w:val="21"/>
                      <w:szCs w:val="21"/>
                      <w:highlight w:val="none"/>
                      <w:lang w:val="en-US" w:eastAsia="zh-CN"/>
                    </w:rPr>
                    <w:t>GB</w:t>
                  </w:r>
                  <w:r>
                    <w:rPr>
                      <w:rFonts w:hint="eastAsia" w:ascii="宋体" w:hAnsi="宋体" w:eastAsia="宋体" w:cs="宋体"/>
                      <w:b w:val="0"/>
                      <w:bCs w:val="0"/>
                      <w:color w:val="auto"/>
                      <w:sz w:val="21"/>
                      <w:szCs w:val="21"/>
                      <w:highlight w:val="none"/>
                      <w:lang w:val="en-US" w:eastAsia="zh-CN"/>
                    </w:rPr>
                    <w:t>3096-2008）</w:t>
                  </w:r>
                  <w:r>
                    <w:rPr>
                      <w:rFonts w:hint="eastAsia" w:ascii="宋体" w:hAnsi="宋体" w:cs="宋体"/>
                      <w:b w:val="0"/>
                      <w:bCs w:val="0"/>
                      <w:color w:val="auto"/>
                      <w:sz w:val="21"/>
                      <w:szCs w:val="21"/>
                      <w:highlight w:val="none"/>
                      <w:lang w:val="en-US" w:eastAsia="zh-CN"/>
                    </w:rPr>
                    <w:t>3类</w:t>
                  </w:r>
                </w:p>
              </w:tc>
            </w:tr>
            <w:tr w14:paraId="36350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0" w:type="dxa"/>
                  <w:vAlign w:val="center"/>
                </w:tcPr>
                <w:p w14:paraId="1C05E254">
                  <w:pPr>
                    <w:pStyle w:val="6"/>
                    <w:keepNext w:val="0"/>
                    <w:keepLines w:val="0"/>
                    <w:pageBreakBefore w:val="0"/>
                    <w:widowControl/>
                    <w:kinsoku/>
                    <w:wordWrap/>
                    <w:overflowPunct/>
                    <w:topLinePunct w:val="0"/>
                    <w:autoSpaceDE/>
                    <w:autoSpaceDN/>
                    <w:bidi w:val="0"/>
                    <w:adjustRightInd/>
                    <w:snapToGrid w:val="0"/>
                    <w:spacing w:line="36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地下水环境</w:t>
                  </w:r>
                </w:p>
              </w:tc>
              <w:tc>
                <w:tcPr>
                  <w:tcW w:w="5146" w:type="dxa"/>
                  <w:gridSpan w:val="5"/>
                  <w:vAlign w:val="center"/>
                </w:tcPr>
                <w:p w14:paraId="0B1B9D3F">
                  <w:pPr>
                    <w:pStyle w:val="6"/>
                    <w:keepNext w:val="0"/>
                    <w:keepLines w:val="0"/>
                    <w:pageBreakBefore w:val="0"/>
                    <w:widowControl/>
                    <w:kinsoku/>
                    <w:wordWrap/>
                    <w:overflowPunct/>
                    <w:topLinePunct w:val="0"/>
                    <w:autoSpaceDE/>
                    <w:autoSpaceDN/>
                    <w:bidi w:val="0"/>
                    <w:adjustRightInd/>
                    <w:snapToGrid w:val="0"/>
                    <w:spacing w:line="36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厂界外500</w:t>
                  </w:r>
                  <w:r>
                    <w:rPr>
                      <w:rFonts w:hint="eastAsia" w:ascii="宋体" w:hAnsi="宋体" w:cs="宋体"/>
                      <w:color w:val="auto"/>
                      <w:sz w:val="21"/>
                      <w:szCs w:val="21"/>
                      <w:highlight w:val="none"/>
                      <w:vertAlign w:val="baseline"/>
                      <w:lang w:val="en-US" w:eastAsia="zh-CN"/>
                    </w:rPr>
                    <w:t>m</w:t>
                  </w:r>
                  <w:r>
                    <w:rPr>
                      <w:rFonts w:hint="eastAsia" w:ascii="宋体" w:hAnsi="宋体" w:eastAsia="宋体" w:cs="宋体"/>
                      <w:color w:val="auto"/>
                      <w:sz w:val="21"/>
                      <w:szCs w:val="21"/>
                      <w:highlight w:val="none"/>
                      <w:vertAlign w:val="baseline"/>
                      <w:lang w:val="en-US" w:eastAsia="zh-CN"/>
                    </w:rPr>
                    <w:t>范围内无地下集中式饮用水水源和热水、矿泉水、温泉等特殊地下水资源</w:t>
                  </w:r>
                </w:p>
              </w:tc>
              <w:tc>
                <w:tcPr>
                  <w:tcW w:w="1548" w:type="dxa"/>
                  <w:vAlign w:val="center"/>
                </w:tcPr>
                <w:p w14:paraId="2574CEB7">
                  <w:pPr>
                    <w:pStyle w:val="6"/>
                    <w:keepNext w:val="0"/>
                    <w:keepLines w:val="0"/>
                    <w:pageBreakBefore w:val="0"/>
                    <w:widowControl/>
                    <w:kinsoku/>
                    <w:wordWrap/>
                    <w:overflowPunct/>
                    <w:topLinePunct w:val="0"/>
                    <w:autoSpaceDE/>
                    <w:autoSpaceDN/>
                    <w:bidi w:val="0"/>
                    <w:adjustRightInd/>
                    <w:snapToGrid w:val="0"/>
                    <w:spacing w:line="360" w:lineRule="auto"/>
                    <w:ind w:firstLine="0" w:firstLineChars="0"/>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《地下水质量标准》（GB/T14848-2017）</w:t>
                  </w:r>
                  <w:r>
                    <w:rPr>
                      <w:rStyle w:val="17"/>
                      <w:rFonts w:ascii="宋体" w:hAnsi="宋体" w:eastAsia="宋体" w:cs="宋体"/>
                      <w:b w:val="0"/>
                      <w:bCs/>
                      <w:color w:val="auto"/>
                      <w:sz w:val="21"/>
                      <w:szCs w:val="21"/>
                      <w:highlight w:val="none"/>
                    </w:rPr>
                    <w:t>Ⅲ</w:t>
                  </w:r>
                  <w:r>
                    <w:rPr>
                      <w:rFonts w:hint="eastAsia" w:ascii="宋体" w:hAnsi="宋体" w:cs="宋体"/>
                      <w:color w:val="auto"/>
                      <w:sz w:val="21"/>
                      <w:szCs w:val="21"/>
                      <w:highlight w:val="none"/>
                      <w:vertAlign w:val="baseline"/>
                      <w:lang w:val="en-US" w:eastAsia="zh-CN"/>
                    </w:rPr>
                    <w:t>类地下水质量标准</w:t>
                  </w:r>
                </w:p>
              </w:tc>
            </w:tr>
          </w:tbl>
          <w:p w14:paraId="006ED0C1">
            <w:pPr>
              <w:bidi w:val="0"/>
              <w:ind w:left="0" w:leftChars="0" w:firstLine="0" w:firstLineChars="0"/>
              <w:rPr>
                <w:color w:val="auto"/>
                <w:highlight w:val="none"/>
              </w:rPr>
            </w:pPr>
          </w:p>
        </w:tc>
      </w:tr>
      <w:tr w14:paraId="0BCFBC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5" w:type="dxa"/>
            <w:noWrap w:val="0"/>
            <w:tcMar>
              <w:left w:w="28" w:type="dxa"/>
              <w:right w:w="28" w:type="dxa"/>
            </w:tcMar>
            <w:vAlign w:val="center"/>
          </w:tcPr>
          <w:p w14:paraId="6F06C9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r>
              <w:rPr>
                <w:rFonts w:hint="eastAsia"/>
                <w:color w:val="auto"/>
                <w:highlight w:val="none"/>
              </w:rPr>
              <w:t>污染物排放控制标准</w:t>
            </w:r>
          </w:p>
        </w:tc>
        <w:tc>
          <w:tcPr>
            <w:tcW w:w="8265" w:type="dxa"/>
            <w:noWrap w:val="0"/>
            <w:vAlign w:val="center"/>
          </w:tcPr>
          <w:p w14:paraId="7C49B889">
            <w:pPr>
              <w:pStyle w:val="2"/>
              <w:bidi w:val="0"/>
              <w:ind w:left="0" w:leftChars="0" w:firstLine="0" w:firstLineChars="0"/>
              <w:rPr>
                <w:rFonts w:hint="eastAsia" w:eastAsia="宋体"/>
                <w:color w:val="auto"/>
                <w:highlight w:val="none"/>
                <w:lang w:val="en-US" w:eastAsia="zh-CN"/>
              </w:rPr>
            </w:pPr>
            <w:r>
              <w:rPr>
                <w:rFonts w:hint="eastAsia"/>
                <w:color w:val="auto"/>
                <w:highlight w:val="none"/>
                <w:lang w:val="en-US" w:eastAsia="zh-CN"/>
              </w:rPr>
              <w:t>1、大气污染物排放执行标准</w:t>
            </w:r>
          </w:p>
          <w:p w14:paraId="616C41CE">
            <w:pPr>
              <w:pStyle w:val="6"/>
              <w:bidi w:val="0"/>
              <w:spacing w:line="360" w:lineRule="auto"/>
              <w:rPr>
                <w:rFonts w:hint="eastAsia" w:asciiTheme="minorEastAsia" w:hAnsiTheme="minorEastAsia" w:eastAsiaTheme="minorEastAsia" w:cstheme="minorEastAsia"/>
                <w:color w:val="auto"/>
                <w:sz w:val="24"/>
                <w:szCs w:val="24"/>
                <w:highlight w:val="none"/>
                <w:lang w:eastAsia="zh-CN"/>
              </w:rPr>
            </w:pPr>
            <w:r>
              <w:rPr>
                <w:rFonts w:hint="eastAsia"/>
                <w:color w:val="auto"/>
                <w:sz w:val="21"/>
                <w:szCs w:val="21"/>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）施工期</w:t>
            </w:r>
          </w:p>
          <w:p w14:paraId="5EA2996E">
            <w:pPr>
              <w:pStyle w:val="6"/>
              <w:bidi w:val="0"/>
              <w:spacing w:line="360" w:lineRule="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本项目施工期废气执行《大气污染物综合排放标准》（GB16297-1996）无组织排放浓度限值，排放限值见表3-1-6。</w:t>
            </w:r>
          </w:p>
          <w:p w14:paraId="6D014584">
            <w:pPr>
              <w:pStyle w:val="6"/>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default"/>
                <w:b/>
                <w:bCs/>
                <w:color w:val="auto"/>
                <w:highlight w:val="none"/>
                <w:lang w:val="en-US" w:eastAsia="zh-CN"/>
              </w:rPr>
            </w:pPr>
            <w:r>
              <w:rPr>
                <w:rFonts w:hint="eastAsia"/>
                <w:b/>
                <w:bCs/>
                <w:color w:val="auto"/>
                <w:highlight w:val="none"/>
                <w:lang w:val="en-US" w:eastAsia="zh-CN"/>
              </w:rPr>
              <w:t>表3-1-6施工期大气污染物排放限值要求</w:t>
            </w:r>
          </w:p>
          <w:tbl>
            <w:tblPr>
              <w:tblStyle w:val="15"/>
              <w:tblW w:w="7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6"/>
              <w:gridCol w:w="5803"/>
            </w:tblGrid>
            <w:tr w14:paraId="71417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trPr>
              <w:tc>
                <w:tcPr>
                  <w:tcW w:w="2156" w:type="dxa"/>
                  <w:vAlign w:val="center"/>
                </w:tcPr>
                <w:p w14:paraId="4F1DE2D9">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污染物</w:t>
                  </w:r>
                </w:p>
              </w:tc>
              <w:tc>
                <w:tcPr>
                  <w:tcW w:w="5803" w:type="dxa"/>
                  <w:vAlign w:val="center"/>
                </w:tcPr>
                <w:p w14:paraId="3D47B91D">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无组织排放监控浓度限值（</w:t>
                  </w:r>
                  <w:r>
                    <w:rPr>
                      <w:rFonts w:hint="eastAsia"/>
                      <w:b w:val="0"/>
                      <w:bCs w:val="0"/>
                      <w:color w:val="auto"/>
                      <w:sz w:val="21"/>
                      <w:szCs w:val="21"/>
                      <w:highlight w:val="none"/>
                      <w:vertAlign w:val="baseline"/>
                      <w:lang w:val="en-US" w:eastAsia="zh-CN"/>
                    </w:rPr>
                    <w:t>mg/m</w:t>
                  </w:r>
                  <w:r>
                    <w:rPr>
                      <w:rFonts w:hint="eastAsia"/>
                      <w:b w:val="0"/>
                      <w:bCs w:val="0"/>
                      <w:strike w:val="0"/>
                      <w:dstrike w:val="0"/>
                      <w:color w:val="auto"/>
                      <w:sz w:val="21"/>
                      <w:szCs w:val="21"/>
                      <w:highlight w:val="none"/>
                      <w:vertAlign w:val="superscript"/>
                      <w:lang w:val="en-US" w:eastAsia="zh-CN"/>
                    </w:rPr>
                    <w:t>3</w:t>
                  </w:r>
                  <w:r>
                    <w:rPr>
                      <w:rFonts w:hint="eastAsia"/>
                      <w:color w:val="auto"/>
                      <w:sz w:val="21"/>
                      <w:szCs w:val="21"/>
                      <w:highlight w:val="none"/>
                      <w:lang w:val="en-US" w:eastAsia="zh-CN"/>
                    </w:rPr>
                    <w:t>）</w:t>
                  </w:r>
                </w:p>
              </w:tc>
            </w:tr>
            <w:tr w14:paraId="1CF3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2156" w:type="dxa"/>
                  <w:vAlign w:val="center"/>
                </w:tcPr>
                <w:p w14:paraId="0B56D4ED">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颗粒物</w:t>
                  </w:r>
                </w:p>
              </w:tc>
              <w:tc>
                <w:tcPr>
                  <w:tcW w:w="5803" w:type="dxa"/>
                  <w:vAlign w:val="center"/>
                </w:tcPr>
                <w:p w14:paraId="6E2CB7D3">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周界外浓度最高点1.0</w:t>
                  </w:r>
                </w:p>
              </w:tc>
            </w:tr>
          </w:tbl>
          <w:p w14:paraId="7A9628C7">
            <w:pPr>
              <w:pStyle w:val="6"/>
              <w:bidi w:val="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）运营期</w:t>
            </w:r>
          </w:p>
          <w:p w14:paraId="7B1F9A9C">
            <w:pP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运营期</w:t>
            </w:r>
            <w:r>
              <w:rPr>
                <w:rFonts w:hint="eastAsia" w:asciiTheme="minorEastAsia" w:hAnsiTheme="minorEastAsia" w:eastAsiaTheme="minorEastAsia" w:cstheme="minorEastAsia"/>
                <w:color w:val="auto"/>
                <w:sz w:val="24"/>
                <w:szCs w:val="24"/>
                <w:highlight w:val="none"/>
              </w:rPr>
              <w:t>全封闭砂石料场</w:t>
            </w:r>
            <w:r>
              <w:rPr>
                <w:rFonts w:hint="eastAsia" w:asciiTheme="minorEastAsia" w:hAnsiTheme="minorEastAsia" w:eastAsiaTheme="minorEastAsia" w:cstheme="minorEastAsia"/>
                <w:color w:val="auto"/>
                <w:sz w:val="24"/>
                <w:szCs w:val="24"/>
                <w:highlight w:val="none"/>
                <w:lang w:val="en-US" w:eastAsia="zh-CN"/>
              </w:rPr>
              <w:t>产生的无组织粉尘、输送皮带粉尘和混凝土生产无</w:t>
            </w:r>
            <w:r>
              <w:rPr>
                <w:rFonts w:hint="default" w:ascii="Times New Roman" w:hAnsi="Times New Roman" w:cs="Times New Roman" w:eastAsiaTheme="minorEastAsia"/>
                <w:color w:val="auto"/>
                <w:sz w:val="24"/>
                <w:szCs w:val="24"/>
                <w:highlight w:val="none"/>
                <w:lang w:val="en-US" w:eastAsia="zh-CN"/>
              </w:rPr>
              <w:t>组织粉尘排放执行</w:t>
            </w:r>
            <w:r>
              <w:rPr>
                <w:rFonts w:hint="default" w:ascii="Times New Roman" w:hAnsi="Times New Roman" w:eastAsia="宋体" w:cs="Times New Roman"/>
                <w:color w:val="auto"/>
                <w:sz w:val="24"/>
                <w:szCs w:val="24"/>
                <w:highlight w:val="none"/>
                <w:lang w:val="en-US" w:eastAsia="zh-CN"/>
              </w:rPr>
              <w:t>《水泥工业大气污染物排放标准》（GB4915-2013）（含2025年修改单）表3无组织排放浓度限值</w:t>
            </w:r>
            <w:r>
              <w:rPr>
                <w:rFonts w:hint="default" w:ascii="Times New Roman" w:hAnsi="Times New Roman" w:cs="Times New Roman" w:eastAsiaTheme="minorEastAsia"/>
                <w:color w:val="auto"/>
                <w:sz w:val="24"/>
                <w:szCs w:val="24"/>
                <w:highlight w:val="none"/>
                <w:lang w:val="en-US" w:eastAsia="zh-CN"/>
              </w:rPr>
              <w:t>要求。搅拌工序、筒仓有组织粉尘排放执行</w:t>
            </w:r>
            <w:r>
              <w:rPr>
                <w:rFonts w:hint="default" w:ascii="Times New Roman" w:hAnsi="Times New Roman" w:eastAsia="宋体" w:cs="Times New Roman"/>
                <w:b w:val="0"/>
                <w:bCs w:val="0"/>
                <w:color w:val="auto"/>
                <w:kern w:val="0"/>
                <w:sz w:val="24"/>
                <w:szCs w:val="24"/>
                <w:highlight w:val="none"/>
              </w:rPr>
              <w:t>《水泥工业大气污染物排放标准》（</w:t>
            </w:r>
            <w:r>
              <w:rPr>
                <w:rFonts w:hint="default" w:ascii="Times New Roman" w:hAnsi="Times New Roman" w:eastAsia="宋体" w:cs="Times New Roman"/>
                <w:b w:val="0"/>
                <w:bCs w:val="0"/>
                <w:color w:val="auto"/>
                <w:kern w:val="0"/>
                <w:sz w:val="24"/>
                <w:szCs w:val="24"/>
                <w:highlight w:val="none"/>
                <w:lang w:val="en-US" w:eastAsia="zh-CN"/>
              </w:rPr>
              <w:t>GB</w:t>
            </w:r>
            <w:r>
              <w:rPr>
                <w:rFonts w:hint="default" w:ascii="Times New Roman" w:hAnsi="Times New Roman" w:eastAsia="宋体" w:cs="Times New Roman"/>
                <w:b w:val="0"/>
                <w:bCs w:val="0"/>
                <w:color w:val="auto"/>
                <w:kern w:val="0"/>
                <w:sz w:val="24"/>
                <w:szCs w:val="24"/>
                <w:highlight w:val="none"/>
              </w:rPr>
              <w:t>4915-2013）</w:t>
            </w:r>
            <w:r>
              <w:rPr>
                <w:rFonts w:hint="default" w:ascii="Times New Roman" w:hAnsi="Times New Roman" w:eastAsia="宋体" w:cs="Times New Roman"/>
                <w:b w:val="0"/>
                <w:bCs w:val="0"/>
                <w:color w:val="auto"/>
                <w:kern w:val="0"/>
                <w:sz w:val="24"/>
                <w:szCs w:val="24"/>
                <w:highlight w:val="none"/>
                <w:lang w:eastAsia="zh-CN"/>
              </w:rPr>
              <w:t>（</w:t>
            </w:r>
            <w:r>
              <w:rPr>
                <w:rFonts w:hint="default" w:ascii="Times New Roman" w:hAnsi="Times New Roman" w:eastAsia="宋体" w:cs="Times New Roman"/>
                <w:b w:val="0"/>
                <w:bCs w:val="0"/>
                <w:color w:val="auto"/>
                <w:kern w:val="0"/>
                <w:sz w:val="24"/>
                <w:szCs w:val="24"/>
                <w:highlight w:val="none"/>
              </w:rPr>
              <w:t>含</w:t>
            </w:r>
            <w:r>
              <w:rPr>
                <w:rFonts w:hint="default" w:ascii="Times New Roman" w:hAnsi="Times New Roman" w:eastAsia="宋体" w:cs="Times New Roman"/>
                <w:b w:val="0"/>
                <w:bCs w:val="0"/>
                <w:color w:val="auto"/>
                <w:kern w:val="0"/>
                <w:sz w:val="24"/>
                <w:szCs w:val="24"/>
                <w:highlight w:val="none"/>
                <w:lang w:val="en-US" w:eastAsia="zh-CN"/>
              </w:rPr>
              <w:t>2025年修改单</w:t>
            </w:r>
            <w:r>
              <w:rPr>
                <w:rFonts w:hint="default" w:ascii="Times New Roman" w:hAnsi="Times New Roman" w:eastAsia="宋体" w:cs="Times New Roman"/>
                <w:b w:val="0"/>
                <w:bCs w:val="0"/>
                <w:color w:val="auto"/>
                <w:kern w:val="0"/>
                <w:sz w:val="24"/>
                <w:szCs w:val="24"/>
                <w:highlight w:val="none"/>
                <w:lang w:eastAsia="zh-CN"/>
              </w:rPr>
              <w:t>）</w:t>
            </w:r>
            <w:r>
              <w:rPr>
                <w:rFonts w:hint="default" w:ascii="Times New Roman" w:hAnsi="Times New Roman" w:eastAsia="宋体" w:cs="Times New Roman"/>
                <w:b w:val="0"/>
                <w:bCs w:val="0"/>
                <w:color w:val="auto"/>
                <w:kern w:val="0"/>
                <w:sz w:val="24"/>
                <w:szCs w:val="24"/>
                <w:highlight w:val="none"/>
              </w:rPr>
              <w:t>中</w:t>
            </w:r>
            <w:r>
              <w:rPr>
                <w:rFonts w:hint="default" w:ascii="Times New Roman" w:hAnsi="Times New Roman" w:eastAsia="宋体" w:cs="Times New Roman"/>
                <w:b w:val="0"/>
                <w:bCs w:val="0"/>
                <w:color w:val="auto"/>
                <w:kern w:val="0"/>
                <w:sz w:val="24"/>
                <w:szCs w:val="24"/>
                <w:highlight w:val="none"/>
                <w:lang w:val="en-US" w:eastAsia="zh-CN"/>
              </w:rPr>
              <w:t>表2中</w:t>
            </w:r>
            <w:r>
              <w:rPr>
                <w:rFonts w:hint="default" w:ascii="Times New Roman" w:hAnsi="Times New Roman" w:eastAsia="宋体" w:cs="Times New Roman"/>
                <w:color w:val="auto"/>
                <w:sz w:val="24"/>
                <w:szCs w:val="24"/>
                <w:highlight w:val="none"/>
                <w:lang w:val="en-US" w:eastAsia="zh-CN"/>
              </w:rPr>
              <w:t>水泥制品生产颗粒物排放标准</w:t>
            </w:r>
            <w:r>
              <w:rPr>
                <w:rFonts w:hint="default" w:ascii="Times New Roman" w:hAnsi="Times New Roman" w:cs="Times New Roman" w:eastAsiaTheme="minorEastAsia"/>
                <w:color w:val="auto"/>
                <w:sz w:val="24"/>
                <w:szCs w:val="24"/>
                <w:highlight w:val="none"/>
                <w:lang w:val="en-US" w:eastAsia="zh-CN"/>
              </w:rPr>
              <w:t>相关限值要求。</w:t>
            </w:r>
          </w:p>
          <w:p w14:paraId="13B06373">
            <w:pPr>
              <w:pStyle w:val="6"/>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color w:val="auto"/>
                <w:highlight w:val="none"/>
                <w:lang w:val="en-US" w:eastAsia="zh-CN"/>
              </w:rPr>
            </w:pPr>
            <w:r>
              <w:rPr>
                <w:rFonts w:hint="eastAsia"/>
                <w:b/>
                <w:bCs/>
                <w:color w:val="auto"/>
                <w:highlight w:val="none"/>
                <w:lang w:val="en-US" w:eastAsia="zh-CN"/>
              </w:rPr>
              <w:t>表3-1-7运营期无组织废气排放限值要求</w:t>
            </w:r>
          </w:p>
          <w:tbl>
            <w:tblPr>
              <w:tblStyle w:val="15"/>
              <w:tblW w:w="80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
              <w:gridCol w:w="1250"/>
              <w:gridCol w:w="3038"/>
              <w:gridCol w:w="2855"/>
            </w:tblGrid>
            <w:tr w14:paraId="4CEA7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vAlign w:val="center"/>
                </w:tcPr>
                <w:p w14:paraId="5A40B6B5">
                  <w:pPr>
                    <w:pStyle w:val="2"/>
                    <w:keepNext/>
                    <w:keepLines w:val="0"/>
                    <w:pageBreakBefore w:val="0"/>
                    <w:widowControl w:val="0"/>
                    <w:kinsoku/>
                    <w:wordWrap/>
                    <w:overflowPunct w:val="0"/>
                    <w:topLinePunct w:val="0"/>
                    <w:autoSpaceDE/>
                    <w:autoSpaceDN/>
                    <w:bidi w:val="0"/>
                    <w:adjustRightInd w:val="0"/>
                    <w:snapToGrid w:val="0"/>
                    <w:spacing w:line="240" w:lineRule="auto"/>
                    <w:ind w:firstLineChars="0"/>
                    <w:jc w:val="center"/>
                    <w:textAlignment w:val="auto"/>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污染物</w:t>
                  </w:r>
                </w:p>
              </w:tc>
              <w:tc>
                <w:tcPr>
                  <w:tcW w:w="1250" w:type="dxa"/>
                  <w:vAlign w:val="center"/>
                </w:tcPr>
                <w:p w14:paraId="1F679970">
                  <w:pPr>
                    <w:pStyle w:val="2"/>
                    <w:keepNext/>
                    <w:keepLines w:val="0"/>
                    <w:pageBreakBefore w:val="0"/>
                    <w:widowControl w:val="0"/>
                    <w:kinsoku/>
                    <w:wordWrap/>
                    <w:overflowPunct w:val="0"/>
                    <w:topLinePunct w:val="0"/>
                    <w:autoSpaceDE/>
                    <w:autoSpaceDN/>
                    <w:bidi w:val="0"/>
                    <w:adjustRightInd w:val="0"/>
                    <w:snapToGrid w:val="0"/>
                    <w:spacing w:line="240" w:lineRule="auto"/>
                    <w:ind w:firstLineChars="0"/>
                    <w:jc w:val="center"/>
                    <w:textAlignment w:val="auto"/>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限值</w:t>
                  </w:r>
                </w:p>
              </w:tc>
              <w:tc>
                <w:tcPr>
                  <w:tcW w:w="3038" w:type="dxa"/>
                  <w:vAlign w:val="center"/>
                </w:tcPr>
                <w:p w14:paraId="40C097EE">
                  <w:pPr>
                    <w:pStyle w:val="2"/>
                    <w:keepNext/>
                    <w:keepLines w:val="0"/>
                    <w:pageBreakBefore w:val="0"/>
                    <w:widowControl w:val="0"/>
                    <w:kinsoku/>
                    <w:wordWrap/>
                    <w:overflowPunct w:val="0"/>
                    <w:topLinePunct w:val="0"/>
                    <w:autoSpaceDE/>
                    <w:autoSpaceDN/>
                    <w:bidi w:val="0"/>
                    <w:adjustRightInd w:val="0"/>
                    <w:snapToGrid w:val="0"/>
                    <w:spacing w:line="240" w:lineRule="auto"/>
                    <w:ind w:firstLineChars="0"/>
                    <w:jc w:val="center"/>
                    <w:textAlignment w:val="auto"/>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限值含义</w:t>
                  </w:r>
                </w:p>
              </w:tc>
              <w:tc>
                <w:tcPr>
                  <w:tcW w:w="2855" w:type="dxa"/>
                  <w:vAlign w:val="center"/>
                </w:tcPr>
                <w:p w14:paraId="5EE3CB68">
                  <w:pPr>
                    <w:pStyle w:val="2"/>
                    <w:keepNext/>
                    <w:keepLines w:val="0"/>
                    <w:pageBreakBefore w:val="0"/>
                    <w:widowControl w:val="0"/>
                    <w:kinsoku/>
                    <w:wordWrap/>
                    <w:overflowPunct w:val="0"/>
                    <w:topLinePunct w:val="0"/>
                    <w:autoSpaceDE/>
                    <w:autoSpaceDN/>
                    <w:bidi w:val="0"/>
                    <w:adjustRightInd w:val="0"/>
                    <w:snapToGrid w:val="0"/>
                    <w:spacing w:line="240" w:lineRule="auto"/>
                    <w:ind w:firstLineChars="0"/>
                    <w:jc w:val="center"/>
                    <w:textAlignment w:val="auto"/>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无组织排放监控位置</w:t>
                  </w:r>
                </w:p>
              </w:tc>
            </w:tr>
            <w:tr w14:paraId="47C5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vAlign w:val="center"/>
                </w:tcPr>
                <w:p w14:paraId="56EF3EAB">
                  <w:pPr>
                    <w:pStyle w:val="2"/>
                    <w:keepNext/>
                    <w:keepLines w:val="0"/>
                    <w:pageBreakBefore w:val="0"/>
                    <w:widowControl w:val="0"/>
                    <w:kinsoku/>
                    <w:wordWrap/>
                    <w:overflowPunct w:val="0"/>
                    <w:topLinePunct w:val="0"/>
                    <w:autoSpaceDE/>
                    <w:autoSpaceDN/>
                    <w:bidi w:val="0"/>
                    <w:adjustRightInd w:val="0"/>
                    <w:snapToGrid w:val="0"/>
                    <w:spacing w:line="240" w:lineRule="auto"/>
                    <w:ind w:firstLineChars="0"/>
                    <w:jc w:val="center"/>
                    <w:textAlignment w:val="auto"/>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颗粒物</w:t>
                  </w:r>
                </w:p>
              </w:tc>
              <w:tc>
                <w:tcPr>
                  <w:tcW w:w="1250" w:type="dxa"/>
                  <w:vAlign w:val="center"/>
                </w:tcPr>
                <w:p w14:paraId="0358413C">
                  <w:pPr>
                    <w:pStyle w:val="2"/>
                    <w:keepNext/>
                    <w:keepLines w:val="0"/>
                    <w:pageBreakBefore w:val="0"/>
                    <w:widowControl w:val="0"/>
                    <w:kinsoku/>
                    <w:wordWrap/>
                    <w:overflowPunct w:val="0"/>
                    <w:topLinePunct w:val="0"/>
                    <w:autoSpaceDE/>
                    <w:autoSpaceDN/>
                    <w:bidi w:val="0"/>
                    <w:adjustRightInd w:val="0"/>
                    <w:snapToGrid w:val="0"/>
                    <w:spacing w:line="240" w:lineRule="auto"/>
                    <w:ind w:firstLineChars="0"/>
                    <w:jc w:val="center"/>
                    <w:textAlignment w:val="auto"/>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0.5mg/m</w:t>
                  </w:r>
                  <w:r>
                    <w:rPr>
                      <w:rFonts w:hint="eastAsia"/>
                      <w:b w:val="0"/>
                      <w:bCs w:val="0"/>
                      <w:strike w:val="0"/>
                      <w:dstrike w:val="0"/>
                      <w:color w:val="auto"/>
                      <w:sz w:val="21"/>
                      <w:szCs w:val="21"/>
                      <w:highlight w:val="none"/>
                      <w:vertAlign w:val="superscript"/>
                      <w:lang w:val="en-US" w:eastAsia="zh-CN"/>
                    </w:rPr>
                    <w:t>3</w:t>
                  </w:r>
                </w:p>
              </w:tc>
              <w:tc>
                <w:tcPr>
                  <w:tcW w:w="3038" w:type="dxa"/>
                  <w:vAlign w:val="center"/>
                </w:tcPr>
                <w:p w14:paraId="50306D1E">
                  <w:pPr>
                    <w:pStyle w:val="2"/>
                    <w:keepNext/>
                    <w:keepLines w:val="0"/>
                    <w:pageBreakBefore w:val="0"/>
                    <w:widowControl w:val="0"/>
                    <w:kinsoku/>
                    <w:wordWrap/>
                    <w:overflowPunct w:val="0"/>
                    <w:topLinePunct w:val="0"/>
                    <w:autoSpaceDE/>
                    <w:autoSpaceDN/>
                    <w:bidi w:val="0"/>
                    <w:adjustRightInd w:val="0"/>
                    <w:snapToGrid w:val="0"/>
                    <w:spacing w:line="240" w:lineRule="auto"/>
                    <w:ind w:firstLineChars="0"/>
                    <w:jc w:val="center"/>
                    <w:textAlignment w:val="auto"/>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监控点与参照点总悬浮颗粒物（TSP）1小时浓度值的差值</w:t>
                  </w:r>
                </w:p>
              </w:tc>
              <w:tc>
                <w:tcPr>
                  <w:tcW w:w="2855" w:type="dxa"/>
                  <w:vAlign w:val="center"/>
                </w:tcPr>
                <w:p w14:paraId="76FEEFB7">
                  <w:pPr>
                    <w:pStyle w:val="2"/>
                    <w:keepNext/>
                    <w:keepLines w:val="0"/>
                    <w:pageBreakBefore w:val="0"/>
                    <w:widowControl w:val="0"/>
                    <w:kinsoku/>
                    <w:wordWrap/>
                    <w:overflowPunct w:val="0"/>
                    <w:topLinePunct w:val="0"/>
                    <w:autoSpaceDE/>
                    <w:autoSpaceDN/>
                    <w:bidi w:val="0"/>
                    <w:adjustRightInd w:val="0"/>
                    <w:snapToGrid w:val="0"/>
                    <w:spacing w:line="240" w:lineRule="auto"/>
                    <w:ind w:firstLineChars="0"/>
                    <w:jc w:val="center"/>
                    <w:textAlignment w:val="auto"/>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厂界外20处上风向设置参照点，下风向设置监控点</w:t>
                  </w:r>
                </w:p>
              </w:tc>
            </w:tr>
          </w:tbl>
          <w:p w14:paraId="5680D510">
            <w:pPr>
              <w:pStyle w:val="2"/>
              <w:keepNext/>
              <w:keepLines w:val="0"/>
              <w:pageBreakBefore w:val="0"/>
              <w:widowControl w:val="0"/>
              <w:kinsoku/>
              <w:wordWrap/>
              <w:overflowPunct w:val="0"/>
              <w:topLinePunct w:val="0"/>
              <w:autoSpaceDE/>
              <w:autoSpaceDN/>
              <w:bidi w:val="0"/>
              <w:adjustRightInd w:val="0"/>
              <w:snapToGrid w:val="0"/>
              <w:spacing w:line="240" w:lineRule="auto"/>
              <w:ind w:left="0" w:leftChars="0" w:firstLine="0" w:firstLineChars="0"/>
              <w:jc w:val="center"/>
              <w:textAlignment w:val="auto"/>
              <w:rPr>
                <w:rFonts w:hint="eastAsia"/>
                <w:b/>
                <w:bCs/>
                <w:color w:val="auto"/>
                <w:highlight w:val="none"/>
                <w:lang w:val="en-US" w:eastAsia="zh-CN"/>
              </w:rPr>
            </w:pPr>
            <w:r>
              <w:rPr>
                <w:rFonts w:hint="eastAsia"/>
                <w:b/>
                <w:bCs/>
                <w:color w:val="auto"/>
                <w:highlight w:val="none"/>
                <w:lang w:val="en-US" w:eastAsia="zh-CN"/>
              </w:rPr>
              <w:t>表3-1-8运营期有组织废气排放限值要求</w:t>
            </w:r>
          </w:p>
          <w:tbl>
            <w:tblPr>
              <w:tblStyle w:val="15"/>
              <w:tblW w:w="8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5"/>
              <w:gridCol w:w="2015"/>
              <w:gridCol w:w="2015"/>
              <w:gridCol w:w="2015"/>
            </w:tblGrid>
            <w:tr w14:paraId="4DC81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2015" w:type="dxa"/>
                  <w:vAlign w:val="center"/>
                </w:tcPr>
                <w:p w14:paraId="097035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生产过程</w:t>
                  </w:r>
                </w:p>
              </w:tc>
              <w:tc>
                <w:tcPr>
                  <w:tcW w:w="2015" w:type="dxa"/>
                  <w:vAlign w:val="center"/>
                </w:tcPr>
                <w:p w14:paraId="01574A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生产设备</w:t>
                  </w:r>
                </w:p>
              </w:tc>
              <w:tc>
                <w:tcPr>
                  <w:tcW w:w="2015" w:type="dxa"/>
                  <w:vAlign w:val="center"/>
                </w:tcPr>
                <w:p w14:paraId="3D567F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污染物</w:t>
                  </w:r>
                </w:p>
              </w:tc>
              <w:tc>
                <w:tcPr>
                  <w:tcW w:w="2015" w:type="dxa"/>
                  <w:vAlign w:val="center"/>
                </w:tcPr>
                <w:p w14:paraId="6737A6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限值</w:t>
                  </w:r>
                </w:p>
              </w:tc>
            </w:tr>
            <w:tr w14:paraId="673BA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2015" w:type="dxa"/>
                  <w:vAlign w:val="center"/>
                </w:tcPr>
                <w:p w14:paraId="1E6BEC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散装水泥中转站及水泥制品生产</w:t>
                  </w:r>
                </w:p>
              </w:tc>
              <w:tc>
                <w:tcPr>
                  <w:tcW w:w="2015" w:type="dxa"/>
                  <w:vAlign w:val="center"/>
                </w:tcPr>
                <w:p w14:paraId="5B8169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水泥仓其他通风生产设备</w:t>
                  </w:r>
                </w:p>
              </w:tc>
              <w:tc>
                <w:tcPr>
                  <w:tcW w:w="2015" w:type="dxa"/>
                  <w:vAlign w:val="center"/>
                </w:tcPr>
                <w:p w14:paraId="5D4905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颗粒物</w:t>
                  </w:r>
                </w:p>
              </w:tc>
              <w:tc>
                <w:tcPr>
                  <w:tcW w:w="2015" w:type="dxa"/>
                  <w:vAlign w:val="center"/>
                </w:tcPr>
                <w:p w14:paraId="434A57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20/</w:t>
                  </w:r>
                  <w:r>
                    <w:rPr>
                      <w:rFonts w:hint="eastAsia"/>
                      <w:color w:val="auto"/>
                      <w:sz w:val="21"/>
                      <w:szCs w:val="21"/>
                      <w:highlight w:val="none"/>
                      <w:vertAlign w:val="superscript"/>
                      <w:lang w:val="en-US" w:eastAsia="zh-CN"/>
                    </w:rPr>
                    <w:t>3</w:t>
                  </w:r>
                </w:p>
              </w:tc>
            </w:tr>
          </w:tbl>
          <w:p w14:paraId="3F1432B7">
            <w:pPr>
              <w:pStyle w:val="2"/>
              <w:bidi w:val="0"/>
              <w:ind w:left="0" w:leftChars="0" w:firstLine="0" w:firstLineChars="0"/>
              <w:rPr>
                <w:rFonts w:hint="eastAsia" w:eastAsia="宋体"/>
                <w:color w:val="auto"/>
                <w:highlight w:val="none"/>
                <w:lang w:val="en-US" w:eastAsia="zh-CN"/>
              </w:rPr>
            </w:pPr>
            <w:r>
              <w:rPr>
                <w:rFonts w:hint="eastAsia"/>
                <w:color w:val="auto"/>
                <w:highlight w:val="none"/>
                <w:lang w:val="en-US" w:eastAsia="zh-CN"/>
              </w:rPr>
              <w:t>2、噪声排放执行标准</w:t>
            </w:r>
          </w:p>
          <w:p w14:paraId="56B8F888">
            <w:pPr>
              <w:pStyle w:val="6"/>
              <w:bidi w:val="0"/>
              <w:rPr>
                <w:rFonts w:hint="eastAsia" w:asciiTheme="minorEastAsia" w:hAnsiTheme="minorEastAsia" w:eastAsiaTheme="minorEastAsia" w:cstheme="minorEastAsia"/>
                <w:color w:val="auto"/>
                <w:sz w:val="24"/>
                <w:szCs w:val="24"/>
                <w:highlight w:val="none"/>
                <w:lang w:eastAsia="zh-CN"/>
              </w:rPr>
            </w:pPr>
            <w:r>
              <w:rPr>
                <w:rFonts w:hint="eastAsia"/>
                <w:color w:val="auto"/>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）施工期</w:t>
            </w:r>
          </w:p>
          <w:p w14:paraId="246898F9">
            <w:pPr>
              <w:pStyle w:val="6"/>
              <w:bidi w:val="0"/>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项目施工期噪声执行《建筑施工噪声排放标准》（GB12523-2025），见表3-9。</w:t>
            </w:r>
          </w:p>
          <w:p w14:paraId="3BBE2E67">
            <w:pPr>
              <w:pStyle w:val="6"/>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b/>
                <w:bCs/>
                <w:color w:val="auto"/>
                <w:highlight w:val="none"/>
                <w:lang w:val="en-US" w:eastAsia="zh-CN"/>
              </w:rPr>
            </w:pPr>
            <w:r>
              <w:rPr>
                <w:rFonts w:hint="eastAsia"/>
                <w:b/>
                <w:bCs/>
                <w:color w:val="auto"/>
                <w:highlight w:val="none"/>
                <w:lang w:val="en-US" w:eastAsia="zh-CN"/>
              </w:rPr>
              <w:t>表3-1-9施工期噪声排放限值要求</w:t>
            </w:r>
          </w:p>
          <w:tbl>
            <w:tblPr>
              <w:tblStyle w:val="15"/>
              <w:tblW w:w="7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8"/>
              <w:gridCol w:w="2658"/>
              <w:gridCol w:w="2658"/>
            </w:tblGrid>
            <w:tr w14:paraId="5E2CA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8" w:type="dxa"/>
                  <w:vAlign w:val="center"/>
                </w:tcPr>
                <w:p w14:paraId="33F48DFF">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污染来源</w:t>
                  </w:r>
                </w:p>
              </w:tc>
              <w:tc>
                <w:tcPr>
                  <w:tcW w:w="5316" w:type="dxa"/>
                  <w:gridSpan w:val="2"/>
                  <w:vAlign w:val="center"/>
                </w:tcPr>
                <w:p w14:paraId="0278F02D">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标准限值[</w:t>
                  </w:r>
                  <w:r>
                    <w:rPr>
                      <w:rFonts w:hint="eastAsia" w:cs="Times New Roman"/>
                      <w:color w:val="auto"/>
                      <w:sz w:val="21"/>
                      <w:szCs w:val="21"/>
                      <w:highlight w:val="none"/>
                      <w:lang w:val="en-US" w:eastAsia="zh-CN"/>
                    </w:rPr>
                    <w:t>dB(</w:t>
                  </w:r>
                  <w:r>
                    <w:rPr>
                      <w:rFonts w:hint="default" w:ascii="Times New Roman" w:hAnsi="Times New Roman" w:cs="Times New Roman"/>
                      <w:color w:val="auto"/>
                      <w:sz w:val="21"/>
                      <w:szCs w:val="21"/>
                      <w:highlight w:val="none"/>
                      <w:lang w:val="en-US" w:eastAsia="zh-CN"/>
                    </w:rPr>
                    <w:t>A</w:t>
                  </w:r>
                  <w:r>
                    <w:rPr>
                      <w:rFonts w:hint="eastAsia" w:cs="Times New Roman"/>
                      <w:color w:val="auto"/>
                      <w:sz w:val="21"/>
                      <w:szCs w:val="21"/>
                      <w:highlight w:val="none"/>
                      <w:lang w:val="en-US" w:eastAsia="zh-CN"/>
                    </w:rPr>
                    <w:t>)</w:t>
                  </w:r>
                  <w:r>
                    <w:rPr>
                      <w:rFonts w:hint="eastAsia"/>
                      <w:color w:val="auto"/>
                      <w:sz w:val="21"/>
                      <w:szCs w:val="21"/>
                      <w:highlight w:val="none"/>
                      <w:lang w:val="en-US" w:eastAsia="zh-CN"/>
                    </w:rPr>
                    <w:t>]</w:t>
                  </w:r>
                </w:p>
              </w:tc>
            </w:tr>
            <w:tr w14:paraId="717C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8" w:type="dxa"/>
                  <w:vMerge w:val="restart"/>
                  <w:vAlign w:val="center"/>
                </w:tcPr>
                <w:p w14:paraId="4252941B">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建设施工</w:t>
                  </w:r>
                </w:p>
              </w:tc>
              <w:tc>
                <w:tcPr>
                  <w:tcW w:w="2658" w:type="dxa"/>
                  <w:vAlign w:val="center"/>
                </w:tcPr>
                <w:p w14:paraId="203D9A11">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昼间</w:t>
                  </w:r>
                </w:p>
              </w:tc>
              <w:tc>
                <w:tcPr>
                  <w:tcW w:w="2658" w:type="dxa"/>
                  <w:vAlign w:val="center"/>
                </w:tcPr>
                <w:p w14:paraId="22A8A0F7">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夜间</w:t>
                  </w:r>
                </w:p>
              </w:tc>
            </w:tr>
            <w:tr w14:paraId="28D52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8" w:type="dxa"/>
                  <w:vMerge w:val="continue"/>
                  <w:vAlign w:val="center"/>
                </w:tcPr>
                <w:p w14:paraId="1DE5C932">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color w:val="auto"/>
                      <w:sz w:val="21"/>
                      <w:szCs w:val="21"/>
                      <w:highlight w:val="none"/>
                      <w:lang w:val="en-US" w:eastAsia="zh-CN"/>
                    </w:rPr>
                  </w:pPr>
                </w:p>
              </w:tc>
              <w:tc>
                <w:tcPr>
                  <w:tcW w:w="2658" w:type="dxa"/>
                  <w:vAlign w:val="center"/>
                </w:tcPr>
                <w:p w14:paraId="497A17C2">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70</w:t>
                  </w:r>
                </w:p>
              </w:tc>
              <w:tc>
                <w:tcPr>
                  <w:tcW w:w="2658" w:type="dxa"/>
                  <w:vAlign w:val="center"/>
                </w:tcPr>
                <w:p w14:paraId="2034B601">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55</w:t>
                  </w:r>
                </w:p>
              </w:tc>
            </w:tr>
          </w:tbl>
          <w:p w14:paraId="3F8BBB38">
            <w:pPr>
              <w:pStyle w:val="6"/>
              <w:bidi w:val="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eastAsia="zh-CN"/>
              </w:rPr>
              <w:t>）运营期</w:t>
            </w:r>
          </w:p>
          <w:p w14:paraId="7F606463">
            <w:pPr>
              <w:pStyle w:val="6"/>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根据鄂尔多斯市</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东胜区、康巴什区</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声环境功能区划图，见附图7，本项目位于3类声环境功能区。</w:t>
            </w:r>
          </w:p>
          <w:p w14:paraId="5B2669BC">
            <w:pPr>
              <w:pStyle w:val="6"/>
              <w:bidi w:val="0"/>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eastAsia="zh-CN"/>
              </w:rPr>
              <w:t>运营期噪声执行《工业企业厂界环境噪声排放标准》（GB12348-2008）中的3类排放标准。</w:t>
            </w:r>
          </w:p>
          <w:p w14:paraId="67EA9D88">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highlight w:val="none"/>
                <w:lang w:eastAsia="zh-CN"/>
              </w:rPr>
            </w:pPr>
            <w:r>
              <w:rPr>
                <w:rFonts w:hint="default" w:ascii="Times New Roman" w:hAnsi="Times New Roman" w:cs="Times New Roman"/>
                <w:b/>
                <w:bCs/>
                <w:color w:val="auto"/>
                <w:highlight w:val="none"/>
              </w:rPr>
              <w:t>表</w:t>
            </w:r>
            <w:r>
              <w:rPr>
                <w:rFonts w:hint="default" w:ascii="Times New Roman" w:hAnsi="Times New Roman" w:cs="Times New Roman"/>
                <w:b/>
                <w:bCs/>
                <w:color w:val="auto"/>
                <w:highlight w:val="none"/>
                <w:lang w:val="en-US" w:eastAsia="zh-CN"/>
              </w:rPr>
              <w:t>3-1-10</w:t>
            </w:r>
            <w:r>
              <w:rPr>
                <w:rFonts w:hint="default" w:ascii="Times New Roman" w:hAnsi="Times New Roman" w:cs="Times New Roman"/>
                <w:b/>
                <w:bCs/>
                <w:color w:val="auto"/>
                <w:highlight w:val="none"/>
                <w:lang w:eastAsia="zh-CN"/>
              </w:rPr>
              <w:t>运营期噪声排放限值要求</w:t>
            </w:r>
          </w:p>
          <w:tbl>
            <w:tblPr>
              <w:tblStyle w:val="14"/>
              <w:tblW w:w="7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4"/>
              <w:gridCol w:w="2646"/>
              <w:gridCol w:w="2689"/>
            </w:tblGrid>
            <w:tr w14:paraId="5C90C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644" w:type="dxa"/>
                  <w:vAlign w:val="center"/>
                </w:tcPr>
                <w:p w14:paraId="75D9AE5D">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时段</w:t>
                  </w:r>
                </w:p>
              </w:tc>
              <w:tc>
                <w:tcPr>
                  <w:tcW w:w="2646" w:type="dxa"/>
                  <w:vAlign w:val="center"/>
                </w:tcPr>
                <w:p w14:paraId="4A624DFC">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昼间</w:t>
                  </w:r>
                </w:p>
              </w:tc>
              <w:tc>
                <w:tcPr>
                  <w:tcW w:w="2689" w:type="dxa"/>
                  <w:vAlign w:val="center"/>
                </w:tcPr>
                <w:p w14:paraId="2C40142D">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夜间</w:t>
                  </w:r>
                </w:p>
              </w:tc>
            </w:tr>
            <w:tr w14:paraId="19041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644" w:type="dxa"/>
                  <w:vAlign w:val="center"/>
                </w:tcPr>
                <w:p w14:paraId="002792F4">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rPr>
                    <w:t>类区标准</w:t>
                  </w:r>
                </w:p>
              </w:tc>
              <w:tc>
                <w:tcPr>
                  <w:tcW w:w="2646" w:type="dxa"/>
                  <w:vAlign w:val="center"/>
                </w:tcPr>
                <w:p w14:paraId="2C080605">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65</w:t>
                  </w:r>
                  <w:r>
                    <w:rPr>
                      <w:rFonts w:hint="eastAsia" w:cs="Times New Roman"/>
                      <w:color w:val="auto"/>
                      <w:sz w:val="21"/>
                      <w:szCs w:val="21"/>
                      <w:highlight w:val="none"/>
                      <w:lang w:val="en-US" w:eastAsia="zh-CN"/>
                    </w:rPr>
                    <w:t xml:space="preserve"> dB(</w:t>
                  </w:r>
                  <w:r>
                    <w:rPr>
                      <w:rFonts w:hint="default" w:ascii="Times New Roman" w:hAnsi="Times New Roman" w:cs="Times New Roman"/>
                      <w:color w:val="auto"/>
                      <w:sz w:val="21"/>
                      <w:szCs w:val="21"/>
                      <w:highlight w:val="none"/>
                      <w:lang w:val="en-US" w:eastAsia="zh-CN"/>
                    </w:rPr>
                    <w:t>A</w:t>
                  </w:r>
                  <w:r>
                    <w:rPr>
                      <w:rFonts w:hint="eastAsia" w:cs="Times New Roman"/>
                      <w:color w:val="auto"/>
                      <w:sz w:val="21"/>
                      <w:szCs w:val="21"/>
                      <w:highlight w:val="none"/>
                      <w:lang w:val="en-US" w:eastAsia="zh-CN"/>
                    </w:rPr>
                    <w:t>)</w:t>
                  </w:r>
                </w:p>
              </w:tc>
              <w:tc>
                <w:tcPr>
                  <w:tcW w:w="2689" w:type="dxa"/>
                  <w:vAlign w:val="center"/>
                </w:tcPr>
                <w:p w14:paraId="31945B89">
                  <w:pPr>
                    <w:pStyle w:val="6"/>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55</w:t>
                  </w:r>
                  <w:r>
                    <w:rPr>
                      <w:rFonts w:hint="eastAsia" w:cs="Times New Roman"/>
                      <w:color w:val="auto"/>
                      <w:sz w:val="21"/>
                      <w:szCs w:val="21"/>
                      <w:highlight w:val="none"/>
                      <w:lang w:val="en-US" w:eastAsia="zh-CN"/>
                    </w:rPr>
                    <w:t>dB(</w:t>
                  </w:r>
                  <w:r>
                    <w:rPr>
                      <w:rFonts w:hint="default" w:ascii="Times New Roman" w:hAnsi="Times New Roman" w:cs="Times New Roman"/>
                      <w:color w:val="auto"/>
                      <w:sz w:val="21"/>
                      <w:szCs w:val="21"/>
                      <w:highlight w:val="none"/>
                      <w:lang w:val="en-US" w:eastAsia="zh-CN"/>
                    </w:rPr>
                    <w:t>A</w:t>
                  </w:r>
                  <w:r>
                    <w:rPr>
                      <w:rFonts w:hint="eastAsia" w:cs="Times New Roman"/>
                      <w:color w:val="auto"/>
                      <w:sz w:val="21"/>
                      <w:szCs w:val="21"/>
                      <w:highlight w:val="none"/>
                      <w:lang w:val="en-US" w:eastAsia="zh-CN"/>
                    </w:rPr>
                    <w:t>)</w:t>
                  </w:r>
                </w:p>
              </w:tc>
            </w:tr>
          </w:tbl>
          <w:p w14:paraId="586A60B9">
            <w:pPr>
              <w:pStyle w:val="2"/>
              <w:numPr>
                <w:ilvl w:val="0"/>
                <w:numId w:val="0"/>
              </w:numPr>
              <w:bidi w:val="0"/>
              <w:ind w:left="0" w:leftChars="0" w:firstLine="0" w:firstLineChars="0"/>
              <w:rPr>
                <w:rFonts w:hint="default" w:ascii="Times New Roman" w:hAnsi="Times New Roman" w:cs="Times New Roman"/>
                <w:color w:val="auto"/>
                <w:highlight w:val="none"/>
                <w:lang w:val="en-US" w:eastAsia="zh-CN"/>
              </w:rPr>
            </w:pPr>
            <w:r>
              <w:rPr>
                <w:rFonts w:hint="default" w:ascii="Times New Roman" w:hAnsi="Times New Roman" w:eastAsia="宋体" w:cs="Times New Roman"/>
                <w:b/>
                <w:bCs/>
                <w:color w:val="auto"/>
                <w:kern w:val="44"/>
                <w:sz w:val="24"/>
                <w:szCs w:val="30"/>
                <w:highlight w:val="none"/>
                <w:lang w:val="en-US" w:eastAsia="zh-CN" w:bidi="ar-SA"/>
              </w:rPr>
              <w:t>3、</w:t>
            </w:r>
            <w:r>
              <w:rPr>
                <w:rFonts w:hint="default" w:ascii="Times New Roman" w:hAnsi="Times New Roman" w:cs="Times New Roman"/>
                <w:color w:val="auto"/>
                <w:highlight w:val="none"/>
                <w:lang w:val="en-US" w:eastAsia="zh-CN"/>
              </w:rPr>
              <w:t>固体废物排放执行标准</w:t>
            </w:r>
          </w:p>
          <w:p w14:paraId="7177689B">
            <w:pPr>
              <w:pStyle w:val="6"/>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一般工业固体废物执行《一般工业固体废物贮存和填埋污染控制标准》（GB18599-2020</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相关规定</w:t>
            </w:r>
            <w:r>
              <w:rPr>
                <w:rFonts w:hint="eastAsia"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危险废物执行《危险废物贮存污染控制标准》（GB 18597</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2023）相关规定。</w:t>
            </w:r>
          </w:p>
        </w:tc>
      </w:tr>
      <w:tr w14:paraId="5BFE0F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68" w:hRule="atLeast"/>
          <w:jc w:val="center"/>
        </w:trPr>
        <w:tc>
          <w:tcPr>
            <w:tcW w:w="725" w:type="dxa"/>
            <w:noWrap w:val="0"/>
            <w:vAlign w:val="center"/>
          </w:tcPr>
          <w:p w14:paraId="28F25F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r>
              <w:rPr>
                <w:rFonts w:hint="eastAsia"/>
                <w:color w:val="auto"/>
                <w:highlight w:val="none"/>
              </w:rPr>
              <w:t>总量控制指标</w:t>
            </w:r>
          </w:p>
        </w:tc>
        <w:tc>
          <w:tcPr>
            <w:tcW w:w="8265" w:type="dxa"/>
            <w:noWrap w:val="0"/>
            <w:vAlign w:val="center"/>
          </w:tcPr>
          <w:p w14:paraId="23BCCA17">
            <w:pPr>
              <w:bidi w:val="0"/>
              <w:jc w:val="center"/>
              <w:rPr>
                <w:rFonts w:hint="default" w:eastAsia="宋体"/>
                <w:color w:val="auto"/>
                <w:highlight w:val="none"/>
                <w:lang w:val="en-US" w:eastAsia="zh-CN"/>
              </w:rPr>
            </w:pPr>
            <w:r>
              <w:rPr>
                <w:rFonts w:hint="eastAsia"/>
                <w:color w:val="auto"/>
                <w:sz w:val="24"/>
                <w:szCs w:val="24"/>
                <w:highlight w:val="none"/>
                <w:lang w:val="en-US" w:eastAsia="zh-CN"/>
              </w:rPr>
              <w:t>本项目不涉及总量控制指标</w:t>
            </w:r>
          </w:p>
        </w:tc>
      </w:tr>
    </w:tbl>
    <w:p w14:paraId="46F33F2B">
      <w:pPr>
        <w:pStyle w:val="12"/>
        <w:jc w:val="center"/>
        <w:outlineLvl w:val="0"/>
        <w:rPr>
          <w:rFonts w:ascii="黑体" w:hAnsi="黑体" w:eastAsia="黑体"/>
          <w:snapToGrid w:val="0"/>
          <w:color w:val="auto"/>
          <w:sz w:val="30"/>
          <w:szCs w:val="30"/>
          <w:highlight w:val="none"/>
        </w:rPr>
      </w:pPr>
      <w:r>
        <w:rPr>
          <w:rFonts w:ascii="黑体" w:hAnsi="黑体" w:eastAsia="黑体"/>
          <w:snapToGrid w:val="0"/>
          <w:color w:val="auto"/>
          <w:sz w:val="36"/>
          <w:szCs w:val="36"/>
          <w:highlight w:val="none"/>
        </w:rPr>
        <w:br w:type="page"/>
      </w:r>
      <w:r>
        <w:rPr>
          <w:rFonts w:hint="eastAsia" w:ascii="黑体" w:hAnsi="黑体" w:eastAsia="黑体"/>
          <w:snapToGrid w:val="0"/>
          <w:color w:val="auto"/>
          <w:sz w:val="30"/>
          <w:szCs w:val="30"/>
          <w:highlight w:val="none"/>
        </w:rPr>
        <w:t>四、主要环境影响和保护措施</w:t>
      </w:r>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3BE972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746" w:type="dxa"/>
            <w:noWrap w:val="0"/>
            <w:tcMar>
              <w:left w:w="28" w:type="dxa"/>
              <w:right w:w="28" w:type="dxa"/>
            </w:tcMar>
            <w:vAlign w:val="center"/>
          </w:tcPr>
          <w:p w14:paraId="6428E71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highlight w:val="none"/>
              </w:rPr>
            </w:pPr>
            <w:r>
              <w:rPr>
                <w:rFonts w:hint="eastAsia"/>
                <w:color w:val="auto"/>
                <w:highlight w:val="none"/>
              </w:rPr>
              <w:t>施工期环境保护措施</w:t>
            </w:r>
          </w:p>
        </w:tc>
        <w:tc>
          <w:tcPr>
            <w:tcW w:w="8162" w:type="dxa"/>
            <w:noWrap w:val="0"/>
            <w:vAlign w:val="center"/>
          </w:tcPr>
          <w:p w14:paraId="7673D19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Theme="minorEastAsia" w:hAnsiTheme="minorEastAsia" w:eastAsiaTheme="minorEastAsia" w:cstheme="minorEastAsia"/>
                <w:b/>
                <w:bCs/>
                <w:color w:val="auto"/>
                <w:sz w:val="24"/>
                <w:szCs w:val="24"/>
                <w:highlight w:val="none"/>
                <w:lang w:val="en-US"/>
              </w:rPr>
            </w:pPr>
            <w:r>
              <w:rPr>
                <w:rFonts w:hint="eastAsia" w:asciiTheme="minorEastAsia" w:hAnsiTheme="minorEastAsia" w:eastAsiaTheme="minorEastAsia" w:cstheme="minorEastAsia"/>
                <w:b/>
                <w:bCs/>
                <w:color w:val="auto"/>
                <w:sz w:val="24"/>
                <w:szCs w:val="24"/>
                <w:highlight w:val="none"/>
                <w:lang w:val="en-US" w:eastAsia="zh-CN"/>
              </w:rPr>
              <w:t>1、大气环境影响分析及保护措施</w:t>
            </w:r>
          </w:p>
          <w:p w14:paraId="0733804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（1）施工设备废气</w:t>
            </w:r>
          </w:p>
          <w:p w14:paraId="67F4FCF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本项目施工设备废气主要包括运输车辆尾气及施工机械废气，运输车辆行驶、施工机械在运行中将产生废气，主要含有CO、NOx等污染物。废气排放局限于施工场内和运输沿线，为非连续性的污染源，产生量不大，且项目地势开阔，周边绿化条件较好，易于扩散吸收，对环境不会造成明显影响。</w:t>
            </w:r>
          </w:p>
          <w:p w14:paraId="4E9566B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（2）施工扬尘</w:t>
            </w:r>
          </w:p>
          <w:p w14:paraId="1236105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ascii="宋体" w:hAnsi="宋体" w:eastAsia="宋体" w:cs="宋体"/>
                <w:color w:val="auto"/>
                <w:sz w:val="24"/>
                <w:szCs w:val="24"/>
                <w:highlight w:val="none"/>
              </w:rPr>
              <w:t>项目建设施工期扬尘主要来源于运输车辆行驶、材料运输装卸及堆放、场地平整、土石方清运等环节。为降低扬尘对周边环境敏感点的影响，环评提出以下要求</w:t>
            </w:r>
            <w:r>
              <w:rPr>
                <w:rFonts w:hint="eastAsia" w:asciiTheme="minorEastAsia" w:hAnsiTheme="minorEastAsia" w:eastAsiaTheme="minorEastAsia" w:cstheme="minorEastAsia"/>
                <w:color w:val="auto"/>
                <w:sz w:val="24"/>
                <w:szCs w:val="24"/>
                <w:highlight w:val="none"/>
                <w:lang w:val="en-US" w:eastAsia="zh-CN"/>
              </w:rPr>
              <w:t>：</w:t>
            </w:r>
          </w:p>
          <w:p w14:paraId="63DAADB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①避免建筑材料露天堆放，所有物料均应用篷布覆盖。</w:t>
            </w:r>
          </w:p>
          <w:p w14:paraId="43A6642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②及时清扫因雨水夹带和运输散落在施工场地和路面上的泥土，减少卡车运行过程中刮风引起的扬尘。如遇大风天气，应将运输中易起尘的建筑材料盖好，防止被大风吹起，污染环境。</w:t>
            </w:r>
          </w:p>
          <w:p w14:paraId="0A21C00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③项目使用商品混凝土，不在现场进行混凝土搅拌。</w:t>
            </w:r>
          </w:p>
          <w:p w14:paraId="487D9FF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④通过采取洒水抑尘措施，并在大风天气增加洒水次数。</w:t>
            </w:r>
          </w:p>
          <w:p w14:paraId="2CA86B2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⑤严禁流散体运输车带泥上路和抛洒遗漏，禁止进入禁行、限行道路，所有进出城市道路的流散体运输车必须密封或覆盖。</w:t>
            </w:r>
          </w:p>
          <w:p w14:paraId="6020CC2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由于本项目工程量较小，工期较短，施工期扬尘量较小，建设方在采取上述措施后，预计施工废气对周围环境的影响可减少到较低程度，且这种影响是暂时的，随施工结束影响逐渐消失，对周边环境影响不大。</w:t>
            </w:r>
          </w:p>
          <w:p w14:paraId="7A9C837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2、水环境影响分析及保护措施</w:t>
            </w:r>
          </w:p>
          <w:p w14:paraId="6CE752F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项目施工期的废水主要为施工人员的生活污水和施工废水。项目施工期不设施工营地和食堂。本项目施工人员约20人生活污水依托煤矿现有污水处理设施。施工废水沉淀后用于施工场地及道路洒水抑尘，不外排。</w:t>
            </w:r>
          </w:p>
          <w:p w14:paraId="341F91D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3、声环境影响分析及保护措施</w:t>
            </w:r>
          </w:p>
          <w:p w14:paraId="6ACF12F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施工期噪声主要为交通噪声和施工机械噪声。噪声源强值约在70~95dB(A）之间，会对周围声环境产生一定的影响。为了减轻项目施工噪声作业对周围敏感点的影响，环评要求建设方采取以下措施：</w:t>
            </w:r>
          </w:p>
          <w:p w14:paraId="69C907E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①合理进行施工平面布置，合理安排工序，中午休息，夜间禁止施工，各种运输车辆和施工机械应全部安排在昼间施工。</w:t>
            </w:r>
          </w:p>
          <w:p w14:paraId="2A75A4E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②严格按照施工规范加强管理。尽量选用低噪声机械，对高噪声设备进行隔声、减振处理；施工中应采用先进的生产工艺和低噪声新技术，使噪声污染在施工中得到控制，避免使用对环境噪声污染严重的落后施工机械和施工方式。</w:t>
            </w:r>
          </w:p>
          <w:p w14:paraId="157CD6C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施工期的噪声影响是暂时的，将随着施工期的结束而消失，在采取上述噪声防治措施后，施工期噪声对环境影响较小。</w:t>
            </w:r>
          </w:p>
          <w:p w14:paraId="60920397">
            <w:pPr>
              <w:bidi w:val="0"/>
              <w:ind w:left="0" w:leftChars="0" w:firstLine="0" w:firstLineChars="0"/>
              <w:rPr>
                <w:b/>
                <w:bCs/>
                <w:color w:val="auto"/>
                <w:highlight w:val="none"/>
              </w:rPr>
            </w:pPr>
            <w:r>
              <w:rPr>
                <w:rFonts w:hint="default"/>
                <w:b/>
                <w:bCs/>
                <w:color w:val="auto"/>
                <w:highlight w:val="none"/>
                <w:lang w:val="en-US" w:eastAsia="zh-CN"/>
              </w:rPr>
              <w:t>4</w:t>
            </w:r>
            <w:r>
              <w:rPr>
                <w:rFonts w:hint="eastAsia"/>
                <w:b/>
                <w:bCs/>
                <w:color w:val="auto"/>
                <w:highlight w:val="none"/>
                <w:lang w:val="en-US" w:eastAsia="zh-CN"/>
              </w:rPr>
              <w:t>、固体废物影响分析及保护措施</w:t>
            </w:r>
          </w:p>
          <w:p w14:paraId="549AB8F2">
            <w:pPr>
              <w:bidi w:val="0"/>
              <w:rPr>
                <w:color w:val="auto"/>
                <w:sz w:val="24"/>
                <w:szCs w:val="24"/>
                <w:highlight w:val="none"/>
              </w:rPr>
            </w:pPr>
            <w:r>
              <w:rPr>
                <w:rFonts w:hint="eastAsia"/>
                <w:color w:val="auto"/>
                <w:sz w:val="24"/>
                <w:szCs w:val="24"/>
                <w:highlight w:val="none"/>
                <w:lang w:val="en-US" w:eastAsia="zh-CN"/>
              </w:rPr>
              <w:t>本项目施工期固体废物主要为施工垃圾、施工人员生活垃圾。</w:t>
            </w:r>
          </w:p>
          <w:p w14:paraId="068F8F30">
            <w:pPr>
              <w:bidi w:val="0"/>
              <w:rPr>
                <w:color w:val="auto"/>
                <w:sz w:val="24"/>
                <w:szCs w:val="24"/>
                <w:highlight w:val="none"/>
              </w:rPr>
            </w:pPr>
            <w:r>
              <w:rPr>
                <w:rFonts w:hint="eastAsia"/>
                <w:color w:val="auto"/>
                <w:sz w:val="24"/>
                <w:szCs w:val="24"/>
                <w:highlight w:val="none"/>
                <w:lang w:val="en-US" w:eastAsia="zh-CN"/>
              </w:rPr>
              <w:t>（</w:t>
            </w:r>
            <w:r>
              <w:rPr>
                <w:rFonts w:hint="default"/>
                <w:color w:val="auto"/>
                <w:sz w:val="24"/>
                <w:szCs w:val="24"/>
                <w:highlight w:val="none"/>
                <w:lang w:val="en-US" w:eastAsia="zh-CN"/>
              </w:rPr>
              <w:t>1</w:t>
            </w:r>
            <w:r>
              <w:rPr>
                <w:rFonts w:hint="eastAsia"/>
                <w:color w:val="auto"/>
                <w:sz w:val="24"/>
                <w:szCs w:val="24"/>
                <w:highlight w:val="none"/>
                <w:lang w:val="en-US" w:eastAsia="zh-CN"/>
              </w:rPr>
              <w:t>）施工垃圾</w:t>
            </w:r>
          </w:p>
          <w:p w14:paraId="094A1608">
            <w:pPr>
              <w:bidi w:val="0"/>
              <w:rPr>
                <w:color w:val="auto"/>
                <w:sz w:val="24"/>
                <w:szCs w:val="24"/>
                <w:highlight w:val="none"/>
              </w:rPr>
            </w:pPr>
            <w:r>
              <w:rPr>
                <w:rFonts w:hint="eastAsia"/>
                <w:color w:val="auto"/>
                <w:sz w:val="24"/>
                <w:szCs w:val="24"/>
                <w:highlight w:val="none"/>
                <w:lang w:val="en-US" w:eastAsia="zh-CN"/>
              </w:rPr>
              <w:t>施工垃圾主要为基坑开挖产生的土石方及建筑废料。建筑废料主要为施工中的砖、水泥、钢材，可回收的建筑废料回收利用作为运营期生产原料，不可回收的送至相关部门指定处理点处理。</w:t>
            </w:r>
          </w:p>
          <w:p w14:paraId="24BE61F9">
            <w:pPr>
              <w:bidi w:val="0"/>
              <w:rPr>
                <w:color w:val="auto"/>
                <w:sz w:val="24"/>
                <w:szCs w:val="24"/>
                <w:highlight w:val="none"/>
              </w:rPr>
            </w:pPr>
            <w:r>
              <w:rPr>
                <w:rFonts w:hint="eastAsia"/>
                <w:color w:val="auto"/>
                <w:sz w:val="24"/>
                <w:szCs w:val="24"/>
                <w:highlight w:val="none"/>
                <w:lang w:val="en-US" w:eastAsia="zh-CN"/>
              </w:rPr>
              <w:t>（</w:t>
            </w:r>
            <w:r>
              <w:rPr>
                <w:rFonts w:hint="default"/>
                <w:color w:val="auto"/>
                <w:sz w:val="24"/>
                <w:szCs w:val="24"/>
                <w:highlight w:val="none"/>
                <w:lang w:val="en-US" w:eastAsia="zh-CN"/>
              </w:rPr>
              <w:t>2</w:t>
            </w:r>
            <w:r>
              <w:rPr>
                <w:rFonts w:hint="eastAsia"/>
                <w:color w:val="auto"/>
                <w:sz w:val="24"/>
                <w:szCs w:val="24"/>
                <w:highlight w:val="none"/>
                <w:lang w:val="en-US" w:eastAsia="zh-CN"/>
              </w:rPr>
              <w:t>）施工人员生活垃圾</w:t>
            </w:r>
          </w:p>
          <w:p w14:paraId="6A704684">
            <w:pPr>
              <w:adjustRightInd w:val="0"/>
              <w:snapToGrid w:val="0"/>
              <w:rPr>
                <w:rFonts w:ascii="宋体" w:hAnsi="宋体" w:cs="宋体"/>
                <w:bCs/>
                <w:color w:val="auto"/>
                <w:spacing w:val="-10"/>
                <w:szCs w:val="21"/>
                <w:highlight w:val="none"/>
              </w:rPr>
            </w:pPr>
            <w:r>
              <w:rPr>
                <w:rFonts w:hint="default" w:ascii="Times New Roman" w:hAnsi="Times New Roman" w:eastAsia="宋体" w:cs="Times New Roman"/>
                <w:bCs/>
                <w:color w:val="auto"/>
                <w:sz w:val="24"/>
                <w:szCs w:val="24"/>
                <w:highlight w:val="none"/>
              </w:rPr>
              <w:t>施工人</w:t>
            </w:r>
            <w:r>
              <w:rPr>
                <w:rFonts w:hint="eastAsia" w:cs="Times New Roman"/>
                <w:bCs/>
                <w:color w:val="auto"/>
                <w:sz w:val="24"/>
                <w:szCs w:val="24"/>
                <w:highlight w:val="none"/>
                <w:lang w:eastAsia="zh-CN"/>
              </w:rPr>
              <w:t>员对</w:t>
            </w:r>
            <w:r>
              <w:rPr>
                <w:rFonts w:hint="default" w:ascii="Times New Roman" w:hAnsi="Times New Roman" w:eastAsia="宋体" w:cs="Times New Roman"/>
                <w:bCs/>
                <w:color w:val="auto"/>
                <w:sz w:val="24"/>
                <w:szCs w:val="24"/>
                <w:highlight w:val="none"/>
              </w:rPr>
              <w:t>生活垃圾统一收集后</w:t>
            </w:r>
            <w:r>
              <w:rPr>
                <w:rFonts w:hint="default" w:ascii="Times New Roman" w:hAnsi="Times New Roman" w:eastAsia="宋体" w:cs="Times New Roman"/>
                <w:bCs/>
                <w:color w:val="auto"/>
                <w:sz w:val="24"/>
                <w:szCs w:val="24"/>
                <w:highlight w:val="none"/>
                <w:lang w:val="en-US" w:eastAsia="zh-CN"/>
              </w:rPr>
              <w:t>交由</w:t>
            </w:r>
            <w:r>
              <w:rPr>
                <w:rFonts w:hint="default" w:ascii="Times New Roman" w:hAnsi="Times New Roman" w:eastAsia="宋体" w:cs="Times New Roman"/>
                <w:bCs/>
                <w:color w:val="auto"/>
                <w:sz w:val="24"/>
                <w:szCs w:val="24"/>
                <w:highlight w:val="none"/>
              </w:rPr>
              <w:t>当地环卫部门</w:t>
            </w:r>
            <w:r>
              <w:rPr>
                <w:rFonts w:hint="default" w:ascii="Times New Roman" w:hAnsi="Times New Roman" w:eastAsia="宋体" w:cs="Times New Roman"/>
                <w:bCs/>
                <w:color w:val="auto"/>
                <w:sz w:val="24"/>
                <w:szCs w:val="24"/>
                <w:highlight w:val="none"/>
                <w:lang w:val="en-US" w:eastAsia="zh-CN"/>
              </w:rPr>
              <w:t>统一</w:t>
            </w:r>
            <w:r>
              <w:rPr>
                <w:rFonts w:hint="default" w:ascii="Times New Roman" w:hAnsi="Times New Roman" w:eastAsia="宋体" w:cs="Times New Roman"/>
                <w:bCs/>
                <w:color w:val="auto"/>
                <w:sz w:val="24"/>
                <w:szCs w:val="24"/>
                <w:highlight w:val="none"/>
              </w:rPr>
              <w:t>处理。</w:t>
            </w:r>
          </w:p>
        </w:tc>
      </w:tr>
      <w:tr w14:paraId="10542C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9" w:hRule="atLeast"/>
          <w:jc w:val="center"/>
        </w:trPr>
        <w:tc>
          <w:tcPr>
            <w:tcW w:w="746" w:type="dxa"/>
            <w:noWrap w:val="0"/>
            <w:tcMar>
              <w:left w:w="28" w:type="dxa"/>
              <w:right w:w="28" w:type="dxa"/>
            </w:tcMar>
            <w:vAlign w:val="center"/>
          </w:tcPr>
          <w:p w14:paraId="69F7D5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r>
              <w:rPr>
                <w:rFonts w:hint="eastAsia"/>
                <w:color w:val="auto"/>
                <w:highlight w:val="none"/>
              </w:rPr>
              <w:t>运营期环境影响和保护措施</w:t>
            </w:r>
          </w:p>
        </w:tc>
        <w:tc>
          <w:tcPr>
            <w:tcW w:w="8162" w:type="dxa"/>
            <w:noWrap w:val="0"/>
            <w:vAlign w:val="center"/>
          </w:tcPr>
          <w:p w14:paraId="405EE1B3">
            <w:pPr>
              <w:bidi w:val="0"/>
              <w:ind w:left="0" w:leftChars="0" w:firstLine="0" w:firstLineChars="0"/>
              <w:rPr>
                <w:rFonts w:hint="default" w:eastAsia="宋体"/>
                <w:b/>
                <w:bCs/>
                <w:color w:val="auto"/>
                <w:highlight w:val="none"/>
                <w:lang w:val="en-US" w:eastAsia="zh-CN"/>
              </w:rPr>
            </w:pPr>
            <w:r>
              <w:rPr>
                <w:rFonts w:hint="eastAsia"/>
                <w:b/>
                <w:bCs/>
                <w:color w:val="auto"/>
                <w:highlight w:val="none"/>
                <w:lang w:val="en-US" w:eastAsia="zh-CN"/>
              </w:rPr>
              <w:t>1、大气环境影响分析及保护措施</w:t>
            </w:r>
          </w:p>
          <w:p w14:paraId="597ADEC5">
            <w:pPr>
              <w:bidi w:val="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（1）砂石料堆存装卸粉尘</w:t>
            </w:r>
          </w:p>
          <w:p w14:paraId="7C50A4E3">
            <w:pPr>
              <w:bidi w:val="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rPr>
              <w:t>全封闭砂石料场</w:t>
            </w:r>
            <w:r>
              <w:rPr>
                <w:rFonts w:hint="default" w:ascii="Times New Roman" w:hAnsi="Times New Roman" w:cs="Times New Roman" w:eastAsiaTheme="minorEastAsia"/>
                <w:color w:val="auto"/>
                <w:sz w:val="24"/>
                <w:szCs w:val="24"/>
                <w:highlight w:val="none"/>
                <w:lang w:val="en-US" w:eastAsia="zh-CN"/>
              </w:rPr>
              <w:t>中砂子、石子在</w:t>
            </w:r>
            <w:r>
              <w:rPr>
                <w:rFonts w:hint="eastAsia" w:cs="Times New Roman" w:eastAsiaTheme="minorEastAsia"/>
                <w:color w:val="auto"/>
                <w:sz w:val="24"/>
                <w:szCs w:val="24"/>
                <w:highlight w:val="none"/>
                <w:lang w:val="en-US" w:eastAsia="zh-CN"/>
              </w:rPr>
              <w:t>堆存</w:t>
            </w:r>
            <w:r>
              <w:rPr>
                <w:rFonts w:hint="default" w:ascii="Times New Roman" w:hAnsi="Times New Roman" w:cs="Times New Roman" w:eastAsiaTheme="minorEastAsia"/>
                <w:color w:val="auto"/>
                <w:sz w:val="24"/>
                <w:szCs w:val="24"/>
                <w:highlight w:val="none"/>
                <w:lang w:val="en-US" w:eastAsia="zh-CN"/>
              </w:rPr>
              <w:t>、装卸过程中会有粉尘产生，根据《固体物料堆场颗粒物产排污核算系数手册》工业企业固体物料堆存颗粒物包括装卸扬尘和风蚀扬尘，颗粒物产生量核算公式如下：</w:t>
            </w:r>
          </w:p>
          <w:p w14:paraId="763204C8">
            <w:pPr>
              <w:pStyle w:val="6"/>
              <w:bidi w:val="0"/>
              <w:rPr>
                <w:rFonts w:hint="default" w:ascii="Times New Roman" w:hAnsi="Times New Roman" w:cs="Times New Roman" w:eastAsiaTheme="minorEastAsia"/>
                <w:color w:val="auto"/>
                <w:sz w:val="24"/>
                <w:szCs w:val="24"/>
                <w:highlight w:val="none"/>
                <w:lang w:val="en-US" w:eastAsia="zh-CN"/>
              </w:rPr>
            </w:pPr>
            <m:oMathPara>
              <m:oMath>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P=</m:t>
                </m:r>
                <m:sSub>
                  <m:sSubPr>
                    <m:ctrlPr>
                      <w:rPr>
                        <w:rFonts w:hint="default" w:ascii="Cambria Math" w:hAnsi="Cambria Math" w:cs="Times New Roman" w:eastAsiaTheme="minorEastAsia"/>
                        <w:color w:val="auto"/>
                        <w:kern w:val="0"/>
                        <w:sz w:val="24"/>
                        <w:szCs w:val="24"/>
                        <w:highlight w:val="none"/>
                        <w:lang w:val="en-US" w:eastAsia="zh-CN" w:bidi="ar-SA"/>
                      </w:rPr>
                    </m:ctrlPr>
                  </m:sSubPr>
                  <m:e>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ZC</m:t>
                    </m:r>
                    <m:ctrlPr>
                      <w:rPr>
                        <w:rFonts w:hint="default" w:ascii="Cambria Math" w:hAnsi="Cambria Math" w:cs="Times New Roman" w:eastAsiaTheme="minorEastAsia"/>
                        <w:color w:val="auto"/>
                        <w:kern w:val="0"/>
                        <w:sz w:val="24"/>
                        <w:szCs w:val="24"/>
                        <w:highlight w:val="none"/>
                        <w:lang w:val="en-US" w:eastAsia="zh-CN" w:bidi="ar-SA"/>
                      </w:rPr>
                    </m:ctrlPr>
                  </m:e>
                  <m:sub>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y</m:t>
                    </m:r>
                    <m:ctrlPr>
                      <w:rPr>
                        <w:rFonts w:hint="default" w:ascii="Cambria Math" w:hAnsi="Cambria Math" w:cs="Times New Roman" w:eastAsiaTheme="minorEastAsia"/>
                        <w:color w:val="auto"/>
                        <w:kern w:val="0"/>
                        <w:sz w:val="24"/>
                        <w:szCs w:val="24"/>
                        <w:highlight w:val="none"/>
                        <w:lang w:val="en-US" w:eastAsia="zh-CN" w:bidi="ar-SA"/>
                      </w:rPr>
                    </m:ctrlPr>
                  </m:sub>
                </m:sSub>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m:t>
                </m:r>
                <m:sSub>
                  <m:sSubPr>
                    <m:ctrlPr>
                      <w:rPr>
                        <w:rFonts w:hint="default" w:ascii="Cambria Math" w:hAnsi="Cambria Math" w:cs="Times New Roman" w:eastAsiaTheme="minorEastAsia"/>
                        <w:color w:val="auto"/>
                        <w:kern w:val="0"/>
                        <w:sz w:val="24"/>
                        <w:szCs w:val="24"/>
                        <w:highlight w:val="none"/>
                        <w:lang w:val="en-US" w:eastAsia="zh-CN" w:bidi="ar-SA"/>
                      </w:rPr>
                    </m:ctrlPr>
                  </m:sSubPr>
                  <m:e>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FC</m:t>
                    </m:r>
                    <m:ctrlPr>
                      <w:rPr>
                        <w:rFonts w:hint="default" w:ascii="Cambria Math" w:hAnsi="Cambria Math" w:cs="Times New Roman" w:eastAsiaTheme="minorEastAsia"/>
                        <w:color w:val="auto"/>
                        <w:kern w:val="0"/>
                        <w:sz w:val="24"/>
                        <w:szCs w:val="24"/>
                        <w:highlight w:val="none"/>
                        <w:lang w:val="en-US" w:eastAsia="zh-CN" w:bidi="ar-SA"/>
                      </w:rPr>
                    </m:ctrlPr>
                  </m:e>
                  <m:sub>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y</m:t>
                    </m:r>
                    <m:ctrlPr>
                      <w:rPr>
                        <w:rFonts w:hint="default" w:ascii="Cambria Math" w:hAnsi="Cambria Math" w:cs="Times New Roman" w:eastAsiaTheme="minorEastAsia"/>
                        <w:color w:val="auto"/>
                        <w:kern w:val="0"/>
                        <w:sz w:val="24"/>
                        <w:szCs w:val="24"/>
                        <w:highlight w:val="none"/>
                        <w:lang w:val="en-US" w:eastAsia="zh-CN" w:bidi="ar-SA"/>
                      </w:rPr>
                    </m:ctrlPr>
                  </m:sub>
                </m:sSub>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m:t>
                </m:r>
                <m:d>
                  <m:dPr>
                    <m:begChr m:val="{"/>
                    <m:endChr m:val="}"/>
                    <m:ctrlPr>
                      <w:rPr>
                        <w:rFonts w:hint="default" w:ascii="Cambria Math" w:hAnsi="Cambria Math" w:cs="Times New Roman" w:eastAsiaTheme="minorEastAsia"/>
                        <w:color w:val="auto"/>
                        <w:kern w:val="0"/>
                        <w:sz w:val="24"/>
                        <w:szCs w:val="24"/>
                        <w:highlight w:val="none"/>
                        <w:lang w:val="en-US" w:eastAsia="zh-CN" w:bidi="ar-SA"/>
                      </w:rPr>
                    </m:ctrlPr>
                  </m:dPr>
                  <m:e>
                    <m:sSub>
                      <m:sSubPr>
                        <m:ctrlPr>
                          <w:rPr>
                            <w:rFonts w:hint="default" w:ascii="Cambria Math" w:hAnsi="Cambria Math" w:cs="Times New Roman" w:eastAsiaTheme="minorEastAsia"/>
                            <w:color w:val="auto"/>
                            <w:kern w:val="0"/>
                            <w:sz w:val="24"/>
                            <w:szCs w:val="24"/>
                            <w:highlight w:val="none"/>
                            <w:lang w:val="en-US" w:eastAsia="zh-CN" w:bidi="ar-SA"/>
                          </w:rPr>
                        </m:ctrlPr>
                      </m:sSubPr>
                      <m:e>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N</m:t>
                        </m:r>
                        <m:ctrlPr>
                          <w:rPr>
                            <w:rFonts w:hint="default" w:ascii="Cambria Math" w:hAnsi="Cambria Math" w:cs="Times New Roman" w:eastAsiaTheme="minorEastAsia"/>
                            <w:color w:val="auto"/>
                            <w:kern w:val="0"/>
                            <w:sz w:val="24"/>
                            <w:szCs w:val="24"/>
                            <w:highlight w:val="none"/>
                            <w:lang w:val="en-US" w:eastAsia="zh-CN" w:bidi="ar-SA"/>
                          </w:rPr>
                        </m:ctrlPr>
                      </m:e>
                      <m:sub>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c</m:t>
                        </m:r>
                        <m:ctrlPr>
                          <w:rPr>
                            <w:rFonts w:hint="default" w:ascii="Cambria Math" w:hAnsi="Cambria Math" w:cs="Times New Roman" w:eastAsiaTheme="minorEastAsia"/>
                            <w:color w:val="auto"/>
                            <w:kern w:val="0"/>
                            <w:sz w:val="24"/>
                            <w:szCs w:val="24"/>
                            <w:highlight w:val="none"/>
                            <w:lang w:val="en-US" w:eastAsia="zh-CN" w:bidi="ar-SA"/>
                          </w:rPr>
                        </m:ctrlPr>
                      </m:sub>
                    </m:sSub>
                    <m:r>
                      <m:rPr>
                        <m:nor/>
                        <m:sty m:val="p"/>
                      </m:rPr>
                      <w:rPr>
                        <w:rFonts w:hint="default" w:ascii="Times New Roman" w:hAnsi="Times New Roman" w:cs="Times New Roman" w:eastAsiaTheme="minorEastAsia"/>
                        <w:b w:val="0"/>
                        <w:i w:val="0"/>
                        <w:color w:val="auto"/>
                        <w:kern w:val="0"/>
                        <w:sz w:val="24"/>
                        <w:szCs w:val="24"/>
                        <w:highlight w:val="none"/>
                        <w:lang w:val="en-US" w:bidi="ar-SA"/>
                      </w:rPr>
                      <m:t>×</m:t>
                    </m:r>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D</m:t>
                    </m:r>
                    <m:r>
                      <m:rPr>
                        <m:nor/>
                        <m:sty m:val="p"/>
                      </m:rPr>
                      <w:rPr>
                        <w:rFonts w:hint="default" w:ascii="Times New Roman" w:hAnsi="Times New Roman" w:cs="Times New Roman" w:eastAsiaTheme="minorEastAsia"/>
                        <w:b w:val="0"/>
                        <w:i w:val="0"/>
                        <w:color w:val="auto"/>
                        <w:kern w:val="0"/>
                        <w:sz w:val="24"/>
                        <w:szCs w:val="24"/>
                        <w:highlight w:val="none"/>
                        <w:lang w:val="en-US" w:bidi="ar-SA"/>
                      </w:rPr>
                      <m:t>×</m:t>
                    </m:r>
                    <m:d>
                      <m:dPr>
                        <m:ctrlPr>
                          <w:rPr>
                            <w:rFonts w:hint="default" w:ascii="Cambria Math" w:hAnsi="Cambria Math" w:cs="Times New Roman" w:eastAsiaTheme="minorEastAsia"/>
                            <w:color w:val="auto"/>
                            <w:kern w:val="0"/>
                            <w:sz w:val="24"/>
                            <w:szCs w:val="24"/>
                            <w:highlight w:val="none"/>
                            <w:lang w:val="en-US" w:bidi="ar-SA"/>
                          </w:rPr>
                        </m:ctrlPr>
                      </m:dPr>
                      <m:e>
                        <m:f>
                          <m:fPr>
                            <m:type m:val="lin"/>
                            <m:ctrlPr>
                              <w:rPr>
                                <w:rFonts w:hint="default" w:ascii="Cambria Math" w:hAnsi="Cambria Math" w:cs="Times New Roman" w:eastAsiaTheme="minorEastAsia"/>
                                <w:color w:val="auto"/>
                                <w:kern w:val="0"/>
                                <w:sz w:val="24"/>
                                <w:szCs w:val="24"/>
                                <w:highlight w:val="none"/>
                                <w:lang w:val="en-US" w:bidi="ar-SA"/>
                              </w:rPr>
                            </m:ctrlPr>
                          </m:fPr>
                          <m:num>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a</m:t>
                            </m:r>
                            <m:ctrlPr>
                              <w:rPr>
                                <w:rFonts w:hint="default" w:ascii="Cambria Math" w:hAnsi="Cambria Math" w:cs="Times New Roman" w:eastAsiaTheme="minorEastAsia"/>
                                <w:color w:val="auto"/>
                                <w:kern w:val="0"/>
                                <w:sz w:val="24"/>
                                <w:szCs w:val="24"/>
                                <w:highlight w:val="none"/>
                                <w:lang w:val="en-US" w:bidi="ar-SA"/>
                              </w:rPr>
                            </m:ctrlPr>
                          </m:num>
                          <m:den>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b</m:t>
                            </m:r>
                            <m:ctrlPr>
                              <w:rPr>
                                <w:rFonts w:hint="default" w:ascii="Cambria Math" w:hAnsi="Cambria Math" w:cs="Times New Roman" w:eastAsiaTheme="minorEastAsia"/>
                                <w:color w:val="auto"/>
                                <w:kern w:val="0"/>
                                <w:sz w:val="24"/>
                                <w:szCs w:val="24"/>
                                <w:highlight w:val="none"/>
                                <w:lang w:val="en-US" w:bidi="ar-SA"/>
                              </w:rPr>
                            </m:ctrlPr>
                          </m:den>
                        </m:f>
                        <m:ctrlPr>
                          <w:rPr>
                            <w:rFonts w:hint="default" w:ascii="Cambria Math" w:hAnsi="Cambria Math" w:cs="Times New Roman" w:eastAsiaTheme="minorEastAsia"/>
                            <w:color w:val="auto"/>
                            <w:kern w:val="0"/>
                            <w:sz w:val="24"/>
                            <w:szCs w:val="24"/>
                            <w:highlight w:val="none"/>
                            <w:lang w:val="en-US" w:bidi="ar-SA"/>
                          </w:rPr>
                        </m:ctrlPr>
                      </m:e>
                    </m:d>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+2</m:t>
                    </m:r>
                    <m:r>
                      <m:rPr>
                        <m:nor/>
                        <m:sty m:val="p"/>
                      </m:rPr>
                      <w:rPr>
                        <w:rFonts w:hint="default" w:ascii="Times New Roman" w:hAnsi="Times New Roman" w:cs="Times New Roman" w:eastAsiaTheme="minorEastAsia"/>
                        <w:b w:val="0"/>
                        <w:i w:val="0"/>
                        <w:color w:val="auto"/>
                        <w:kern w:val="0"/>
                        <w:sz w:val="24"/>
                        <w:szCs w:val="24"/>
                        <w:highlight w:val="none"/>
                        <w:lang w:val="en-US" w:bidi="ar-SA"/>
                      </w:rPr>
                      <m:t>×</m:t>
                    </m:r>
                    <m:sSub>
                      <m:sSubPr>
                        <m:ctrlPr>
                          <w:rPr>
                            <w:rFonts w:hint="default" w:ascii="Cambria Math" w:hAnsi="Cambria Math" w:cs="Times New Roman" w:eastAsiaTheme="minorEastAsia"/>
                            <w:color w:val="auto"/>
                            <w:kern w:val="0"/>
                            <w:sz w:val="24"/>
                            <w:szCs w:val="24"/>
                            <w:highlight w:val="none"/>
                            <w:lang w:val="en-US" w:bidi="ar-SA"/>
                          </w:rPr>
                        </m:ctrlPr>
                      </m:sSubPr>
                      <m:e>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E</m:t>
                        </m:r>
                        <m:ctrlPr>
                          <w:rPr>
                            <w:rFonts w:hint="default" w:ascii="Cambria Math" w:hAnsi="Cambria Math" w:cs="Times New Roman" w:eastAsiaTheme="minorEastAsia"/>
                            <w:color w:val="auto"/>
                            <w:kern w:val="0"/>
                            <w:sz w:val="24"/>
                            <w:szCs w:val="24"/>
                            <w:highlight w:val="none"/>
                            <w:lang w:val="en-US" w:bidi="ar-SA"/>
                          </w:rPr>
                        </m:ctrlPr>
                      </m:e>
                      <m:sub>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f</m:t>
                        </m:r>
                        <m:ctrlPr>
                          <w:rPr>
                            <w:rFonts w:hint="default" w:ascii="Cambria Math" w:hAnsi="Cambria Math" w:cs="Times New Roman" w:eastAsiaTheme="minorEastAsia"/>
                            <w:color w:val="auto"/>
                            <w:kern w:val="0"/>
                            <w:sz w:val="24"/>
                            <w:szCs w:val="24"/>
                            <w:highlight w:val="none"/>
                            <w:lang w:val="en-US" w:bidi="ar-SA"/>
                          </w:rPr>
                        </m:ctrlPr>
                      </m:sub>
                    </m:sSub>
                    <m:r>
                      <m:rPr>
                        <m:nor/>
                        <m:sty m:val="p"/>
                      </m:rPr>
                      <w:rPr>
                        <w:rFonts w:hint="default" w:ascii="Times New Roman" w:hAnsi="Times New Roman" w:cs="Times New Roman" w:eastAsiaTheme="minorEastAsia"/>
                        <w:b w:val="0"/>
                        <w:i w:val="0"/>
                        <w:color w:val="auto"/>
                        <w:kern w:val="0"/>
                        <w:sz w:val="24"/>
                        <w:szCs w:val="24"/>
                        <w:highlight w:val="none"/>
                        <w:lang w:val="en-US" w:bidi="ar-SA"/>
                      </w:rPr>
                      <m:t>×</m:t>
                    </m:r>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S</m:t>
                    </m:r>
                    <m:ctrlPr>
                      <w:rPr>
                        <w:rFonts w:hint="default" w:ascii="Cambria Math" w:hAnsi="Cambria Math" w:cs="Times New Roman" w:eastAsiaTheme="minorEastAsia"/>
                        <w:color w:val="auto"/>
                        <w:kern w:val="0"/>
                        <w:sz w:val="24"/>
                        <w:szCs w:val="24"/>
                        <w:highlight w:val="none"/>
                        <w:lang w:val="en-US" w:eastAsia="zh-CN" w:bidi="ar-SA"/>
                      </w:rPr>
                    </m:ctrlPr>
                  </m:e>
                </m:d>
                <m:r>
                  <m:rPr>
                    <m:nor/>
                    <m:sty m:val="p"/>
                  </m:rPr>
                  <w:rPr>
                    <w:rFonts w:hint="default" w:ascii="Times New Roman" w:hAnsi="Times New Roman" w:cs="Times New Roman" w:eastAsiaTheme="minorEastAsia"/>
                    <w:b w:val="0"/>
                    <w:i w:val="0"/>
                    <w:color w:val="auto"/>
                    <w:kern w:val="0"/>
                    <w:sz w:val="24"/>
                    <w:szCs w:val="24"/>
                    <w:highlight w:val="none"/>
                    <w:lang w:val="en-US" w:bidi="ar-SA"/>
                  </w:rPr>
                  <m:t>×</m:t>
                </m:r>
                <m:sSup>
                  <m:sSupPr>
                    <m:ctrlPr>
                      <w:rPr>
                        <w:rFonts w:hint="default" w:ascii="Cambria Math" w:hAnsi="Cambria Math" w:cs="Times New Roman" w:eastAsiaTheme="minorEastAsia"/>
                        <w:b w:val="0"/>
                        <w:i w:val="0"/>
                        <w:color w:val="auto"/>
                        <w:kern w:val="0"/>
                        <w:sz w:val="24"/>
                        <w:szCs w:val="24"/>
                        <w:highlight w:val="none"/>
                        <w:lang w:val="en-US" w:bidi="ar-SA"/>
                      </w:rPr>
                    </m:ctrlPr>
                  </m:sSupPr>
                  <m:e>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10</m:t>
                    </m:r>
                    <m:ctrlPr>
                      <w:rPr>
                        <w:rFonts w:hint="default" w:ascii="Cambria Math" w:hAnsi="Cambria Math" w:cs="Times New Roman" w:eastAsiaTheme="minorEastAsia"/>
                        <w:b w:val="0"/>
                        <w:i w:val="0"/>
                        <w:color w:val="auto"/>
                        <w:kern w:val="0"/>
                        <w:sz w:val="24"/>
                        <w:szCs w:val="24"/>
                        <w:highlight w:val="none"/>
                        <w:lang w:val="en-US" w:bidi="ar-SA"/>
                      </w:rPr>
                    </m:ctrlPr>
                  </m:e>
                  <m:sup>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−3</m:t>
                    </m:r>
                    <m:ctrlPr>
                      <w:rPr>
                        <w:rFonts w:hint="default" w:ascii="Cambria Math" w:hAnsi="Cambria Math" w:cs="Times New Roman" w:eastAsiaTheme="minorEastAsia"/>
                        <w:b w:val="0"/>
                        <w:i w:val="0"/>
                        <w:color w:val="auto"/>
                        <w:kern w:val="0"/>
                        <w:sz w:val="24"/>
                        <w:szCs w:val="24"/>
                        <w:highlight w:val="none"/>
                        <w:lang w:val="en-US" w:bidi="ar-SA"/>
                      </w:rPr>
                    </m:ctrlPr>
                  </m:sup>
                </m:sSup>
              </m:oMath>
            </m:oMathPara>
          </w:p>
          <w:p w14:paraId="39D505AC">
            <w:pPr>
              <w:pStyle w:val="6"/>
              <w:bidi w:val="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式中：</w:t>
            </w:r>
            <m:oMath>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P</m:t>
              </m:r>
            </m:oMath>
            <w:r>
              <w:rPr>
                <w:rFonts w:hint="default" w:ascii="Times New Roman" w:hAnsi="Times New Roman" w:cs="Times New Roman" w:eastAsiaTheme="minorEastAsia"/>
                <w:color w:val="auto"/>
                <w:sz w:val="24"/>
                <w:szCs w:val="24"/>
                <w:highlight w:val="none"/>
                <w:lang w:val="en-US" w:eastAsia="zh-CN"/>
              </w:rPr>
              <w:t>指颗粒物产生量（单位：吨）；</w:t>
            </w:r>
          </w:p>
          <w:p w14:paraId="31BF5E1C">
            <w:pPr>
              <w:pStyle w:val="6"/>
              <w:bidi w:val="0"/>
              <w:ind w:firstLine="1200" w:firstLineChars="500"/>
              <w:rPr>
                <w:rFonts w:hint="default" w:ascii="Times New Roman" w:hAnsi="Times New Roman" w:cs="Times New Roman" w:eastAsiaTheme="minorEastAsia"/>
                <w:color w:val="auto"/>
                <w:sz w:val="24"/>
                <w:szCs w:val="24"/>
                <w:highlight w:val="none"/>
                <w:lang w:val="en-US" w:eastAsia="zh-CN"/>
              </w:rPr>
            </w:pPr>
            <m:oMath>
              <m:sSub>
                <m:sSubPr>
                  <m:ctrlPr>
                    <w:rPr>
                      <w:rFonts w:hint="default" w:ascii="Cambria Math" w:hAnsi="Cambria Math" w:cs="Times New Roman" w:eastAsiaTheme="minorEastAsia"/>
                      <w:color w:val="auto"/>
                      <w:kern w:val="0"/>
                      <w:sz w:val="24"/>
                      <w:szCs w:val="24"/>
                      <w:highlight w:val="none"/>
                      <w:lang w:val="en-US" w:eastAsia="zh-CN" w:bidi="ar-SA"/>
                    </w:rPr>
                  </m:ctrlPr>
                </m:sSubPr>
                <m:e>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ZC</m:t>
                  </m:r>
                  <m:ctrlPr>
                    <w:rPr>
                      <w:rFonts w:hint="default" w:ascii="Cambria Math" w:hAnsi="Cambria Math" w:cs="Times New Roman" w:eastAsiaTheme="minorEastAsia"/>
                      <w:color w:val="auto"/>
                      <w:kern w:val="0"/>
                      <w:sz w:val="24"/>
                      <w:szCs w:val="24"/>
                      <w:highlight w:val="none"/>
                      <w:lang w:val="en-US" w:eastAsia="zh-CN" w:bidi="ar-SA"/>
                    </w:rPr>
                  </m:ctrlPr>
                </m:e>
                <m:sub>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y</m:t>
                  </m:r>
                  <m:ctrlPr>
                    <w:rPr>
                      <w:rFonts w:hint="default" w:ascii="Cambria Math" w:hAnsi="Cambria Math" w:cs="Times New Roman" w:eastAsiaTheme="minorEastAsia"/>
                      <w:color w:val="auto"/>
                      <w:kern w:val="0"/>
                      <w:sz w:val="24"/>
                      <w:szCs w:val="24"/>
                      <w:highlight w:val="none"/>
                      <w:lang w:val="en-US" w:eastAsia="zh-CN" w:bidi="ar-SA"/>
                    </w:rPr>
                  </m:ctrlPr>
                </m:sub>
              </m:sSub>
            </m:oMath>
            <w:r>
              <w:rPr>
                <w:rFonts w:hint="default" w:ascii="Times New Roman" w:hAnsi="Times New Roman" w:cs="Times New Roman" w:eastAsiaTheme="minorEastAsia"/>
                <w:color w:val="auto"/>
                <w:sz w:val="24"/>
                <w:szCs w:val="24"/>
                <w:highlight w:val="none"/>
                <w:lang w:val="en-US" w:eastAsia="zh-CN"/>
              </w:rPr>
              <w:t>指装卸扬尘产生量（单位：吨）；</w:t>
            </w:r>
          </w:p>
          <w:p w14:paraId="7DDF91F6">
            <w:pPr>
              <w:pStyle w:val="6"/>
              <w:bidi w:val="0"/>
              <w:ind w:firstLine="1200" w:firstLineChars="500"/>
              <w:rPr>
                <w:rFonts w:hint="default" w:ascii="Times New Roman" w:hAnsi="Times New Roman" w:cs="Times New Roman" w:eastAsiaTheme="minorEastAsia"/>
                <w:color w:val="auto"/>
                <w:sz w:val="24"/>
                <w:szCs w:val="24"/>
                <w:highlight w:val="none"/>
                <w:lang w:val="en-US" w:eastAsia="zh-CN"/>
              </w:rPr>
            </w:pPr>
            <m:oMath>
              <m:sSub>
                <m:sSubPr>
                  <m:ctrlPr>
                    <w:rPr>
                      <w:rFonts w:hint="default" w:ascii="Cambria Math" w:hAnsi="Cambria Math" w:cs="Times New Roman" w:eastAsiaTheme="minorEastAsia"/>
                      <w:color w:val="auto"/>
                      <w:kern w:val="0"/>
                      <w:sz w:val="24"/>
                      <w:szCs w:val="24"/>
                      <w:highlight w:val="none"/>
                      <w:lang w:val="en-US" w:eastAsia="zh-CN" w:bidi="ar-SA"/>
                    </w:rPr>
                  </m:ctrlPr>
                </m:sSubPr>
                <m:e>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FC</m:t>
                  </m:r>
                  <m:ctrlPr>
                    <w:rPr>
                      <w:rFonts w:hint="default" w:ascii="Cambria Math" w:hAnsi="Cambria Math" w:cs="Times New Roman" w:eastAsiaTheme="minorEastAsia"/>
                      <w:color w:val="auto"/>
                      <w:kern w:val="0"/>
                      <w:sz w:val="24"/>
                      <w:szCs w:val="24"/>
                      <w:highlight w:val="none"/>
                      <w:lang w:val="en-US" w:eastAsia="zh-CN" w:bidi="ar-SA"/>
                    </w:rPr>
                  </m:ctrlPr>
                </m:e>
                <m:sub>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y</m:t>
                  </m:r>
                  <m:ctrlPr>
                    <w:rPr>
                      <w:rFonts w:hint="default" w:ascii="Cambria Math" w:hAnsi="Cambria Math" w:cs="Times New Roman" w:eastAsiaTheme="minorEastAsia"/>
                      <w:color w:val="auto"/>
                      <w:kern w:val="0"/>
                      <w:sz w:val="24"/>
                      <w:szCs w:val="24"/>
                      <w:highlight w:val="none"/>
                      <w:lang w:val="en-US" w:eastAsia="zh-CN" w:bidi="ar-SA"/>
                    </w:rPr>
                  </m:ctrlPr>
                </m:sub>
              </m:sSub>
            </m:oMath>
            <w:r>
              <w:rPr>
                <w:rFonts w:hint="default" w:ascii="Times New Roman" w:hAnsi="Times New Roman" w:cs="Times New Roman" w:eastAsiaTheme="minorEastAsia"/>
                <w:color w:val="auto"/>
                <w:sz w:val="24"/>
                <w:szCs w:val="24"/>
                <w:highlight w:val="none"/>
                <w:lang w:val="en-US" w:eastAsia="zh-CN"/>
              </w:rPr>
              <w:t>指风蚀扬尘产生量（单位：吨）；</w:t>
            </w:r>
          </w:p>
          <w:p w14:paraId="4B85FDEB">
            <w:pPr>
              <w:pStyle w:val="6"/>
              <w:bidi w:val="0"/>
              <w:ind w:firstLine="1200" w:firstLineChars="500"/>
              <w:rPr>
                <w:rFonts w:hint="default" w:ascii="Times New Roman" w:hAnsi="Times New Roman" w:cs="Times New Roman" w:eastAsiaTheme="minorEastAsia"/>
                <w:color w:val="auto"/>
                <w:sz w:val="24"/>
                <w:szCs w:val="24"/>
                <w:highlight w:val="none"/>
                <w:lang w:val="en-US" w:eastAsia="zh-CN"/>
              </w:rPr>
            </w:pPr>
            <m:oMath>
              <m:sSub>
                <m:sSubPr>
                  <m:ctrlPr>
                    <w:rPr>
                      <w:rFonts w:hint="default" w:ascii="Cambria Math" w:hAnsi="Cambria Math" w:cs="Times New Roman" w:eastAsiaTheme="minorEastAsia"/>
                      <w:color w:val="auto"/>
                      <w:kern w:val="0"/>
                      <w:sz w:val="24"/>
                      <w:szCs w:val="24"/>
                      <w:highlight w:val="none"/>
                      <w:lang w:val="en-US" w:eastAsia="zh-CN" w:bidi="ar-SA"/>
                    </w:rPr>
                  </m:ctrlPr>
                </m:sSubPr>
                <m:e>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N</m:t>
                  </m:r>
                  <m:ctrlPr>
                    <w:rPr>
                      <w:rFonts w:hint="default" w:ascii="Cambria Math" w:hAnsi="Cambria Math" w:cs="Times New Roman" w:eastAsiaTheme="minorEastAsia"/>
                      <w:color w:val="auto"/>
                      <w:kern w:val="0"/>
                      <w:sz w:val="24"/>
                      <w:szCs w:val="24"/>
                      <w:highlight w:val="none"/>
                      <w:lang w:val="en-US" w:eastAsia="zh-CN" w:bidi="ar-SA"/>
                    </w:rPr>
                  </m:ctrlPr>
                </m:e>
                <m:sub>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c</m:t>
                  </m:r>
                  <m:ctrlPr>
                    <w:rPr>
                      <w:rFonts w:hint="default" w:ascii="Cambria Math" w:hAnsi="Cambria Math" w:cs="Times New Roman" w:eastAsiaTheme="minorEastAsia"/>
                      <w:color w:val="auto"/>
                      <w:kern w:val="0"/>
                      <w:sz w:val="24"/>
                      <w:szCs w:val="24"/>
                      <w:highlight w:val="none"/>
                      <w:lang w:val="en-US" w:eastAsia="zh-CN" w:bidi="ar-SA"/>
                    </w:rPr>
                  </m:ctrlPr>
                </m:sub>
              </m:sSub>
            </m:oMath>
            <w:r>
              <w:rPr>
                <w:rFonts w:hint="default" w:ascii="Times New Roman" w:hAnsi="Times New Roman" w:cs="Times New Roman" w:eastAsiaTheme="minorEastAsia"/>
                <w:color w:val="auto"/>
                <w:sz w:val="24"/>
                <w:szCs w:val="24"/>
                <w:highlight w:val="none"/>
                <w:lang w:val="en-US" w:eastAsia="zh-CN"/>
              </w:rPr>
              <w:t>指年物料运载车次（单位：车），本项目转载过程采用5t装载机从</w:t>
            </w:r>
            <w:r>
              <w:rPr>
                <w:rFonts w:hint="default" w:ascii="Times New Roman" w:hAnsi="Times New Roman" w:cs="Times New Roman" w:eastAsiaTheme="minorEastAsia"/>
                <w:color w:val="auto"/>
                <w:sz w:val="24"/>
                <w:szCs w:val="24"/>
                <w:highlight w:val="none"/>
              </w:rPr>
              <w:t>全封闭砂石料场</w:t>
            </w:r>
            <w:r>
              <w:rPr>
                <w:rFonts w:hint="default" w:ascii="Times New Roman" w:hAnsi="Times New Roman" w:cs="Times New Roman" w:eastAsiaTheme="minorEastAsia"/>
                <w:color w:val="auto"/>
                <w:sz w:val="24"/>
                <w:szCs w:val="24"/>
                <w:highlight w:val="none"/>
                <w:lang w:val="en-US" w:eastAsia="zh-CN"/>
              </w:rPr>
              <w:t>转运至上料仓，转运物料包括砂子、石子，总转运量为1680000t/a，转载336000车次；</w:t>
            </w:r>
          </w:p>
          <w:p w14:paraId="414A443D">
            <w:pPr>
              <w:pStyle w:val="6"/>
              <w:bidi w:val="0"/>
              <w:ind w:firstLine="1200" w:firstLineChars="500"/>
              <w:rPr>
                <w:rFonts w:hint="default" w:ascii="Times New Roman" w:hAnsi="Times New Roman" w:cs="Times New Roman" w:eastAsiaTheme="minorEastAsia"/>
                <w:color w:val="auto"/>
                <w:sz w:val="24"/>
                <w:szCs w:val="24"/>
                <w:highlight w:val="none"/>
                <w:lang w:val="en-US" w:eastAsia="zh-CN"/>
              </w:rPr>
            </w:pPr>
            <m:oMath>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D</m:t>
              </m:r>
            </m:oMath>
            <w:r>
              <w:rPr>
                <w:rFonts w:hint="default" w:ascii="Times New Roman" w:hAnsi="Times New Roman" w:cs="Times New Roman" w:eastAsiaTheme="minorEastAsia"/>
                <w:color w:val="auto"/>
                <w:sz w:val="24"/>
                <w:szCs w:val="24"/>
                <w:highlight w:val="none"/>
                <w:lang w:val="en-US" w:eastAsia="zh-CN"/>
              </w:rPr>
              <w:t>指单车平均运载量（单位：吨/车），本次技改项目采用5t装载机转运；</w:t>
            </w:r>
          </w:p>
          <w:p w14:paraId="07F00B6E">
            <w:pPr>
              <w:pStyle w:val="6"/>
              <w:bidi w:val="0"/>
              <w:ind w:firstLine="1200" w:firstLineChars="500"/>
              <w:rPr>
                <w:rFonts w:hint="default" w:ascii="Times New Roman" w:hAnsi="Times New Roman" w:cs="Times New Roman" w:eastAsiaTheme="minorEastAsia"/>
                <w:color w:val="auto"/>
                <w:sz w:val="24"/>
                <w:szCs w:val="24"/>
                <w:highlight w:val="none"/>
                <w:lang w:val="en-US" w:eastAsia="zh-CN"/>
              </w:rPr>
            </w:pPr>
            <m:oMath>
              <m:d>
                <m:dPr>
                  <m:ctrlPr>
                    <w:rPr>
                      <w:rFonts w:hint="default" w:ascii="Cambria Math" w:hAnsi="Cambria Math" w:cs="Times New Roman" w:eastAsiaTheme="minorEastAsia"/>
                      <w:color w:val="auto"/>
                      <w:kern w:val="0"/>
                      <w:sz w:val="24"/>
                      <w:szCs w:val="24"/>
                      <w:highlight w:val="none"/>
                      <w:lang w:val="en-US" w:bidi="ar-SA"/>
                    </w:rPr>
                  </m:ctrlPr>
                </m:dPr>
                <m:e>
                  <m:f>
                    <m:fPr>
                      <m:type m:val="lin"/>
                      <m:ctrlPr>
                        <w:rPr>
                          <w:rFonts w:hint="default" w:ascii="Cambria Math" w:hAnsi="Cambria Math" w:cs="Times New Roman" w:eastAsiaTheme="minorEastAsia"/>
                          <w:color w:val="auto"/>
                          <w:kern w:val="0"/>
                          <w:sz w:val="24"/>
                          <w:szCs w:val="24"/>
                          <w:highlight w:val="none"/>
                          <w:lang w:val="en-US" w:bidi="ar-SA"/>
                        </w:rPr>
                      </m:ctrlPr>
                    </m:fPr>
                    <m:num>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a</m:t>
                      </m:r>
                      <m:ctrlPr>
                        <w:rPr>
                          <w:rFonts w:hint="default" w:ascii="Cambria Math" w:hAnsi="Cambria Math" w:cs="Times New Roman" w:eastAsiaTheme="minorEastAsia"/>
                          <w:color w:val="auto"/>
                          <w:kern w:val="0"/>
                          <w:sz w:val="24"/>
                          <w:szCs w:val="24"/>
                          <w:highlight w:val="none"/>
                          <w:lang w:val="en-US" w:bidi="ar-SA"/>
                        </w:rPr>
                      </m:ctrlPr>
                    </m:num>
                    <m:den>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b</m:t>
                      </m:r>
                      <m:ctrlPr>
                        <w:rPr>
                          <w:rFonts w:hint="default" w:ascii="Cambria Math" w:hAnsi="Cambria Math" w:cs="Times New Roman" w:eastAsiaTheme="minorEastAsia"/>
                          <w:color w:val="auto"/>
                          <w:kern w:val="0"/>
                          <w:sz w:val="24"/>
                          <w:szCs w:val="24"/>
                          <w:highlight w:val="none"/>
                          <w:lang w:val="en-US" w:bidi="ar-SA"/>
                        </w:rPr>
                      </m:ctrlPr>
                    </m:den>
                  </m:f>
                  <m:ctrlPr>
                    <w:rPr>
                      <w:rFonts w:hint="default" w:ascii="Cambria Math" w:hAnsi="Cambria Math" w:cs="Times New Roman" w:eastAsiaTheme="minorEastAsia"/>
                      <w:color w:val="auto"/>
                      <w:kern w:val="0"/>
                      <w:sz w:val="24"/>
                      <w:szCs w:val="24"/>
                      <w:highlight w:val="none"/>
                      <w:lang w:val="en-US" w:bidi="ar-SA"/>
                    </w:rPr>
                  </m:ctrlPr>
                </m:e>
              </m:d>
            </m:oMath>
            <w:r>
              <w:rPr>
                <w:rFonts w:hint="default" w:ascii="Times New Roman" w:hAnsi="Times New Roman" w:cs="Times New Roman" w:eastAsiaTheme="minorEastAsia"/>
                <w:color w:val="auto"/>
                <w:sz w:val="24"/>
                <w:szCs w:val="24"/>
                <w:highlight w:val="none"/>
                <w:lang w:val="en-US" w:eastAsia="zh-CN"/>
              </w:rPr>
              <w:t>指装卸扬尘概化系数（单位：千克/吨），指各省风速概化系数，根据附录1，内蒙古自治区风速概化系数为0.0017，b指物料含水率概化系数，根据附录2，砂子、石子含水率约为2%，参照烧结矿产品含水率概化系数为0.0016；</w:t>
            </w:r>
          </w:p>
          <w:p w14:paraId="07C96BC5">
            <w:pPr>
              <w:pStyle w:val="6"/>
              <w:bidi w:val="0"/>
              <w:ind w:firstLine="1200" w:firstLineChars="500"/>
              <w:rPr>
                <w:rFonts w:hint="default" w:ascii="Times New Roman" w:hAnsi="Times New Roman" w:cs="Times New Roman" w:eastAsiaTheme="minorEastAsia"/>
                <w:color w:val="auto"/>
                <w:sz w:val="24"/>
                <w:szCs w:val="24"/>
                <w:highlight w:val="none"/>
                <w:lang w:val="en-US" w:eastAsia="zh-CN"/>
              </w:rPr>
            </w:pPr>
            <m:oMath>
              <m:sSub>
                <m:sSubPr>
                  <m:ctrlPr>
                    <w:rPr>
                      <w:rFonts w:hint="default" w:ascii="Cambria Math" w:hAnsi="Cambria Math" w:cs="Times New Roman" w:eastAsiaTheme="minorEastAsia"/>
                      <w:color w:val="auto"/>
                      <w:kern w:val="0"/>
                      <w:sz w:val="24"/>
                      <w:szCs w:val="24"/>
                      <w:highlight w:val="none"/>
                      <w:lang w:val="en-US" w:bidi="ar-SA"/>
                    </w:rPr>
                  </m:ctrlPr>
                </m:sSubPr>
                <m:e>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E</m:t>
                  </m:r>
                  <m:ctrlPr>
                    <w:rPr>
                      <w:rFonts w:hint="default" w:ascii="Cambria Math" w:hAnsi="Cambria Math" w:cs="Times New Roman" w:eastAsiaTheme="minorEastAsia"/>
                      <w:color w:val="auto"/>
                      <w:kern w:val="0"/>
                      <w:sz w:val="24"/>
                      <w:szCs w:val="24"/>
                      <w:highlight w:val="none"/>
                      <w:lang w:val="en-US" w:bidi="ar-SA"/>
                    </w:rPr>
                  </m:ctrlPr>
                </m:e>
                <m:sub>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f</m:t>
                  </m:r>
                  <m:ctrlPr>
                    <w:rPr>
                      <w:rFonts w:hint="default" w:ascii="Cambria Math" w:hAnsi="Cambria Math" w:cs="Times New Roman" w:eastAsiaTheme="minorEastAsia"/>
                      <w:color w:val="auto"/>
                      <w:kern w:val="0"/>
                      <w:sz w:val="24"/>
                      <w:szCs w:val="24"/>
                      <w:highlight w:val="none"/>
                      <w:lang w:val="en-US" w:bidi="ar-SA"/>
                    </w:rPr>
                  </m:ctrlPr>
                </m:sub>
              </m:sSub>
            </m:oMath>
            <w:r>
              <w:rPr>
                <w:rFonts w:hint="default" w:ascii="Times New Roman" w:hAnsi="Times New Roman" w:cs="Times New Roman" w:eastAsiaTheme="minorEastAsia"/>
                <w:color w:val="auto"/>
                <w:sz w:val="24"/>
                <w:szCs w:val="24"/>
                <w:highlight w:val="none"/>
                <w:lang w:val="en-US" w:eastAsia="zh-CN"/>
              </w:rPr>
              <w:t>指堆场风蚀扬尘概化系数，见附录3（单位：千克/平方米），本项目砂子、石子在</w:t>
            </w:r>
            <w:r>
              <w:rPr>
                <w:rFonts w:hint="default" w:ascii="Times New Roman" w:hAnsi="Times New Roman" w:cs="Times New Roman" w:eastAsiaTheme="minorEastAsia"/>
                <w:color w:val="auto"/>
                <w:sz w:val="24"/>
                <w:szCs w:val="24"/>
                <w:highlight w:val="none"/>
              </w:rPr>
              <w:t>全封闭砂石料场</w:t>
            </w:r>
            <w:r>
              <w:rPr>
                <w:rFonts w:hint="default" w:ascii="Times New Roman" w:hAnsi="Times New Roman" w:cs="Times New Roman" w:eastAsiaTheme="minorEastAsia"/>
                <w:color w:val="auto"/>
                <w:sz w:val="24"/>
                <w:szCs w:val="24"/>
                <w:highlight w:val="none"/>
                <w:lang w:val="en-US" w:eastAsia="zh-CN"/>
              </w:rPr>
              <w:t>，且</w:t>
            </w:r>
            <w:r>
              <w:rPr>
                <w:rFonts w:hint="eastAsia" w:cs="Times New Roman" w:eastAsiaTheme="minorEastAsia"/>
                <w:color w:val="auto"/>
                <w:sz w:val="24"/>
                <w:szCs w:val="24"/>
                <w:highlight w:val="none"/>
                <w:lang w:val="en-US" w:eastAsia="zh-CN"/>
              </w:rPr>
              <w:t>堆存</w:t>
            </w:r>
            <w:r>
              <w:rPr>
                <w:rFonts w:hint="default" w:ascii="Times New Roman" w:hAnsi="Times New Roman" w:cs="Times New Roman" w:eastAsiaTheme="minorEastAsia"/>
                <w:color w:val="auto"/>
                <w:sz w:val="24"/>
                <w:szCs w:val="24"/>
                <w:highlight w:val="none"/>
                <w:lang w:val="en-US" w:eastAsia="zh-CN"/>
              </w:rPr>
              <w:t>时间较短，不涉及风蚀扬尘产生；</w:t>
            </w:r>
          </w:p>
          <w:p w14:paraId="4760B412">
            <w:pPr>
              <w:pStyle w:val="6"/>
              <w:bidi w:val="0"/>
              <w:ind w:firstLine="1200" w:firstLineChars="500"/>
              <w:rPr>
                <w:rFonts w:hint="default" w:ascii="Times New Roman" w:hAnsi="Times New Roman" w:cs="Times New Roman" w:eastAsiaTheme="minorEastAsia"/>
                <w:color w:val="auto"/>
                <w:sz w:val="24"/>
                <w:szCs w:val="24"/>
                <w:highlight w:val="none"/>
                <w:lang w:val="en-US" w:eastAsia="zh-CN"/>
              </w:rPr>
            </w:pPr>
            <m:oMath>
              <m:r>
                <m:rPr>
                  <m:nor/>
                  <m:sty m:val="p"/>
                </m:rPr>
                <w:rPr>
                  <w:rFonts w:hint="default" w:ascii="Times New Roman" w:hAnsi="Times New Roman" w:cs="Times New Roman" w:eastAsiaTheme="minorEastAsia"/>
                  <w:b w:val="0"/>
                  <w:i w:val="0"/>
                  <w:color w:val="auto"/>
                  <w:kern w:val="0"/>
                  <w:sz w:val="24"/>
                  <w:szCs w:val="24"/>
                  <w:highlight w:val="none"/>
                  <w:lang w:val="en-US" w:eastAsia="zh-CN" w:bidi="ar-SA"/>
                </w:rPr>
                <m:t>S</m:t>
              </m:r>
            </m:oMath>
            <w:r>
              <w:rPr>
                <w:rFonts w:hint="default" w:ascii="Times New Roman" w:hAnsi="Times New Roman" w:cs="Times New Roman" w:eastAsiaTheme="minorEastAsia"/>
                <w:color w:val="auto"/>
                <w:sz w:val="24"/>
                <w:szCs w:val="24"/>
                <w:highlight w:val="none"/>
                <w:lang w:val="en-US" w:eastAsia="zh-CN"/>
              </w:rPr>
              <w:t>指堆场占地面积（单位：1053平方米）。</w:t>
            </w:r>
          </w:p>
          <w:p w14:paraId="4D15AFC5">
            <w:pPr>
              <w:pStyle w:val="6"/>
              <w:bidi w:val="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根据上式进行计算，碎石</w:t>
            </w:r>
            <w:r>
              <w:rPr>
                <w:rFonts w:hint="eastAsia" w:cs="Times New Roman" w:eastAsiaTheme="minorEastAsia"/>
                <w:color w:val="auto"/>
                <w:sz w:val="24"/>
                <w:szCs w:val="24"/>
                <w:highlight w:val="none"/>
                <w:lang w:val="en-US" w:eastAsia="zh-CN"/>
              </w:rPr>
              <w:t>堆存</w:t>
            </w:r>
            <w:r>
              <w:rPr>
                <w:rFonts w:hint="default" w:ascii="Times New Roman" w:hAnsi="Times New Roman" w:cs="Times New Roman" w:eastAsiaTheme="minorEastAsia"/>
                <w:color w:val="auto"/>
                <w:sz w:val="24"/>
                <w:szCs w:val="24"/>
                <w:highlight w:val="none"/>
                <w:lang w:val="en-US" w:eastAsia="zh-CN"/>
              </w:rPr>
              <w:t>、转载过程颗粒物产生量为1785t/a。</w:t>
            </w:r>
          </w:p>
          <w:p w14:paraId="4C5E74FF">
            <w:pPr>
              <w:pStyle w:val="6"/>
              <w:bidi w:val="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工业企业固体物料堆场颗粒物排放量核算公式如下：</w:t>
            </w:r>
          </w:p>
          <w:p w14:paraId="1054ED5D">
            <w:pPr>
              <w:pStyle w:val="6"/>
              <w:bidi w:val="0"/>
              <w:rPr>
                <w:rFonts w:hint="default" w:ascii="Times New Roman" w:hAnsi="Times New Roman" w:cs="Times New Roman" w:eastAsiaTheme="minorEastAsia"/>
                <w:color w:val="auto"/>
                <w:sz w:val="24"/>
                <w:szCs w:val="24"/>
                <w:highlight w:val="none"/>
                <w:lang w:val="en-US" w:eastAsia="zh-CN"/>
              </w:rPr>
            </w:pPr>
            <m:oMathPara>
              <m:oMath>
                <m:sSub>
                  <m:sSubPr>
                    <m:ctrlPr>
                      <w:rPr>
                        <w:rFonts w:hint="default" w:ascii="Cambria Math" w:hAnsi="Cambria Math" w:cs="Times New Roman" w:eastAsiaTheme="minorEastAsia"/>
                        <w:i/>
                        <w:color w:val="auto"/>
                        <w:sz w:val="24"/>
                        <w:szCs w:val="24"/>
                        <w:highlight w:val="none"/>
                        <w:lang w:val="en-US"/>
                      </w:rPr>
                    </m:ctrlPr>
                  </m:sSubPr>
                  <m:e>
                    <m:r>
                      <m:rPr>
                        <m:nor/>
                      </m:rPr>
                      <w:rPr>
                        <w:rFonts w:hint="default" w:ascii="Times New Roman" w:hAnsi="Times New Roman" w:cs="Times New Roman" w:eastAsiaTheme="minorEastAsia"/>
                        <w:i/>
                        <w:color w:val="auto"/>
                        <w:sz w:val="24"/>
                        <w:szCs w:val="24"/>
                        <w:highlight w:val="none"/>
                        <w:lang w:val="en-US" w:eastAsia="zh-CN"/>
                      </w:rPr>
                      <m:t>U</m:t>
                    </m:r>
                    <m:ctrlPr>
                      <w:rPr>
                        <w:rFonts w:hint="default" w:ascii="Cambria Math" w:hAnsi="Cambria Math" w:cs="Times New Roman" w:eastAsiaTheme="minorEastAsia"/>
                        <w:i/>
                        <w:color w:val="auto"/>
                        <w:sz w:val="24"/>
                        <w:szCs w:val="24"/>
                        <w:highlight w:val="none"/>
                        <w:lang w:val="en-US"/>
                      </w:rPr>
                    </m:ctrlPr>
                  </m:e>
                  <m:sub>
                    <m:r>
                      <m:rPr>
                        <m:nor/>
                      </m:rPr>
                      <w:rPr>
                        <w:rFonts w:hint="default" w:ascii="Times New Roman" w:hAnsi="Times New Roman" w:cs="Times New Roman" w:eastAsiaTheme="minorEastAsia"/>
                        <w:i/>
                        <w:color w:val="auto"/>
                        <w:sz w:val="24"/>
                        <w:szCs w:val="24"/>
                        <w:highlight w:val="none"/>
                        <w:lang w:val="en-US" w:eastAsia="zh-CN"/>
                      </w:rPr>
                      <m:t>C</m:t>
                    </m:r>
                    <m:ctrlPr>
                      <w:rPr>
                        <w:rFonts w:hint="default" w:ascii="Cambria Math" w:hAnsi="Cambria Math" w:cs="Times New Roman" w:eastAsiaTheme="minorEastAsia"/>
                        <w:i/>
                        <w:color w:val="auto"/>
                        <w:sz w:val="24"/>
                        <w:szCs w:val="24"/>
                        <w:highlight w:val="none"/>
                        <w:lang w:val="en-US"/>
                      </w:rPr>
                    </m:ctrlPr>
                  </m:sub>
                </m:sSub>
                <m:r>
                  <m:rPr>
                    <m:nor/>
                    <m:sty m:val="p"/>
                  </m:rPr>
                  <w:rPr>
                    <w:rFonts w:hint="default" w:ascii="Times New Roman" w:hAnsi="Times New Roman" w:cs="Times New Roman" w:eastAsiaTheme="minorEastAsia"/>
                    <w:b w:val="0"/>
                    <w:i w:val="0"/>
                    <w:color w:val="auto"/>
                    <w:sz w:val="24"/>
                    <w:szCs w:val="24"/>
                    <w:highlight w:val="none"/>
                    <w:lang w:val="en-US" w:eastAsia="zh-CN"/>
                  </w:rPr>
                  <m:t>=</m:t>
                </m:r>
                <m:r>
                  <m:rPr>
                    <m:nor/>
                  </m:rPr>
                  <w:rPr>
                    <w:rFonts w:hint="default" w:ascii="Times New Roman" w:hAnsi="Times New Roman" w:cs="Times New Roman" w:eastAsiaTheme="minorEastAsia"/>
                    <w:i/>
                    <w:color w:val="auto"/>
                    <w:sz w:val="24"/>
                    <w:szCs w:val="24"/>
                    <w:highlight w:val="none"/>
                    <w:lang w:val="en-US" w:eastAsia="zh-CN"/>
                  </w:rPr>
                  <m:t>P</m:t>
                </m:r>
                <m:r>
                  <m:rPr>
                    <m:nor/>
                    <m:sty m:val="p"/>
                  </m:rPr>
                  <w:rPr>
                    <w:rFonts w:hint="default" w:ascii="Times New Roman" w:hAnsi="Times New Roman" w:cs="Times New Roman" w:eastAsiaTheme="minorEastAsia"/>
                    <w:b w:val="0"/>
                    <w:i w:val="0"/>
                    <w:color w:val="auto"/>
                    <w:sz w:val="24"/>
                    <w:szCs w:val="24"/>
                    <w:highlight w:val="none"/>
                    <w:lang w:val="en-US" w:eastAsia="zh-CN"/>
                  </w:rPr>
                  <m:t>×</m:t>
                </m:r>
                <m:d>
                  <m:dPr>
                    <m:ctrlPr>
                      <w:rPr>
                        <w:rFonts w:hint="default" w:ascii="Cambria Math" w:hAnsi="Cambria Math" w:cs="Times New Roman" w:eastAsiaTheme="minorEastAsia"/>
                        <w:i/>
                        <w:color w:val="auto"/>
                        <w:sz w:val="24"/>
                        <w:szCs w:val="24"/>
                        <w:highlight w:val="none"/>
                        <w:lang w:val="en-US" w:eastAsia="zh-CN"/>
                      </w:rPr>
                    </m:ctrlPr>
                  </m:dPr>
                  <m:e>
                    <m:r>
                      <m:rPr>
                        <m:nor/>
                        <m:sty m:val="p"/>
                      </m:rPr>
                      <w:rPr>
                        <w:rFonts w:hint="default" w:ascii="Times New Roman" w:hAnsi="Times New Roman" w:cs="Times New Roman" w:eastAsiaTheme="minorEastAsia"/>
                        <w:b w:val="0"/>
                        <w:i w:val="0"/>
                        <w:color w:val="auto"/>
                        <w:sz w:val="24"/>
                        <w:szCs w:val="24"/>
                        <w:highlight w:val="none"/>
                        <w:lang w:val="en-US" w:eastAsia="zh-CN"/>
                      </w:rPr>
                      <m:t>1−</m:t>
                    </m:r>
                    <m:sSub>
                      <m:sSubPr>
                        <m:ctrlPr>
                          <w:rPr>
                            <w:rFonts w:hint="default" w:ascii="Cambria Math" w:hAnsi="Cambria Math" w:cs="Times New Roman" w:eastAsiaTheme="minorEastAsia"/>
                            <w:i/>
                            <w:color w:val="auto"/>
                            <w:sz w:val="24"/>
                            <w:szCs w:val="24"/>
                            <w:highlight w:val="none"/>
                            <w:lang w:val="en-US" w:eastAsia="zh-CN"/>
                          </w:rPr>
                        </m:ctrlPr>
                      </m:sSubPr>
                      <m:e>
                        <m:r>
                          <m:rPr>
                            <m:nor/>
                          </m:rPr>
                          <w:rPr>
                            <w:rFonts w:hint="default" w:ascii="Times New Roman" w:hAnsi="Times New Roman" w:cs="Times New Roman" w:eastAsiaTheme="minorEastAsia"/>
                            <w:i/>
                            <w:color w:val="auto"/>
                            <w:sz w:val="24"/>
                            <w:szCs w:val="24"/>
                            <w:highlight w:val="none"/>
                            <w:lang w:val="en-US" w:eastAsia="zh-CN"/>
                          </w:rPr>
                          <m:t>C</m:t>
                        </m:r>
                        <m:ctrlPr>
                          <w:rPr>
                            <w:rFonts w:hint="default" w:ascii="Cambria Math" w:hAnsi="Cambria Math" w:cs="Times New Roman" w:eastAsiaTheme="minorEastAsia"/>
                            <w:i/>
                            <w:color w:val="auto"/>
                            <w:sz w:val="24"/>
                            <w:szCs w:val="24"/>
                            <w:highlight w:val="none"/>
                            <w:lang w:val="en-US" w:eastAsia="zh-CN"/>
                          </w:rPr>
                        </m:ctrlPr>
                      </m:e>
                      <m:sub>
                        <m:r>
                          <m:rPr>
                            <m:nor/>
                          </m:rPr>
                          <w:rPr>
                            <w:rFonts w:hint="default" w:ascii="Times New Roman" w:hAnsi="Times New Roman" w:cs="Times New Roman" w:eastAsiaTheme="minorEastAsia"/>
                            <w:i/>
                            <w:color w:val="auto"/>
                            <w:sz w:val="24"/>
                            <w:szCs w:val="24"/>
                            <w:highlight w:val="none"/>
                            <w:lang w:val="en-US" w:eastAsia="zh-CN"/>
                          </w:rPr>
                          <m:t>m</m:t>
                        </m:r>
                        <m:ctrlPr>
                          <w:rPr>
                            <w:rFonts w:hint="default" w:ascii="Cambria Math" w:hAnsi="Cambria Math" w:cs="Times New Roman" w:eastAsiaTheme="minorEastAsia"/>
                            <w:i/>
                            <w:color w:val="auto"/>
                            <w:sz w:val="24"/>
                            <w:szCs w:val="24"/>
                            <w:highlight w:val="none"/>
                            <w:lang w:val="en-US" w:eastAsia="zh-CN"/>
                          </w:rPr>
                        </m:ctrlPr>
                      </m:sub>
                    </m:sSub>
                    <m:ctrlPr>
                      <w:rPr>
                        <w:rFonts w:hint="default" w:ascii="Cambria Math" w:hAnsi="Cambria Math" w:cs="Times New Roman" w:eastAsiaTheme="minorEastAsia"/>
                        <w:i/>
                        <w:color w:val="auto"/>
                        <w:sz w:val="24"/>
                        <w:szCs w:val="24"/>
                        <w:highlight w:val="none"/>
                        <w:lang w:val="en-US" w:eastAsia="zh-CN"/>
                      </w:rPr>
                    </m:ctrlPr>
                  </m:e>
                </m:d>
                <m:r>
                  <m:rPr>
                    <m:nor/>
                    <m:sty m:val="p"/>
                  </m:rPr>
                  <w:rPr>
                    <w:rFonts w:hint="default" w:ascii="Times New Roman" w:hAnsi="Times New Roman" w:cs="Times New Roman" w:eastAsiaTheme="minorEastAsia"/>
                    <w:b w:val="0"/>
                    <w:i w:val="0"/>
                    <w:color w:val="auto"/>
                    <w:sz w:val="24"/>
                    <w:szCs w:val="24"/>
                    <w:highlight w:val="none"/>
                    <w:lang w:val="en-US"/>
                  </w:rPr>
                  <m:t>×</m:t>
                </m:r>
                <m:d>
                  <m:dPr>
                    <m:ctrlPr>
                      <w:rPr>
                        <w:rFonts w:hint="default" w:ascii="Cambria Math" w:hAnsi="Cambria Math" w:cs="Times New Roman" w:eastAsiaTheme="minorEastAsia"/>
                        <w:i/>
                        <w:color w:val="auto"/>
                        <w:sz w:val="24"/>
                        <w:szCs w:val="24"/>
                        <w:highlight w:val="none"/>
                        <w:lang w:val="en-US" w:eastAsia="zh-CN"/>
                      </w:rPr>
                    </m:ctrlPr>
                  </m:dPr>
                  <m:e>
                    <m:r>
                      <m:rPr>
                        <m:nor/>
                        <m:sty m:val="p"/>
                      </m:rPr>
                      <w:rPr>
                        <w:rFonts w:hint="default" w:ascii="Times New Roman" w:hAnsi="Times New Roman" w:cs="Times New Roman" w:eastAsiaTheme="minorEastAsia"/>
                        <w:b w:val="0"/>
                        <w:i w:val="0"/>
                        <w:color w:val="auto"/>
                        <w:sz w:val="24"/>
                        <w:szCs w:val="24"/>
                        <w:highlight w:val="none"/>
                        <w:lang w:val="en-US" w:eastAsia="zh-CN"/>
                      </w:rPr>
                      <m:t>1−</m:t>
                    </m:r>
                    <m:sSub>
                      <m:sSubPr>
                        <m:ctrlPr>
                          <w:rPr>
                            <w:rFonts w:hint="default" w:ascii="Cambria Math" w:hAnsi="Cambria Math" w:cs="Times New Roman" w:eastAsiaTheme="minorEastAsia"/>
                            <w:i/>
                            <w:color w:val="auto"/>
                            <w:sz w:val="24"/>
                            <w:szCs w:val="24"/>
                            <w:highlight w:val="none"/>
                            <w:lang w:val="en-US" w:eastAsia="zh-CN"/>
                          </w:rPr>
                        </m:ctrlPr>
                      </m:sSubPr>
                      <m:e>
                        <m:r>
                          <m:rPr>
                            <m:nor/>
                          </m:rPr>
                          <w:rPr>
                            <w:rFonts w:hint="default" w:ascii="Times New Roman" w:hAnsi="Times New Roman" w:cs="Times New Roman" w:eastAsiaTheme="minorEastAsia"/>
                            <w:i/>
                            <w:color w:val="auto"/>
                            <w:sz w:val="24"/>
                            <w:szCs w:val="24"/>
                            <w:highlight w:val="none"/>
                            <w:lang w:val="en-US" w:eastAsia="zh-CN"/>
                          </w:rPr>
                          <m:t>T</m:t>
                        </m:r>
                        <m:ctrlPr>
                          <w:rPr>
                            <w:rFonts w:hint="default" w:ascii="Cambria Math" w:hAnsi="Cambria Math" w:cs="Times New Roman" w:eastAsiaTheme="minorEastAsia"/>
                            <w:i/>
                            <w:color w:val="auto"/>
                            <w:sz w:val="24"/>
                            <w:szCs w:val="24"/>
                            <w:highlight w:val="none"/>
                            <w:lang w:val="en-US" w:eastAsia="zh-CN"/>
                          </w:rPr>
                        </m:ctrlPr>
                      </m:e>
                      <m:sub>
                        <m:r>
                          <m:rPr>
                            <m:nor/>
                          </m:rPr>
                          <w:rPr>
                            <w:rFonts w:hint="default" w:ascii="Times New Roman" w:hAnsi="Times New Roman" w:cs="Times New Roman" w:eastAsiaTheme="minorEastAsia"/>
                            <w:i/>
                            <w:color w:val="auto"/>
                            <w:sz w:val="24"/>
                            <w:szCs w:val="24"/>
                            <w:highlight w:val="none"/>
                            <w:lang w:val="en-US" w:eastAsia="zh-CN"/>
                          </w:rPr>
                          <m:t>m</m:t>
                        </m:r>
                        <m:ctrlPr>
                          <w:rPr>
                            <w:rFonts w:hint="default" w:ascii="Cambria Math" w:hAnsi="Cambria Math" w:cs="Times New Roman" w:eastAsiaTheme="minorEastAsia"/>
                            <w:i/>
                            <w:color w:val="auto"/>
                            <w:sz w:val="24"/>
                            <w:szCs w:val="24"/>
                            <w:highlight w:val="none"/>
                            <w:lang w:val="en-US" w:eastAsia="zh-CN"/>
                          </w:rPr>
                        </m:ctrlPr>
                      </m:sub>
                    </m:sSub>
                    <m:ctrlPr>
                      <w:rPr>
                        <w:rFonts w:hint="default" w:ascii="Cambria Math" w:hAnsi="Cambria Math" w:cs="Times New Roman" w:eastAsiaTheme="minorEastAsia"/>
                        <w:i/>
                        <w:color w:val="auto"/>
                        <w:sz w:val="24"/>
                        <w:szCs w:val="24"/>
                        <w:highlight w:val="none"/>
                        <w:lang w:val="en-US" w:eastAsia="zh-CN"/>
                      </w:rPr>
                    </m:ctrlPr>
                  </m:e>
                </m:d>
              </m:oMath>
            </m:oMathPara>
          </w:p>
          <w:p w14:paraId="5CB129D1">
            <w:pPr>
              <w:pStyle w:val="6"/>
              <w:bidi w:val="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式中：</w:t>
            </w:r>
            <m:oMath>
              <m:r>
                <m:rPr>
                  <m:nor/>
                </m:rPr>
                <w:rPr>
                  <w:rFonts w:hint="default" w:ascii="Times New Roman" w:hAnsi="Times New Roman" w:cs="Times New Roman" w:eastAsiaTheme="minorEastAsia"/>
                  <w:i/>
                  <w:color w:val="auto"/>
                  <w:sz w:val="24"/>
                  <w:szCs w:val="24"/>
                  <w:highlight w:val="none"/>
                  <w:lang w:val="en-US" w:eastAsia="zh-CN"/>
                </w:rPr>
                <m:t>P</m:t>
              </m:r>
            </m:oMath>
            <w:r>
              <w:rPr>
                <w:rFonts w:hint="default" w:ascii="Times New Roman" w:hAnsi="Times New Roman" w:cs="Times New Roman" w:eastAsiaTheme="minorEastAsia"/>
                <w:color w:val="auto"/>
                <w:sz w:val="24"/>
                <w:szCs w:val="24"/>
                <w:highlight w:val="none"/>
                <w:lang w:val="en-US" w:eastAsia="zh-CN"/>
              </w:rPr>
              <w:t>指颗粒物产生量（单位：吨）；</w:t>
            </w:r>
          </w:p>
          <w:p w14:paraId="208F8548">
            <w:pPr>
              <w:pStyle w:val="6"/>
              <w:bidi w:val="0"/>
              <w:ind w:firstLine="1200" w:firstLineChars="500"/>
              <w:rPr>
                <w:rFonts w:hint="default" w:ascii="Times New Roman" w:hAnsi="Times New Roman" w:cs="Times New Roman" w:eastAsiaTheme="minorEastAsia"/>
                <w:color w:val="auto"/>
                <w:sz w:val="24"/>
                <w:szCs w:val="24"/>
                <w:highlight w:val="none"/>
                <w:lang w:val="en-US" w:eastAsia="zh-CN"/>
              </w:rPr>
            </w:pPr>
            <m:oMath>
              <m:sSub>
                <m:sSubPr>
                  <m:ctrlPr>
                    <w:rPr>
                      <w:rFonts w:hint="eastAsia" w:ascii="Cambria Math" w:hAnsi="Cambria Math" w:eastAsiaTheme="minorEastAsia" w:cstheme="minorEastAsia"/>
                      <w:i/>
                      <w:color w:val="auto"/>
                      <w:sz w:val="24"/>
                      <w:szCs w:val="24"/>
                      <w:highlight w:val="none"/>
                      <w:lang w:val="en-US"/>
                    </w:rPr>
                  </m:ctrlPr>
                </m:sSubPr>
                <m:e>
                  <m:r>
                    <m:rPr/>
                    <w:rPr>
                      <w:rFonts w:hint="eastAsia" w:ascii="Cambria Math" w:hAnsi="Cambria Math" w:eastAsiaTheme="minorEastAsia" w:cstheme="minorEastAsia"/>
                      <w:color w:val="auto"/>
                      <w:sz w:val="24"/>
                      <w:szCs w:val="24"/>
                      <w:highlight w:val="none"/>
                      <w:lang w:val="en-US" w:eastAsia="zh-CN"/>
                    </w:rPr>
                    <m:t>U</m:t>
                  </m:r>
                  <m:ctrlPr>
                    <w:rPr>
                      <w:rFonts w:hint="eastAsia" w:ascii="Cambria Math" w:hAnsi="Cambria Math" w:eastAsiaTheme="minorEastAsia" w:cstheme="minorEastAsia"/>
                      <w:i/>
                      <w:color w:val="auto"/>
                      <w:sz w:val="24"/>
                      <w:szCs w:val="24"/>
                      <w:highlight w:val="none"/>
                      <w:lang w:val="en-US"/>
                    </w:rPr>
                  </m:ctrlPr>
                </m:e>
                <m:sub>
                  <m:r>
                    <m:rPr/>
                    <w:rPr>
                      <w:rFonts w:hint="eastAsia" w:ascii="Cambria Math" w:hAnsi="Cambria Math" w:eastAsiaTheme="minorEastAsia" w:cstheme="minorEastAsia"/>
                      <w:color w:val="auto"/>
                      <w:sz w:val="24"/>
                      <w:szCs w:val="24"/>
                      <w:highlight w:val="none"/>
                      <w:lang w:val="en-US" w:eastAsia="zh-CN"/>
                    </w:rPr>
                    <m:t>C</m:t>
                  </m:r>
                  <m:ctrlPr>
                    <w:rPr>
                      <w:rFonts w:hint="eastAsia" w:ascii="Cambria Math" w:hAnsi="Cambria Math" w:eastAsiaTheme="minorEastAsia" w:cstheme="minorEastAsia"/>
                      <w:i/>
                      <w:color w:val="auto"/>
                      <w:sz w:val="24"/>
                      <w:szCs w:val="24"/>
                      <w:highlight w:val="none"/>
                      <w:lang w:val="en-US"/>
                    </w:rPr>
                  </m:ctrlPr>
                </m:sub>
              </m:sSub>
            </m:oMath>
            <w:r>
              <w:rPr>
                <w:rFonts w:hint="default" w:ascii="Times New Roman" w:hAnsi="Times New Roman" w:cs="Times New Roman" w:eastAsiaTheme="minorEastAsia"/>
                <w:color w:val="auto"/>
                <w:sz w:val="24"/>
                <w:szCs w:val="24"/>
                <w:highlight w:val="none"/>
                <w:lang w:val="en-US" w:eastAsia="zh-CN"/>
              </w:rPr>
              <w:t>指颗粒物排放量（单位：吨）；</w:t>
            </w:r>
          </w:p>
          <w:p w14:paraId="5205A0B3">
            <w:pPr>
              <w:pStyle w:val="6"/>
              <w:bidi w:val="0"/>
              <w:ind w:firstLine="1200" w:firstLineChars="500"/>
              <w:rPr>
                <w:rFonts w:hint="default" w:ascii="Times New Roman" w:hAnsi="Times New Roman" w:cs="Times New Roman" w:eastAsiaTheme="minorEastAsia"/>
                <w:color w:val="auto"/>
                <w:sz w:val="24"/>
                <w:szCs w:val="24"/>
                <w:highlight w:val="none"/>
                <w:lang w:val="en-US" w:eastAsia="zh-CN"/>
              </w:rPr>
            </w:pPr>
            <m:oMath>
              <m:sSub>
                <m:sSubPr>
                  <m:ctrlPr>
                    <w:rPr>
                      <w:rFonts w:hint="eastAsia" w:ascii="Cambria Math" w:hAnsi="Cambria Math" w:eastAsiaTheme="minorEastAsia" w:cstheme="minorEastAsia"/>
                      <w:i/>
                      <w:color w:val="auto"/>
                      <w:sz w:val="24"/>
                      <w:szCs w:val="24"/>
                      <w:highlight w:val="none"/>
                      <w:lang w:val="en-US" w:eastAsia="zh-CN"/>
                    </w:rPr>
                  </m:ctrlPr>
                </m:sSubPr>
                <m:e>
                  <m:r>
                    <m:rPr/>
                    <w:rPr>
                      <w:rFonts w:hint="eastAsia" w:ascii="Cambria Math" w:hAnsi="Cambria Math" w:eastAsiaTheme="minorEastAsia" w:cstheme="minorEastAsia"/>
                      <w:color w:val="auto"/>
                      <w:sz w:val="24"/>
                      <w:szCs w:val="24"/>
                      <w:highlight w:val="none"/>
                      <w:lang w:val="en-US" w:eastAsia="zh-CN"/>
                    </w:rPr>
                    <m:t>C</m:t>
                  </m:r>
                  <m:ctrlPr>
                    <w:rPr>
                      <w:rFonts w:hint="eastAsia" w:ascii="Cambria Math" w:hAnsi="Cambria Math" w:eastAsiaTheme="minorEastAsia" w:cstheme="minorEastAsia"/>
                      <w:i/>
                      <w:color w:val="auto"/>
                      <w:sz w:val="24"/>
                      <w:szCs w:val="24"/>
                      <w:highlight w:val="none"/>
                      <w:lang w:val="en-US" w:eastAsia="zh-CN"/>
                    </w:rPr>
                  </m:ctrlPr>
                </m:e>
                <m:sub>
                  <m:r>
                    <m:rPr/>
                    <w:rPr>
                      <w:rFonts w:hint="eastAsia" w:ascii="Cambria Math" w:hAnsi="Cambria Math" w:eastAsiaTheme="minorEastAsia" w:cstheme="minorEastAsia"/>
                      <w:color w:val="auto"/>
                      <w:sz w:val="24"/>
                      <w:szCs w:val="24"/>
                      <w:highlight w:val="none"/>
                      <w:lang w:val="en-US" w:eastAsia="zh-CN"/>
                    </w:rPr>
                    <m:t>m</m:t>
                  </m:r>
                  <m:ctrlPr>
                    <w:rPr>
                      <w:rFonts w:hint="eastAsia" w:ascii="Cambria Math" w:hAnsi="Cambria Math" w:eastAsiaTheme="minorEastAsia" w:cstheme="minorEastAsia"/>
                      <w:i/>
                      <w:color w:val="auto"/>
                      <w:sz w:val="24"/>
                      <w:szCs w:val="24"/>
                      <w:highlight w:val="none"/>
                      <w:lang w:val="en-US" w:eastAsia="zh-CN"/>
                    </w:rPr>
                  </m:ctrlPr>
                </m:sub>
              </m:sSub>
            </m:oMath>
            <w:r>
              <w:rPr>
                <w:rFonts w:hint="default" w:ascii="Times New Roman" w:hAnsi="Times New Roman" w:cs="Times New Roman" w:eastAsiaTheme="minorEastAsia"/>
                <w:color w:val="auto"/>
                <w:sz w:val="24"/>
                <w:szCs w:val="24"/>
                <w:highlight w:val="none"/>
                <w:lang w:val="en-US" w:eastAsia="zh-CN"/>
              </w:rPr>
              <w:t>指颗粒物控制措施控制效率（单位：%），根据附录4，本项目</w:t>
            </w:r>
            <w:r>
              <w:rPr>
                <w:rFonts w:hint="default" w:ascii="Times New Roman" w:hAnsi="Times New Roman" w:cs="Times New Roman" w:eastAsiaTheme="minorEastAsia"/>
                <w:color w:val="auto"/>
                <w:sz w:val="24"/>
                <w:szCs w:val="24"/>
                <w:highlight w:val="none"/>
              </w:rPr>
              <w:t>全封闭砂石料场</w:t>
            </w:r>
            <w:r>
              <w:rPr>
                <w:rFonts w:hint="default" w:ascii="Times New Roman" w:hAnsi="Times New Roman" w:cs="Times New Roman" w:eastAsiaTheme="minorEastAsia"/>
                <w:color w:val="auto"/>
                <w:sz w:val="24"/>
                <w:szCs w:val="24"/>
                <w:highlight w:val="none"/>
                <w:lang w:val="en-US" w:eastAsia="zh-CN"/>
              </w:rPr>
              <w:t>洒水抑尘的粉尘控制措施效率为74%；</w:t>
            </w:r>
          </w:p>
          <w:p w14:paraId="3CFF8767">
            <w:pPr>
              <w:pStyle w:val="6"/>
              <w:bidi w:val="0"/>
              <w:ind w:firstLine="1200" w:firstLineChars="500"/>
              <w:rPr>
                <w:rFonts w:hint="default" w:ascii="Times New Roman" w:hAnsi="Times New Roman" w:cs="Times New Roman" w:eastAsiaTheme="minorEastAsia"/>
                <w:color w:val="auto"/>
                <w:sz w:val="24"/>
                <w:szCs w:val="24"/>
                <w:highlight w:val="none"/>
                <w:lang w:val="en-US" w:eastAsia="zh-CN"/>
              </w:rPr>
            </w:pPr>
            <m:oMath>
              <m:sSub>
                <m:sSubPr>
                  <m:ctrlPr>
                    <w:rPr>
                      <w:rFonts w:hint="eastAsia" w:ascii="Cambria Math" w:hAnsi="Cambria Math" w:eastAsiaTheme="minorEastAsia" w:cstheme="minorEastAsia"/>
                      <w:i/>
                      <w:color w:val="auto"/>
                      <w:sz w:val="24"/>
                      <w:szCs w:val="24"/>
                      <w:highlight w:val="none"/>
                      <w:lang w:val="en-US" w:eastAsia="zh-CN"/>
                    </w:rPr>
                  </m:ctrlPr>
                </m:sSubPr>
                <m:e>
                  <m:r>
                    <m:rPr/>
                    <w:rPr>
                      <w:rFonts w:hint="eastAsia" w:ascii="Cambria Math" w:hAnsi="Cambria Math" w:eastAsiaTheme="minorEastAsia" w:cstheme="minorEastAsia"/>
                      <w:color w:val="auto"/>
                      <w:sz w:val="24"/>
                      <w:szCs w:val="24"/>
                      <w:highlight w:val="none"/>
                      <w:lang w:val="en-US" w:eastAsia="zh-CN"/>
                    </w:rPr>
                    <m:t>T</m:t>
                  </m:r>
                  <m:ctrlPr>
                    <w:rPr>
                      <w:rFonts w:hint="eastAsia" w:ascii="Cambria Math" w:hAnsi="Cambria Math" w:eastAsiaTheme="minorEastAsia" w:cstheme="minorEastAsia"/>
                      <w:i/>
                      <w:color w:val="auto"/>
                      <w:sz w:val="24"/>
                      <w:szCs w:val="24"/>
                      <w:highlight w:val="none"/>
                      <w:lang w:val="en-US" w:eastAsia="zh-CN"/>
                    </w:rPr>
                  </m:ctrlPr>
                </m:e>
                <m:sub>
                  <m:r>
                    <m:rPr/>
                    <w:rPr>
                      <w:rFonts w:hint="eastAsia" w:ascii="Cambria Math" w:hAnsi="Cambria Math" w:eastAsiaTheme="minorEastAsia" w:cstheme="minorEastAsia"/>
                      <w:color w:val="auto"/>
                      <w:sz w:val="24"/>
                      <w:szCs w:val="24"/>
                      <w:highlight w:val="none"/>
                      <w:lang w:val="en-US" w:eastAsia="zh-CN"/>
                    </w:rPr>
                    <m:t>m</m:t>
                  </m:r>
                  <m:ctrlPr>
                    <w:rPr>
                      <w:rFonts w:hint="eastAsia" w:ascii="Cambria Math" w:hAnsi="Cambria Math" w:eastAsiaTheme="minorEastAsia" w:cstheme="minorEastAsia"/>
                      <w:i/>
                      <w:color w:val="auto"/>
                      <w:sz w:val="24"/>
                      <w:szCs w:val="24"/>
                      <w:highlight w:val="none"/>
                      <w:lang w:val="en-US" w:eastAsia="zh-CN"/>
                    </w:rPr>
                  </m:ctrlPr>
                </m:sub>
              </m:sSub>
            </m:oMath>
            <w:r>
              <w:rPr>
                <w:rFonts w:hint="default" w:ascii="Times New Roman" w:hAnsi="Times New Roman" w:cs="Times New Roman" w:eastAsiaTheme="minorEastAsia"/>
                <w:color w:val="auto"/>
                <w:sz w:val="24"/>
                <w:szCs w:val="24"/>
                <w:highlight w:val="none"/>
                <w:lang w:val="en-US" w:eastAsia="zh-CN"/>
              </w:rPr>
              <w:t>指堆场类型控制效率（单位：%），参照附录5，本项目堆场类型为</w:t>
            </w:r>
            <w:r>
              <w:rPr>
                <w:rFonts w:hint="default" w:ascii="Times New Roman" w:hAnsi="Times New Roman" w:cs="Times New Roman" w:eastAsiaTheme="minorEastAsia"/>
                <w:color w:val="auto"/>
                <w:sz w:val="24"/>
                <w:szCs w:val="24"/>
                <w:highlight w:val="none"/>
              </w:rPr>
              <w:t>全封闭砂石料场</w:t>
            </w:r>
            <w:r>
              <w:rPr>
                <w:rFonts w:hint="default" w:ascii="Times New Roman" w:hAnsi="Times New Roman" w:cs="Times New Roman" w:eastAsiaTheme="minorEastAsia"/>
                <w:color w:val="auto"/>
                <w:sz w:val="24"/>
                <w:szCs w:val="24"/>
                <w:highlight w:val="none"/>
                <w:lang w:val="en-US" w:eastAsia="zh-CN"/>
              </w:rPr>
              <w:t>，控制效率为99%。</w:t>
            </w:r>
          </w:p>
          <w:p w14:paraId="25069132">
            <w:pPr>
              <w:bidi w:val="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本项目综合去除效率为99.74%，根据上式计算，本项目砂子、石子在</w:t>
            </w:r>
            <w:r>
              <w:rPr>
                <w:rFonts w:hint="eastAsia" w:cs="Times New Roman" w:eastAsiaTheme="minorEastAsia"/>
                <w:color w:val="auto"/>
                <w:sz w:val="24"/>
                <w:szCs w:val="24"/>
                <w:highlight w:val="none"/>
                <w:lang w:val="en-US" w:eastAsia="zh-CN"/>
              </w:rPr>
              <w:t>堆存</w:t>
            </w:r>
            <w:r>
              <w:rPr>
                <w:rFonts w:hint="default" w:ascii="Times New Roman" w:hAnsi="Times New Roman" w:cs="Times New Roman" w:eastAsiaTheme="minorEastAsia"/>
                <w:color w:val="auto"/>
                <w:sz w:val="24"/>
                <w:szCs w:val="24"/>
                <w:highlight w:val="none"/>
                <w:lang w:val="en-US" w:eastAsia="zh-CN"/>
              </w:rPr>
              <w:t>、装卸过程颗粒物排放量为4.64t/a。本项目通过采取洒水抑尘、</w:t>
            </w:r>
            <w:r>
              <w:rPr>
                <w:rFonts w:hint="default" w:ascii="Times New Roman" w:hAnsi="Times New Roman" w:cs="Times New Roman" w:eastAsiaTheme="minorEastAsia"/>
                <w:color w:val="auto"/>
                <w:sz w:val="24"/>
                <w:szCs w:val="24"/>
                <w:highlight w:val="none"/>
              </w:rPr>
              <w:t>全封闭砂石料场</w:t>
            </w:r>
            <w:r>
              <w:rPr>
                <w:rFonts w:hint="default" w:ascii="Times New Roman" w:hAnsi="Times New Roman" w:cs="Times New Roman" w:eastAsiaTheme="minorEastAsia"/>
                <w:color w:val="auto"/>
                <w:sz w:val="24"/>
                <w:szCs w:val="24"/>
                <w:highlight w:val="none"/>
                <w:lang w:val="en-US" w:eastAsia="zh-CN"/>
              </w:rPr>
              <w:t>等措施后满足《水泥工业大气污染物排放标准》（GB4915-2013）</w:t>
            </w:r>
            <w:r>
              <w:rPr>
                <w:rFonts w:hint="default" w:ascii="Times New Roman" w:hAnsi="Times New Roman" w:eastAsia="宋体" w:cs="Times New Roman"/>
                <w:b w:val="0"/>
                <w:bCs w:val="0"/>
                <w:color w:val="auto"/>
                <w:kern w:val="0"/>
                <w:sz w:val="24"/>
                <w:szCs w:val="24"/>
                <w:highlight w:val="none"/>
                <w:lang w:eastAsia="zh-CN"/>
              </w:rPr>
              <w:t>（</w:t>
            </w:r>
            <w:r>
              <w:rPr>
                <w:rFonts w:hint="default" w:ascii="Times New Roman" w:hAnsi="Times New Roman" w:eastAsia="宋体" w:cs="Times New Roman"/>
                <w:b w:val="0"/>
                <w:bCs w:val="0"/>
                <w:color w:val="auto"/>
                <w:kern w:val="0"/>
                <w:sz w:val="24"/>
                <w:szCs w:val="24"/>
                <w:highlight w:val="none"/>
              </w:rPr>
              <w:t>含</w:t>
            </w:r>
            <w:r>
              <w:rPr>
                <w:rFonts w:hint="default" w:ascii="Times New Roman" w:hAnsi="Times New Roman" w:eastAsia="宋体" w:cs="Times New Roman"/>
                <w:b w:val="0"/>
                <w:bCs w:val="0"/>
                <w:color w:val="auto"/>
                <w:kern w:val="0"/>
                <w:sz w:val="24"/>
                <w:szCs w:val="24"/>
                <w:highlight w:val="none"/>
                <w:lang w:val="en-US" w:eastAsia="zh-CN"/>
              </w:rPr>
              <w:t>2025年修改单</w:t>
            </w:r>
            <w:r>
              <w:rPr>
                <w:rFonts w:hint="default" w:ascii="Times New Roman" w:hAnsi="Times New Roman" w:eastAsia="宋体" w:cs="Times New Roman"/>
                <w:b w:val="0"/>
                <w:bCs w:val="0"/>
                <w:color w:val="auto"/>
                <w:kern w:val="0"/>
                <w:sz w:val="24"/>
                <w:szCs w:val="24"/>
                <w:highlight w:val="none"/>
                <w:lang w:eastAsia="zh-CN"/>
              </w:rPr>
              <w:t>）</w:t>
            </w:r>
            <w:r>
              <w:rPr>
                <w:rFonts w:hint="default" w:ascii="Times New Roman" w:hAnsi="Times New Roman" w:cs="Times New Roman" w:eastAsiaTheme="minorEastAsia"/>
                <w:color w:val="auto"/>
                <w:sz w:val="24"/>
                <w:szCs w:val="24"/>
                <w:highlight w:val="none"/>
                <w:lang w:val="en-US" w:eastAsia="zh-CN"/>
              </w:rPr>
              <w:t>表3无组织排放浓度限值要求。</w:t>
            </w:r>
          </w:p>
          <w:p w14:paraId="15375A58">
            <w:pPr>
              <w:bidi w:val="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（2）</w:t>
            </w:r>
            <w:r>
              <w:rPr>
                <w:rFonts w:hint="eastAsia" w:cs="Times New Roman" w:eastAsiaTheme="minorEastAsia"/>
                <w:color w:val="auto"/>
                <w:sz w:val="24"/>
                <w:szCs w:val="24"/>
                <w:highlight w:val="none"/>
                <w:lang w:val="en-US" w:eastAsia="zh-CN"/>
              </w:rPr>
              <w:t>输送皮带</w:t>
            </w:r>
            <w:r>
              <w:rPr>
                <w:rFonts w:hint="default" w:ascii="Times New Roman" w:hAnsi="Times New Roman" w:cs="Times New Roman" w:eastAsiaTheme="minorEastAsia"/>
                <w:color w:val="auto"/>
                <w:sz w:val="24"/>
                <w:szCs w:val="24"/>
                <w:highlight w:val="none"/>
                <w:lang w:val="en-US" w:eastAsia="zh-CN"/>
              </w:rPr>
              <w:t>粉尘</w:t>
            </w:r>
          </w:p>
          <w:p w14:paraId="3E0F810B">
            <w:pPr>
              <w:bidi w:val="0"/>
              <w:rPr>
                <w:rFonts w:hint="default" w:ascii="Times New Roman" w:hAnsi="Times New Roman" w:cs="Times New Roman" w:eastAsiaTheme="minorEastAsia"/>
                <w:b w:val="0"/>
                <w:bCs w:val="0"/>
                <w:color w:val="auto"/>
                <w:sz w:val="24"/>
                <w:szCs w:val="24"/>
                <w:highlight w:val="none"/>
                <w:lang w:val="en-US" w:eastAsia="zh-CN"/>
              </w:rPr>
            </w:pPr>
            <w:r>
              <w:rPr>
                <w:rFonts w:hint="eastAsia" w:cs="Times New Roman" w:eastAsiaTheme="minorEastAsia"/>
                <w:b w:val="0"/>
                <w:bCs w:val="0"/>
                <w:color w:val="auto"/>
                <w:sz w:val="24"/>
                <w:szCs w:val="24"/>
                <w:highlight w:val="none"/>
                <w:lang w:val="en-US" w:eastAsia="zh-CN"/>
              </w:rPr>
              <w:t>输送皮带</w:t>
            </w:r>
            <w:r>
              <w:rPr>
                <w:rFonts w:hint="default" w:ascii="Times New Roman" w:hAnsi="Times New Roman" w:cs="Times New Roman" w:eastAsiaTheme="minorEastAsia"/>
                <w:b w:val="0"/>
                <w:bCs w:val="0"/>
                <w:color w:val="auto"/>
                <w:sz w:val="24"/>
                <w:szCs w:val="24"/>
                <w:highlight w:val="none"/>
                <w:lang w:val="en-US" w:eastAsia="zh-CN"/>
              </w:rPr>
              <w:t>粉尘主要由上料仓至拌合楼搅拌罐输送过程产生，</w:t>
            </w:r>
            <w:r>
              <w:rPr>
                <w:rFonts w:hint="default" w:ascii="Times New Roman" w:hAnsi="Times New Roman" w:eastAsia="宋体" w:cs="Times New Roman"/>
                <w:b w:val="0"/>
                <w:bCs w:val="0"/>
                <w:color w:val="auto"/>
                <w:sz w:val="24"/>
                <w:szCs w:val="24"/>
                <w:highlight w:val="none"/>
              </w:rPr>
              <w:t>参照《排放源统计调查产排污核算方法和系数手册》（生态环境部公</w:t>
            </w:r>
            <w:r>
              <w:rPr>
                <w:rFonts w:hint="default" w:ascii="Times New Roman" w:hAnsi="Times New Roman" w:eastAsia="宋体" w:cs="Times New Roman"/>
                <w:b w:val="0"/>
                <w:bCs w:val="0"/>
                <w:color w:val="auto"/>
                <w:sz w:val="24"/>
                <w:szCs w:val="24"/>
                <w:highlight w:val="none"/>
                <w:lang w:val="en-US" w:eastAsia="zh-CN"/>
              </w:rPr>
              <w:t>告</w:t>
            </w:r>
            <w:r>
              <w:rPr>
                <w:rFonts w:hint="default" w:ascii="Times New Roman" w:hAnsi="Times New Roman" w:eastAsia="宋体" w:cs="Times New Roman"/>
                <w:b w:val="0"/>
                <w:bCs w:val="0"/>
                <w:color w:val="auto"/>
                <w:sz w:val="24"/>
                <w:szCs w:val="24"/>
                <w:highlight w:val="none"/>
              </w:rPr>
              <w:t>2021年第24号）中《3021水泥制品制造（含3022砼结构构件、3029其他水泥类似制品制造）行业系数手册》混凝土制品</w:t>
            </w:r>
            <w:r>
              <w:rPr>
                <w:rStyle w:val="17"/>
                <w:rFonts w:hint="default" w:ascii="Times New Roman" w:hAnsi="Times New Roman" w:eastAsia="宋体" w:cs="Times New Roman"/>
                <w:b w:val="0"/>
                <w:bCs w:val="0"/>
                <w:color w:val="auto"/>
                <w:sz w:val="24"/>
                <w:szCs w:val="24"/>
                <w:highlight w:val="none"/>
              </w:rPr>
              <w:t>物料输送储存工序</w:t>
            </w:r>
            <w:r>
              <w:rPr>
                <w:rFonts w:hint="default" w:ascii="Times New Roman" w:hAnsi="Times New Roman" w:eastAsia="宋体" w:cs="Times New Roman"/>
                <w:b w:val="0"/>
                <w:bCs w:val="0"/>
                <w:color w:val="auto"/>
                <w:sz w:val="24"/>
                <w:szCs w:val="24"/>
                <w:highlight w:val="none"/>
              </w:rPr>
              <w:t>产污系数类比核算</w:t>
            </w:r>
            <w:r>
              <w:rPr>
                <w:rFonts w:hint="eastAsia" w:cs="Times New Roman"/>
                <w:b w:val="0"/>
                <w:bCs w:val="0"/>
                <w:color w:val="auto"/>
                <w:sz w:val="24"/>
                <w:szCs w:val="24"/>
                <w:highlight w:val="none"/>
                <w:lang w:eastAsia="zh-CN"/>
              </w:rPr>
              <w:t>输送皮带</w:t>
            </w:r>
            <w:r>
              <w:rPr>
                <w:rFonts w:hint="default" w:ascii="Times New Roman" w:hAnsi="Times New Roman" w:eastAsia="宋体" w:cs="Times New Roman"/>
                <w:b w:val="0"/>
                <w:bCs w:val="0"/>
                <w:color w:val="auto"/>
                <w:sz w:val="24"/>
                <w:szCs w:val="24"/>
                <w:highlight w:val="none"/>
              </w:rPr>
              <w:t>粉尘，颗粒物产污系数</w:t>
            </w:r>
            <w:r>
              <w:rPr>
                <w:rFonts w:hint="default" w:ascii="Times New Roman" w:hAnsi="Times New Roman" w:cs="Times New Roman" w:eastAsiaTheme="minorEastAsia"/>
                <w:b w:val="0"/>
                <w:bCs w:val="0"/>
                <w:color w:val="auto"/>
                <w:sz w:val="24"/>
                <w:szCs w:val="24"/>
                <w:highlight w:val="none"/>
                <w:lang w:val="en-US" w:eastAsia="zh-CN"/>
              </w:rPr>
              <w:t>为0.12kg/t产品，本项目年生产商品混凝土700800t/a，则输送工序粉尘产生量为84.096t/a。</w:t>
            </w:r>
          </w:p>
          <w:p w14:paraId="0A3AA1F1">
            <w:pPr>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本项目采用全封闭</w:t>
            </w:r>
            <w:r>
              <w:rPr>
                <w:rFonts w:hint="eastAsia" w:cs="Times New Roman" w:eastAsiaTheme="minorEastAsia"/>
                <w:color w:val="auto"/>
                <w:sz w:val="24"/>
                <w:szCs w:val="24"/>
                <w:highlight w:val="none"/>
                <w:lang w:val="en-US" w:eastAsia="zh-CN"/>
              </w:rPr>
              <w:t>输送皮带</w:t>
            </w:r>
            <w:r>
              <w:rPr>
                <w:rFonts w:hint="default" w:ascii="Times New Roman" w:hAnsi="Times New Roman" w:cs="Times New Roman" w:eastAsiaTheme="minorEastAsia"/>
                <w:color w:val="auto"/>
                <w:sz w:val="24"/>
                <w:szCs w:val="24"/>
                <w:highlight w:val="none"/>
                <w:lang w:val="en-US" w:eastAsia="zh-CN"/>
              </w:rPr>
              <w:t>物料，粉尘逸散量约为产生量的10%，则</w:t>
            </w:r>
            <w:r>
              <w:rPr>
                <w:rFonts w:hint="eastAsia" w:cs="Times New Roman" w:eastAsiaTheme="minorEastAsia"/>
                <w:color w:val="auto"/>
                <w:sz w:val="24"/>
                <w:szCs w:val="24"/>
                <w:highlight w:val="none"/>
                <w:lang w:val="en-US" w:eastAsia="zh-CN"/>
              </w:rPr>
              <w:t>输送皮带</w:t>
            </w:r>
            <w:r>
              <w:rPr>
                <w:rFonts w:hint="default" w:ascii="Times New Roman" w:hAnsi="Times New Roman" w:cs="Times New Roman" w:eastAsiaTheme="minorEastAsia"/>
                <w:color w:val="auto"/>
                <w:sz w:val="24"/>
                <w:szCs w:val="24"/>
                <w:highlight w:val="none"/>
                <w:lang w:val="en-US" w:eastAsia="zh-CN"/>
              </w:rPr>
              <w:t>粉尘排放量为8.4096t/a。</w:t>
            </w:r>
            <w:r>
              <w:rPr>
                <w:rFonts w:hint="default" w:ascii="Times New Roman" w:hAnsi="Times New Roman" w:eastAsia="宋体" w:cs="Times New Roman"/>
                <w:color w:val="auto"/>
                <w:sz w:val="24"/>
                <w:szCs w:val="24"/>
                <w:highlight w:val="none"/>
              </w:rPr>
              <w:t>项目皮带廊道全封闭，辅以厂区洒水抑尘等措施，厂界无组织颗粒物满足</w:t>
            </w:r>
            <w:r>
              <w:rPr>
                <w:rFonts w:hint="default" w:ascii="Times New Roman" w:hAnsi="Times New Roman" w:eastAsia="宋体" w:cs="Times New Roman"/>
                <w:color w:val="auto"/>
                <w:sz w:val="24"/>
                <w:szCs w:val="24"/>
                <w:highlight w:val="none"/>
                <w:lang w:val="en-US" w:eastAsia="zh-CN"/>
              </w:rPr>
              <w:t>《水泥工业大气污染物排放标准》（GB4915-2013）</w:t>
            </w:r>
            <w:r>
              <w:rPr>
                <w:rFonts w:hint="default" w:ascii="Times New Roman" w:hAnsi="Times New Roman" w:eastAsia="宋体" w:cs="Times New Roman"/>
                <w:b w:val="0"/>
                <w:bCs w:val="0"/>
                <w:color w:val="auto"/>
                <w:kern w:val="0"/>
                <w:sz w:val="24"/>
                <w:szCs w:val="24"/>
                <w:highlight w:val="none"/>
                <w:lang w:eastAsia="zh-CN"/>
              </w:rPr>
              <w:t>（</w:t>
            </w:r>
            <w:r>
              <w:rPr>
                <w:rFonts w:hint="default" w:ascii="Times New Roman" w:hAnsi="Times New Roman" w:eastAsia="宋体" w:cs="Times New Roman"/>
                <w:b w:val="0"/>
                <w:bCs w:val="0"/>
                <w:color w:val="auto"/>
                <w:kern w:val="0"/>
                <w:sz w:val="24"/>
                <w:szCs w:val="24"/>
                <w:highlight w:val="none"/>
              </w:rPr>
              <w:t>含</w:t>
            </w:r>
            <w:r>
              <w:rPr>
                <w:rFonts w:hint="default" w:ascii="Times New Roman" w:hAnsi="Times New Roman" w:eastAsia="宋体" w:cs="Times New Roman"/>
                <w:b w:val="0"/>
                <w:bCs w:val="0"/>
                <w:color w:val="auto"/>
                <w:kern w:val="0"/>
                <w:sz w:val="24"/>
                <w:szCs w:val="24"/>
                <w:highlight w:val="none"/>
                <w:lang w:val="en-US" w:eastAsia="zh-CN"/>
              </w:rPr>
              <w:t>2025年修改单</w:t>
            </w:r>
            <w:r>
              <w:rPr>
                <w:rFonts w:hint="default" w:ascii="Times New Roman" w:hAnsi="Times New Roman" w:eastAsia="宋体" w:cs="Times New Roman"/>
                <w:b w:val="0"/>
                <w:bCs w:val="0"/>
                <w:color w:val="auto"/>
                <w:kern w:val="0"/>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表3无组织排放浓度限值</w:t>
            </w:r>
            <w:r>
              <w:rPr>
                <w:rFonts w:hint="default" w:ascii="Times New Roman" w:hAnsi="Times New Roman" w:eastAsia="宋体" w:cs="Times New Roman"/>
                <w:color w:val="auto"/>
                <w:sz w:val="24"/>
                <w:szCs w:val="24"/>
                <w:highlight w:val="none"/>
              </w:rPr>
              <w:t>。</w:t>
            </w:r>
          </w:p>
          <w:p w14:paraId="1F8FA44A">
            <w:pPr>
              <w:bidi w:val="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（3）筒仓粉尘</w:t>
            </w:r>
          </w:p>
          <w:p w14:paraId="7368E9F2">
            <w:pPr>
              <w:bidi w:val="0"/>
              <w:rPr>
                <w:rFonts w:hint="default" w:ascii="Times New Roman" w:hAnsi="Times New Roman" w:cs="Times New Roman" w:eastAsiaTheme="minorEastAsia"/>
                <w:b w:val="0"/>
                <w:bCs w:val="0"/>
                <w:color w:val="auto"/>
                <w:sz w:val="24"/>
                <w:szCs w:val="24"/>
                <w:highlight w:val="none"/>
                <w:lang w:val="en-US" w:eastAsia="zh-CN"/>
              </w:rPr>
            </w:pPr>
            <w:r>
              <w:rPr>
                <w:rFonts w:hint="default" w:ascii="Times New Roman" w:hAnsi="Times New Roman" w:cs="Times New Roman" w:eastAsiaTheme="minorEastAsia"/>
                <w:b w:val="0"/>
                <w:bCs w:val="0"/>
                <w:color w:val="auto"/>
                <w:sz w:val="24"/>
                <w:szCs w:val="24"/>
                <w:highlight w:val="none"/>
                <w:lang w:val="en-US" w:eastAsia="zh-CN"/>
              </w:rPr>
              <w:t>本项目共建设2座筒仓（2座水泥筒仓），在生产运行过程中筒仓内水泥会产生粉尘。</w:t>
            </w:r>
            <w:r>
              <w:rPr>
                <w:rFonts w:hint="default" w:ascii="Times New Roman" w:hAnsi="Times New Roman" w:eastAsia="宋体" w:cs="Times New Roman"/>
                <w:b w:val="0"/>
                <w:bCs w:val="0"/>
                <w:color w:val="auto"/>
                <w:sz w:val="24"/>
                <w:szCs w:val="24"/>
                <w:highlight w:val="none"/>
              </w:rPr>
              <w:t>根据《排放源统计调查产排污核算方法和系数手册》（生态环境部公告2021年第24号）中《3021水泥制品制造（含3022砼结构构件、3029其他水泥类似制品制造）行业系数手册》，</w:t>
            </w:r>
            <w:r>
              <w:rPr>
                <w:rStyle w:val="17"/>
                <w:rFonts w:hint="default" w:ascii="Times New Roman" w:hAnsi="Times New Roman" w:eastAsia="宋体" w:cs="Times New Roman"/>
                <w:b w:val="0"/>
                <w:bCs w:val="0"/>
                <w:color w:val="auto"/>
                <w:sz w:val="24"/>
                <w:szCs w:val="24"/>
                <w:highlight w:val="none"/>
              </w:rPr>
              <w:t>混凝土制品</w:t>
            </w:r>
            <w:r>
              <w:rPr>
                <w:rStyle w:val="17"/>
                <w:rFonts w:hint="default" w:ascii="Times New Roman" w:hAnsi="Times New Roman" w:eastAsia="宋体" w:cs="Times New Roman"/>
                <w:b w:val="0"/>
                <w:bCs w:val="0"/>
                <w:color w:val="auto"/>
                <w:sz w:val="24"/>
                <w:szCs w:val="24"/>
                <w:highlight w:val="none"/>
                <w:lang w:val="en-US" w:eastAsia="zh-CN"/>
              </w:rPr>
              <w:t>-</w:t>
            </w:r>
            <w:r>
              <w:rPr>
                <w:rStyle w:val="17"/>
                <w:rFonts w:hint="default" w:ascii="Times New Roman" w:hAnsi="Times New Roman" w:eastAsia="宋体" w:cs="Times New Roman"/>
                <w:b w:val="0"/>
                <w:bCs w:val="0"/>
                <w:color w:val="auto"/>
                <w:sz w:val="24"/>
                <w:szCs w:val="24"/>
                <w:highlight w:val="none"/>
              </w:rPr>
              <w:t>物料输送储存工序</w:t>
            </w:r>
            <w:r>
              <w:rPr>
                <w:rFonts w:hint="default" w:ascii="Times New Roman" w:hAnsi="Times New Roman" w:eastAsia="宋体" w:cs="Times New Roman"/>
                <w:b w:val="0"/>
                <w:bCs w:val="0"/>
                <w:color w:val="auto"/>
                <w:sz w:val="24"/>
                <w:szCs w:val="24"/>
                <w:highlight w:val="none"/>
              </w:rPr>
              <w:t>产污系数</w:t>
            </w:r>
            <w:r>
              <w:rPr>
                <w:rFonts w:hint="default" w:ascii="Times New Roman" w:hAnsi="Times New Roman" w:cs="Times New Roman" w:eastAsiaTheme="minorEastAsia"/>
                <w:b w:val="0"/>
                <w:bCs w:val="0"/>
                <w:color w:val="auto"/>
                <w:sz w:val="24"/>
                <w:szCs w:val="24"/>
                <w:highlight w:val="none"/>
                <w:lang w:val="en-US" w:eastAsia="zh-CN"/>
              </w:rPr>
              <w:t>，废气量为22Nm</w:t>
            </w:r>
            <w:r>
              <w:rPr>
                <w:rFonts w:hint="default" w:ascii="Times New Roman" w:hAnsi="Times New Roman" w:cs="Times New Roman" w:eastAsiaTheme="minorEastAsia"/>
                <w:b w:val="0"/>
                <w:bCs w:val="0"/>
                <w:color w:val="auto"/>
                <w:sz w:val="24"/>
                <w:szCs w:val="24"/>
                <w:highlight w:val="none"/>
                <w:vertAlign w:val="superscript"/>
                <w:lang w:val="en-US" w:eastAsia="zh-CN"/>
              </w:rPr>
              <w:t>3</w:t>
            </w:r>
            <w:r>
              <w:rPr>
                <w:rFonts w:hint="default" w:ascii="Times New Roman" w:hAnsi="Times New Roman" w:cs="Times New Roman" w:eastAsiaTheme="minorEastAsia"/>
                <w:b w:val="0"/>
                <w:bCs w:val="0"/>
                <w:color w:val="auto"/>
                <w:sz w:val="24"/>
                <w:szCs w:val="24"/>
                <w:highlight w:val="none"/>
                <w:lang w:val="en-US" w:eastAsia="zh-CN"/>
              </w:rPr>
              <w:t>/t产品，颗粒物0.12kg/t产品。</w:t>
            </w:r>
          </w:p>
          <w:p w14:paraId="3E19D288">
            <w:pP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本项目年生产商品混凝土700800t/a，则废气量为15417600Nm</w:t>
            </w:r>
            <w:r>
              <w:rPr>
                <w:rFonts w:hint="default" w:ascii="Times New Roman" w:hAnsi="Times New Roman" w:cs="Times New Roman" w:eastAsiaTheme="minorEastAsia"/>
                <w:color w:val="auto"/>
                <w:sz w:val="24"/>
                <w:szCs w:val="24"/>
                <w:highlight w:val="none"/>
                <w:vertAlign w:val="superscript"/>
                <w:lang w:val="en-US" w:eastAsia="zh-CN"/>
              </w:rPr>
              <w:t>3</w:t>
            </w:r>
            <w:r>
              <w:rPr>
                <w:rFonts w:hint="default" w:ascii="Times New Roman" w:hAnsi="Times New Roman" w:cs="Times New Roman" w:eastAsiaTheme="minorEastAsia"/>
                <w:color w:val="auto"/>
                <w:sz w:val="24"/>
                <w:szCs w:val="24"/>
                <w:highlight w:val="none"/>
                <w:lang w:val="en-US" w:eastAsia="zh-CN"/>
              </w:rPr>
              <w:t>/a，颗粒物产生量为84.096t/a。项目筒仓自带袋式除尘器对废气进行处理，除尘效率为99.7%，则颗粒物排放量为0.252t/a，排放浓度为16.36</w:t>
            </w:r>
            <w:r>
              <w:rPr>
                <w:rFonts w:hint="default" w:ascii="Times New Roman" w:hAnsi="Times New Roman" w:cs="Times New Roman"/>
                <w:color w:val="auto"/>
                <w:highlight w:val="none"/>
                <w:lang w:val="en-US" w:eastAsia="zh-CN"/>
              </w:rPr>
              <w:t>mg/m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eastAsiaTheme="minorEastAsia"/>
                <w:color w:val="auto"/>
                <w:sz w:val="24"/>
                <w:szCs w:val="24"/>
                <w:highlight w:val="none"/>
                <w:lang w:val="en-US" w:eastAsia="zh-CN"/>
              </w:rPr>
              <w:t>。筒仓粉尘排放浓度满足</w:t>
            </w:r>
            <w:r>
              <w:rPr>
                <w:rFonts w:hint="default" w:ascii="Times New Roman" w:hAnsi="Times New Roman" w:eastAsia="宋体" w:cs="Times New Roman"/>
                <w:b w:val="0"/>
                <w:bCs w:val="0"/>
                <w:color w:val="auto"/>
                <w:kern w:val="0"/>
                <w:sz w:val="24"/>
                <w:szCs w:val="24"/>
                <w:highlight w:val="none"/>
              </w:rPr>
              <w:t>《水泥工业大气污染物排放标准》（</w:t>
            </w:r>
            <w:r>
              <w:rPr>
                <w:rFonts w:hint="default" w:ascii="Times New Roman" w:hAnsi="Times New Roman" w:eastAsia="宋体" w:cs="Times New Roman"/>
                <w:b w:val="0"/>
                <w:bCs w:val="0"/>
                <w:color w:val="auto"/>
                <w:kern w:val="0"/>
                <w:sz w:val="24"/>
                <w:szCs w:val="24"/>
                <w:highlight w:val="none"/>
                <w:lang w:val="en-US" w:eastAsia="zh-CN"/>
              </w:rPr>
              <w:t>GB</w:t>
            </w:r>
            <w:r>
              <w:rPr>
                <w:rFonts w:hint="default" w:ascii="Times New Roman" w:hAnsi="Times New Roman" w:eastAsia="宋体" w:cs="Times New Roman"/>
                <w:b w:val="0"/>
                <w:bCs w:val="0"/>
                <w:color w:val="auto"/>
                <w:kern w:val="0"/>
                <w:sz w:val="24"/>
                <w:szCs w:val="24"/>
                <w:highlight w:val="none"/>
              </w:rPr>
              <w:t>4915-2013）</w:t>
            </w:r>
            <w:r>
              <w:rPr>
                <w:rFonts w:hint="default" w:ascii="Times New Roman" w:hAnsi="Times New Roman" w:eastAsia="宋体" w:cs="Times New Roman"/>
                <w:b w:val="0"/>
                <w:bCs w:val="0"/>
                <w:color w:val="auto"/>
                <w:kern w:val="0"/>
                <w:sz w:val="24"/>
                <w:szCs w:val="24"/>
                <w:highlight w:val="none"/>
                <w:lang w:eastAsia="zh-CN"/>
              </w:rPr>
              <w:t>（</w:t>
            </w:r>
            <w:r>
              <w:rPr>
                <w:rFonts w:hint="default" w:ascii="Times New Roman" w:hAnsi="Times New Roman" w:eastAsia="宋体" w:cs="Times New Roman"/>
                <w:b w:val="0"/>
                <w:bCs w:val="0"/>
                <w:color w:val="auto"/>
                <w:kern w:val="0"/>
                <w:sz w:val="24"/>
                <w:szCs w:val="24"/>
                <w:highlight w:val="none"/>
              </w:rPr>
              <w:t>含</w:t>
            </w:r>
            <w:r>
              <w:rPr>
                <w:rFonts w:hint="default" w:ascii="Times New Roman" w:hAnsi="Times New Roman" w:eastAsia="宋体" w:cs="Times New Roman"/>
                <w:b w:val="0"/>
                <w:bCs w:val="0"/>
                <w:color w:val="auto"/>
                <w:kern w:val="0"/>
                <w:sz w:val="24"/>
                <w:szCs w:val="24"/>
                <w:highlight w:val="none"/>
                <w:lang w:val="en-US" w:eastAsia="zh-CN"/>
              </w:rPr>
              <w:t>2025年修改单</w:t>
            </w:r>
            <w:r>
              <w:rPr>
                <w:rFonts w:hint="default" w:ascii="Times New Roman" w:hAnsi="Times New Roman" w:eastAsia="宋体" w:cs="Times New Roman"/>
                <w:b w:val="0"/>
                <w:bCs w:val="0"/>
                <w:color w:val="auto"/>
                <w:kern w:val="0"/>
                <w:sz w:val="24"/>
                <w:szCs w:val="24"/>
                <w:highlight w:val="none"/>
                <w:lang w:eastAsia="zh-CN"/>
              </w:rPr>
              <w:t>）</w:t>
            </w:r>
            <w:r>
              <w:rPr>
                <w:rFonts w:hint="default" w:ascii="Times New Roman" w:hAnsi="Times New Roman" w:eastAsia="宋体" w:cs="Times New Roman"/>
                <w:b w:val="0"/>
                <w:bCs w:val="0"/>
                <w:color w:val="auto"/>
                <w:kern w:val="0"/>
                <w:sz w:val="24"/>
                <w:szCs w:val="24"/>
                <w:highlight w:val="none"/>
              </w:rPr>
              <w:t>中</w:t>
            </w:r>
            <w:r>
              <w:rPr>
                <w:rFonts w:hint="default" w:ascii="Times New Roman" w:hAnsi="Times New Roman" w:eastAsia="宋体" w:cs="Times New Roman"/>
                <w:b w:val="0"/>
                <w:bCs w:val="0"/>
                <w:color w:val="auto"/>
                <w:kern w:val="0"/>
                <w:sz w:val="24"/>
                <w:szCs w:val="24"/>
                <w:highlight w:val="none"/>
                <w:lang w:val="en-US" w:eastAsia="zh-CN"/>
              </w:rPr>
              <w:t>表2中</w:t>
            </w:r>
            <w:r>
              <w:rPr>
                <w:rFonts w:hint="default" w:ascii="Times New Roman" w:hAnsi="Times New Roman" w:eastAsia="宋体" w:cs="Times New Roman"/>
                <w:color w:val="auto"/>
                <w:sz w:val="24"/>
                <w:szCs w:val="24"/>
                <w:highlight w:val="none"/>
                <w:lang w:val="en-US" w:eastAsia="zh-CN"/>
              </w:rPr>
              <w:t>水泥制品生产颗粒物排放标准</w:t>
            </w:r>
            <w:r>
              <w:rPr>
                <w:rFonts w:hint="default" w:ascii="Times New Roman" w:hAnsi="Times New Roman" w:cs="Times New Roman"/>
                <w:color w:val="auto"/>
                <w:sz w:val="24"/>
                <w:szCs w:val="24"/>
                <w:highlight w:val="none"/>
                <w:lang w:val="en-US" w:eastAsia="zh-CN"/>
              </w:rPr>
              <w:t>。</w:t>
            </w:r>
          </w:p>
          <w:p w14:paraId="7B81A291">
            <w:pPr>
              <w:bidi w:val="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（4）搅拌粉尘</w:t>
            </w:r>
          </w:p>
          <w:p w14:paraId="17C93500">
            <w:pPr>
              <w:bidi w:val="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b w:val="0"/>
                <w:bCs w:val="0"/>
                <w:color w:val="auto"/>
                <w:sz w:val="24"/>
                <w:szCs w:val="24"/>
                <w:highlight w:val="none"/>
                <w:lang w:val="en-US" w:eastAsia="zh-CN"/>
              </w:rPr>
              <w:t>本项目混凝土生产搅拌过程中会有搅拌粉尘产生，</w:t>
            </w:r>
            <w:r>
              <w:rPr>
                <w:rFonts w:hint="default" w:ascii="Times New Roman" w:hAnsi="Times New Roman" w:eastAsia="宋体" w:cs="Times New Roman"/>
                <w:b w:val="0"/>
                <w:bCs w:val="0"/>
                <w:color w:val="auto"/>
                <w:sz w:val="24"/>
                <w:szCs w:val="24"/>
                <w:highlight w:val="none"/>
              </w:rPr>
              <w:t>根据《排放源统计调查产排污核算方法和系数手册》（生态环境部公告2021年第24号）中《3021水泥制品制造（含3022砼结构构件、3029其他水泥类似制品制造）行业系数手册》，</w:t>
            </w:r>
            <w:r>
              <w:rPr>
                <w:rStyle w:val="17"/>
                <w:rFonts w:hint="default" w:ascii="Times New Roman" w:hAnsi="Times New Roman" w:eastAsia="宋体" w:cs="Times New Roman"/>
                <w:b w:val="0"/>
                <w:bCs w:val="0"/>
                <w:color w:val="auto"/>
                <w:sz w:val="24"/>
                <w:szCs w:val="24"/>
                <w:highlight w:val="none"/>
              </w:rPr>
              <w:t>混凝土制品</w:t>
            </w:r>
            <w:r>
              <w:rPr>
                <w:rStyle w:val="17"/>
                <w:rFonts w:hint="default" w:ascii="Times New Roman" w:hAnsi="Times New Roman" w:eastAsia="宋体" w:cs="Times New Roman"/>
                <w:b w:val="0"/>
                <w:bCs w:val="0"/>
                <w:color w:val="auto"/>
                <w:sz w:val="24"/>
                <w:szCs w:val="24"/>
                <w:highlight w:val="none"/>
                <w:lang w:val="en-US" w:eastAsia="zh-CN"/>
              </w:rPr>
              <w:t>-</w:t>
            </w:r>
            <w:r>
              <w:rPr>
                <w:rStyle w:val="17"/>
                <w:rFonts w:hint="default" w:ascii="Times New Roman" w:hAnsi="Times New Roman" w:eastAsia="宋体" w:cs="Times New Roman"/>
                <w:b w:val="0"/>
                <w:bCs w:val="0"/>
                <w:color w:val="auto"/>
                <w:sz w:val="24"/>
                <w:szCs w:val="24"/>
                <w:highlight w:val="none"/>
              </w:rPr>
              <w:t>物料混合搅拌工序</w:t>
            </w:r>
            <w:r>
              <w:rPr>
                <w:rFonts w:hint="default" w:ascii="Times New Roman" w:hAnsi="Times New Roman" w:eastAsia="宋体" w:cs="Times New Roman"/>
                <w:b w:val="0"/>
                <w:bCs w:val="0"/>
                <w:color w:val="auto"/>
                <w:sz w:val="24"/>
                <w:szCs w:val="24"/>
                <w:highlight w:val="none"/>
              </w:rPr>
              <w:t>产污系数</w:t>
            </w:r>
            <w:r>
              <w:rPr>
                <w:rFonts w:hint="default" w:ascii="Times New Roman" w:hAnsi="Times New Roman" w:cs="Times New Roman" w:eastAsiaTheme="minorEastAsia"/>
                <w:b w:val="0"/>
                <w:bCs w:val="0"/>
                <w:color w:val="auto"/>
                <w:sz w:val="24"/>
                <w:szCs w:val="24"/>
                <w:highlight w:val="none"/>
                <w:lang w:val="en-US" w:eastAsia="zh-CN"/>
              </w:rPr>
              <w:t>，颗粒物：0.13kg/t-产品、废气量：25</w:t>
            </w:r>
            <w:r>
              <w:rPr>
                <w:rFonts w:hint="default" w:ascii="Times New Roman" w:hAnsi="Times New Roman" w:cs="Times New Roman"/>
                <w:b w:val="0"/>
                <w:bCs w:val="0"/>
                <w:color w:val="auto"/>
                <w:highlight w:val="none"/>
                <w:lang w:val="en-US" w:eastAsia="zh-CN"/>
              </w:rPr>
              <w:t>Nm</w:t>
            </w:r>
            <w:r>
              <w:rPr>
                <w:rFonts w:hint="default" w:ascii="Times New Roman" w:hAnsi="Times New Roman" w:cs="Times New Roman"/>
                <w:b w:val="0"/>
                <w:bCs w:val="0"/>
                <w:color w:val="auto"/>
                <w:highlight w:val="none"/>
                <w:vertAlign w:val="superscript"/>
                <w:lang w:val="en-US" w:eastAsia="zh-CN"/>
              </w:rPr>
              <w:t>3</w:t>
            </w:r>
            <w:r>
              <w:rPr>
                <w:rFonts w:hint="default" w:ascii="Times New Roman" w:hAnsi="Times New Roman" w:cs="Times New Roman"/>
                <w:b w:val="0"/>
                <w:bCs w:val="0"/>
                <w:color w:val="auto"/>
                <w:highlight w:val="none"/>
                <w:lang w:val="en-US" w:eastAsia="zh-CN"/>
              </w:rPr>
              <w:t>/t</w:t>
            </w:r>
            <w:r>
              <w:rPr>
                <w:rFonts w:hint="default" w:ascii="Times New Roman" w:hAnsi="Times New Roman" w:cs="Times New Roman" w:eastAsiaTheme="minorEastAsia"/>
                <w:b w:val="0"/>
                <w:bCs w:val="0"/>
                <w:color w:val="auto"/>
                <w:sz w:val="24"/>
                <w:szCs w:val="24"/>
                <w:highlight w:val="none"/>
                <w:lang w:val="en-US" w:eastAsia="zh-CN"/>
              </w:rPr>
              <w:t>-产品。</w:t>
            </w:r>
          </w:p>
          <w:p w14:paraId="6CA991BA">
            <w:pPr>
              <w:bidi w:val="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本项目年生产商品混凝土700800t/a，则颗粒物产生量为91.104</w:t>
            </w:r>
            <w:r>
              <w:rPr>
                <w:rFonts w:hint="default" w:ascii="Times New Roman" w:hAnsi="Times New Roman" w:cs="Times New Roman"/>
                <w:color w:val="auto"/>
                <w:highlight w:val="none"/>
                <w:lang w:val="en-US" w:eastAsia="zh-CN"/>
              </w:rPr>
              <w:t>t/a</w:t>
            </w:r>
            <w:r>
              <w:rPr>
                <w:rFonts w:hint="default" w:ascii="Times New Roman" w:hAnsi="Times New Roman" w:cs="Times New Roman" w:eastAsiaTheme="minorEastAsia"/>
                <w:color w:val="auto"/>
                <w:sz w:val="24"/>
                <w:szCs w:val="24"/>
                <w:highlight w:val="none"/>
                <w:lang w:val="en-US" w:eastAsia="zh-CN"/>
              </w:rPr>
              <w:t>，废气量为17520000Nm</w:t>
            </w:r>
            <w:r>
              <w:rPr>
                <w:rFonts w:hint="default" w:ascii="Times New Roman" w:hAnsi="Times New Roman" w:cs="Times New Roman" w:eastAsiaTheme="minorEastAsia"/>
                <w:color w:val="auto"/>
                <w:sz w:val="24"/>
                <w:szCs w:val="24"/>
                <w:highlight w:val="none"/>
                <w:vertAlign w:val="superscript"/>
                <w:lang w:val="en-US" w:eastAsia="zh-CN"/>
              </w:rPr>
              <w:t>3</w:t>
            </w:r>
            <w:r>
              <w:rPr>
                <w:rFonts w:hint="default" w:ascii="Times New Roman" w:hAnsi="Times New Roman" w:cs="Times New Roman" w:eastAsiaTheme="minorEastAsia"/>
                <w:color w:val="auto"/>
                <w:sz w:val="24"/>
                <w:szCs w:val="24"/>
                <w:highlight w:val="none"/>
                <w:lang w:val="en-US" w:eastAsia="zh-CN"/>
              </w:rPr>
              <w:t>/a。搅拌工序配套建设布袋除尘器对废气进行处理，处理效率为99.7%，处理后废气经15高排气排放，颗粒物排放量为0.273</w:t>
            </w:r>
            <w:r>
              <w:rPr>
                <w:rFonts w:hint="default" w:ascii="Times New Roman" w:hAnsi="Times New Roman" w:cs="Times New Roman"/>
                <w:color w:val="auto"/>
                <w:highlight w:val="none"/>
                <w:lang w:val="en-US" w:eastAsia="zh-CN"/>
              </w:rPr>
              <w:t>t/a</w:t>
            </w:r>
            <w:r>
              <w:rPr>
                <w:rFonts w:hint="default" w:ascii="Times New Roman" w:hAnsi="Times New Roman" w:cs="Times New Roman" w:eastAsiaTheme="minorEastAsia"/>
                <w:color w:val="auto"/>
                <w:sz w:val="24"/>
                <w:szCs w:val="24"/>
                <w:highlight w:val="none"/>
                <w:lang w:val="en-US" w:eastAsia="zh-CN"/>
              </w:rPr>
              <w:t>，排放浓度为</w:t>
            </w:r>
            <w:r>
              <w:rPr>
                <w:rFonts w:hint="default" w:ascii="Times New Roman" w:hAnsi="Times New Roman" w:cs="Times New Roman"/>
                <w:b w:val="0"/>
                <w:bCs w:val="0"/>
                <w:color w:val="auto"/>
                <w:highlight w:val="none"/>
                <w:lang w:val="en-US" w:eastAsia="zh-CN"/>
              </w:rPr>
              <w:t>15.60mg/m</w:t>
            </w:r>
            <w:r>
              <w:rPr>
                <w:rFonts w:hint="default" w:ascii="Times New Roman" w:hAnsi="Times New Roman" w:cs="Times New Roman"/>
                <w:b w:val="0"/>
                <w:bCs w:val="0"/>
                <w:color w:val="auto"/>
                <w:highlight w:val="none"/>
                <w:vertAlign w:val="superscript"/>
                <w:lang w:val="en-US" w:eastAsia="zh-CN"/>
              </w:rPr>
              <w:t>3</w:t>
            </w:r>
            <w:r>
              <w:rPr>
                <w:rFonts w:hint="default" w:ascii="Times New Roman" w:hAnsi="Times New Roman" w:cs="Times New Roman" w:eastAsiaTheme="minorEastAsia"/>
                <w:b w:val="0"/>
                <w:bCs w:val="0"/>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排放浓度满足</w:t>
            </w:r>
            <w:r>
              <w:rPr>
                <w:rFonts w:hint="default" w:ascii="Times New Roman" w:hAnsi="Times New Roman" w:eastAsia="宋体" w:cs="Times New Roman"/>
                <w:b w:val="0"/>
                <w:bCs w:val="0"/>
                <w:color w:val="auto"/>
                <w:kern w:val="0"/>
                <w:sz w:val="24"/>
                <w:szCs w:val="24"/>
                <w:highlight w:val="none"/>
              </w:rPr>
              <w:t>《水泥工业大气污染物排放标准》（</w:t>
            </w:r>
            <w:r>
              <w:rPr>
                <w:rFonts w:hint="default" w:ascii="Times New Roman" w:hAnsi="Times New Roman" w:eastAsia="宋体" w:cs="Times New Roman"/>
                <w:b w:val="0"/>
                <w:bCs w:val="0"/>
                <w:color w:val="auto"/>
                <w:kern w:val="0"/>
                <w:sz w:val="24"/>
                <w:szCs w:val="24"/>
                <w:highlight w:val="none"/>
                <w:lang w:val="en-US" w:eastAsia="zh-CN"/>
              </w:rPr>
              <w:t>GB</w:t>
            </w:r>
            <w:r>
              <w:rPr>
                <w:rFonts w:hint="default" w:ascii="Times New Roman" w:hAnsi="Times New Roman" w:eastAsia="宋体" w:cs="Times New Roman"/>
                <w:b w:val="0"/>
                <w:bCs w:val="0"/>
                <w:color w:val="auto"/>
                <w:kern w:val="0"/>
                <w:sz w:val="24"/>
                <w:szCs w:val="24"/>
                <w:highlight w:val="none"/>
              </w:rPr>
              <w:t>4915-2013）</w:t>
            </w:r>
            <w:r>
              <w:rPr>
                <w:rFonts w:hint="default" w:ascii="Times New Roman" w:hAnsi="Times New Roman" w:eastAsia="宋体" w:cs="Times New Roman"/>
                <w:b w:val="0"/>
                <w:bCs w:val="0"/>
                <w:color w:val="auto"/>
                <w:kern w:val="0"/>
                <w:sz w:val="24"/>
                <w:szCs w:val="24"/>
                <w:highlight w:val="none"/>
                <w:lang w:eastAsia="zh-CN"/>
              </w:rPr>
              <w:t>（</w:t>
            </w:r>
            <w:r>
              <w:rPr>
                <w:rFonts w:hint="default" w:ascii="Times New Roman" w:hAnsi="Times New Roman" w:eastAsia="宋体" w:cs="Times New Roman"/>
                <w:b w:val="0"/>
                <w:bCs w:val="0"/>
                <w:color w:val="auto"/>
                <w:kern w:val="0"/>
                <w:sz w:val="24"/>
                <w:szCs w:val="24"/>
                <w:highlight w:val="none"/>
              </w:rPr>
              <w:t>含</w:t>
            </w:r>
            <w:r>
              <w:rPr>
                <w:rFonts w:hint="default" w:ascii="Times New Roman" w:hAnsi="Times New Roman" w:eastAsia="宋体" w:cs="Times New Roman"/>
                <w:b w:val="0"/>
                <w:bCs w:val="0"/>
                <w:color w:val="auto"/>
                <w:kern w:val="0"/>
                <w:sz w:val="24"/>
                <w:szCs w:val="24"/>
                <w:highlight w:val="none"/>
                <w:lang w:val="en-US" w:eastAsia="zh-CN"/>
              </w:rPr>
              <w:t>2025年修改单</w:t>
            </w:r>
            <w:r>
              <w:rPr>
                <w:rFonts w:hint="default" w:ascii="Times New Roman" w:hAnsi="Times New Roman" w:eastAsia="宋体" w:cs="Times New Roman"/>
                <w:b w:val="0"/>
                <w:bCs w:val="0"/>
                <w:color w:val="auto"/>
                <w:kern w:val="0"/>
                <w:sz w:val="24"/>
                <w:szCs w:val="24"/>
                <w:highlight w:val="none"/>
                <w:lang w:eastAsia="zh-CN"/>
              </w:rPr>
              <w:t>）</w:t>
            </w:r>
            <w:r>
              <w:rPr>
                <w:rFonts w:hint="default" w:ascii="Times New Roman" w:hAnsi="Times New Roman" w:eastAsia="宋体" w:cs="Times New Roman"/>
                <w:b w:val="0"/>
                <w:bCs w:val="0"/>
                <w:color w:val="auto"/>
                <w:kern w:val="0"/>
                <w:sz w:val="24"/>
                <w:szCs w:val="24"/>
                <w:highlight w:val="none"/>
              </w:rPr>
              <w:t>中</w:t>
            </w:r>
            <w:r>
              <w:rPr>
                <w:rFonts w:hint="default" w:ascii="Times New Roman" w:hAnsi="Times New Roman" w:eastAsia="宋体" w:cs="Times New Roman"/>
                <w:b w:val="0"/>
                <w:bCs w:val="0"/>
                <w:color w:val="auto"/>
                <w:kern w:val="0"/>
                <w:sz w:val="24"/>
                <w:szCs w:val="24"/>
                <w:highlight w:val="none"/>
                <w:lang w:val="en-US" w:eastAsia="zh-CN"/>
              </w:rPr>
              <w:t>表2中</w:t>
            </w:r>
            <w:r>
              <w:rPr>
                <w:rFonts w:hint="default" w:ascii="Times New Roman" w:hAnsi="Times New Roman" w:eastAsia="宋体" w:cs="Times New Roman"/>
                <w:color w:val="auto"/>
                <w:sz w:val="24"/>
                <w:szCs w:val="24"/>
                <w:highlight w:val="none"/>
                <w:lang w:val="en-US" w:eastAsia="zh-CN"/>
              </w:rPr>
              <w:t>水泥制品生产颗粒物排放标准</w:t>
            </w:r>
            <w:r>
              <w:rPr>
                <w:rFonts w:hint="eastAsia" w:cs="Times New Roman"/>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20</w:t>
            </w:r>
            <w:r>
              <w:rPr>
                <w:rFonts w:hint="default" w:ascii="Times New Roman" w:hAnsi="Times New Roman" w:cs="Times New Roman"/>
                <w:color w:val="auto"/>
                <w:highlight w:val="none"/>
                <w:lang w:val="en-US" w:eastAsia="zh-CN"/>
              </w:rPr>
              <w:t>mg/m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eastAsiaTheme="minorEastAsia"/>
                <w:color w:val="auto"/>
                <w:sz w:val="24"/>
                <w:szCs w:val="24"/>
                <w:highlight w:val="none"/>
                <w:lang w:val="en-US" w:eastAsia="zh-CN"/>
              </w:rPr>
              <w:t>）。</w:t>
            </w:r>
          </w:p>
          <w:p w14:paraId="356B905F">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表4-1-1大气污染物排放情况</w:t>
            </w:r>
          </w:p>
          <w:tbl>
            <w:tblPr>
              <w:tblStyle w:val="15"/>
              <w:tblW w:w="7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9"/>
              <w:gridCol w:w="1064"/>
              <w:gridCol w:w="859"/>
              <w:gridCol w:w="849"/>
              <w:gridCol w:w="1377"/>
              <w:gridCol w:w="927"/>
              <w:gridCol w:w="1202"/>
              <w:gridCol w:w="1092"/>
            </w:tblGrid>
            <w:tr w14:paraId="2089A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89" w:type="dxa"/>
                  <w:vAlign w:val="center"/>
                </w:tcPr>
                <w:p w14:paraId="759485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序号</w:t>
                  </w:r>
                </w:p>
              </w:tc>
              <w:tc>
                <w:tcPr>
                  <w:tcW w:w="1064" w:type="dxa"/>
                  <w:vAlign w:val="center"/>
                </w:tcPr>
                <w:p w14:paraId="224E75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生产工序</w:t>
                  </w:r>
                </w:p>
              </w:tc>
              <w:tc>
                <w:tcPr>
                  <w:tcW w:w="859" w:type="dxa"/>
                  <w:vAlign w:val="center"/>
                </w:tcPr>
                <w:p w14:paraId="3C0B89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污染物</w:t>
                  </w:r>
                </w:p>
              </w:tc>
              <w:tc>
                <w:tcPr>
                  <w:tcW w:w="849" w:type="dxa"/>
                  <w:vAlign w:val="center"/>
                </w:tcPr>
                <w:p w14:paraId="464DFE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排放方式</w:t>
                  </w:r>
                </w:p>
              </w:tc>
              <w:tc>
                <w:tcPr>
                  <w:tcW w:w="1377" w:type="dxa"/>
                  <w:vAlign w:val="center"/>
                </w:tcPr>
                <w:p w14:paraId="7DC1E3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排气筒高度</w:t>
                  </w:r>
                </w:p>
              </w:tc>
              <w:tc>
                <w:tcPr>
                  <w:tcW w:w="927" w:type="dxa"/>
                  <w:vAlign w:val="center"/>
                </w:tcPr>
                <w:p w14:paraId="676207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排气筒内径</w:t>
                  </w:r>
                </w:p>
              </w:tc>
              <w:tc>
                <w:tcPr>
                  <w:tcW w:w="1202" w:type="dxa"/>
                  <w:shd w:val="clear" w:color="auto" w:fill="auto"/>
                  <w:vAlign w:val="center"/>
                </w:tcPr>
                <w:p w14:paraId="774956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排放量</w:t>
                  </w:r>
                </w:p>
              </w:tc>
              <w:tc>
                <w:tcPr>
                  <w:tcW w:w="1092" w:type="dxa"/>
                  <w:shd w:val="clear" w:color="auto" w:fill="auto"/>
                  <w:vAlign w:val="center"/>
                </w:tcPr>
                <w:p w14:paraId="3C4EEF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排放浓度</w:t>
                  </w:r>
                </w:p>
              </w:tc>
            </w:tr>
            <w:tr w14:paraId="61F24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9" w:type="dxa"/>
                  <w:vAlign w:val="center"/>
                </w:tcPr>
                <w:p w14:paraId="582531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1064" w:type="dxa"/>
                  <w:vAlign w:val="center"/>
                </w:tcPr>
                <w:p w14:paraId="64DD10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搅拌</w:t>
                  </w:r>
                </w:p>
              </w:tc>
              <w:tc>
                <w:tcPr>
                  <w:tcW w:w="859" w:type="dxa"/>
                  <w:vAlign w:val="center"/>
                </w:tcPr>
                <w:p w14:paraId="0F0C15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颗粒物</w:t>
                  </w:r>
                </w:p>
              </w:tc>
              <w:tc>
                <w:tcPr>
                  <w:tcW w:w="849" w:type="dxa"/>
                  <w:vAlign w:val="center"/>
                </w:tcPr>
                <w:p w14:paraId="0C2A1A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有组织</w:t>
                  </w:r>
                </w:p>
              </w:tc>
              <w:tc>
                <w:tcPr>
                  <w:tcW w:w="1377" w:type="dxa"/>
                  <w:vAlign w:val="center"/>
                </w:tcPr>
                <w:p w14:paraId="7B5770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15</w:t>
                  </w:r>
                  <w:r>
                    <w:rPr>
                      <w:rFonts w:hint="default" w:ascii="Times New Roman" w:hAnsi="Times New Roman" w:cs="Times New Roman"/>
                      <w:color w:val="auto"/>
                      <w:sz w:val="21"/>
                      <w:szCs w:val="21"/>
                      <w:highlight w:val="none"/>
                      <w:vertAlign w:val="baseline"/>
                      <w:lang w:val="en-US" w:eastAsia="zh-CN"/>
                    </w:rPr>
                    <w:t>m</w:t>
                  </w:r>
                </w:p>
              </w:tc>
              <w:tc>
                <w:tcPr>
                  <w:tcW w:w="927" w:type="dxa"/>
                  <w:vAlign w:val="center"/>
                </w:tcPr>
                <w:p w14:paraId="769680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0.5</w:t>
                  </w:r>
                </w:p>
              </w:tc>
              <w:tc>
                <w:tcPr>
                  <w:tcW w:w="1202" w:type="dxa"/>
                  <w:vAlign w:val="center"/>
                </w:tcPr>
                <w:p w14:paraId="56D2D1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0.273t</w:t>
                  </w:r>
                  <w:r>
                    <w:rPr>
                      <w:rFonts w:hint="default" w:ascii="Times New Roman" w:hAnsi="Times New Roman" w:cs="Times New Roman"/>
                      <w:color w:val="auto"/>
                      <w:sz w:val="21"/>
                      <w:szCs w:val="21"/>
                      <w:highlight w:val="none"/>
                      <w:lang w:val="en-US" w:eastAsia="zh-CN"/>
                    </w:rPr>
                    <w:t>/a</w:t>
                  </w:r>
                </w:p>
              </w:tc>
              <w:tc>
                <w:tcPr>
                  <w:tcW w:w="1092" w:type="dxa"/>
                  <w:vAlign w:val="center"/>
                </w:tcPr>
                <w:p w14:paraId="2269AF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lang w:val="en-US" w:eastAsia="zh-CN"/>
                    </w:rPr>
                    <w:t>15.60mg/m</w:t>
                  </w:r>
                  <w:r>
                    <w:rPr>
                      <w:rFonts w:hint="default" w:ascii="Times New Roman" w:hAnsi="Times New Roman" w:cs="Times New Roman"/>
                      <w:b w:val="0"/>
                      <w:bCs w:val="0"/>
                      <w:color w:val="auto"/>
                      <w:sz w:val="21"/>
                      <w:szCs w:val="21"/>
                      <w:highlight w:val="none"/>
                      <w:vertAlign w:val="superscript"/>
                      <w:lang w:val="en-US" w:eastAsia="zh-CN"/>
                    </w:rPr>
                    <w:t>3</w:t>
                  </w:r>
                </w:p>
              </w:tc>
            </w:tr>
            <w:tr w14:paraId="727DF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589" w:type="dxa"/>
                  <w:vAlign w:val="center"/>
                </w:tcPr>
                <w:p w14:paraId="19E377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1064" w:type="dxa"/>
                  <w:vAlign w:val="center"/>
                </w:tcPr>
                <w:p w14:paraId="448690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eastAsiaTheme="minorEastAsia"/>
                      <w:color w:val="auto"/>
                      <w:sz w:val="21"/>
                      <w:szCs w:val="21"/>
                      <w:highlight w:val="none"/>
                      <w:lang w:val="en-US" w:eastAsia="zh-CN"/>
                    </w:rPr>
                    <w:t>全封闭砂石料场</w:t>
                  </w:r>
                </w:p>
              </w:tc>
              <w:tc>
                <w:tcPr>
                  <w:tcW w:w="859" w:type="dxa"/>
                  <w:vAlign w:val="center"/>
                </w:tcPr>
                <w:p w14:paraId="5E9547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颗粒物</w:t>
                  </w:r>
                </w:p>
              </w:tc>
              <w:tc>
                <w:tcPr>
                  <w:tcW w:w="849" w:type="dxa"/>
                  <w:vAlign w:val="center"/>
                </w:tcPr>
                <w:p w14:paraId="3AF88E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无组织</w:t>
                  </w:r>
                </w:p>
              </w:tc>
              <w:tc>
                <w:tcPr>
                  <w:tcW w:w="1377" w:type="dxa"/>
                  <w:vAlign w:val="center"/>
                </w:tcPr>
                <w:p w14:paraId="0AB2DF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927" w:type="dxa"/>
                  <w:vAlign w:val="center"/>
                </w:tcPr>
                <w:p w14:paraId="113E26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1202" w:type="dxa"/>
                  <w:vAlign w:val="center"/>
                </w:tcPr>
                <w:p w14:paraId="5C0416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4.64</w:t>
                  </w:r>
                  <w:r>
                    <w:rPr>
                      <w:rFonts w:hint="default" w:ascii="Times New Roman" w:hAnsi="Times New Roman" w:cs="Times New Roman"/>
                      <w:color w:val="auto"/>
                      <w:sz w:val="21"/>
                      <w:szCs w:val="21"/>
                      <w:highlight w:val="none"/>
                      <w:vertAlign w:val="baseline"/>
                      <w:lang w:val="en-US" w:eastAsia="zh-CN"/>
                    </w:rPr>
                    <w:t>t/a</w:t>
                  </w:r>
                </w:p>
              </w:tc>
              <w:tc>
                <w:tcPr>
                  <w:tcW w:w="1092" w:type="dxa"/>
                  <w:vAlign w:val="center"/>
                </w:tcPr>
                <w:p w14:paraId="2ED2C8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厂界达标</w:t>
                  </w:r>
                </w:p>
              </w:tc>
            </w:tr>
            <w:tr w14:paraId="62ED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9" w:type="dxa"/>
                  <w:vAlign w:val="center"/>
                </w:tcPr>
                <w:p w14:paraId="159F25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w:t>
                  </w:r>
                </w:p>
              </w:tc>
              <w:tc>
                <w:tcPr>
                  <w:tcW w:w="1064" w:type="dxa"/>
                  <w:vAlign w:val="center"/>
                </w:tcPr>
                <w:p w14:paraId="283B3B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输送皮带</w:t>
                  </w:r>
                </w:p>
              </w:tc>
              <w:tc>
                <w:tcPr>
                  <w:tcW w:w="859" w:type="dxa"/>
                  <w:vAlign w:val="center"/>
                </w:tcPr>
                <w:p w14:paraId="53C983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颗粒物</w:t>
                  </w:r>
                </w:p>
              </w:tc>
              <w:tc>
                <w:tcPr>
                  <w:tcW w:w="849" w:type="dxa"/>
                  <w:vAlign w:val="center"/>
                </w:tcPr>
                <w:p w14:paraId="3B17F5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无组织</w:t>
                  </w:r>
                </w:p>
              </w:tc>
              <w:tc>
                <w:tcPr>
                  <w:tcW w:w="1377" w:type="dxa"/>
                  <w:vAlign w:val="center"/>
                </w:tcPr>
                <w:p w14:paraId="7D5690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927" w:type="dxa"/>
                  <w:vAlign w:val="center"/>
                </w:tcPr>
                <w:p w14:paraId="2E8DD9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1202" w:type="dxa"/>
                  <w:vAlign w:val="center"/>
                </w:tcPr>
                <w:p w14:paraId="3E2092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8.4096t/a</w:t>
                  </w:r>
                </w:p>
              </w:tc>
              <w:tc>
                <w:tcPr>
                  <w:tcW w:w="1092" w:type="dxa"/>
                  <w:vAlign w:val="center"/>
                </w:tcPr>
                <w:p w14:paraId="58F34E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厂界达标</w:t>
                  </w:r>
                </w:p>
              </w:tc>
            </w:tr>
            <w:tr w14:paraId="68A0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589" w:type="dxa"/>
                  <w:vAlign w:val="center"/>
                </w:tcPr>
                <w:p w14:paraId="00BD98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w:t>
                  </w:r>
                </w:p>
              </w:tc>
              <w:tc>
                <w:tcPr>
                  <w:tcW w:w="1064" w:type="dxa"/>
                  <w:vAlign w:val="center"/>
                </w:tcPr>
                <w:p w14:paraId="7044D0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筒仓</w:t>
                  </w:r>
                </w:p>
              </w:tc>
              <w:tc>
                <w:tcPr>
                  <w:tcW w:w="859" w:type="dxa"/>
                  <w:vAlign w:val="center"/>
                </w:tcPr>
                <w:p w14:paraId="41373F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颗粒物</w:t>
                  </w:r>
                </w:p>
              </w:tc>
              <w:tc>
                <w:tcPr>
                  <w:tcW w:w="849" w:type="dxa"/>
                  <w:vAlign w:val="center"/>
                </w:tcPr>
                <w:p w14:paraId="24BAD6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有组织</w:t>
                  </w:r>
                </w:p>
              </w:tc>
              <w:tc>
                <w:tcPr>
                  <w:tcW w:w="1377" w:type="dxa"/>
                  <w:vAlign w:val="center"/>
                </w:tcPr>
                <w:p w14:paraId="7D18C2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20m</w:t>
                  </w:r>
                </w:p>
              </w:tc>
              <w:tc>
                <w:tcPr>
                  <w:tcW w:w="927" w:type="dxa"/>
                  <w:vAlign w:val="center"/>
                </w:tcPr>
                <w:p w14:paraId="49B90A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c>
                <w:tcPr>
                  <w:tcW w:w="1202" w:type="dxa"/>
                  <w:vAlign w:val="center"/>
                </w:tcPr>
                <w:p w14:paraId="3EB88C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0.</w:t>
                  </w:r>
                  <w:r>
                    <w:rPr>
                      <w:rFonts w:hint="default" w:ascii="Times New Roman" w:hAnsi="Times New Roman" w:cs="Times New Roman"/>
                      <w:color w:val="auto"/>
                      <w:sz w:val="21"/>
                      <w:szCs w:val="21"/>
                      <w:highlight w:val="none"/>
                      <w:vertAlign w:val="baseline"/>
                      <w:lang w:val="en-US" w:eastAsia="zh-CN"/>
                    </w:rPr>
                    <w:t>252t/a</w:t>
                  </w:r>
                </w:p>
              </w:tc>
              <w:tc>
                <w:tcPr>
                  <w:tcW w:w="1092" w:type="dxa"/>
                  <w:vAlign w:val="center"/>
                </w:tcPr>
                <w:p w14:paraId="0F20C0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16.36</w:t>
                  </w:r>
                </w:p>
              </w:tc>
            </w:tr>
          </w:tbl>
          <w:p w14:paraId="21AFEE0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表4-1-2排放口信息一览表</w:t>
            </w:r>
          </w:p>
          <w:tbl>
            <w:tblPr>
              <w:tblStyle w:val="15"/>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641"/>
              <w:gridCol w:w="1309"/>
              <w:gridCol w:w="1525"/>
              <w:gridCol w:w="1489"/>
              <w:gridCol w:w="886"/>
              <w:gridCol w:w="722"/>
              <w:gridCol w:w="877"/>
            </w:tblGrid>
            <w:tr w14:paraId="65D1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vMerge w:val="restart"/>
                  <w:vAlign w:val="center"/>
                </w:tcPr>
                <w:p w14:paraId="338DE2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序号</w:t>
                  </w:r>
                </w:p>
              </w:tc>
              <w:tc>
                <w:tcPr>
                  <w:tcW w:w="641" w:type="dxa"/>
                  <w:vMerge w:val="restart"/>
                  <w:vAlign w:val="center"/>
                </w:tcPr>
                <w:p w14:paraId="23BC68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编号</w:t>
                  </w:r>
                </w:p>
              </w:tc>
              <w:tc>
                <w:tcPr>
                  <w:tcW w:w="1309" w:type="dxa"/>
                  <w:vMerge w:val="restart"/>
                  <w:vAlign w:val="center"/>
                </w:tcPr>
                <w:p w14:paraId="2E5CEA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名称</w:t>
                  </w:r>
                </w:p>
              </w:tc>
              <w:tc>
                <w:tcPr>
                  <w:tcW w:w="3014" w:type="dxa"/>
                  <w:gridSpan w:val="2"/>
                  <w:vAlign w:val="center"/>
                </w:tcPr>
                <w:p w14:paraId="10A0F8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lang w:val="en-US" w:eastAsia="zh-CN"/>
                    </w:rPr>
                    <w:t>坐标</w:t>
                  </w:r>
                </w:p>
              </w:tc>
              <w:tc>
                <w:tcPr>
                  <w:tcW w:w="886" w:type="dxa"/>
                  <w:vMerge w:val="restart"/>
                  <w:vAlign w:val="center"/>
                </w:tcPr>
                <w:p w14:paraId="34B546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高度/</w:t>
                  </w:r>
                </w:p>
              </w:tc>
              <w:tc>
                <w:tcPr>
                  <w:tcW w:w="722" w:type="dxa"/>
                  <w:vMerge w:val="restart"/>
                  <w:vAlign w:val="center"/>
                </w:tcPr>
                <w:p w14:paraId="7F6342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内径/</w:t>
                  </w:r>
                </w:p>
              </w:tc>
              <w:tc>
                <w:tcPr>
                  <w:tcW w:w="877" w:type="dxa"/>
                  <w:vMerge w:val="restart"/>
                  <w:vAlign w:val="center"/>
                </w:tcPr>
                <w:p w14:paraId="594B10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温度/℃</w:t>
                  </w:r>
                </w:p>
              </w:tc>
            </w:tr>
            <w:tr w14:paraId="06452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vMerge w:val="continue"/>
                  <w:vAlign w:val="center"/>
                </w:tcPr>
                <w:p w14:paraId="35D0F9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lang w:val="en-US" w:eastAsia="zh-CN"/>
                    </w:rPr>
                  </w:pPr>
                </w:p>
              </w:tc>
              <w:tc>
                <w:tcPr>
                  <w:tcW w:w="641" w:type="dxa"/>
                  <w:vMerge w:val="continue"/>
                  <w:vAlign w:val="center"/>
                </w:tcPr>
                <w:p w14:paraId="6B3BF2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lang w:val="en-US" w:eastAsia="zh-CN"/>
                    </w:rPr>
                  </w:pPr>
                </w:p>
              </w:tc>
              <w:tc>
                <w:tcPr>
                  <w:tcW w:w="1309" w:type="dxa"/>
                  <w:vMerge w:val="continue"/>
                  <w:vAlign w:val="center"/>
                </w:tcPr>
                <w:p w14:paraId="5BED47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lang w:val="en-US" w:eastAsia="zh-CN"/>
                    </w:rPr>
                  </w:pPr>
                </w:p>
              </w:tc>
              <w:tc>
                <w:tcPr>
                  <w:tcW w:w="1525" w:type="dxa"/>
                  <w:vAlign w:val="center"/>
                </w:tcPr>
                <w:p w14:paraId="1128B1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经度</w:t>
                  </w:r>
                </w:p>
              </w:tc>
              <w:tc>
                <w:tcPr>
                  <w:tcW w:w="1489" w:type="dxa"/>
                  <w:vAlign w:val="center"/>
                </w:tcPr>
                <w:p w14:paraId="2DF86B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纬度</w:t>
                  </w:r>
                </w:p>
              </w:tc>
              <w:tc>
                <w:tcPr>
                  <w:tcW w:w="886" w:type="dxa"/>
                  <w:vMerge w:val="continue"/>
                  <w:vAlign w:val="center"/>
                </w:tcPr>
                <w:p w14:paraId="170C39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lang w:val="en-US" w:eastAsia="zh-CN"/>
                    </w:rPr>
                  </w:pPr>
                </w:p>
              </w:tc>
              <w:tc>
                <w:tcPr>
                  <w:tcW w:w="722" w:type="dxa"/>
                  <w:vMerge w:val="continue"/>
                  <w:vAlign w:val="center"/>
                </w:tcPr>
                <w:p w14:paraId="6A094B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lang w:val="en-US" w:eastAsia="zh-CN"/>
                    </w:rPr>
                  </w:pPr>
                </w:p>
              </w:tc>
              <w:tc>
                <w:tcPr>
                  <w:tcW w:w="877" w:type="dxa"/>
                  <w:vMerge w:val="continue"/>
                  <w:vAlign w:val="center"/>
                </w:tcPr>
                <w:p w14:paraId="49A17D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lang w:val="en-US" w:eastAsia="zh-CN"/>
                    </w:rPr>
                  </w:pPr>
                </w:p>
              </w:tc>
            </w:tr>
            <w:tr w14:paraId="7D70F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vAlign w:val="center"/>
                </w:tcPr>
                <w:p w14:paraId="0D20A5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1</w:t>
                  </w:r>
                </w:p>
              </w:tc>
              <w:tc>
                <w:tcPr>
                  <w:tcW w:w="641" w:type="dxa"/>
                  <w:vAlign w:val="center"/>
                </w:tcPr>
                <w:p w14:paraId="27611B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003</w:t>
                  </w:r>
                </w:p>
              </w:tc>
              <w:tc>
                <w:tcPr>
                  <w:tcW w:w="1309" w:type="dxa"/>
                  <w:vAlign w:val="center"/>
                </w:tcPr>
                <w:p w14:paraId="642A34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搅拌机排气口</w:t>
                  </w:r>
                </w:p>
              </w:tc>
              <w:tc>
                <w:tcPr>
                  <w:tcW w:w="1525" w:type="dxa"/>
                  <w:vAlign w:val="center"/>
                </w:tcPr>
                <w:p w14:paraId="138DE4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110.01015346</w:t>
                  </w:r>
                </w:p>
              </w:tc>
              <w:tc>
                <w:tcPr>
                  <w:tcW w:w="1489" w:type="dxa"/>
                  <w:vAlign w:val="center"/>
                </w:tcPr>
                <w:p w14:paraId="2115B7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39.91555842</w:t>
                  </w:r>
                </w:p>
              </w:tc>
              <w:tc>
                <w:tcPr>
                  <w:tcW w:w="886" w:type="dxa"/>
                  <w:vAlign w:val="center"/>
                </w:tcPr>
                <w:p w14:paraId="7EE0B8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15</w:t>
                  </w:r>
                </w:p>
              </w:tc>
              <w:tc>
                <w:tcPr>
                  <w:tcW w:w="722" w:type="dxa"/>
                  <w:vAlign w:val="center"/>
                </w:tcPr>
                <w:p w14:paraId="496A84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0.5</w:t>
                  </w:r>
                </w:p>
              </w:tc>
              <w:tc>
                <w:tcPr>
                  <w:tcW w:w="877" w:type="dxa"/>
                  <w:vAlign w:val="center"/>
                </w:tcPr>
                <w:p w14:paraId="6800D3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20</w:t>
                  </w:r>
                </w:p>
              </w:tc>
            </w:tr>
          </w:tbl>
          <w:p w14:paraId="4CC7FF9E">
            <w:pPr>
              <w:bidi w:val="0"/>
              <w:ind w:left="0" w:leftChars="0" w:firstLine="0" w:firstLineChars="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2、水环境影响分析及保护措施</w:t>
            </w:r>
          </w:p>
          <w:p w14:paraId="5A7ADD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eastAsia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本项目运营期产生的生产废水主要为搅拌罐清洗废水、罐车清洗废水，</w:t>
            </w:r>
            <w:r>
              <w:rPr>
                <w:rFonts w:hint="default" w:ascii="Times New Roman" w:hAnsi="Times New Roman" w:cs="Times New Roman" w:eastAsiaTheme="minorEastAsia"/>
                <w:color w:val="auto"/>
                <w:kern w:val="0"/>
                <w:sz w:val="24"/>
                <w:szCs w:val="24"/>
                <w:highlight w:val="none"/>
                <w:lang w:val="en-US" w:eastAsia="zh-CN" w:bidi="ar"/>
              </w:rPr>
              <w:t>项目无生活污水产生。</w:t>
            </w:r>
          </w:p>
          <w:p w14:paraId="0A02ED9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both"/>
              <w:textAlignment w:val="auto"/>
              <w:rPr>
                <w:rFonts w:hint="default" w:ascii="Times New Roman" w:hAnsi="Times New Roman" w:cs="Times New Roman" w:eastAsiaTheme="minorEastAsia"/>
                <w:color w:val="auto"/>
                <w:kern w:val="0"/>
                <w:sz w:val="24"/>
                <w:szCs w:val="24"/>
                <w:highlight w:val="none"/>
                <w:lang w:val="en-US" w:eastAsia="zh-CN" w:bidi="ar"/>
              </w:rPr>
            </w:pPr>
            <w:r>
              <w:rPr>
                <w:rFonts w:hint="default" w:ascii="Times New Roman" w:hAnsi="Times New Roman" w:cs="Times New Roman" w:eastAsiaTheme="minorEastAsia"/>
                <w:color w:val="auto"/>
                <w:kern w:val="0"/>
                <w:sz w:val="24"/>
                <w:szCs w:val="24"/>
                <w:highlight w:val="none"/>
                <w:lang w:val="en-US" w:eastAsia="zh-CN" w:bidi="ar"/>
              </w:rPr>
              <w:t>（1）搅拌罐清洗废水：产生量365m³/a，清洗废水留存于搅拌罐内，直接作为下一批次混凝土搅拌用水，循环利用，不</w:t>
            </w:r>
            <w:r>
              <w:rPr>
                <w:rFonts w:hint="eastAsia" w:cs="Times New Roman" w:eastAsiaTheme="minorEastAsia"/>
                <w:color w:val="auto"/>
                <w:kern w:val="0"/>
                <w:sz w:val="24"/>
                <w:szCs w:val="24"/>
                <w:highlight w:val="none"/>
                <w:lang w:val="en-US" w:eastAsia="zh-CN" w:bidi="ar"/>
              </w:rPr>
              <w:t>外排。。。</w:t>
            </w:r>
            <w:r>
              <w:rPr>
                <w:rFonts w:hint="default" w:ascii="Times New Roman" w:hAnsi="Times New Roman" w:cs="Times New Roman" w:eastAsiaTheme="minorEastAsia"/>
                <w:color w:val="auto"/>
                <w:kern w:val="0"/>
                <w:sz w:val="24"/>
                <w:szCs w:val="24"/>
                <w:highlight w:val="none"/>
                <w:lang w:val="en-US" w:eastAsia="zh-CN" w:bidi="ar"/>
              </w:rPr>
              <w:t>。</w:t>
            </w:r>
          </w:p>
          <w:p w14:paraId="4627E2C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both"/>
              <w:textAlignment w:val="auto"/>
              <w:rPr>
                <w:rFonts w:hint="default" w:ascii="Times New Roman" w:hAnsi="Times New Roman" w:cs="Times New Roman" w:eastAsiaTheme="minorEastAsia"/>
                <w:color w:val="auto"/>
                <w:kern w:val="0"/>
                <w:sz w:val="24"/>
                <w:szCs w:val="24"/>
                <w:highlight w:val="none"/>
                <w:lang w:val="en-US" w:eastAsia="zh-CN" w:bidi="ar"/>
              </w:rPr>
            </w:pPr>
            <w:r>
              <w:rPr>
                <w:rFonts w:hint="default" w:ascii="Times New Roman" w:hAnsi="Times New Roman" w:cs="Times New Roman" w:eastAsiaTheme="minorEastAsia"/>
                <w:color w:val="auto"/>
                <w:kern w:val="0"/>
                <w:sz w:val="24"/>
                <w:szCs w:val="24"/>
                <w:highlight w:val="none"/>
                <w:lang w:val="en-US" w:eastAsia="zh-CN" w:bidi="ar"/>
              </w:rPr>
              <w:t>（2）罐车清洗废水：项目配置罐车10台，单台罐车清洗用水量0.03m³/d，罐车清洗总用水量0.3m³/d，全年运行365d，年清洗用水量109.5m³/a。罐车清洗在矿井下混凝土浇筑地点进行，清洗废水与混凝土共同进入浇筑点，不外排</w:t>
            </w:r>
          </w:p>
          <w:p w14:paraId="56A8F1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eastAsiaTheme="minorEastAsia"/>
                <w:color w:val="auto"/>
                <w:sz w:val="24"/>
                <w:szCs w:val="24"/>
                <w:highlight w:val="none"/>
              </w:rPr>
            </w:pPr>
            <w:r>
              <w:rPr>
                <w:rFonts w:hint="eastAsia" w:cs="Times New Roman" w:eastAsiaTheme="minorEastAsia"/>
                <w:color w:val="auto"/>
                <w:kern w:val="0"/>
                <w:sz w:val="24"/>
                <w:szCs w:val="24"/>
                <w:highlight w:val="none"/>
                <w:lang w:val="en-US" w:eastAsia="zh-CN" w:bidi="ar"/>
              </w:rPr>
              <w:t>（3）</w:t>
            </w:r>
            <w:r>
              <w:rPr>
                <w:rFonts w:hint="default" w:ascii="Times New Roman" w:hAnsi="Times New Roman" w:cs="Times New Roman" w:eastAsiaTheme="minorEastAsia"/>
                <w:color w:val="auto"/>
                <w:kern w:val="0"/>
                <w:sz w:val="24"/>
                <w:szCs w:val="24"/>
                <w:highlight w:val="none"/>
                <w:lang w:val="en-US" w:eastAsia="zh-CN" w:bidi="ar"/>
              </w:rPr>
              <w:t>厂区采用雨污分流制度，厂区地面全部硬化，配套建设雨水导流沟及初期雨水收集池。降雨初期径流汇入初期雨水收集池，经沉淀处理后全部回用于生产工序及厂区抑尘用水，不外排；降雨后期洁净雨水通过导流沟直接排出厂区，不纳入生产回用</w:t>
            </w:r>
            <w:r>
              <w:rPr>
                <w:rFonts w:hint="eastAsia" w:cs="Times New Roman" w:eastAsiaTheme="minorEastAsia"/>
                <w:color w:val="auto"/>
                <w:kern w:val="0"/>
                <w:sz w:val="24"/>
                <w:szCs w:val="24"/>
                <w:highlight w:val="none"/>
                <w:lang w:val="en-US" w:eastAsia="zh-CN" w:bidi="ar"/>
              </w:rPr>
              <w:t>系统。</w:t>
            </w:r>
          </w:p>
          <w:p w14:paraId="6601AD07">
            <w:pPr>
              <w:bidi w:val="0"/>
              <w:ind w:left="0" w:leftChars="0" w:firstLine="0" w:firstLineChars="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3</w:t>
            </w:r>
            <w:r>
              <w:rPr>
                <w:rFonts w:hint="eastAsia" w:cs="Times New Roman"/>
                <w:b/>
                <w:bCs/>
                <w:color w:val="auto"/>
                <w:highlight w:val="none"/>
                <w:lang w:val="en-US" w:eastAsia="zh-CN"/>
              </w:rPr>
              <w:t xml:space="preserve">. </w:t>
            </w:r>
            <w:r>
              <w:rPr>
                <w:rFonts w:hint="default" w:ascii="Times New Roman" w:hAnsi="Times New Roman" w:cs="Times New Roman"/>
                <w:b/>
                <w:bCs/>
                <w:color w:val="auto"/>
                <w:highlight w:val="none"/>
                <w:lang w:val="en-US" w:eastAsia="zh-CN"/>
              </w:rPr>
              <w:t>声环境影响分析及保护措施</w:t>
            </w:r>
          </w:p>
          <w:p w14:paraId="14DDC810">
            <w:pPr>
              <w:pStyle w:val="6"/>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本项目噪声源强见下</w:t>
            </w:r>
            <w:r>
              <w:rPr>
                <w:rFonts w:hint="eastAsia" w:cs="Times New Roman"/>
                <w:color w:val="auto"/>
                <w:sz w:val="24"/>
                <w:szCs w:val="24"/>
                <w:highlight w:val="none"/>
                <w:lang w:val="en-US" w:eastAsia="zh-CN"/>
              </w:rPr>
              <w:t>表。</w:t>
            </w:r>
          </w:p>
          <w:p w14:paraId="3D3579BB">
            <w:pPr>
              <w:pStyle w:val="6"/>
              <w:bidi w:val="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b/>
                <w:color w:val="auto"/>
                <w:sz w:val="24"/>
                <w:highlight w:val="none"/>
              </w:rPr>
              <w:t>表4</w:t>
            </w:r>
            <w:r>
              <w:rPr>
                <w:rFonts w:hint="default" w:ascii="Times New Roman" w:hAnsi="Times New Roman" w:cs="Times New Roman"/>
                <w:b/>
                <w:color w:val="auto"/>
                <w:sz w:val="24"/>
                <w:highlight w:val="none"/>
                <w:lang w:val="en-US" w:eastAsia="zh-CN"/>
              </w:rPr>
              <w:t>-3-1</w:t>
            </w:r>
            <w:r>
              <w:rPr>
                <w:rFonts w:hint="default" w:ascii="Times New Roman" w:hAnsi="Times New Roman" w:cs="Times New Roman"/>
                <w:b/>
                <w:color w:val="auto"/>
                <w:sz w:val="24"/>
                <w:highlight w:val="none"/>
              </w:rPr>
              <w:t>工业企业噪声源强调查清单</w:t>
            </w:r>
          </w:p>
          <w:tbl>
            <w:tblPr>
              <w:tblStyle w:val="14"/>
              <w:tblW w:w="46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21"/>
              <w:gridCol w:w="1000"/>
              <w:gridCol w:w="700"/>
              <w:gridCol w:w="729"/>
              <w:gridCol w:w="749"/>
              <w:gridCol w:w="999"/>
              <w:gridCol w:w="1196"/>
              <w:gridCol w:w="1073"/>
            </w:tblGrid>
            <w:tr w14:paraId="170725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683" w:type="pct"/>
                  <w:vMerge w:val="restart"/>
                  <w:noWrap w:val="0"/>
                  <w:vAlign w:val="center"/>
                </w:tcPr>
                <w:p w14:paraId="4EBFE2B8">
                  <w:pPr>
                    <w:adjustRightInd w:val="0"/>
                    <w:snapToGrid w:val="0"/>
                    <w:spacing w:line="240" w:lineRule="atLeast"/>
                    <w:ind w:left="0" w:leftChars="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序号</w:t>
                  </w:r>
                </w:p>
              </w:tc>
              <w:tc>
                <w:tcPr>
                  <w:tcW w:w="669" w:type="pct"/>
                  <w:vMerge w:val="restart"/>
                  <w:noWrap w:val="0"/>
                  <w:vAlign w:val="center"/>
                </w:tcPr>
                <w:p w14:paraId="5323C113">
                  <w:pPr>
                    <w:adjustRightInd w:val="0"/>
                    <w:snapToGrid w:val="0"/>
                    <w:spacing w:line="240" w:lineRule="atLeast"/>
                    <w:ind w:left="0" w:leftChars="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声源名称</w:t>
                  </w:r>
                </w:p>
              </w:tc>
              <w:tc>
                <w:tcPr>
                  <w:tcW w:w="1458" w:type="pct"/>
                  <w:gridSpan w:val="3"/>
                  <w:noWrap w:val="0"/>
                  <w:vAlign w:val="center"/>
                </w:tcPr>
                <w:p w14:paraId="4B259311">
                  <w:pPr>
                    <w:adjustRightInd w:val="0"/>
                    <w:snapToGrid w:val="0"/>
                    <w:spacing w:line="240" w:lineRule="atLeast"/>
                    <w:ind w:left="0" w:leftChars="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空间相对位置</w:t>
                  </w:r>
                </w:p>
              </w:tc>
              <w:tc>
                <w:tcPr>
                  <w:tcW w:w="668" w:type="pct"/>
                  <w:vMerge w:val="restart"/>
                  <w:noWrap w:val="0"/>
                  <w:vAlign w:val="center"/>
                </w:tcPr>
                <w:p w14:paraId="6CF11449">
                  <w:pPr>
                    <w:adjustRightInd w:val="0"/>
                    <w:snapToGrid w:val="0"/>
                    <w:spacing w:line="240" w:lineRule="atLeast"/>
                    <w:ind w:left="0" w:leftChars="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声功率级/dB</w:t>
                  </w:r>
                </w:p>
              </w:tc>
              <w:tc>
                <w:tcPr>
                  <w:tcW w:w="800" w:type="pct"/>
                  <w:vMerge w:val="restart"/>
                  <w:noWrap w:val="0"/>
                  <w:vAlign w:val="center"/>
                </w:tcPr>
                <w:p w14:paraId="706EDFB0">
                  <w:pPr>
                    <w:adjustRightInd w:val="0"/>
                    <w:snapToGrid w:val="0"/>
                    <w:spacing w:line="240" w:lineRule="atLeast"/>
                    <w:ind w:left="0" w:leftChars="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声源控制措施</w:t>
                  </w:r>
                </w:p>
              </w:tc>
              <w:tc>
                <w:tcPr>
                  <w:tcW w:w="718" w:type="pct"/>
                  <w:vMerge w:val="restart"/>
                  <w:noWrap w:val="0"/>
                  <w:vAlign w:val="center"/>
                </w:tcPr>
                <w:p w14:paraId="5D45AEEA">
                  <w:pPr>
                    <w:adjustRightInd w:val="0"/>
                    <w:snapToGrid w:val="0"/>
                    <w:spacing w:line="240" w:lineRule="atLeast"/>
                    <w:ind w:left="0" w:leftChars="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运行时段</w:t>
                  </w:r>
                </w:p>
              </w:tc>
            </w:tr>
            <w:tr w14:paraId="42D743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83" w:type="pct"/>
                  <w:vMerge w:val="continue"/>
                  <w:noWrap w:val="0"/>
                  <w:vAlign w:val="center"/>
                </w:tcPr>
                <w:p w14:paraId="42B7E61A">
                  <w:pPr>
                    <w:adjustRightInd w:val="0"/>
                    <w:snapToGrid w:val="0"/>
                    <w:spacing w:line="240" w:lineRule="atLeast"/>
                    <w:jc w:val="center"/>
                    <w:rPr>
                      <w:rFonts w:hint="default" w:ascii="Times New Roman" w:hAnsi="Times New Roman" w:cs="Times New Roman"/>
                      <w:b/>
                      <w:bCs/>
                      <w:color w:val="auto"/>
                      <w:sz w:val="21"/>
                      <w:szCs w:val="21"/>
                      <w:highlight w:val="none"/>
                    </w:rPr>
                  </w:pPr>
                </w:p>
              </w:tc>
              <w:tc>
                <w:tcPr>
                  <w:tcW w:w="669" w:type="pct"/>
                  <w:vMerge w:val="continue"/>
                  <w:noWrap w:val="0"/>
                  <w:vAlign w:val="center"/>
                </w:tcPr>
                <w:p w14:paraId="41D8CD9D">
                  <w:pPr>
                    <w:adjustRightInd w:val="0"/>
                    <w:snapToGrid w:val="0"/>
                    <w:spacing w:line="240" w:lineRule="atLeast"/>
                    <w:jc w:val="center"/>
                    <w:rPr>
                      <w:rFonts w:hint="default" w:ascii="Times New Roman" w:hAnsi="Times New Roman" w:cs="Times New Roman"/>
                      <w:b/>
                      <w:bCs/>
                      <w:color w:val="auto"/>
                      <w:sz w:val="21"/>
                      <w:szCs w:val="21"/>
                      <w:highlight w:val="none"/>
                    </w:rPr>
                  </w:pPr>
                </w:p>
              </w:tc>
              <w:tc>
                <w:tcPr>
                  <w:tcW w:w="468" w:type="pct"/>
                  <w:noWrap w:val="0"/>
                  <w:vAlign w:val="center"/>
                </w:tcPr>
                <w:p w14:paraId="50066EF1">
                  <w:pPr>
                    <w:adjustRightInd w:val="0"/>
                    <w:snapToGrid w:val="0"/>
                    <w:spacing w:line="240" w:lineRule="atLeast"/>
                    <w:ind w:left="0" w:leftChars="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X</w:t>
                  </w:r>
                </w:p>
              </w:tc>
              <w:tc>
                <w:tcPr>
                  <w:tcW w:w="488" w:type="pct"/>
                  <w:noWrap w:val="0"/>
                  <w:vAlign w:val="center"/>
                </w:tcPr>
                <w:p w14:paraId="269E56E8">
                  <w:pPr>
                    <w:adjustRightInd w:val="0"/>
                    <w:snapToGrid w:val="0"/>
                    <w:spacing w:line="240" w:lineRule="atLeast"/>
                    <w:ind w:left="0" w:leftChars="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Y</w:t>
                  </w:r>
                </w:p>
              </w:tc>
              <w:tc>
                <w:tcPr>
                  <w:tcW w:w="501" w:type="pct"/>
                  <w:noWrap w:val="0"/>
                  <w:vAlign w:val="center"/>
                </w:tcPr>
                <w:p w14:paraId="1E44215C">
                  <w:pPr>
                    <w:adjustRightInd w:val="0"/>
                    <w:snapToGrid w:val="0"/>
                    <w:spacing w:line="240" w:lineRule="atLeast"/>
                    <w:ind w:left="0" w:leftChars="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Z</w:t>
                  </w:r>
                </w:p>
              </w:tc>
              <w:tc>
                <w:tcPr>
                  <w:tcW w:w="668" w:type="pct"/>
                  <w:vMerge w:val="continue"/>
                  <w:noWrap w:val="0"/>
                  <w:vAlign w:val="center"/>
                </w:tcPr>
                <w:p w14:paraId="270C606C">
                  <w:pPr>
                    <w:adjustRightInd w:val="0"/>
                    <w:snapToGrid w:val="0"/>
                    <w:spacing w:line="240" w:lineRule="atLeast"/>
                    <w:jc w:val="center"/>
                    <w:rPr>
                      <w:rFonts w:hint="default" w:ascii="Times New Roman" w:hAnsi="Times New Roman" w:cs="Times New Roman"/>
                      <w:b/>
                      <w:bCs/>
                      <w:color w:val="auto"/>
                      <w:sz w:val="21"/>
                      <w:szCs w:val="21"/>
                      <w:highlight w:val="none"/>
                    </w:rPr>
                  </w:pPr>
                </w:p>
              </w:tc>
              <w:tc>
                <w:tcPr>
                  <w:tcW w:w="800" w:type="pct"/>
                  <w:vMerge w:val="continue"/>
                  <w:noWrap w:val="0"/>
                  <w:vAlign w:val="center"/>
                </w:tcPr>
                <w:p w14:paraId="79E22449">
                  <w:pPr>
                    <w:adjustRightInd w:val="0"/>
                    <w:snapToGrid w:val="0"/>
                    <w:spacing w:line="240" w:lineRule="atLeast"/>
                    <w:jc w:val="center"/>
                    <w:rPr>
                      <w:rFonts w:hint="default" w:ascii="Times New Roman" w:hAnsi="Times New Roman" w:cs="Times New Roman"/>
                      <w:b/>
                      <w:bCs/>
                      <w:color w:val="auto"/>
                      <w:sz w:val="21"/>
                      <w:szCs w:val="21"/>
                      <w:highlight w:val="none"/>
                    </w:rPr>
                  </w:pPr>
                </w:p>
              </w:tc>
              <w:tc>
                <w:tcPr>
                  <w:tcW w:w="718" w:type="pct"/>
                  <w:vMerge w:val="continue"/>
                  <w:noWrap w:val="0"/>
                  <w:vAlign w:val="center"/>
                </w:tcPr>
                <w:p w14:paraId="5D8284DB">
                  <w:pPr>
                    <w:adjustRightInd w:val="0"/>
                    <w:snapToGrid w:val="0"/>
                    <w:spacing w:line="240" w:lineRule="atLeast"/>
                    <w:jc w:val="center"/>
                    <w:rPr>
                      <w:rFonts w:hint="default" w:ascii="Times New Roman" w:hAnsi="Times New Roman" w:cs="Times New Roman"/>
                      <w:b/>
                      <w:bCs/>
                      <w:color w:val="auto"/>
                      <w:sz w:val="21"/>
                      <w:szCs w:val="21"/>
                      <w:highlight w:val="none"/>
                    </w:rPr>
                  </w:pPr>
                </w:p>
              </w:tc>
            </w:tr>
            <w:tr w14:paraId="55A671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83" w:type="pct"/>
                  <w:noWrap w:val="0"/>
                  <w:vAlign w:val="center"/>
                </w:tcPr>
                <w:p w14:paraId="00BAE139">
                  <w:pPr>
                    <w:adjustRightInd w:val="0"/>
                    <w:snapToGrid w:val="0"/>
                    <w:spacing w:line="240" w:lineRule="atLeast"/>
                    <w:ind w:left="0" w:leftChars="0"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w:t>
                  </w:r>
                </w:p>
              </w:tc>
              <w:tc>
                <w:tcPr>
                  <w:tcW w:w="669" w:type="pct"/>
                  <w:noWrap w:val="0"/>
                  <w:vAlign w:val="center"/>
                </w:tcPr>
                <w:p w14:paraId="2B04BF7F">
                  <w:pPr>
                    <w:adjustRightInd w:val="0"/>
                    <w:snapToGrid w:val="0"/>
                    <w:spacing w:line="240" w:lineRule="atLeast"/>
                    <w:ind w:left="0" w:leftChars="0" w:firstLine="0" w:firstLineChars="0"/>
                    <w:jc w:val="center"/>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vertAlign w:val="baseline"/>
                      <w:lang w:val="en-US" w:eastAsia="zh-CN"/>
                    </w:rPr>
                    <w:t>搅拌机</w:t>
                  </w:r>
                </w:p>
              </w:tc>
              <w:tc>
                <w:tcPr>
                  <w:tcW w:w="468" w:type="pct"/>
                  <w:noWrap w:val="0"/>
                  <w:vAlign w:val="center"/>
                </w:tcPr>
                <w:p w14:paraId="1429501D">
                  <w:pPr>
                    <w:adjustRightInd w:val="0"/>
                    <w:snapToGrid w:val="0"/>
                    <w:spacing w:line="240" w:lineRule="atLeast"/>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10</w:t>
                  </w:r>
                </w:p>
              </w:tc>
              <w:tc>
                <w:tcPr>
                  <w:tcW w:w="488" w:type="pct"/>
                  <w:noWrap w:val="0"/>
                  <w:vAlign w:val="center"/>
                </w:tcPr>
                <w:p w14:paraId="740375A5">
                  <w:pPr>
                    <w:adjustRightInd w:val="0"/>
                    <w:snapToGrid w:val="0"/>
                    <w:spacing w:line="240" w:lineRule="atLeast"/>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15</w:t>
                  </w:r>
                </w:p>
              </w:tc>
              <w:tc>
                <w:tcPr>
                  <w:tcW w:w="501" w:type="pct"/>
                  <w:noWrap w:val="0"/>
                  <w:vAlign w:val="center"/>
                </w:tcPr>
                <w:p w14:paraId="6CF56F68">
                  <w:pPr>
                    <w:adjustRightInd w:val="0"/>
                    <w:snapToGrid w:val="0"/>
                    <w:spacing w:line="240" w:lineRule="atLeast"/>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2.0</w:t>
                  </w:r>
                </w:p>
              </w:tc>
              <w:tc>
                <w:tcPr>
                  <w:tcW w:w="668" w:type="pct"/>
                  <w:noWrap w:val="0"/>
                  <w:vAlign w:val="center"/>
                </w:tcPr>
                <w:p w14:paraId="012D3EFD">
                  <w:pPr>
                    <w:adjustRightInd w:val="0"/>
                    <w:snapToGrid w:val="0"/>
                    <w:spacing w:line="240" w:lineRule="atLeast"/>
                    <w:ind w:left="0" w:leftChars="0" w:firstLine="0" w:firstLine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80</w:t>
                  </w:r>
                </w:p>
              </w:tc>
              <w:tc>
                <w:tcPr>
                  <w:tcW w:w="800" w:type="pct"/>
                  <w:noWrap w:val="0"/>
                  <w:vAlign w:val="center"/>
                </w:tcPr>
                <w:p w14:paraId="61646249">
                  <w:pPr>
                    <w:adjustRightInd w:val="0"/>
                    <w:snapToGrid w:val="0"/>
                    <w:spacing w:line="240" w:lineRule="atLeast"/>
                    <w:ind w:left="0" w:leftChars="0" w:firstLine="0" w:firstLine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基础减振</w:t>
                  </w:r>
                </w:p>
              </w:tc>
              <w:tc>
                <w:tcPr>
                  <w:tcW w:w="718" w:type="pct"/>
                  <w:noWrap w:val="0"/>
                  <w:vAlign w:val="center"/>
                </w:tcPr>
                <w:p w14:paraId="626F4EC1">
                  <w:pPr>
                    <w:adjustRightInd w:val="0"/>
                    <w:snapToGrid w:val="0"/>
                    <w:spacing w:line="240" w:lineRule="atLeast"/>
                    <w:ind w:left="0" w:leftChars="0" w:firstLine="0" w:firstLine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昼间</w:t>
                  </w:r>
                </w:p>
              </w:tc>
            </w:tr>
            <w:tr w14:paraId="3FFFC1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83" w:type="pct"/>
                  <w:noWrap w:val="0"/>
                  <w:vAlign w:val="center"/>
                </w:tcPr>
                <w:p w14:paraId="155B7E4A">
                  <w:pPr>
                    <w:adjustRightInd w:val="0"/>
                    <w:snapToGrid w:val="0"/>
                    <w:spacing w:line="240" w:lineRule="atLeast"/>
                    <w:ind w:left="0" w:leftChars="0"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w:t>
                  </w:r>
                </w:p>
              </w:tc>
              <w:tc>
                <w:tcPr>
                  <w:tcW w:w="669" w:type="pct"/>
                  <w:noWrap w:val="0"/>
                  <w:vAlign w:val="center"/>
                </w:tcPr>
                <w:p w14:paraId="3ECCA396">
                  <w:pPr>
                    <w:adjustRightInd w:val="0"/>
                    <w:snapToGrid w:val="0"/>
                    <w:spacing w:line="240" w:lineRule="atLeast"/>
                    <w:ind w:left="0" w:leftChars="0" w:firstLine="0" w:firstLineChars="0"/>
                    <w:jc w:val="center"/>
                    <w:rPr>
                      <w:rFonts w:hint="default" w:ascii="Times New Roman" w:hAnsi="Times New Roman" w:cs="Times New Roman"/>
                      <w:bCs/>
                      <w:color w:val="auto"/>
                      <w:sz w:val="21"/>
                      <w:szCs w:val="21"/>
                      <w:highlight w:val="none"/>
                    </w:rPr>
                  </w:pPr>
                  <w:r>
                    <w:rPr>
                      <w:rFonts w:hint="eastAsia" w:cs="Times New Roman"/>
                      <w:color w:val="auto"/>
                      <w:sz w:val="21"/>
                      <w:szCs w:val="21"/>
                      <w:highlight w:val="none"/>
                      <w:vertAlign w:val="baseline"/>
                      <w:lang w:val="en-US" w:eastAsia="zh-CN"/>
                    </w:rPr>
                    <w:t>输送皮带</w:t>
                  </w:r>
                </w:p>
              </w:tc>
              <w:tc>
                <w:tcPr>
                  <w:tcW w:w="468" w:type="pct"/>
                  <w:noWrap w:val="0"/>
                  <w:vAlign w:val="center"/>
                </w:tcPr>
                <w:p w14:paraId="0116C9A9">
                  <w:pPr>
                    <w:adjustRightInd w:val="0"/>
                    <w:snapToGrid w:val="0"/>
                    <w:spacing w:line="240" w:lineRule="atLeast"/>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5</w:t>
                  </w:r>
                </w:p>
              </w:tc>
              <w:tc>
                <w:tcPr>
                  <w:tcW w:w="488" w:type="pct"/>
                  <w:noWrap w:val="0"/>
                  <w:vAlign w:val="center"/>
                </w:tcPr>
                <w:p w14:paraId="762471D3">
                  <w:pPr>
                    <w:adjustRightInd w:val="0"/>
                    <w:snapToGrid w:val="0"/>
                    <w:spacing w:line="240" w:lineRule="atLeast"/>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8</w:t>
                  </w:r>
                </w:p>
              </w:tc>
              <w:tc>
                <w:tcPr>
                  <w:tcW w:w="501" w:type="pct"/>
                  <w:noWrap w:val="0"/>
                  <w:vAlign w:val="center"/>
                </w:tcPr>
                <w:p w14:paraId="71D4E293">
                  <w:pPr>
                    <w:adjustRightInd w:val="0"/>
                    <w:snapToGrid w:val="0"/>
                    <w:spacing w:line="240" w:lineRule="atLeast"/>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1.2</w:t>
                  </w:r>
                </w:p>
              </w:tc>
              <w:tc>
                <w:tcPr>
                  <w:tcW w:w="668" w:type="pct"/>
                  <w:noWrap w:val="0"/>
                  <w:vAlign w:val="center"/>
                </w:tcPr>
                <w:p w14:paraId="541062AE">
                  <w:pPr>
                    <w:adjustRightInd w:val="0"/>
                    <w:snapToGrid w:val="0"/>
                    <w:spacing w:line="240" w:lineRule="atLeast"/>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75</w:t>
                  </w:r>
                </w:p>
              </w:tc>
              <w:tc>
                <w:tcPr>
                  <w:tcW w:w="800" w:type="pct"/>
                  <w:noWrap w:val="0"/>
                  <w:vAlign w:val="center"/>
                </w:tcPr>
                <w:p w14:paraId="73510207">
                  <w:pPr>
                    <w:adjustRightInd w:val="0"/>
                    <w:snapToGrid w:val="0"/>
                    <w:spacing w:line="240" w:lineRule="atLeast"/>
                    <w:ind w:left="0" w:leftChars="0" w:firstLine="0" w:firstLine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基础减振</w:t>
                  </w:r>
                </w:p>
              </w:tc>
              <w:tc>
                <w:tcPr>
                  <w:tcW w:w="718" w:type="pct"/>
                  <w:noWrap w:val="0"/>
                  <w:vAlign w:val="center"/>
                </w:tcPr>
                <w:p w14:paraId="761740F7">
                  <w:pPr>
                    <w:adjustRightInd w:val="0"/>
                    <w:snapToGrid w:val="0"/>
                    <w:spacing w:line="240" w:lineRule="atLeast"/>
                    <w:ind w:left="0" w:leftChars="0" w:firstLine="0" w:firstLine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昼间</w:t>
                  </w:r>
                </w:p>
              </w:tc>
            </w:tr>
            <w:tr w14:paraId="1AC8AA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683" w:type="pct"/>
                  <w:noWrap w:val="0"/>
                  <w:vAlign w:val="center"/>
                </w:tcPr>
                <w:p w14:paraId="23EBC778">
                  <w:pPr>
                    <w:adjustRightInd w:val="0"/>
                    <w:snapToGrid w:val="0"/>
                    <w:spacing w:line="240" w:lineRule="atLeast"/>
                    <w:ind w:left="0" w:leftChars="0"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w:t>
                  </w:r>
                </w:p>
              </w:tc>
              <w:tc>
                <w:tcPr>
                  <w:tcW w:w="669" w:type="pct"/>
                  <w:noWrap w:val="0"/>
                  <w:vAlign w:val="center"/>
                </w:tcPr>
                <w:p w14:paraId="170B789A">
                  <w:pPr>
                    <w:adjustRightInd w:val="0"/>
                    <w:snapToGrid w:val="0"/>
                    <w:spacing w:line="240" w:lineRule="atLeast"/>
                    <w:ind w:left="0" w:leftChars="0" w:firstLine="0" w:firstLineChars="0"/>
                    <w:jc w:val="center"/>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vertAlign w:val="baseline"/>
                      <w:lang w:val="en-US" w:eastAsia="zh-CN"/>
                    </w:rPr>
                    <w:t>筒仓上料泵</w:t>
                  </w:r>
                </w:p>
              </w:tc>
              <w:tc>
                <w:tcPr>
                  <w:tcW w:w="468" w:type="pct"/>
                  <w:noWrap w:val="0"/>
                  <w:vAlign w:val="center"/>
                </w:tcPr>
                <w:p w14:paraId="2B6E54A7">
                  <w:pPr>
                    <w:adjustRightInd w:val="0"/>
                    <w:snapToGrid w:val="0"/>
                    <w:spacing w:line="240" w:lineRule="atLeast"/>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16</w:t>
                  </w:r>
                </w:p>
              </w:tc>
              <w:tc>
                <w:tcPr>
                  <w:tcW w:w="488" w:type="pct"/>
                  <w:noWrap w:val="0"/>
                  <w:vAlign w:val="center"/>
                </w:tcPr>
                <w:p w14:paraId="7741672B">
                  <w:pPr>
                    <w:adjustRightInd w:val="0"/>
                    <w:snapToGrid w:val="0"/>
                    <w:spacing w:line="240" w:lineRule="atLeast"/>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18</w:t>
                  </w:r>
                </w:p>
              </w:tc>
              <w:tc>
                <w:tcPr>
                  <w:tcW w:w="501" w:type="pct"/>
                  <w:noWrap w:val="0"/>
                  <w:vAlign w:val="center"/>
                </w:tcPr>
                <w:p w14:paraId="4C20C2E1">
                  <w:pPr>
                    <w:adjustRightInd w:val="0"/>
                    <w:snapToGrid w:val="0"/>
                    <w:spacing w:line="240" w:lineRule="atLeast"/>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7.5</w:t>
                  </w:r>
                </w:p>
              </w:tc>
              <w:tc>
                <w:tcPr>
                  <w:tcW w:w="668" w:type="pct"/>
                  <w:noWrap w:val="0"/>
                  <w:vAlign w:val="center"/>
                </w:tcPr>
                <w:p w14:paraId="25BDBA56">
                  <w:pPr>
                    <w:adjustRightInd w:val="0"/>
                    <w:snapToGrid w:val="0"/>
                    <w:spacing w:line="240" w:lineRule="atLeast"/>
                    <w:ind w:left="0" w:leftChars="0" w:firstLine="0" w:firstLine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70</w:t>
                  </w:r>
                </w:p>
              </w:tc>
              <w:tc>
                <w:tcPr>
                  <w:tcW w:w="800" w:type="pct"/>
                  <w:noWrap w:val="0"/>
                  <w:vAlign w:val="center"/>
                </w:tcPr>
                <w:p w14:paraId="27C97874">
                  <w:pPr>
                    <w:adjustRightInd w:val="0"/>
                    <w:snapToGrid w:val="0"/>
                    <w:spacing w:line="240" w:lineRule="atLeast"/>
                    <w:ind w:left="0" w:leftChars="0" w:firstLine="0" w:firstLine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基础减振、隔声</w:t>
                  </w:r>
                </w:p>
              </w:tc>
              <w:tc>
                <w:tcPr>
                  <w:tcW w:w="718" w:type="pct"/>
                  <w:noWrap w:val="0"/>
                  <w:vAlign w:val="center"/>
                </w:tcPr>
                <w:p w14:paraId="4675FF9F">
                  <w:pPr>
                    <w:adjustRightInd w:val="0"/>
                    <w:snapToGrid w:val="0"/>
                    <w:spacing w:line="240" w:lineRule="atLeast"/>
                    <w:ind w:left="0" w:leftChars="0" w:firstLine="0" w:firstLine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昼间</w:t>
                  </w:r>
                </w:p>
              </w:tc>
            </w:tr>
          </w:tbl>
          <w:p w14:paraId="362DC7D3">
            <w:pPr>
              <w:pStyle w:val="6"/>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本项目所在区域周边50m范围内无声环境敏感目标，</w:t>
            </w:r>
            <w:r>
              <w:rPr>
                <w:rFonts w:ascii="宋体" w:hAnsi="宋体" w:eastAsia="宋体" w:cs="宋体"/>
                <w:sz w:val="24"/>
                <w:szCs w:val="24"/>
              </w:rPr>
              <w:t>本次噪声评价仅针对工业广场厂界开展预测及厂界达标论证</w:t>
            </w:r>
            <w:r>
              <w:rPr>
                <w:rFonts w:hint="default" w:ascii="Times New Roman" w:hAnsi="Times New Roman" w:cs="Times New Roman"/>
                <w:color w:val="auto"/>
                <w:sz w:val="24"/>
                <w:szCs w:val="24"/>
                <w:highlight w:val="none"/>
                <w:lang w:val="en-US" w:eastAsia="zh-CN"/>
              </w:rPr>
              <w:t>。根据《环境影响评价技术导则</w:t>
            </w:r>
            <w:r>
              <w:rPr>
                <w:rFonts w:hint="eastAsia" w:cs="Times New Roman"/>
                <w:color w:val="auto"/>
                <w:sz w:val="24"/>
                <w:szCs w:val="24"/>
                <w:highlight w:val="none"/>
                <w:lang w:val="en-US" w:eastAsia="zh-CN"/>
              </w:rPr>
              <w:t>声</w:t>
            </w:r>
            <w:r>
              <w:rPr>
                <w:rFonts w:hint="default" w:ascii="Times New Roman" w:hAnsi="Times New Roman" w:cs="Times New Roman"/>
                <w:color w:val="auto"/>
                <w:sz w:val="24"/>
                <w:szCs w:val="24"/>
                <w:highlight w:val="none"/>
                <w:lang w:val="en-US" w:eastAsia="zh-CN"/>
              </w:rPr>
              <w:t>环境》（HJ2.4-2021），结合本项目声源的噪声排放特点，选择点声源预测模式来模拟预测这些声源排放噪声随距离衰减变化的规律。具体预测模式如下：</w:t>
            </w:r>
          </w:p>
          <w:p w14:paraId="6F8DB25D">
            <w:pPr>
              <w:pStyle w:val="6"/>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（1）噪声距离衰减模式</w:t>
            </w:r>
          </w:p>
          <w:p w14:paraId="05DBAD4B">
            <w:pPr>
              <w:pStyle w:val="6"/>
              <w:bidi w:val="0"/>
              <w:rPr>
                <w:rFonts w:hint="default" w:hAnsi="Cambria Math"/>
                <w:i w:val="0"/>
                <w:sz w:val="24"/>
                <w:szCs w:val="24"/>
                <w:highlight w:val="none"/>
                <w:lang w:val="en-US" w:eastAsia="zh-CN"/>
              </w:rPr>
            </w:pPr>
            <m:oMathPara>
              <m:oMath>
                <m:sSub>
                  <m:sSubPr>
                    <m:ctrlPr>
                      <w:rPr>
                        <w:rFonts w:ascii="Cambria Math" w:hAnsi="Cambria Math"/>
                        <w:i/>
                        <w:sz w:val="24"/>
                        <w:szCs w:val="24"/>
                        <w:highlight w:val="none"/>
                        <w:lang w:val="en-US"/>
                      </w:rPr>
                    </m:ctrlPr>
                  </m:sSubPr>
                  <m:e>
                    <m:r>
                      <m:rPr/>
                      <w:rPr>
                        <w:rFonts w:hint="default" w:ascii="Cambria Math" w:hAnsi="Cambria Math"/>
                        <w:sz w:val="24"/>
                        <w:szCs w:val="24"/>
                        <w:highlight w:val="none"/>
                        <w:lang w:val="en-US" w:eastAsia="zh-CN"/>
                      </w:rPr>
                      <m:t>L</m:t>
                    </m:r>
                    <m:ctrlPr>
                      <w:rPr>
                        <w:rFonts w:ascii="Cambria Math" w:hAnsi="Cambria Math"/>
                        <w:i/>
                        <w:sz w:val="24"/>
                        <w:szCs w:val="24"/>
                        <w:highlight w:val="none"/>
                        <w:lang w:val="en-US"/>
                      </w:rPr>
                    </m:ctrlPr>
                  </m:e>
                  <m:sub>
                    <m:r>
                      <m:rPr/>
                      <w:rPr>
                        <w:rFonts w:hint="default" w:ascii="Cambria Math" w:hAnsi="Cambria Math"/>
                        <w:sz w:val="24"/>
                        <w:szCs w:val="24"/>
                        <w:highlight w:val="none"/>
                        <w:lang w:val="en-US" w:eastAsia="zh-CN"/>
                      </w:rPr>
                      <m:t>A</m:t>
                    </m:r>
                    <m:ctrlPr>
                      <w:rPr>
                        <w:rFonts w:ascii="Cambria Math" w:hAnsi="Cambria Math"/>
                        <w:i/>
                        <w:sz w:val="24"/>
                        <w:szCs w:val="24"/>
                        <w:highlight w:val="none"/>
                        <w:lang w:val="en-US"/>
                      </w:rPr>
                    </m:ctrlPr>
                  </m:sub>
                </m:sSub>
                <m:d>
                  <m:dPr>
                    <m:ctrlPr>
                      <w:rPr>
                        <w:rFonts w:ascii="Cambria Math" w:hAnsi="Cambria Math"/>
                        <w:i/>
                        <w:sz w:val="24"/>
                        <w:szCs w:val="24"/>
                        <w:highlight w:val="none"/>
                        <w:lang w:val="en-US"/>
                      </w:rPr>
                    </m:ctrlPr>
                  </m:dPr>
                  <m:e>
                    <m:r>
                      <m:rPr/>
                      <w:rPr>
                        <w:rFonts w:hint="default" w:ascii="Cambria Math" w:hAnsi="Cambria Math"/>
                        <w:sz w:val="24"/>
                        <w:szCs w:val="24"/>
                        <w:highlight w:val="none"/>
                        <w:lang w:val="en-US" w:eastAsia="zh-CN"/>
                      </w:rPr>
                      <m:t>r</m:t>
                    </m:r>
                    <m:ctrlPr>
                      <w:rPr>
                        <w:rFonts w:ascii="Cambria Math" w:hAnsi="Cambria Math"/>
                        <w:i/>
                        <w:sz w:val="24"/>
                        <w:szCs w:val="24"/>
                        <w:highlight w:val="none"/>
                        <w:lang w:val="en-US"/>
                      </w:rPr>
                    </m:ctrlPr>
                  </m:e>
                </m:d>
                <m:r>
                  <m:rPr/>
                  <w:rPr>
                    <w:rFonts w:hint="default" w:ascii="Cambria Math" w:hAnsi="Cambria Math"/>
                    <w:sz w:val="24"/>
                    <w:szCs w:val="24"/>
                    <w:highlight w:val="none"/>
                    <w:lang w:val="en-US" w:eastAsia="zh-CN"/>
                  </w:rPr>
                  <m:t>=</m:t>
                </m:r>
                <m:sSub>
                  <m:sSubPr>
                    <m:ctrlPr>
                      <w:rPr>
                        <w:rFonts w:hint="default" w:ascii="Cambria Math" w:hAnsi="Cambria Math"/>
                        <w:i/>
                        <w:sz w:val="24"/>
                        <w:szCs w:val="24"/>
                        <w:highlight w:val="none"/>
                        <w:lang w:val="en-US" w:eastAsia="zh-CN"/>
                      </w:rPr>
                    </m:ctrlPr>
                  </m:sSubPr>
                  <m:e>
                    <m:r>
                      <m:rPr/>
                      <w:rPr>
                        <w:rFonts w:hint="default" w:ascii="Cambria Math" w:hAnsi="Cambria Math"/>
                        <w:sz w:val="24"/>
                        <w:szCs w:val="24"/>
                        <w:highlight w:val="none"/>
                        <w:lang w:val="en-US" w:eastAsia="zh-CN"/>
                      </w:rPr>
                      <m:t>L</m:t>
                    </m:r>
                    <m:ctrlPr>
                      <w:rPr>
                        <w:rFonts w:hint="default" w:ascii="Cambria Math" w:hAnsi="Cambria Math"/>
                        <w:i/>
                        <w:sz w:val="24"/>
                        <w:szCs w:val="24"/>
                        <w:highlight w:val="none"/>
                        <w:lang w:val="en-US" w:eastAsia="zh-CN"/>
                      </w:rPr>
                    </m:ctrlPr>
                  </m:e>
                  <m:sub>
                    <m:r>
                      <m:rPr/>
                      <w:rPr>
                        <w:rFonts w:hint="default" w:ascii="Cambria Math" w:hAnsi="Cambria Math"/>
                        <w:sz w:val="24"/>
                        <w:szCs w:val="24"/>
                        <w:highlight w:val="none"/>
                        <w:lang w:val="en-US" w:eastAsia="zh-CN"/>
                      </w:rPr>
                      <m:t>A</m:t>
                    </m:r>
                    <m:ctrlPr>
                      <w:rPr>
                        <w:rFonts w:hint="default" w:ascii="Cambria Math" w:hAnsi="Cambria Math"/>
                        <w:i/>
                        <w:sz w:val="24"/>
                        <w:szCs w:val="24"/>
                        <w:highlight w:val="none"/>
                        <w:lang w:val="en-US" w:eastAsia="zh-CN"/>
                      </w:rPr>
                    </m:ctrlPr>
                  </m:sub>
                </m:sSub>
                <m:d>
                  <m:dPr>
                    <m:ctrlPr>
                      <w:rPr>
                        <w:rFonts w:hint="default" w:ascii="Cambria Math" w:hAnsi="Cambria Math"/>
                        <w:i/>
                        <w:sz w:val="24"/>
                        <w:szCs w:val="24"/>
                        <w:highlight w:val="none"/>
                        <w:lang w:val="en-US" w:eastAsia="zh-CN"/>
                      </w:rPr>
                    </m:ctrlPr>
                  </m:dPr>
                  <m:e>
                    <m:r>
                      <m:rPr/>
                      <w:rPr>
                        <w:rFonts w:hint="default" w:ascii="Cambria Math" w:hAnsi="Cambria Math"/>
                        <w:sz w:val="24"/>
                        <w:szCs w:val="24"/>
                        <w:highlight w:val="none"/>
                        <w:lang w:val="en-US" w:eastAsia="zh-CN"/>
                      </w:rPr>
                      <m:t>r0</m:t>
                    </m:r>
                    <m:ctrlPr>
                      <w:rPr>
                        <w:rFonts w:hint="default" w:ascii="Cambria Math" w:hAnsi="Cambria Math"/>
                        <w:i/>
                        <w:sz w:val="24"/>
                        <w:szCs w:val="24"/>
                        <w:highlight w:val="none"/>
                        <w:lang w:val="en-US" w:eastAsia="zh-CN"/>
                      </w:rPr>
                    </m:ctrlPr>
                  </m:e>
                </m:d>
                <m:r>
                  <m:rPr/>
                  <w:rPr>
                    <w:rFonts w:hint="default" w:ascii="Cambria Math" w:hAnsi="Cambria Math"/>
                    <w:sz w:val="24"/>
                    <w:szCs w:val="24"/>
                    <w:highlight w:val="none"/>
                    <w:lang w:val="en-US" w:eastAsia="zh-CN"/>
                  </w:rPr>
                  <m:t>−20lg</m:t>
                </m:r>
                <m:d>
                  <m:dPr>
                    <m:ctrlPr>
                      <w:rPr>
                        <w:rFonts w:hint="default" w:ascii="Cambria Math" w:hAnsi="Cambria Math"/>
                        <w:i/>
                        <w:sz w:val="24"/>
                        <w:szCs w:val="24"/>
                        <w:highlight w:val="none"/>
                        <w:lang w:val="en-US" w:eastAsia="zh-CN"/>
                      </w:rPr>
                    </m:ctrlPr>
                  </m:dPr>
                  <m:e>
                    <m:f>
                      <m:fPr>
                        <m:type m:val="lin"/>
                        <m:ctrlPr>
                          <w:rPr>
                            <w:rFonts w:hint="default" w:ascii="Cambria Math" w:hAnsi="Cambria Math"/>
                            <w:i/>
                            <w:sz w:val="24"/>
                            <w:szCs w:val="24"/>
                            <w:highlight w:val="none"/>
                            <w:lang w:val="en-US" w:eastAsia="zh-CN"/>
                          </w:rPr>
                        </m:ctrlPr>
                      </m:fPr>
                      <m:num>
                        <m:r>
                          <m:rPr/>
                          <w:rPr>
                            <w:rFonts w:hint="default" w:ascii="Cambria Math" w:hAnsi="Cambria Math"/>
                            <w:sz w:val="24"/>
                            <w:szCs w:val="24"/>
                            <w:highlight w:val="none"/>
                            <w:lang w:val="en-US" w:eastAsia="zh-CN"/>
                          </w:rPr>
                          <m:t>r</m:t>
                        </m:r>
                        <m:ctrlPr>
                          <w:rPr>
                            <w:rFonts w:hint="default" w:ascii="Cambria Math" w:hAnsi="Cambria Math"/>
                            <w:i/>
                            <w:sz w:val="24"/>
                            <w:szCs w:val="24"/>
                            <w:highlight w:val="none"/>
                            <w:lang w:val="en-US" w:eastAsia="zh-CN"/>
                          </w:rPr>
                        </m:ctrlPr>
                      </m:num>
                      <m:den>
                        <m:r>
                          <m:rPr/>
                          <w:rPr>
                            <w:rFonts w:hint="default" w:ascii="Cambria Math" w:hAnsi="Cambria Math"/>
                            <w:sz w:val="24"/>
                            <w:szCs w:val="24"/>
                            <w:highlight w:val="none"/>
                            <w:lang w:val="en-US" w:eastAsia="zh-CN"/>
                          </w:rPr>
                          <m:t>r0</m:t>
                        </m:r>
                        <m:ctrlPr>
                          <w:rPr>
                            <w:rFonts w:hint="default" w:ascii="Cambria Math" w:hAnsi="Cambria Math"/>
                            <w:i/>
                            <w:sz w:val="24"/>
                            <w:szCs w:val="24"/>
                            <w:highlight w:val="none"/>
                            <w:lang w:val="en-US" w:eastAsia="zh-CN"/>
                          </w:rPr>
                        </m:ctrlPr>
                      </m:den>
                    </m:f>
                    <m:ctrlPr>
                      <w:rPr>
                        <w:rFonts w:hint="default" w:ascii="Cambria Math" w:hAnsi="Cambria Math"/>
                        <w:i/>
                        <w:sz w:val="24"/>
                        <w:szCs w:val="24"/>
                        <w:highlight w:val="none"/>
                        <w:lang w:val="en-US" w:eastAsia="zh-CN"/>
                      </w:rPr>
                    </m:ctrlPr>
                  </m:e>
                </m:d>
                <m:r>
                  <m:rPr/>
                  <w:rPr>
                    <w:rFonts w:hint="default" w:ascii="Cambria Math" w:hAnsi="Cambria Math"/>
                    <w:sz w:val="24"/>
                    <w:szCs w:val="24"/>
                    <w:highlight w:val="none"/>
                    <w:lang w:val="en-US" w:eastAsia="zh-CN"/>
                  </w:rPr>
                  <m:t>−TL</m:t>
                </m:r>
              </m:oMath>
            </m:oMathPara>
          </w:p>
          <w:p w14:paraId="04426FD5">
            <w:pPr>
              <w:pStyle w:val="6"/>
              <w:bidi w:val="0"/>
              <w:rPr>
                <w:sz w:val="24"/>
                <w:szCs w:val="24"/>
                <w:highlight w:val="none"/>
              </w:rPr>
            </w:pPr>
            <w:r>
              <w:rPr>
                <w:rFonts w:hint="default" w:ascii="Times New Roman" w:hAnsi="Times New Roman" w:cs="Times New Roman"/>
                <w:color w:val="auto"/>
                <w:sz w:val="24"/>
                <w:szCs w:val="24"/>
                <w:highlight w:val="none"/>
                <w:lang w:val="en-US" w:eastAsia="zh-CN"/>
              </w:rPr>
              <w:t>式中：</w:t>
            </w:r>
            <m:oMath>
              <m:sSub>
                <m:sSubPr>
                  <m:ctrlPr>
                    <w:rPr>
                      <w:rFonts w:ascii="Cambria Math" w:hAnsi="Cambria Math"/>
                      <w:i/>
                      <w:sz w:val="24"/>
                      <w:szCs w:val="24"/>
                      <w:highlight w:val="none"/>
                      <w:lang w:val="en-US"/>
                    </w:rPr>
                  </m:ctrlPr>
                </m:sSubPr>
                <m:e>
                  <m:r>
                    <m:rPr/>
                    <w:rPr>
                      <w:rFonts w:hint="default" w:ascii="Cambria Math" w:hAnsi="Cambria Math"/>
                      <w:sz w:val="24"/>
                      <w:szCs w:val="24"/>
                      <w:highlight w:val="none"/>
                      <w:lang w:val="en-US" w:eastAsia="zh-CN"/>
                    </w:rPr>
                    <m:t>L</m:t>
                  </m:r>
                  <m:ctrlPr>
                    <w:rPr>
                      <w:rFonts w:ascii="Cambria Math" w:hAnsi="Cambria Math"/>
                      <w:i/>
                      <w:sz w:val="24"/>
                      <w:szCs w:val="24"/>
                      <w:highlight w:val="none"/>
                      <w:lang w:val="en-US"/>
                    </w:rPr>
                  </m:ctrlPr>
                </m:e>
                <m:sub>
                  <m:r>
                    <m:rPr/>
                    <w:rPr>
                      <w:rFonts w:hint="default" w:ascii="Cambria Math" w:hAnsi="Cambria Math"/>
                      <w:sz w:val="24"/>
                      <w:szCs w:val="24"/>
                      <w:highlight w:val="none"/>
                      <w:lang w:val="en-US" w:eastAsia="zh-CN"/>
                    </w:rPr>
                    <m:t>A</m:t>
                  </m:r>
                  <m:ctrlPr>
                    <w:rPr>
                      <w:rFonts w:ascii="Cambria Math" w:hAnsi="Cambria Math"/>
                      <w:i/>
                      <w:sz w:val="24"/>
                      <w:szCs w:val="24"/>
                      <w:highlight w:val="none"/>
                      <w:lang w:val="en-US"/>
                    </w:rPr>
                  </m:ctrlPr>
                </m:sub>
              </m:sSub>
              <m:d>
                <m:dPr>
                  <m:ctrlPr>
                    <w:rPr>
                      <w:rFonts w:ascii="Cambria Math" w:hAnsi="Cambria Math"/>
                      <w:i/>
                      <w:sz w:val="24"/>
                      <w:szCs w:val="24"/>
                      <w:highlight w:val="none"/>
                      <w:lang w:val="en-US"/>
                    </w:rPr>
                  </m:ctrlPr>
                </m:dPr>
                <m:e>
                  <m:r>
                    <m:rPr/>
                    <w:rPr>
                      <w:rFonts w:hint="default" w:ascii="Cambria Math" w:hAnsi="Cambria Math"/>
                      <w:sz w:val="24"/>
                      <w:szCs w:val="24"/>
                      <w:highlight w:val="none"/>
                      <w:lang w:val="en-US" w:eastAsia="zh-CN"/>
                    </w:rPr>
                    <m:t>r</m:t>
                  </m:r>
                  <m:ctrlPr>
                    <w:rPr>
                      <w:rFonts w:ascii="Cambria Math" w:hAnsi="Cambria Math"/>
                      <w:i/>
                      <w:sz w:val="24"/>
                      <w:szCs w:val="24"/>
                      <w:highlight w:val="none"/>
                      <w:lang w:val="en-US"/>
                    </w:rPr>
                  </m:ctrlPr>
                </m:e>
              </m:d>
            </m:oMath>
            <w:r>
              <w:rPr>
                <w:rFonts w:hint="eastAsia" w:hAnsi="Cambria Math"/>
                <w:i w:val="0"/>
                <w:sz w:val="24"/>
                <w:szCs w:val="24"/>
                <w:highlight w:val="none"/>
                <w:lang w:val="en-US" w:eastAsia="zh-CN"/>
              </w:rPr>
              <w:t>：</w:t>
            </w:r>
            <w:r>
              <w:rPr>
                <w:rFonts w:hint="eastAsia"/>
                <w:sz w:val="24"/>
                <w:szCs w:val="24"/>
                <w:highlight w:val="none"/>
                <w:lang w:val="en-US" w:eastAsia="zh-CN"/>
              </w:rPr>
              <w:t>距离声源处的声级，（A）；</w:t>
            </w:r>
          </w:p>
          <w:p w14:paraId="2C3EF686">
            <w:pPr>
              <w:pStyle w:val="6"/>
              <w:bidi w:val="0"/>
              <w:ind w:firstLine="1200" w:firstLineChars="500"/>
              <w:rPr>
                <w:sz w:val="24"/>
                <w:szCs w:val="24"/>
                <w:highlight w:val="none"/>
              </w:rPr>
            </w:pPr>
            <m:oMath>
              <m:sSub>
                <m:sSubPr>
                  <m:ctrlPr>
                    <w:rPr>
                      <w:rFonts w:hint="default" w:ascii="Cambria Math" w:hAnsi="Cambria Math"/>
                      <w:i/>
                      <w:sz w:val="24"/>
                      <w:szCs w:val="24"/>
                      <w:highlight w:val="none"/>
                      <w:lang w:val="en-US" w:eastAsia="zh-CN"/>
                    </w:rPr>
                  </m:ctrlPr>
                </m:sSubPr>
                <m:e>
                  <m:r>
                    <m:rPr/>
                    <w:rPr>
                      <w:rFonts w:hint="default" w:ascii="Cambria Math" w:hAnsi="Cambria Math"/>
                      <w:sz w:val="24"/>
                      <w:szCs w:val="24"/>
                      <w:highlight w:val="none"/>
                      <w:lang w:val="en-US" w:eastAsia="zh-CN"/>
                    </w:rPr>
                    <m:t>L</m:t>
                  </m:r>
                  <m:ctrlPr>
                    <w:rPr>
                      <w:rFonts w:hint="default" w:ascii="Cambria Math" w:hAnsi="Cambria Math"/>
                      <w:i/>
                      <w:sz w:val="24"/>
                      <w:szCs w:val="24"/>
                      <w:highlight w:val="none"/>
                      <w:lang w:val="en-US" w:eastAsia="zh-CN"/>
                    </w:rPr>
                  </m:ctrlPr>
                </m:e>
                <m:sub>
                  <m:r>
                    <m:rPr/>
                    <w:rPr>
                      <w:rFonts w:hint="default" w:ascii="Cambria Math" w:hAnsi="Cambria Math"/>
                      <w:sz w:val="24"/>
                      <w:szCs w:val="24"/>
                      <w:highlight w:val="none"/>
                      <w:lang w:val="en-US" w:eastAsia="zh-CN"/>
                    </w:rPr>
                    <m:t>A</m:t>
                  </m:r>
                  <m:ctrlPr>
                    <w:rPr>
                      <w:rFonts w:hint="default" w:ascii="Cambria Math" w:hAnsi="Cambria Math"/>
                      <w:i/>
                      <w:sz w:val="24"/>
                      <w:szCs w:val="24"/>
                      <w:highlight w:val="none"/>
                      <w:lang w:val="en-US" w:eastAsia="zh-CN"/>
                    </w:rPr>
                  </m:ctrlPr>
                </m:sub>
              </m:sSub>
              <m:d>
                <m:dPr>
                  <m:ctrlPr>
                    <w:rPr>
                      <w:rFonts w:hint="default" w:ascii="Cambria Math" w:hAnsi="Cambria Math"/>
                      <w:i/>
                      <w:sz w:val="24"/>
                      <w:szCs w:val="24"/>
                      <w:highlight w:val="none"/>
                      <w:lang w:val="en-US" w:eastAsia="zh-CN"/>
                    </w:rPr>
                  </m:ctrlPr>
                </m:dPr>
                <m:e>
                  <m:r>
                    <m:rPr/>
                    <w:rPr>
                      <w:rFonts w:hint="default" w:ascii="Cambria Math" w:hAnsi="Cambria Math"/>
                      <w:sz w:val="24"/>
                      <w:szCs w:val="24"/>
                      <w:highlight w:val="none"/>
                      <w:lang w:val="en-US" w:eastAsia="zh-CN"/>
                    </w:rPr>
                    <m:t>r0</m:t>
                  </m:r>
                  <m:ctrlPr>
                    <w:rPr>
                      <w:rFonts w:hint="default" w:ascii="Cambria Math" w:hAnsi="Cambria Math"/>
                      <w:i/>
                      <w:sz w:val="24"/>
                      <w:szCs w:val="24"/>
                      <w:highlight w:val="none"/>
                      <w:lang w:val="en-US" w:eastAsia="zh-CN"/>
                    </w:rPr>
                  </m:ctrlPr>
                </m:e>
              </m:d>
            </m:oMath>
            <w:r>
              <w:rPr>
                <w:rFonts w:hint="eastAsia" w:hAnsi="Cambria Math"/>
                <w:i w:val="0"/>
                <w:sz w:val="24"/>
                <w:szCs w:val="24"/>
                <w:highlight w:val="none"/>
                <w:lang w:val="en-US" w:eastAsia="zh-CN"/>
              </w:rPr>
              <w:t>：</w:t>
            </w:r>
            <w:r>
              <w:rPr>
                <w:rFonts w:hint="eastAsia"/>
                <w:sz w:val="24"/>
                <w:szCs w:val="24"/>
                <w:highlight w:val="none"/>
                <w:lang w:val="en-US" w:eastAsia="zh-CN"/>
              </w:rPr>
              <w:t>距离声源中心</w:t>
            </w:r>
            <w:r>
              <w:rPr>
                <w:rFonts w:hint="default"/>
                <w:sz w:val="24"/>
                <w:szCs w:val="24"/>
                <w:highlight w:val="none"/>
                <w:lang w:val="en-US" w:eastAsia="zh-CN"/>
              </w:rPr>
              <w:t>0</w:t>
            </w:r>
            <w:r>
              <w:rPr>
                <w:rFonts w:hint="eastAsia"/>
                <w:sz w:val="24"/>
                <w:szCs w:val="24"/>
                <w:highlight w:val="none"/>
                <w:lang w:val="en-US" w:eastAsia="zh-CN"/>
              </w:rPr>
              <w:t>处的声级，（A）；</w:t>
            </w:r>
          </w:p>
          <w:p w14:paraId="07D19E2B">
            <w:pPr>
              <w:pStyle w:val="6"/>
              <w:bidi w:val="0"/>
              <w:ind w:firstLine="1200" w:firstLineChars="500"/>
              <w:rPr>
                <w:sz w:val="24"/>
                <w:szCs w:val="24"/>
                <w:highlight w:val="none"/>
              </w:rPr>
            </w:pPr>
            <w:r>
              <w:rPr>
                <w:rFonts w:hint="default"/>
                <w:highlight w:val="none"/>
                <w:lang w:val="en-US" w:eastAsia="zh-CN"/>
              </w:rPr>
              <w:t>r</w:t>
            </w:r>
            <w:r>
              <w:rPr>
                <w:rFonts w:hint="eastAsia"/>
                <w:highlight w:val="none"/>
                <w:lang w:val="en-US" w:eastAsia="zh-CN"/>
              </w:rPr>
              <w:t>、</w:t>
            </w:r>
            <w:r>
              <w:rPr>
                <w:rFonts w:hint="default"/>
                <w:highlight w:val="none"/>
                <w:lang w:val="en-US" w:eastAsia="zh-CN"/>
              </w:rPr>
              <w:t>r0</w:t>
            </w:r>
            <w:r>
              <w:rPr>
                <w:rFonts w:hint="eastAsia"/>
                <w:sz w:val="24"/>
                <w:szCs w:val="24"/>
                <w:highlight w:val="none"/>
                <w:lang w:val="en-US" w:eastAsia="zh-CN"/>
              </w:rPr>
              <w:t>：距声源的距离；</w:t>
            </w:r>
          </w:p>
          <w:p w14:paraId="7E79EE0D">
            <w:pPr>
              <w:pStyle w:val="6"/>
              <w:bidi w:val="0"/>
              <w:ind w:firstLine="1200" w:firstLineChars="500"/>
              <w:rPr>
                <w:rFonts w:hint="eastAsia"/>
                <w:sz w:val="24"/>
                <w:szCs w:val="24"/>
                <w:highlight w:val="none"/>
                <w:lang w:val="en-US" w:eastAsia="zh-CN"/>
              </w:rPr>
            </w:pPr>
            <w:r>
              <w:rPr>
                <w:rFonts w:hint="default"/>
                <w:highlight w:val="none"/>
                <w:lang w:val="en-US" w:eastAsia="zh-CN"/>
              </w:rPr>
              <w:t>TL</w:t>
            </w:r>
            <w:r>
              <w:rPr>
                <w:rFonts w:hint="eastAsia"/>
                <w:sz w:val="24"/>
                <w:szCs w:val="24"/>
                <w:highlight w:val="none"/>
                <w:lang w:val="en-US" w:eastAsia="zh-CN"/>
              </w:rPr>
              <w:t>：墙壁隔声量，取</w:t>
            </w:r>
            <w:r>
              <w:rPr>
                <w:rFonts w:hint="default"/>
                <w:sz w:val="24"/>
                <w:szCs w:val="24"/>
                <w:highlight w:val="none"/>
                <w:lang w:val="en-US" w:eastAsia="zh-CN"/>
              </w:rPr>
              <w:t>0</w:t>
            </w:r>
            <w:r>
              <w:rPr>
                <w:rFonts w:hint="eastAsia"/>
                <w:sz w:val="24"/>
                <w:szCs w:val="24"/>
                <w:highlight w:val="none"/>
                <w:lang w:val="en-US" w:eastAsia="zh-CN"/>
              </w:rPr>
              <w:t>（A）。</w:t>
            </w:r>
          </w:p>
          <w:p w14:paraId="1EB20FC0">
            <w:pPr>
              <w:pStyle w:val="6"/>
              <w:bidi w:val="0"/>
              <w:ind w:firstLine="1200" w:firstLineChars="500"/>
              <w:rPr>
                <w:rFonts w:hint="default" w:ascii="Times New Roman" w:hAnsi="Times New Roman" w:cs="Times New Roman"/>
                <w:color w:val="auto"/>
                <w:sz w:val="24"/>
                <w:szCs w:val="24"/>
                <w:highlight w:val="none"/>
                <w:lang w:val="en-US" w:eastAsia="zh-CN"/>
              </w:rPr>
            </w:pPr>
          </w:p>
          <w:p w14:paraId="746DEE12">
            <w:pPr>
              <w:pStyle w:val="6"/>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（2）噪声贡献值计算模型</w:t>
            </w:r>
          </w:p>
          <w:p w14:paraId="7196AFB4">
            <w:pPr>
              <w:pStyle w:val="6"/>
              <w:bidi w:val="0"/>
              <w:rPr>
                <w:rFonts w:hint="default" w:eastAsia="宋体"/>
                <w:sz w:val="24"/>
                <w:szCs w:val="24"/>
                <w:highlight w:val="none"/>
                <w:lang w:val="en-US" w:eastAsia="zh-CN"/>
              </w:rPr>
            </w:pPr>
            <m:oMathPara>
              <m:oMath>
                <m:sSub>
                  <m:sSubPr>
                    <m:ctrlPr>
                      <w:rPr>
                        <w:rFonts w:ascii="Cambria Math" w:hAnsi="Cambria Math"/>
                        <w:i/>
                        <w:sz w:val="24"/>
                        <w:szCs w:val="24"/>
                        <w:highlight w:val="none"/>
                        <w:lang w:val="en-US"/>
                      </w:rPr>
                    </m:ctrlPr>
                  </m:sSubPr>
                  <m:e>
                    <m:r>
                      <m:rPr/>
                      <w:rPr>
                        <w:rFonts w:hint="default" w:ascii="Cambria Math" w:hAnsi="Cambria Math"/>
                        <w:sz w:val="24"/>
                        <w:szCs w:val="24"/>
                        <w:highlight w:val="none"/>
                        <w:lang w:val="en-US" w:eastAsia="zh-CN"/>
                      </w:rPr>
                      <m:t>L</m:t>
                    </m:r>
                    <m:ctrlPr>
                      <w:rPr>
                        <w:rFonts w:ascii="Cambria Math" w:hAnsi="Cambria Math"/>
                        <w:i/>
                        <w:sz w:val="24"/>
                        <w:szCs w:val="24"/>
                        <w:highlight w:val="none"/>
                        <w:lang w:val="en-US"/>
                      </w:rPr>
                    </m:ctrlPr>
                  </m:e>
                  <m:sub>
                    <m:r>
                      <m:rPr/>
                      <w:rPr>
                        <w:rFonts w:hint="default" w:ascii="Cambria Math" w:hAnsi="Cambria Math"/>
                        <w:sz w:val="24"/>
                        <w:szCs w:val="24"/>
                        <w:highlight w:val="none"/>
                        <w:lang w:val="en-US" w:eastAsia="zh-CN"/>
                      </w:rPr>
                      <m:t>eqg</m:t>
                    </m:r>
                    <m:ctrlPr>
                      <w:rPr>
                        <w:rFonts w:ascii="Cambria Math" w:hAnsi="Cambria Math"/>
                        <w:i/>
                        <w:sz w:val="24"/>
                        <w:szCs w:val="24"/>
                        <w:highlight w:val="none"/>
                        <w:lang w:val="en-US"/>
                      </w:rPr>
                    </m:ctrlPr>
                  </m:sub>
                </m:sSub>
                <m:r>
                  <m:rPr/>
                  <w:rPr>
                    <w:rFonts w:hint="default" w:ascii="Cambria Math" w:hAnsi="Cambria Math"/>
                    <w:sz w:val="24"/>
                    <w:szCs w:val="24"/>
                    <w:highlight w:val="none"/>
                    <w:lang w:val="en-US" w:eastAsia="zh-CN"/>
                  </w:rPr>
                  <m:t>=10lg</m:t>
                </m:r>
                <m:d>
                  <m:dPr>
                    <m:ctrlPr>
                      <w:rPr>
                        <w:rFonts w:hint="default" w:ascii="Cambria Math" w:hAnsi="Cambria Math"/>
                        <w:i/>
                        <w:sz w:val="24"/>
                        <w:szCs w:val="24"/>
                        <w:highlight w:val="none"/>
                        <w:lang w:val="en-US" w:eastAsia="zh-CN"/>
                      </w:rPr>
                    </m:ctrlPr>
                  </m:dPr>
                  <m:e>
                    <m:f>
                      <m:fPr>
                        <m:ctrlPr>
                          <w:rPr>
                            <w:rFonts w:hint="default" w:ascii="Cambria Math" w:hAnsi="Cambria Math"/>
                            <w:i/>
                            <w:sz w:val="24"/>
                            <w:szCs w:val="24"/>
                            <w:highlight w:val="none"/>
                            <w:lang w:val="en-US" w:eastAsia="zh-CN"/>
                          </w:rPr>
                        </m:ctrlPr>
                      </m:fPr>
                      <m:num>
                        <m:r>
                          <m:rPr/>
                          <w:rPr>
                            <w:rFonts w:hint="default" w:ascii="Cambria Math" w:hAnsi="Cambria Math"/>
                            <w:sz w:val="24"/>
                            <w:szCs w:val="24"/>
                            <w:highlight w:val="none"/>
                            <w:lang w:val="en-US" w:eastAsia="zh-CN"/>
                          </w:rPr>
                          <m:t>1</m:t>
                        </m:r>
                        <m:ctrlPr>
                          <w:rPr>
                            <w:rFonts w:hint="default" w:ascii="Cambria Math" w:hAnsi="Cambria Math"/>
                            <w:i/>
                            <w:sz w:val="24"/>
                            <w:szCs w:val="24"/>
                            <w:highlight w:val="none"/>
                            <w:lang w:val="en-US" w:eastAsia="zh-CN"/>
                          </w:rPr>
                        </m:ctrlPr>
                      </m:num>
                      <m:den>
                        <m:r>
                          <m:rPr/>
                          <w:rPr>
                            <w:rFonts w:hint="default" w:ascii="Cambria Math" w:hAnsi="Cambria Math"/>
                            <w:sz w:val="24"/>
                            <w:szCs w:val="24"/>
                            <w:highlight w:val="none"/>
                            <w:lang w:val="en-US" w:eastAsia="zh-CN"/>
                          </w:rPr>
                          <m:t>T</m:t>
                        </m:r>
                        <m:ctrlPr>
                          <w:rPr>
                            <w:rFonts w:hint="default" w:ascii="Cambria Math" w:hAnsi="Cambria Math"/>
                            <w:i/>
                            <w:sz w:val="24"/>
                            <w:szCs w:val="24"/>
                            <w:highlight w:val="none"/>
                            <w:lang w:val="en-US" w:eastAsia="zh-CN"/>
                          </w:rPr>
                        </m:ctrlPr>
                      </m:den>
                    </m:f>
                    <m:nary>
                      <m:naryPr>
                        <m:chr m:val="∑"/>
                        <m:limLoc m:val="undOvr"/>
                        <m:supHide m:val="1"/>
                        <m:ctrlPr>
                          <w:rPr>
                            <w:rFonts w:hint="default" w:ascii="Cambria Math" w:hAnsi="Cambria Math"/>
                            <w:i/>
                            <w:sz w:val="24"/>
                            <w:szCs w:val="24"/>
                            <w:highlight w:val="none"/>
                            <w:lang w:val="en-US" w:eastAsia="zh-CN"/>
                          </w:rPr>
                        </m:ctrlPr>
                      </m:naryPr>
                      <m:sub>
                        <m:r>
                          <m:rPr/>
                          <w:rPr>
                            <w:rFonts w:hint="default" w:ascii="Cambria Math" w:hAnsi="Cambria Math"/>
                            <w:sz w:val="24"/>
                            <w:szCs w:val="24"/>
                            <w:highlight w:val="none"/>
                            <w:lang w:val="en-US" w:eastAsia="zh-CN"/>
                          </w:rPr>
                          <m:t>i</m:t>
                        </m:r>
                        <m:ctrlPr>
                          <w:rPr>
                            <w:rFonts w:hint="default" w:ascii="Cambria Math" w:hAnsi="Cambria Math"/>
                            <w:i/>
                            <w:sz w:val="24"/>
                            <w:szCs w:val="24"/>
                            <w:highlight w:val="none"/>
                            <w:lang w:val="en-US" w:eastAsia="zh-CN"/>
                          </w:rPr>
                        </m:ctrlPr>
                      </m:sub>
                      <m:sup>
                        <m:ctrlPr>
                          <w:rPr>
                            <w:rFonts w:hint="default" w:ascii="Cambria Math" w:hAnsi="Cambria Math"/>
                            <w:i/>
                            <w:sz w:val="24"/>
                            <w:szCs w:val="24"/>
                            <w:highlight w:val="none"/>
                            <w:lang w:val="en-US" w:eastAsia="zh-CN"/>
                          </w:rPr>
                        </m:ctrlPr>
                      </m:sup>
                      <m:e>
                        <m:sSub>
                          <m:sSubPr>
                            <m:ctrlPr>
                              <w:rPr>
                                <w:rFonts w:hint="default" w:ascii="Cambria Math" w:hAnsi="Cambria Math"/>
                                <w:i/>
                                <w:sz w:val="24"/>
                                <w:szCs w:val="24"/>
                                <w:highlight w:val="none"/>
                                <w:lang w:val="en-US" w:eastAsia="zh-CN"/>
                              </w:rPr>
                            </m:ctrlPr>
                          </m:sSubPr>
                          <m:e>
                            <m:r>
                              <m:rPr/>
                              <w:rPr>
                                <w:rFonts w:hint="default" w:ascii="Cambria Math" w:hAnsi="Cambria Math"/>
                                <w:sz w:val="24"/>
                                <w:szCs w:val="24"/>
                                <w:highlight w:val="none"/>
                                <w:lang w:val="en-US" w:eastAsia="zh-CN"/>
                              </w:rPr>
                              <m:t>t</m:t>
                            </m:r>
                            <m:ctrlPr>
                              <w:rPr>
                                <w:rFonts w:hint="default" w:ascii="Cambria Math" w:hAnsi="Cambria Math"/>
                                <w:i/>
                                <w:sz w:val="24"/>
                                <w:szCs w:val="24"/>
                                <w:highlight w:val="none"/>
                                <w:lang w:val="en-US" w:eastAsia="zh-CN"/>
                              </w:rPr>
                            </m:ctrlPr>
                          </m:e>
                          <m:sub>
                            <m:r>
                              <m:rPr/>
                              <w:rPr>
                                <w:rFonts w:hint="default" w:ascii="Cambria Math" w:hAnsi="Cambria Math"/>
                                <w:sz w:val="24"/>
                                <w:szCs w:val="24"/>
                                <w:highlight w:val="none"/>
                                <w:lang w:val="en-US" w:eastAsia="zh-CN"/>
                              </w:rPr>
                              <m:t>i</m:t>
                            </m:r>
                            <m:ctrlPr>
                              <w:rPr>
                                <w:rFonts w:hint="default" w:ascii="Cambria Math" w:hAnsi="Cambria Math"/>
                                <w:i/>
                                <w:sz w:val="24"/>
                                <w:szCs w:val="24"/>
                                <w:highlight w:val="none"/>
                                <w:lang w:val="en-US" w:eastAsia="zh-CN"/>
                              </w:rPr>
                            </m:ctrlPr>
                          </m:sub>
                        </m:sSub>
                        <m:sSup>
                          <m:sSupPr>
                            <m:ctrlPr>
                              <w:rPr>
                                <w:rFonts w:hint="default" w:ascii="Cambria Math" w:hAnsi="Cambria Math"/>
                                <w:i/>
                                <w:sz w:val="24"/>
                                <w:szCs w:val="24"/>
                                <w:highlight w:val="none"/>
                                <w:lang w:val="en-US" w:eastAsia="zh-CN"/>
                              </w:rPr>
                            </m:ctrlPr>
                          </m:sSupPr>
                          <m:e>
                            <m:r>
                              <m:rPr/>
                              <w:rPr>
                                <w:rFonts w:hint="default" w:ascii="Cambria Math" w:hAnsi="Cambria Math"/>
                                <w:sz w:val="24"/>
                                <w:szCs w:val="24"/>
                                <w:highlight w:val="none"/>
                                <w:lang w:val="en-US" w:eastAsia="zh-CN"/>
                              </w:rPr>
                              <m:t>10</m:t>
                            </m:r>
                            <m:ctrlPr>
                              <w:rPr>
                                <w:rFonts w:hint="default" w:ascii="Cambria Math" w:hAnsi="Cambria Math"/>
                                <w:i/>
                                <w:sz w:val="24"/>
                                <w:szCs w:val="24"/>
                                <w:highlight w:val="none"/>
                                <w:lang w:val="en-US" w:eastAsia="zh-CN"/>
                              </w:rPr>
                            </m:ctrlPr>
                          </m:e>
                          <m:sup>
                            <m:sSub>
                              <m:sSubPr>
                                <m:ctrlPr>
                                  <w:rPr>
                                    <w:rFonts w:hint="default" w:ascii="Cambria Math" w:hAnsi="Cambria Math"/>
                                    <w:i/>
                                    <w:sz w:val="24"/>
                                    <w:szCs w:val="24"/>
                                    <w:highlight w:val="none"/>
                                    <w:lang w:val="en-US" w:eastAsia="zh-CN"/>
                                  </w:rPr>
                                </m:ctrlPr>
                              </m:sSubPr>
                              <m:e>
                                <m:r>
                                  <m:rPr/>
                                  <w:rPr>
                                    <w:rFonts w:hint="default" w:ascii="Cambria Math" w:hAnsi="Cambria Math"/>
                                    <w:sz w:val="24"/>
                                    <w:szCs w:val="24"/>
                                    <w:highlight w:val="none"/>
                                    <w:lang w:val="en-US" w:eastAsia="zh-CN"/>
                                  </w:rPr>
                                  <m:t>0.1L</m:t>
                                </m:r>
                                <m:ctrlPr>
                                  <w:rPr>
                                    <w:rFonts w:hint="default" w:ascii="Cambria Math" w:hAnsi="Cambria Math"/>
                                    <w:i/>
                                    <w:sz w:val="24"/>
                                    <w:szCs w:val="24"/>
                                    <w:highlight w:val="none"/>
                                    <w:lang w:val="en-US" w:eastAsia="zh-CN"/>
                                  </w:rPr>
                                </m:ctrlPr>
                              </m:e>
                              <m:sub>
                                <m:r>
                                  <m:rPr/>
                                  <w:rPr>
                                    <w:rFonts w:hint="default" w:ascii="Cambria Math" w:hAnsi="Cambria Math"/>
                                    <w:sz w:val="24"/>
                                    <w:szCs w:val="24"/>
                                    <w:highlight w:val="none"/>
                                    <w:lang w:val="en-US" w:eastAsia="zh-CN"/>
                                  </w:rPr>
                                  <m:t>Ai</m:t>
                                </m:r>
                                <m:ctrlPr>
                                  <w:rPr>
                                    <w:rFonts w:hint="default" w:ascii="Cambria Math" w:hAnsi="Cambria Math"/>
                                    <w:i/>
                                    <w:sz w:val="24"/>
                                    <w:szCs w:val="24"/>
                                    <w:highlight w:val="none"/>
                                    <w:lang w:val="en-US" w:eastAsia="zh-CN"/>
                                  </w:rPr>
                                </m:ctrlPr>
                              </m:sub>
                            </m:sSub>
                            <m:ctrlPr>
                              <w:rPr>
                                <w:rFonts w:hint="default" w:ascii="Cambria Math" w:hAnsi="Cambria Math"/>
                                <w:i/>
                                <w:sz w:val="24"/>
                                <w:szCs w:val="24"/>
                                <w:highlight w:val="none"/>
                                <w:lang w:val="en-US" w:eastAsia="zh-CN"/>
                              </w:rPr>
                            </m:ctrlPr>
                          </m:sup>
                        </m:sSup>
                        <m:ctrlPr>
                          <w:rPr>
                            <w:rFonts w:hint="default" w:ascii="Cambria Math" w:hAnsi="Cambria Math"/>
                            <w:i/>
                            <w:sz w:val="24"/>
                            <w:szCs w:val="24"/>
                            <w:highlight w:val="none"/>
                            <w:lang w:val="en-US" w:eastAsia="zh-CN"/>
                          </w:rPr>
                        </m:ctrlPr>
                      </m:e>
                    </m:nary>
                    <m:ctrlPr>
                      <w:rPr>
                        <w:rFonts w:hint="default" w:ascii="Cambria Math" w:hAnsi="Cambria Math"/>
                        <w:i/>
                        <w:sz w:val="24"/>
                        <w:szCs w:val="24"/>
                        <w:highlight w:val="none"/>
                        <w:lang w:val="en-US" w:eastAsia="zh-CN"/>
                      </w:rPr>
                    </m:ctrlPr>
                  </m:e>
                </m:d>
              </m:oMath>
            </m:oMathPara>
          </w:p>
          <w:p w14:paraId="1370F015">
            <w:pPr>
              <w:pStyle w:val="6"/>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式中</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噪声贡献值，dB(A</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w:t>
            </w:r>
          </w:p>
          <w:p w14:paraId="7A3C545C">
            <w:pPr>
              <w:pStyle w:val="6"/>
              <w:bidi w:val="0"/>
              <w:ind w:firstLine="1200" w:firstLineChars="500"/>
              <w:rPr>
                <w:rFonts w:hint="default" w:ascii="Times New Roman" w:hAnsi="Times New Roman" w:cs="Times New Roman"/>
                <w:i w:val="0"/>
                <w:color w:val="auto"/>
                <w:sz w:val="24"/>
                <w:szCs w:val="24"/>
                <w:highlight w:val="none"/>
                <w:lang w:val="en-US" w:eastAsia="zh-CN"/>
              </w:rPr>
            </w:pPr>
            <w:r>
              <w:rPr>
                <w:rFonts w:hint="default" w:ascii="Times New Roman" w:hAnsi="Times New Roman" w:cs="Times New Roman"/>
                <w:i w:val="0"/>
                <w:color w:val="auto"/>
                <w:sz w:val="24"/>
                <w:szCs w:val="24"/>
                <w:highlight w:val="none"/>
                <w:lang w:val="en-US" w:eastAsia="zh-CN"/>
              </w:rPr>
              <w:t>T：预测计算的时间段，s；</w:t>
            </w:r>
          </w:p>
          <w:p w14:paraId="7B375ED6">
            <w:pPr>
              <w:pStyle w:val="6"/>
              <w:bidi w:val="0"/>
              <w:ind w:firstLine="1200" w:firstLineChars="500"/>
              <w:rPr>
                <w:rFonts w:hint="default" w:ascii="Times New Roman" w:hAnsi="Times New Roman" w:cs="Times New Roman"/>
                <w:i w:val="0"/>
                <w:color w:val="auto"/>
                <w:sz w:val="24"/>
                <w:szCs w:val="24"/>
                <w:highlight w:val="none"/>
                <w:lang w:val="en-US" w:eastAsia="zh-CN"/>
              </w:rPr>
            </w:pPr>
            <m:oMath>
              <m:sSub>
                <m:sSubPr>
                  <m:ctrlPr>
                    <w:rPr>
                      <w:rFonts w:hint="default" w:ascii="Cambria Math" w:hAnsi="Cambria Math" w:cs="Times New Roman"/>
                      <w:i/>
                      <w:color w:val="auto"/>
                      <w:sz w:val="24"/>
                      <w:szCs w:val="24"/>
                      <w:highlight w:val="none"/>
                      <w:lang w:val="en-US" w:eastAsia="zh-CN"/>
                    </w:rPr>
                  </m:ctrlPr>
                </m:sSubPr>
                <m:e>
                  <m:r>
                    <m:rPr>
                      <m:nor/>
                    </m:rPr>
                    <w:rPr>
                      <w:rFonts w:hint="default" w:ascii="Times New Roman" w:hAnsi="Times New Roman" w:cs="Times New Roman"/>
                      <w:i/>
                      <w:color w:val="auto"/>
                      <w:sz w:val="24"/>
                      <w:szCs w:val="24"/>
                      <w:highlight w:val="none"/>
                      <w:lang w:val="en-US" w:eastAsia="zh-CN"/>
                    </w:rPr>
                    <m:t>t</m:t>
                  </m:r>
                  <m:ctrlPr>
                    <w:rPr>
                      <w:rFonts w:hint="default" w:ascii="Cambria Math" w:hAnsi="Cambria Math" w:cs="Times New Roman"/>
                      <w:i/>
                      <w:color w:val="auto"/>
                      <w:sz w:val="24"/>
                      <w:szCs w:val="24"/>
                      <w:highlight w:val="none"/>
                      <w:lang w:val="en-US" w:eastAsia="zh-CN"/>
                    </w:rPr>
                  </m:ctrlPr>
                </m:e>
                <m:sub>
                  <m:r>
                    <m:rPr>
                      <m:nor/>
                    </m:rPr>
                    <w:rPr>
                      <w:rFonts w:hint="default" w:ascii="Times New Roman" w:hAnsi="Times New Roman" w:cs="Times New Roman"/>
                      <w:i/>
                      <w:color w:val="auto"/>
                      <w:sz w:val="24"/>
                      <w:szCs w:val="24"/>
                      <w:highlight w:val="none"/>
                      <w:lang w:val="en-US" w:eastAsia="zh-CN"/>
                    </w:rPr>
                    <m:t>i</m:t>
                  </m:r>
                  <m:ctrlPr>
                    <w:rPr>
                      <w:rFonts w:hint="default" w:ascii="Cambria Math" w:hAnsi="Cambria Math" w:cs="Times New Roman"/>
                      <w:i/>
                      <w:color w:val="auto"/>
                      <w:sz w:val="24"/>
                      <w:szCs w:val="24"/>
                      <w:highlight w:val="none"/>
                      <w:lang w:val="en-US" w:eastAsia="zh-CN"/>
                    </w:rPr>
                  </m:ctrlPr>
                </m:sub>
              </m:sSub>
            </m:oMath>
            <w:r>
              <w:rPr>
                <w:rFonts w:hint="default" w:ascii="Times New Roman" w:hAnsi="Times New Roman" w:cs="Times New Roman"/>
                <w:i w:val="0"/>
                <w:color w:val="auto"/>
                <w:sz w:val="24"/>
                <w:szCs w:val="24"/>
                <w:highlight w:val="none"/>
                <w:lang w:val="en-US" w:eastAsia="zh-CN"/>
              </w:rPr>
              <w:t>：i声源在T时段内的运行时间，s；</w:t>
            </w:r>
          </w:p>
          <w:p w14:paraId="672F24DE">
            <w:pPr>
              <w:pStyle w:val="6"/>
              <w:bidi w:val="0"/>
              <w:ind w:firstLine="1200" w:firstLineChars="500"/>
              <w:rPr>
                <w:rFonts w:hint="default" w:ascii="Times New Roman" w:hAnsi="Times New Roman" w:cs="Times New Roman"/>
                <w:i w:val="0"/>
                <w:color w:val="auto"/>
                <w:sz w:val="24"/>
                <w:szCs w:val="24"/>
                <w:highlight w:val="none"/>
                <w:lang w:val="en-US" w:eastAsia="zh-CN"/>
              </w:rPr>
            </w:pPr>
            <m:oMath>
              <m:sSub>
                <m:sSubPr>
                  <m:ctrlPr>
                    <w:rPr>
                      <w:rFonts w:hint="default" w:ascii="Cambria Math" w:hAnsi="Cambria Math" w:cs="Times New Roman"/>
                      <w:i/>
                      <w:color w:val="auto"/>
                      <w:sz w:val="24"/>
                      <w:szCs w:val="24"/>
                      <w:highlight w:val="none"/>
                      <w:lang w:val="en-US" w:eastAsia="zh-CN"/>
                    </w:rPr>
                  </m:ctrlPr>
                </m:sSubPr>
                <m:e>
                  <m:r>
                    <m:rPr>
                      <m:nor/>
                    </m:rPr>
                    <w:rPr>
                      <w:rFonts w:hint="default" w:ascii="Times New Roman" w:hAnsi="Times New Roman" w:cs="Times New Roman"/>
                      <w:i/>
                      <w:color w:val="auto"/>
                      <w:sz w:val="24"/>
                      <w:szCs w:val="24"/>
                      <w:highlight w:val="none"/>
                      <w:lang w:val="en-US" w:eastAsia="zh-CN"/>
                    </w:rPr>
                    <m:t>L</m:t>
                  </m:r>
                  <m:ctrlPr>
                    <w:rPr>
                      <w:rFonts w:hint="default" w:ascii="Cambria Math" w:hAnsi="Cambria Math" w:cs="Times New Roman"/>
                      <w:i/>
                      <w:color w:val="auto"/>
                      <w:sz w:val="24"/>
                      <w:szCs w:val="24"/>
                      <w:highlight w:val="none"/>
                      <w:lang w:val="en-US" w:eastAsia="zh-CN"/>
                    </w:rPr>
                  </m:ctrlPr>
                </m:e>
                <m:sub>
                  <m:r>
                    <m:rPr>
                      <m:nor/>
                    </m:rPr>
                    <w:rPr>
                      <w:rFonts w:hint="default" w:ascii="Times New Roman" w:hAnsi="Times New Roman" w:cs="Times New Roman"/>
                      <w:i/>
                      <w:color w:val="auto"/>
                      <w:sz w:val="24"/>
                      <w:szCs w:val="24"/>
                      <w:highlight w:val="none"/>
                      <w:lang w:val="en-US" w:eastAsia="zh-CN"/>
                    </w:rPr>
                    <m:t>Ai</m:t>
                  </m:r>
                  <m:ctrlPr>
                    <w:rPr>
                      <w:rFonts w:hint="default" w:ascii="Cambria Math" w:hAnsi="Cambria Math" w:cs="Times New Roman"/>
                      <w:i/>
                      <w:color w:val="auto"/>
                      <w:sz w:val="24"/>
                      <w:szCs w:val="24"/>
                      <w:highlight w:val="none"/>
                      <w:lang w:val="en-US" w:eastAsia="zh-CN"/>
                    </w:rPr>
                  </m:ctrlPr>
                </m:sub>
              </m:sSub>
            </m:oMath>
            <w:r>
              <w:rPr>
                <w:rFonts w:hint="default" w:ascii="Times New Roman" w:hAnsi="Times New Roman" w:cs="Times New Roman"/>
                <w:i w:val="0"/>
                <w:color w:val="auto"/>
                <w:sz w:val="24"/>
                <w:szCs w:val="24"/>
                <w:highlight w:val="none"/>
                <w:lang w:val="en-US" w:eastAsia="zh-CN"/>
              </w:rPr>
              <w:t>：i声源在预测点产生的等效连续A声级，</w:t>
            </w:r>
            <w:r>
              <w:rPr>
                <w:rFonts w:hint="default" w:ascii="Times New Roman" w:hAnsi="Times New Roman" w:cs="Times New Roman"/>
                <w:color w:val="auto"/>
                <w:sz w:val="24"/>
                <w:szCs w:val="24"/>
                <w:highlight w:val="none"/>
                <w:lang w:val="en-US" w:eastAsia="zh-CN"/>
              </w:rPr>
              <w:t>dB(A</w:t>
            </w:r>
            <w:r>
              <w:rPr>
                <w:rFonts w:hint="eastAsia" w:cs="Times New Roman"/>
                <w:color w:val="auto"/>
                <w:sz w:val="24"/>
                <w:szCs w:val="24"/>
                <w:highlight w:val="none"/>
                <w:lang w:val="en-US" w:eastAsia="zh-CN"/>
              </w:rPr>
              <w:t>）</w:t>
            </w:r>
            <w:r>
              <w:rPr>
                <w:rFonts w:hint="default" w:ascii="Times New Roman" w:hAnsi="Times New Roman" w:cs="Times New Roman"/>
                <w:i w:val="0"/>
                <w:color w:val="auto"/>
                <w:sz w:val="24"/>
                <w:szCs w:val="24"/>
                <w:highlight w:val="none"/>
                <w:lang w:val="en-US" w:eastAsia="zh-CN"/>
              </w:rPr>
              <w:t>。</w:t>
            </w:r>
          </w:p>
          <w:p w14:paraId="09164B00">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噪声预测采用下列公式：</w:t>
            </w:r>
          </w:p>
          <w:p w14:paraId="085AF7BC">
            <w:pPr>
              <w:spacing w:line="360"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position w:val="-14"/>
                <w:sz w:val="24"/>
                <w:highlight w:val="none"/>
              </w:rPr>
              <w:object>
                <v:shape id="_x0000_i1026" o:spt="75" type="#_x0000_t75" style="height:20.4pt;width:135.15pt;" o:ole="t" filled="f" o:preferrelative="t" stroked="f" coordsize="21600,21600">
                  <v:path/>
                  <v:fill on="f" focussize="0,0"/>
                  <v:stroke on="f" joinstyle="miter"/>
                  <v:imagedata r:id="rId17" o:title=""/>
                  <o:lock v:ext="edit" aspectratio="t"/>
                  <w10:wrap type="none"/>
                  <w10:anchorlock/>
                </v:shape>
                <o:OLEObject Type="Embed" ProgID="Equation.3" ShapeID="_x0000_i1026" DrawAspect="Content" ObjectID="_1468075726" r:id="rId16">
                  <o:LockedField>false</o:LockedField>
                </o:OLEObject>
              </w:object>
            </w:r>
          </w:p>
          <w:p w14:paraId="632FB419">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w:t>
            </w:r>
            <w:r>
              <w:rPr>
                <w:rFonts w:hint="default" w:ascii="Times New Roman" w:hAnsi="Times New Roman" w:cs="Times New Roman"/>
                <w:color w:val="auto"/>
                <w:sz w:val="24"/>
                <w:highlight w:val="none"/>
              </w:rPr>
              <w:drawing>
                <wp:inline distT="0" distB="0" distL="114300" distR="114300">
                  <wp:extent cx="209550" cy="238125"/>
                  <wp:effectExtent l="0" t="0" r="3810" b="4445"/>
                  <wp:docPr id="1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6"/>
                          <pic:cNvPicPr>
                            <a:picLocks noChangeAspect="1"/>
                          </pic:cNvPicPr>
                        </pic:nvPicPr>
                        <pic:blipFill>
                          <a:blip r:embed="rId18"/>
                          <a:stretch>
                            <a:fillRect/>
                          </a:stretch>
                        </pic:blipFill>
                        <pic:spPr>
                          <a:xfrm>
                            <a:off x="0" y="0"/>
                            <a:ext cx="209550" cy="238125"/>
                          </a:xfrm>
                          <a:prstGeom prst="rect">
                            <a:avLst/>
                          </a:prstGeom>
                          <a:noFill/>
                          <a:ln>
                            <a:noFill/>
                          </a:ln>
                        </pic:spPr>
                      </pic:pic>
                    </a:graphicData>
                  </a:graphic>
                </wp:inline>
              </w:drawing>
            </w:r>
            <w:r>
              <w:rPr>
                <w:rFonts w:hint="default" w:ascii="Times New Roman" w:hAnsi="Times New Roman" w:cs="Times New Roman"/>
                <w:color w:val="auto"/>
                <w:sz w:val="24"/>
                <w:highlight w:val="none"/>
              </w:rPr>
              <w:t>—预测点的噪声预测值，dB；</w:t>
            </w:r>
          </w:p>
          <w:p w14:paraId="19E6D96E">
            <w:pPr>
              <w:spacing w:line="360" w:lineRule="auto"/>
              <w:ind w:firstLine="1440" w:firstLineChars="6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257175" cy="238125"/>
                  <wp:effectExtent l="0" t="0" r="1905" b="4445"/>
                  <wp:docPr id="1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7"/>
                          <pic:cNvPicPr>
                            <a:picLocks noChangeAspect="1"/>
                          </pic:cNvPicPr>
                        </pic:nvPicPr>
                        <pic:blipFill>
                          <a:blip r:embed="rId19"/>
                          <a:stretch>
                            <a:fillRect/>
                          </a:stretch>
                        </pic:blipFill>
                        <pic:spPr>
                          <a:xfrm>
                            <a:off x="0" y="0"/>
                            <a:ext cx="257175" cy="238125"/>
                          </a:xfrm>
                          <a:prstGeom prst="rect">
                            <a:avLst/>
                          </a:prstGeom>
                          <a:noFill/>
                          <a:ln>
                            <a:noFill/>
                          </a:ln>
                        </pic:spPr>
                      </pic:pic>
                    </a:graphicData>
                  </a:graphic>
                </wp:inline>
              </w:drawing>
            </w:r>
            <w:r>
              <w:rPr>
                <w:rFonts w:hint="default" w:ascii="Times New Roman" w:hAnsi="Times New Roman" w:cs="Times New Roman"/>
                <w:color w:val="auto"/>
                <w:sz w:val="24"/>
                <w:highlight w:val="none"/>
              </w:rPr>
              <w:t>—建设项目声源在预测点产生的噪声贡献值，dB；</w:t>
            </w:r>
          </w:p>
          <w:p w14:paraId="65E771F2">
            <w:pPr>
              <w:spacing w:line="360" w:lineRule="auto"/>
              <w:ind w:firstLine="1440" w:firstLineChars="6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283210" cy="251460"/>
                  <wp:effectExtent l="0" t="0" r="0" b="0"/>
                  <wp:docPr id="1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8"/>
                          <pic:cNvPicPr>
                            <a:picLocks noChangeAspect="1"/>
                          </pic:cNvPicPr>
                        </pic:nvPicPr>
                        <pic:blipFill>
                          <a:blip r:embed="rId20"/>
                          <a:stretch>
                            <a:fillRect/>
                          </a:stretch>
                        </pic:blipFill>
                        <pic:spPr>
                          <a:xfrm>
                            <a:off x="0" y="0"/>
                            <a:ext cx="283210" cy="251460"/>
                          </a:xfrm>
                          <a:prstGeom prst="rect">
                            <a:avLst/>
                          </a:prstGeom>
                          <a:noFill/>
                          <a:ln>
                            <a:noFill/>
                          </a:ln>
                        </pic:spPr>
                      </pic:pic>
                    </a:graphicData>
                  </a:graphic>
                </wp:inline>
              </w:drawing>
            </w:r>
            <w:r>
              <w:rPr>
                <w:rFonts w:hint="default" w:ascii="Times New Roman" w:hAnsi="Times New Roman" w:cs="Times New Roman"/>
                <w:color w:val="auto"/>
                <w:sz w:val="24"/>
                <w:highlight w:val="none"/>
              </w:rPr>
              <w:t>—预测点的背景噪声值，dB；</w:t>
            </w:r>
          </w:p>
          <w:p w14:paraId="4F6B6924">
            <w:pPr>
              <w:pStyle w:val="6"/>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本项目噪声预测结果见下</w:t>
            </w:r>
            <w:r>
              <w:rPr>
                <w:rFonts w:hint="eastAsia" w:cs="Times New Roman"/>
                <w:color w:val="auto"/>
                <w:sz w:val="24"/>
                <w:szCs w:val="24"/>
                <w:highlight w:val="none"/>
                <w:lang w:val="en-US" w:eastAsia="zh-CN"/>
              </w:rPr>
              <w:t>表</w:t>
            </w:r>
            <w:r>
              <w:rPr>
                <w:rFonts w:hint="default" w:ascii="Times New Roman" w:hAnsi="Times New Roman" w:cs="Times New Roman"/>
                <w:color w:val="auto"/>
                <w:sz w:val="24"/>
                <w:szCs w:val="24"/>
                <w:highlight w:val="none"/>
                <w:lang w:val="en-US" w:eastAsia="zh-CN"/>
              </w:rPr>
              <w:t>。</w:t>
            </w:r>
          </w:p>
          <w:p w14:paraId="7DF648E4">
            <w:pPr>
              <w:pStyle w:val="6"/>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cs="Times New Roman"/>
                <w:color w:val="auto"/>
                <w:highlight w:val="none"/>
                <w:lang w:val="en-US"/>
              </w:rPr>
            </w:pPr>
            <w:r>
              <w:rPr>
                <w:rFonts w:hint="default" w:ascii="Times New Roman" w:hAnsi="Times New Roman" w:cs="Times New Roman"/>
                <w:b/>
                <w:bCs/>
                <w:color w:val="auto"/>
                <w:highlight w:val="none"/>
                <w:lang w:val="en-US" w:eastAsia="zh-CN"/>
              </w:rPr>
              <w:t>表4-3-2本项目主要设备贡献值一览表</w:t>
            </w:r>
          </w:p>
          <w:tbl>
            <w:tblPr>
              <w:tblStyle w:val="15"/>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5"/>
              <w:gridCol w:w="795"/>
              <w:gridCol w:w="735"/>
              <w:gridCol w:w="750"/>
              <w:gridCol w:w="720"/>
              <w:gridCol w:w="795"/>
              <w:gridCol w:w="705"/>
              <w:gridCol w:w="780"/>
              <w:gridCol w:w="741"/>
            </w:tblGrid>
            <w:tr w14:paraId="15618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1925" w:type="dxa"/>
                  <w:vMerge w:val="restart"/>
                  <w:vAlign w:val="center"/>
                </w:tcPr>
                <w:p w14:paraId="0D6EC62B">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噪声源</w:t>
                  </w:r>
                </w:p>
              </w:tc>
              <w:tc>
                <w:tcPr>
                  <w:tcW w:w="795" w:type="dxa"/>
                  <w:vMerge w:val="restart"/>
                  <w:vAlign w:val="center"/>
                </w:tcPr>
                <w:p w14:paraId="29653A93">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源强</w:t>
                  </w:r>
                  <w:r>
                    <w:rPr>
                      <w:rFonts w:hint="eastAsia" w:cs="Times New Roman"/>
                      <w:color w:val="auto"/>
                      <w:sz w:val="21"/>
                      <w:szCs w:val="21"/>
                      <w:highlight w:val="none"/>
                      <w:vertAlign w:val="baseline"/>
                      <w:lang w:val="en-US" w:eastAsia="zh-CN"/>
                    </w:rPr>
                    <w:t>（</w:t>
                  </w:r>
                  <w:r>
                    <w:rPr>
                      <w:rFonts w:hint="default" w:ascii="Times New Roman" w:hAnsi="Times New Roman" w:cs="Times New Roman"/>
                      <w:color w:val="auto"/>
                      <w:sz w:val="21"/>
                      <w:szCs w:val="21"/>
                      <w:highlight w:val="none"/>
                      <w:vertAlign w:val="baseline"/>
                      <w:lang w:val="en-US" w:eastAsia="zh-CN"/>
                    </w:rPr>
                    <w:t>A</w:t>
                  </w:r>
                  <w:r>
                    <w:rPr>
                      <w:rFonts w:hint="eastAsia" w:cs="Times New Roman"/>
                      <w:color w:val="auto"/>
                      <w:sz w:val="21"/>
                      <w:szCs w:val="21"/>
                      <w:highlight w:val="none"/>
                      <w:vertAlign w:val="baseline"/>
                      <w:lang w:val="en-US" w:eastAsia="zh-CN"/>
                    </w:rPr>
                    <w:t>）</w:t>
                  </w:r>
                </w:p>
              </w:tc>
              <w:tc>
                <w:tcPr>
                  <w:tcW w:w="5226" w:type="dxa"/>
                  <w:gridSpan w:val="7"/>
                  <w:vAlign w:val="center"/>
                </w:tcPr>
                <w:p w14:paraId="7799987A">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lang w:val="en-US" w:eastAsia="zh-CN"/>
                    </w:rPr>
                    <w:t>贡献值</w:t>
                  </w:r>
                  <w:r>
                    <w:rPr>
                      <w:rFonts w:hint="eastAsia" w:cs="Times New Roman"/>
                      <w:color w:val="auto"/>
                      <w:sz w:val="21"/>
                      <w:szCs w:val="21"/>
                      <w:highlight w:val="none"/>
                      <w:vertAlign w:val="baseline"/>
                      <w:lang w:val="en-US" w:eastAsia="zh-CN"/>
                    </w:rPr>
                    <w:t>（</w:t>
                  </w:r>
                  <w:r>
                    <w:rPr>
                      <w:rFonts w:hint="default" w:ascii="Times New Roman" w:hAnsi="Times New Roman" w:cs="Times New Roman"/>
                      <w:color w:val="auto"/>
                      <w:sz w:val="21"/>
                      <w:szCs w:val="21"/>
                      <w:highlight w:val="none"/>
                      <w:vertAlign w:val="baseline"/>
                      <w:lang w:val="en-US" w:eastAsia="zh-CN"/>
                    </w:rPr>
                    <w:t>A</w:t>
                  </w:r>
                  <w:r>
                    <w:rPr>
                      <w:rFonts w:hint="eastAsia" w:cs="Times New Roman"/>
                      <w:color w:val="auto"/>
                      <w:sz w:val="21"/>
                      <w:szCs w:val="21"/>
                      <w:highlight w:val="none"/>
                      <w:vertAlign w:val="baseline"/>
                      <w:lang w:val="en-US" w:eastAsia="zh-CN"/>
                    </w:rPr>
                    <w:t>）</w:t>
                  </w:r>
                </w:p>
              </w:tc>
            </w:tr>
            <w:tr w14:paraId="2A62A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5" w:type="dxa"/>
                  <w:vMerge w:val="continue"/>
                  <w:vAlign w:val="center"/>
                </w:tcPr>
                <w:p w14:paraId="5A757E80">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rPr>
                  </w:pPr>
                </w:p>
              </w:tc>
              <w:tc>
                <w:tcPr>
                  <w:tcW w:w="795" w:type="dxa"/>
                  <w:vMerge w:val="continue"/>
                  <w:vAlign w:val="center"/>
                </w:tcPr>
                <w:p w14:paraId="59D6EEDF">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rPr>
                  </w:pPr>
                </w:p>
              </w:tc>
              <w:tc>
                <w:tcPr>
                  <w:tcW w:w="735" w:type="dxa"/>
                  <w:shd w:val="clear" w:color="auto" w:fill="auto"/>
                  <w:vAlign w:val="center"/>
                </w:tcPr>
                <w:p w14:paraId="080B48D0">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40</w:t>
                  </w:r>
                </w:p>
              </w:tc>
              <w:tc>
                <w:tcPr>
                  <w:tcW w:w="750" w:type="dxa"/>
                  <w:vAlign w:val="center"/>
                </w:tcPr>
                <w:p w14:paraId="4F32ED1C">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45</w:t>
                  </w:r>
                </w:p>
              </w:tc>
              <w:tc>
                <w:tcPr>
                  <w:tcW w:w="720" w:type="dxa"/>
                  <w:vAlign w:val="center"/>
                </w:tcPr>
                <w:p w14:paraId="4446C220">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60</w:t>
                  </w:r>
                </w:p>
              </w:tc>
              <w:tc>
                <w:tcPr>
                  <w:tcW w:w="795" w:type="dxa"/>
                  <w:vAlign w:val="center"/>
                </w:tcPr>
                <w:p w14:paraId="393232DE">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70</w:t>
                  </w:r>
                </w:p>
              </w:tc>
              <w:tc>
                <w:tcPr>
                  <w:tcW w:w="705" w:type="dxa"/>
                  <w:shd w:val="clear" w:color="auto" w:fill="auto"/>
                  <w:vAlign w:val="center"/>
                </w:tcPr>
                <w:p w14:paraId="16AC8C90">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80</w:t>
                  </w:r>
                </w:p>
              </w:tc>
              <w:tc>
                <w:tcPr>
                  <w:tcW w:w="780" w:type="dxa"/>
                  <w:shd w:val="clear" w:color="auto" w:fill="auto"/>
                  <w:vAlign w:val="center"/>
                </w:tcPr>
                <w:p w14:paraId="22064D64">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100</w:t>
                  </w:r>
                </w:p>
              </w:tc>
              <w:tc>
                <w:tcPr>
                  <w:tcW w:w="741" w:type="dxa"/>
                  <w:shd w:val="clear" w:color="auto" w:fill="auto"/>
                  <w:vAlign w:val="center"/>
                </w:tcPr>
                <w:p w14:paraId="1B12A868">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150</w:t>
                  </w:r>
                </w:p>
              </w:tc>
            </w:tr>
            <w:tr w14:paraId="2A0E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5" w:type="dxa"/>
                  <w:shd w:val="clear" w:color="auto" w:fill="auto"/>
                  <w:vAlign w:val="center"/>
                </w:tcPr>
                <w:p w14:paraId="71A6BF9F">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搅拌机</w:t>
                  </w:r>
                </w:p>
              </w:tc>
              <w:tc>
                <w:tcPr>
                  <w:tcW w:w="795" w:type="dxa"/>
                  <w:vAlign w:val="center"/>
                </w:tcPr>
                <w:p w14:paraId="5B2CE14C">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80</w:t>
                  </w:r>
                </w:p>
              </w:tc>
              <w:tc>
                <w:tcPr>
                  <w:tcW w:w="735" w:type="dxa"/>
                  <w:shd w:val="clear" w:color="auto" w:fill="auto"/>
                  <w:vAlign w:val="center"/>
                </w:tcPr>
                <w:p w14:paraId="3AE5B33F">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47.96</w:t>
                  </w:r>
                </w:p>
              </w:tc>
              <w:tc>
                <w:tcPr>
                  <w:tcW w:w="750" w:type="dxa"/>
                  <w:vAlign w:val="center"/>
                </w:tcPr>
                <w:p w14:paraId="39E9694A">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46.64</w:t>
                  </w:r>
                </w:p>
              </w:tc>
              <w:tc>
                <w:tcPr>
                  <w:tcW w:w="720" w:type="dxa"/>
                  <w:vAlign w:val="center"/>
                </w:tcPr>
                <w:p w14:paraId="4ED0CEE2">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44.44</w:t>
                  </w:r>
                </w:p>
              </w:tc>
              <w:tc>
                <w:tcPr>
                  <w:tcW w:w="795" w:type="dxa"/>
                  <w:vAlign w:val="center"/>
                </w:tcPr>
                <w:p w14:paraId="06021FDF">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43.1</w:t>
                  </w:r>
                </w:p>
              </w:tc>
              <w:tc>
                <w:tcPr>
                  <w:tcW w:w="705" w:type="dxa"/>
                  <w:shd w:val="clear" w:color="auto" w:fill="auto"/>
                  <w:vAlign w:val="center"/>
                </w:tcPr>
                <w:p w14:paraId="28D8AE53">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41.94</w:t>
                  </w:r>
                </w:p>
              </w:tc>
              <w:tc>
                <w:tcPr>
                  <w:tcW w:w="780" w:type="dxa"/>
                  <w:shd w:val="clear" w:color="auto" w:fill="auto"/>
                  <w:vAlign w:val="center"/>
                </w:tcPr>
                <w:p w14:paraId="20F038B0">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40</w:t>
                  </w:r>
                </w:p>
              </w:tc>
              <w:tc>
                <w:tcPr>
                  <w:tcW w:w="741" w:type="dxa"/>
                  <w:shd w:val="clear" w:color="auto" w:fill="auto"/>
                  <w:vAlign w:val="center"/>
                </w:tcPr>
                <w:p w14:paraId="1E61E1FF">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36.48</w:t>
                  </w:r>
                </w:p>
              </w:tc>
            </w:tr>
            <w:tr w14:paraId="3D6C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5" w:type="dxa"/>
                  <w:shd w:val="clear" w:color="auto" w:fill="auto"/>
                  <w:vAlign w:val="center"/>
                </w:tcPr>
                <w:p w14:paraId="45CA1849">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输送皮带</w:t>
                  </w:r>
                </w:p>
              </w:tc>
              <w:tc>
                <w:tcPr>
                  <w:tcW w:w="795" w:type="dxa"/>
                  <w:vAlign w:val="center"/>
                </w:tcPr>
                <w:p w14:paraId="50C935F0">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75</w:t>
                  </w:r>
                </w:p>
              </w:tc>
              <w:tc>
                <w:tcPr>
                  <w:tcW w:w="735" w:type="dxa"/>
                  <w:shd w:val="clear" w:color="auto" w:fill="auto"/>
                  <w:vAlign w:val="center"/>
                </w:tcPr>
                <w:p w14:paraId="04F4AC48">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42.96</w:t>
                  </w:r>
                </w:p>
              </w:tc>
              <w:tc>
                <w:tcPr>
                  <w:tcW w:w="750" w:type="dxa"/>
                  <w:vAlign w:val="center"/>
                </w:tcPr>
                <w:p w14:paraId="1C8F3ED1">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41.94</w:t>
                  </w:r>
                </w:p>
              </w:tc>
              <w:tc>
                <w:tcPr>
                  <w:tcW w:w="720" w:type="dxa"/>
                  <w:vAlign w:val="center"/>
                </w:tcPr>
                <w:p w14:paraId="78CFB688">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39.44</w:t>
                  </w:r>
                </w:p>
              </w:tc>
              <w:tc>
                <w:tcPr>
                  <w:tcW w:w="795" w:type="dxa"/>
                  <w:vAlign w:val="center"/>
                </w:tcPr>
                <w:p w14:paraId="2F39869F">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38.4</w:t>
                  </w:r>
                </w:p>
              </w:tc>
              <w:tc>
                <w:tcPr>
                  <w:tcW w:w="705" w:type="dxa"/>
                  <w:shd w:val="clear" w:color="auto" w:fill="auto"/>
                  <w:vAlign w:val="center"/>
                </w:tcPr>
                <w:p w14:paraId="0221C802">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36.94</w:t>
                  </w:r>
                </w:p>
              </w:tc>
              <w:tc>
                <w:tcPr>
                  <w:tcW w:w="780" w:type="dxa"/>
                  <w:shd w:val="clear" w:color="auto" w:fill="auto"/>
                  <w:vAlign w:val="center"/>
                </w:tcPr>
                <w:p w14:paraId="0CEECD0F">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35</w:t>
                  </w:r>
                </w:p>
              </w:tc>
              <w:tc>
                <w:tcPr>
                  <w:tcW w:w="741" w:type="dxa"/>
                  <w:shd w:val="clear" w:color="auto" w:fill="auto"/>
                  <w:vAlign w:val="center"/>
                </w:tcPr>
                <w:p w14:paraId="3365488E">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31.48</w:t>
                  </w:r>
                </w:p>
              </w:tc>
            </w:tr>
            <w:tr w14:paraId="214DB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5" w:type="dxa"/>
                  <w:shd w:val="clear" w:color="auto" w:fill="auto"/>
                  <w:vAlign w:val="center"/>
                </w:tcPr>
                <w:p w14:paraId="1CABD626">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筒仓上料泵</w:t>
                  </w:r>
                </w:p>
              </w:tc>
              <w:tc>
                <w:tcPr>
                  <w:tcW w:w="795" w:type="dxa"/>
                  <w:vAlign w:val="center"/>
                </w:tcPr>
                <w:p w14:paraId="5D8B7A54">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70</w:t>
                  </w:r>
                </w:p>
              </w:tc>
              <w:tc>
                <w:tcPr>
                  <w:tcW w:w="735" w:type="dxa"/>
                  <w:shd w:val="clear" w:color="auto" w:fill="auto"/>
                  <w:vAlign w:val="center"/>
                </w:tcPr>
                <w:p w14:paraId="56FB8A2B">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37.96</w:t>
                  </w:r>
                </w:p>
              </w:tc>
              <w:tc>
                <w:tcPr>
                  <w:tcW w:w="750" w:type="dxa"/>
                  <w:vAlign w:val="center"/>
                </w:tcPr>
                <w:p w14:paraId="1FBE0862">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36.94</w:t>
                  </w:r>
                </w:p>
              </w:tc>
              <w:tc>
                <w:tcPr>
                  <w:tcW w:w="720" w:type="dxa"/>
                  <w:vAlign w:val="center"/>
                </w:tcPr>
                <w:p w14:paraId="792490DF">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34.44</w:t>
                  </w:r>
                </w:p>
              </w:tc>
              <w:tc>
                <w:tcPr>
                  <w:tcW w:w="795" w:type="dxa"/>
                  <w:vAlign w:val="center"/>
                </w:tcPr>
                <w:p w14:paraId="6C34B844">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33.1</w:t>
                  </w:r>
                </w:p>
              </w:tc>
              <w:tc>
                <w:tcPr>
                  <w:tcW w:w="705" w:type="dxa"/>
                  <w:shd w:val="clear" w:color="auto" w:fill="auto"/>
                  <w:vAlign w:val="center"/>
                </w:tcPr>
                <w:p w14:paraId="1D364F4D">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31.94</w:t>
                  </w:r>
                </w:p>
              </w:tc>
              <w:tc>
                <w:tcPr>
                  <w:tcW w:w="780" w:type="dxa"/>
                  <w:shd w:val="clear" w:color="auto" w:fill="auto"/>
                  <w:vAlign w:val="center"/>
                </w:tcPr>
                <w:p w14:paraId="13D3B276">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30</w:t>
                  </w:r>
                </w:p>
              </w:tc>
              <w:tc>
                <w:tcPr>
                  <w:tcW w:w="741" w:type="dxa"/>
                  <w:shd w:val="clear" w:color="auto" w:fill="auto"/>
                  <w:vAlign w:val="center"/>
                </w:tcPr>
                <w:p w14:paraId="1643061C">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26.48</w:t>
                  </w:r>
                </w:p>
              </w:tc>
            </w:tr>
            <w:tr w14:paraId="4645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5" w:type="dxa"/>
                  <w:shd w:val="clear" w:color="auto" w:fill="auto"/>
                  <w:vAlign w:val="center"/>
                </w:tcPr>
                <w:p w14:paraId="6AF872D0">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设备同时运行</w:t>
                  </w:r>
                </w:p>
              </w:tc>
              <w:tc>
                <w:tcPr>
                  <w:tcW w:w="795" w:type="dxa"/>
                  <w:vAlign w:val="center"/>
                </w:tcPr>
                <w:p w14:paraId="176B6722">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81.51</w:t>
                  </w:r>
                </w:p>
              </w:tc>
              <w:tc>
                <w:tcPr>
                  <w:tcW w:w="735" w:type="dxa"/>
                  <w:shd w:val="clear" w:color="auto" w:fill="auto"/>
                  <w:vAlign w:val="center"/>
                </w:tcPr>
                <w:p w14:paraId="2323183F">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49.47</w:t>
                  </w:r>
                </w:p>
              </w:tc>
              <w:tc>
                <w:tcPr>
                  <w:tcW w:w="750" w:type="dxa"/>
                  <w:vAlign w:val="center"/>
                </w:tcPr>
                <w:p w14:paraId="4602E12B">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48.45</w:t>
                  </w:r>
                </w:p>
              </w:tc>
              <w:tc>
                <w:tcPr>
                  <w:tcW w:w="720" w:type="dxa"/>
                  <w:vAlign w:val="center"/>
                </w:tcPr>
                <w:p w14:paraId="7DE8F8F6">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45.95</w:t>
                  </w:r>
                </w:p>
              </w:tc>
              <w:tc>
                <w:tcPr>
                  <w:tcW w:w="795" w:type="dxa"/>
                  <w:vAlign w:val="center"/>
                </w:tcPr>
                <w:p w14:paraId="42575849">
                  <w:pPr>
                    <w:pStyle w:val="6"/>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44.61</w:t>
                  </w:r>
                </w:p>
              </w:tc>
              <w:tc>
                <w:tcPr>
                  <w:tcW w:w="705" w:type="dxa"/>
                  <w:shd w:val="clear" w:color="auto" w:fill="auto"/>
                  <w:vAlign w:val="center"/>
                </w:tcPr>
                <w:p w14:paraId="3E895B78">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43.45</w:t>
                  </w:r>
                </w:p>
              </w:tc>
              <w:tc>
                <w:tcPr>
                  <w:tcW w:w="780" w:type="dxa"/>
                  <w:shd w:val="clear" w:color="auto" w:fill="auto"/>
                  <w:vAlign w:val="center"/>
                </w:tcPr>
                <w:p w14:paraId="74343394">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41.51</w:t>
                  </w:r>
                </w:p>
              </w:tc>
              <w:tc>
                <w:tcPr>
                  <w:tcW w:w="741" w:type="dxa"/>
                  <w:shd w:val="clear" w:color="auto" w:fill="auto"/>
                  <w:vAlign w:val="center"/>
                </w:tcPr>
                <w:p w14:paraId="75F8AEA2">
                  <w:pPr>
                    <w:pStyle w:val="6"/>
                    <w:keepNext w:val="0"/>
                    <w:keepLines w:val="0"/>
                    <w:pageBreakBefore w:val="0"/>
                    <w:widowControl/>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37.99</w:t>
                  </w:r>
                </w:p>
              </w:tc>
            </w:tr>
          </w:tbl>
          <w:p w14:paraId="0DB18D9B">
            <w:pPr>
              <w:pStyle w:val="6"/>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本项目建设后，全厂设备噪声贡献值经基础减振及距离衰减后，在厂界北侧贡献值为44.61(A</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，在厂界南侧贡献值为41.51(A</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，在厂界西侧贡献值为43.45(A</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，在厂界东侧贡献值为48.45(A</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，满足《工业企业厂界环境噪声排放标准》（GB12348-2008）中的3类排放标准要求。</w:t>
            </w:r>
          </w:p>
          <w:p w14:paraId="15516781">
            <w:pPr>
              <w:pStyle w:val="6"/>
              <w:bidi w:val="0"/>
              <w:jc w:val="center"/>
              <w:rPr>
                <w:rFonts w:hint="default"/>
                <w:b/>
                <w:bCs/>
                <w:color w:val="auto"/>
                <w:sz w:val="24"/>
                <w:szCs w:val="24"/>
                <w:highlight w:val="none"/>
                <w:lang w:val="en-US" w:eastAsia="zh-CN"/>
              </w:rPr>
            </w:pPr>
            <w:r>
              <w:rPr>
                <w:rFonts w:hint="eastAsia"/>
                <w:b/>
                <w:bCs/>
                <w:color w:val="auto"/>
                <w:sz w:val="24"/>
                <w:szCs w:val="24"/>
                <w:highlight w:val="none"/>
                <w:lang w:val="en-US" w:eastAsia="zh-CN"/>
              </w:rPr>
              <w:t>表4-3-3噪声预测值一览表</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6"/>
              <w:gridCol w:w="1114"/>
              <w:gridCol w:w="1186"/>
              <w:gridCol w:w="1514"/>
              <w:gridCol w:w="1290"/>
              <w:gridCol w:w="1401"/>
            </w:tblGrid>
            <w:tr w14:paraId="0E127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6" w:type="dxa"/>
                  <w:vAlign w:val="center"/>
                </w:tcPr>
                <w:p w14:paraId="59445656">
                  <w:pPr>
                    <w:ind w:left="0" w:leftChars="0" w:firstLine="0" w:firstLineChars="0"/>
                    <w:jc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预测点</w:t>
                  </w:r>
                </w:p>
              </w:tc>
              <w:tc>
                <w:tcPr>
                  <w:tcW w:w="2300" w:type="dxa"/>
                  <w:gridSpan w:val="2"/>
                  <w:vAlign w:val="center"/>
                </w:tcPr>
                <w:p w14:paraId="625BA753">
                  <w:pPr>
                    <w:ind w:left="0" w:leftChars="0" w:firstLine="0" w:firstLineChars="0"/>
                    <w:jc w:val="center"/>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背景值</w:t>
                  </w:r>
                  <w:r>
                    <w:rPr>
                      <w:rFonts w:hint="eastAsia" w:cs="Times New Roman"/>
                      <w:b w:val="0"/>
                      <w:bCs w:val="0"/>
                      <w:color w:val="auto"/>
                      <w:sz w:val="21"/>
                      <w:szCs w:val="21"/>
                      <w:highlight w:val="none"/>
                      <w:lang w:val="en-US" w:eastAsia="zh-CN"/>
                    </w:rPr>
                    <w:t>dB(A)</w:t>
                  </w:r>
                </w:p>
              </w:tc>
              <w:tc>
                <w:tcPr>
                  <w:tcW w:w="1514" w:type="dxa"/>
                  <w:vAlign w:val="center"/>
                </w:tcPr>
                <w:p w14:paraId="678ABA4D">
                  <w:pPr>
                    <w:ind w:left="0" w:leftChars="0" w:firstLine="0" w:firstLineChars="0"/>
                    <w:jc w:val="center"/>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贡献值</w:t>
                  </w:r>
                  <w:r>
                    <w:rPr>
                      <w:rFonts w:hint="eastAsia" w:cs="Times New Roman"/>
                      <w:b w:val="0"/>
                      <w:bCs w:val="0"/>
                      <w:color w:val="auto"/>
                      <w:sz w:val="21"/>
                      <w:szCs w:val="21"/>
                      <w:highlight w:val="none"/>
                      <w:lang w:val="en-US" w:eastAsia="zh-CN"/>
                    </w:rPr>
                    <w:t>dB(A)</w:t>
                  </w:r>
                </w:p>
              </w:tc>
              <w:tc>
                <w:tcPr>
                  <w:tcW w:w="2691" w:type="dxa"/>
                  <w:gridSpan w:val="2"/>
                  <w:vAlign w:val="center"/>
                </w:tcPr>
                <w:p w14:paraId="3BADDAB2">
                  <w:pPr>
                    <w:ind w:left="0" w:leftChars="0" w:firstLine="0" w:firstLineChars="0"/>
                    <w:jc w:val="center"/>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预测值</w:t>
                  </w:r>
                  <w:r>
                    <w:rPr>
                      <w:rFonts w:hint="eastAsia" w:cs="Times New Roman"/>
                      <w:b w:val="0"/>
                      <w:bCs w:val="0"/>
                      <w:color w:val="auto"/>
                      <w:sz w:val="21"/>
                      <w:szCs w:val="21"/>
                      <w:highlight w:val="none"/>
                      <w:lang w:val="en-US" w:eastAsia="zh-CN"/>
                    </w:rPr>
                    <w:t>dB(A)</w:t>
                  </w:r>
                </w:p>
              </w:tc>
            </w:tr>
            <w:tr w14:paraId="2C387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6" w:type="dxa"/>
                  <w:vAlign w:val="center"/>
                </w:tcPr>
                <w:p w14:paraId="464FD070">
                  <w:pPr>
                    <w:ind w:left="0" w:leftChars="0" w:firstLine="0" w:firstLineChars="0"/>
                    <w:jc w:val="center"/>
                    <w:rPr>
                      <w:color w:val="auto"/>
                      <w:sz w:val="21"/>
                      <w:szCs w:val="21"/>
                      <w:highlight w:val="none"/>
                      <w:vertAlign w:val="baseline"/>
                    </w:rPr>
                  </w:pPr>
                  <w:r>
                    <w:rPr>
                      <w:rFonts w:hint="eastAsia"/>
                      <w:color w:val="auto"/>
                      <w:sz w:val="21"/>
                      <w:szCs w:val="21"/>
                      <w:highlight w:val="none"/>
                      <w:vertAlign w:val="baseline"/>
                      <w:lang w:val="en-US" w:eastAsia="zh-CN"/>
                    </w:rPr>
                    <w:t>厂界东</w:t>
                  </w:r>
                </w:p>
              </w:tc>
              <w:tc>
                <w:tcPr>
                  <w:tcW w:w="1114" w:type="dxa"/>
                  <w:vAlign w:val="center"/>
                </w:tcPr>
                <w:p w14:paraId="5175C9DB">
                  <w:pPr>
                    <w:ind w:left="0" w:leftChars="0" w:firstLine="0" w:firstLineChars="0"/>
                    <w:jc w:val="center"/>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昼56</w:t>
                  </w:r>
                </w:p>
              </w:tc>
              <w:tc>
                <w:tcPr>
                  <w:tcW w:w="1186" w:type="dxa"/>
                  <w:vAlign w:val="center"/>
                </w:tcPr>
                <w:p w14:paraId="6F405C5E">
                  <w:pPr>
                    <w:ind w:left="0" w:leftChars="0" w:firstLine="0" w:firstLineChars="0"/>
                    <w:jc w:val="center"/>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夜44</w:t>
                  </w:r>
                </w:p>
              </w:tc>
              <w:tc>
                <w:tcPr>
                  <w:tcW w:w="1514" w:type="dxa"/>
                  <w:vAlign w:val="center"/>
                </w:tcPr>
                <w:p w14:paraId="0CF84917">
                  <w:pPr>
                    <w:ind w:left="0" w:leftChars="0" w:firstLine="0" w:firstLineChars="0"/>
                    <w:jc w:val="center"/>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47.74</w:t>
                  </w:r>
                </w:p>
              </w:tc>
              <w:tc>
                <w:tcPr>
                  <w:tcW w:w="1290" w:type="dxa"/>
                  <w:vAlign w:val="center"/>
                </w:tcPr>
                <w:p w14:paraId="2108882E">
                  <w:pPr>
                    <w:ind w:left="0" w:leftChars="0" w:firstLine="0" w:firstLineChars="0"/>
                    <w:jc w:val="center"/>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昼56.60</w:t>
                  </w:r>
                </w:p>
              </w:tc>
              <w:tc>
                <w:tcPr>
                  <w:tcW w:w="1401" w:type="dxa"/>
                  <w:vAlign w:val="center"/>
                </w:tcPr>
                <w:p w14:paraId="78163D47">
                  <w:pPr>
                    <w:ind w:left="0" w:leftChars="0" w:firstLine="0" w:firstLineChars="0"/>
                    <w:jc w:val="center"/>
                    <w:rPr>
                      <w:rFonts w:hint="default"/>
                      <w:color w:val="auto"/>
                      <w:sz w:val="21"/>
                      <w:szCs w:val="21"/>
                      <w:highlight w:val="none"/>
                      <w:vertAlign w:val="baseline"/>
                      <w:lang w:val="en-US"/>
                    </w:rPr>
                  </w:pPr>
                  <w:r>
                    <w:rPr>
                      <w:rFonts w:hint="eastAsia"/>
                      <w:color w:val="auto"/>
                      <w:sz w:val="21"/>
                      <w:szCs w:val="21"/>
                      <w:highlight w:val="none"/>
                      <w:vertAlign w:val="baseline"/>
                      <w:lang w:val="en-US" w:eastAsia="zh-CN"/>
                    </w:rPr>
                    <w:t>夜49.27</w:t>
                  </w:r>
                </w:p>
              </w:tc>
            </w:tr>
            <w:tr w14:paraId="6582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6" w:type="dxa"/>
                  <w:vAlign w:val="center"/>
                </w:tcPr>
                <w:p w14:paraId="5231A35F">
                  <w:pPr>
                    <w:ind w:left="0" w:leftChars="0" w:firstLine="0" w:firstLineChars="0"/>
                    <w:jc w:val="center"/>
                    <w:rPr>
                      <w:color w:val="auto"/>
                      <w:sz w:val="21"/>
                      <w:szCs w:val="21"/>
                      <w:highlight w:val="none"/>
                      <w:vertAlign w:val="baseline"/>
                    </w:rPr>
                  </w:pPr>
                  <w:r>
                    <w:rPr>
                      <w:rFonts w:hint="eastAsia"/>
                      <w:color w:val="auto"/>
                      <w:sz w:val="21"/>
                      <w:szCs w:val="21"/>
                      <w:highlight w:val="none"/>
                      <w:vertAlign w:val="baseline"/>
                      <w:lang w:val="en-US" w:eastAsia="zh-CN"/>
                    </w:rPr>
                    <w:t>厂界东</w:t>
                  </w:r>
                </w:p>
              </w:tc>
              <w:tc>
                <w:tcPr>
                  <w:tcW w:w="1114" w:type="dxa"/>
                  <w:vAlign w:val="center"/>
                </w:tcPr>
                <w:p w14:paraId="23C0769B">
                  <w:pPr>
                    <w:ind w:left="0" w:leftChars="0" w:firstLine="0" w:firstLineChars="0"/>
                    <w:jc w:val="center"/>
                    <w:rPr>
                      <w:rFonts w:hint="default"/>
                      <w:color w:val="auto"/>
                      <w:sz w:val="21"/>
                      <w:szCs w:val="21"/>
                      <w:highlight w:val="none"/>
                      <w:vertAlign w:val="baseline"/>
                      <w:lang w:val="en-US"/>
                    </w:rPr>
                  </w:pPr>
                  <w:r>
                    <w:rPr>
                      <w:rFonts w:hint="eastAsia"/>
                      <w:color w:val="auto"/>
                      <w:sz w:val="21"/>
                      <w:szCs w:val="21"/>
                      <w:highlight w:val="none"/>
                      <w:vertAlign w:val="baseline"/>
                      <w:lang w:val="en-US" w:eastAsia="zh-CN"/>
                    </w:rPr>
                    <w:t>昼53</w:t>
                  </w:r>
                </w:p>
              </w:tc>
              <w:tc>
                <w:tcPr>
                  <w:tcW w:w="1186" w:type="dxa"/>
                  <w:vAlign w:val="center"/>
                </w:tcPr>
                <w:p w14:paraId="5EA26B5B">
                  <w:pPr>
                    <w:ind w:left="0" w:leftChars="0" w:firstLine="0" w:firstLineChars="0"/>
                    <w:jc w:val="center"/>
                    <w:rPr>
                      <w:color w:val="auto"/>
                      <w:sz w:val="21"/>
                      <w:szCs w:val="21"/>
                      <w:highlight w:val="none"/>
                      <w:vertAlign w:val="baseline"/>
                    </w:rPr>
                  </w:pPr>
                  <w:r>
                    <w:rPr>
                      <w:rFonts w:hint="eastAsia"/>
                      <w:color w:val="auto"/>
                      <w:sz w:val="21"/>
                      <w:szCs w:val="21"/>
                      <w:highlight w:val="none"/>
                      <w:vertAlign w:val="baseline"/>
                      <w:lang w:val="en-US" w:eastAsia="zh-CN"/>
                    </w:rPr>
                    <w:t>夜44</w:t>
                  </w:r>
                </w:p>
              </w:tc>
              <w:tc>
                <w:tcPr>
                  <w:tcW w:w="1514" w:type="dxa"/>
                  <w:vAlign w:val="center"/>
                </w:tcPr>
                <w:p w14:paraId="088C358A">
                  <w:pPr>
                    <w:ind w:left="0" w:leftChars="0" w:firstLine="0" w:firstLineChars="0"/>
                    <w:jc w:val="center"/>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45.46</w:t>
                  </w:r>
                </w:p>
              </w:tc>
              <w:tc>
                <w:tcPr>
                  <w:tcW w:w="1290" w:type="dxa"/>
                  <w:vAlign w:val="center"/>
                </w:tcPr>
                <w:p w14:paraId="6A6D7094">
                  <w:pPr>
                    <w:ind w:left="0" w:leftChars="0" w:firstLine="0" w:firstLineChars="0"/>
                    <w:jc w:val="center"/>
                    <w:rPr>
                      <w:rFonts w:hint="default"/>
                      <w:color w:val="auto"/>
                      <w:sz w:val="21"/>
                      <w:szCs w:val="21"/>
                      <w:highlight w:val="none"/>
                      <w:vertAlign w:val="baseline"/>
                      <w:lang w:val="en-US"/>
                    </w:rPr>
                  </w:pPr>
                  <w:r>
                    <w:rPr>
                      <w:rFonts w:hint="eastAsia"/>
                      <w:color w:val="auto"/>
                      <w:sz w:val="21"/>
                      <w:szCs w:val="21"/>
                      <w:highlight w:val="none"/>
                      <w:vertAlign w:val="baseline"/>
                      <w:lang w:val="en-US" w:eastAsia="zh-CN"/>
                    </w:rPr>
                    <w:t>昼53.70</w:t>
                  </w:r>
                </w:p>
              </w:tc>
              <w:tc>
                <w:tcPr>
                  <w:tcW w:w="1401" w:type="dxa"/>
                  <w:vAlign w:val="center"/>
                </w:tcPr>
                <w:p w14:paraId="3FA2CD81">
                  <w:pPr>
                    <w:ind w:left="0" w:leftChars="0" w:firstLine="0" w:firstLineChars="0"/>
                    <w:jc w:val="center"/>
                    <w:rPr>
                      <w:rFonts w:hint="default"/>
                      <w:color w:val="auto"/>
                      <w:sz w:val="21"/>
                      <w:szCs w:val="21"/>
                      <w:highlight w:val="none"/>
                      <w:vertAlign w:val="baseline"/>
                      <w:lang w:val="en-US"/>
                    </w:rPr>
                  </w:pPr>
                  <w:r>
                    <w:rPr>
                      <w:rFonts w:hint="eastAsia"/>
                      <w:color w:val="auto"/>
                      <w:sz w:val="21"/>
                      <w:szCs w:val="21"/>
                      <w:highlight w:val="none"/>
                      <w:vertAlign w:val="baseline"/>
                      <w:lang w:val="en-US" w:eastAsia="zh-CN"/>
                    </w:rPr>
                    <w:t>夜47.80</w:t>
                  </w:r>
                </w:p>
              </w:tc>
            </w:tr>
            <w:tr w14:paraId="1BAF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396" w:type="dxa"/>
                  <w:vAlign w:val="center"/>
                </w:tcPr>
                <w:p w14:paraId="044D7D34">
                  <w:pPr>
                    <w:ind w:left="0" w:leftChars="0" w:firstLine="0" w:firstLineChars="0"/>
                    <w:jc w:val="center"/>
                    <w:rPr>
                      <w:color w:val="auto"/>
                      <w:sz w:val="21"/>
                      <w:szCs w:val="21"/>
                      <w:highlight w:val="none"/>
                      <w:vertAlign w:val="baseline"/>
                    </w:rPr>
                  </w:pPr>
                  <w:r>
                    <w:rPr>
                      <w:rFonts w:hint="eastAsia"/>
                      <w:color w:val="auto"/>
                      <w:sz w:val="21"/>
                      <w:szCs w:val="21"/>
                      <w:highlight w:val="none"/>
                      <w:vertAlign w:val="baseline"/>
                      <w:lang w:val="en-US" w:eastAsia="zh-CN"/>
                    </w:rPr>
                    <w:t>厂界东</w:t>
                  </w:r>
                </w:p>
              </w:tc>
              <w:tc>
                <w:tcPr>
                  <w:tcW w:w="1114" w:type="dxa"/>
                  <w:vAlign w:val="center"/>
                </w:tcPr>
                <w:p w14:paraId="4F50E8A4">
                  <w:pPr>
                    <w:ind w:left="0" w:leftChars="0" w:firstLine="0" w:firstLineChars="0"/>
                    <w:jc w:val="center"/>
                    <w:rPr>
                      <w:rFonts w:hint="default"/>
                      <w:color w:val="auto"/>
                      <w:sz w:val="21"/>
                      <w:szCs w:val="21"/>
                      <w:highlight w:val="none"/>
                      <w:vertAlign w:val="baseline"/>
                      <w:lang w:val="en-US"/>
                    </w:rPr>
                  </w:pPr>
                  <w:r>
                    <w:rPr>
                      <w:rFonts w:hint="eastAsia"/>
                      <w:color w:val="auto"/>
                      <w:sz w:val="21"/>
                      <w:szCs w:val="21"/>
                      <w:highlight w:val="none"/>
                      <w:vertAlign w:val="baseline"/>
                      <w:lang w:val="en-US" w:eastAsia="zh-CN"/>
                    </w:rPr>
                    <w:t>昼54</w:t>
                  </w:r>
                </w:p>
              </w:tc>
              <w:tc>
                <w:tcPr>
                  <w:tcW w:w="1186" w:type="dxa"/>
                  <w:vAlign w:val="center"/>
                </w:tcPr>
                <w:p w14:paraId="353B2573">
                  <w:pPr>
                    <w:ind w:left="0" w:leftChars="0" w:firstLine="0" w:firstLineChars="0"/>
                    <w:jc w:val="center"/>
                    <w:rPr>
                      <w:color w:val="auto"/>
                      <w:sz w:val="21"/>
                      <w:szCs w:val="21"/>
                      <w:highlight w:val="none"/>
                      <w:vertAlign w:val="baseline"/>
                    </w:rPr>
                  </w:pPr>
                  <w:r>
                    <w:rPr>
                      <w:rFonts w:hint="eastAsia"/>
                      <w:color w:val="auto"/>
                      <w:sz w:val="21"/>
                      <w:szCs w:val="21"/>
                      <w:highlight w:val="none"/>
                      <w:vertAlign w:val="baseline"/>
                      <w:lang w:val="en-US" w:eastAsia="zh-CN"/>
                    </w:rPr>
                    <w:t>夜44</w:t>
                  </w:r>
                </w:p>
              </w:tc>
              <w:tc>
                <w:tcPr>
                  <w:tcW w:w="1514" w:type="dxa"/>
                  <w:vAlign w:val="center"/>
                </w:tcPr>
                <w:p w14:paraId="588953B3">
                  <w:pPr>
                    <w:ind w:left="0" w:leftChars="0" w:firstLine="0" w:firstLineChars="0"/>
                    <w:jc w:val="center"/>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22.82</w:t>
                  </w:r>
                </w:p>
              </w:tc>
              <w:tc>
                <w:tcPr>
                  <w:tcW w:w="1290" w:type="dxa"/>
                  <w:vAlign w:val="center"/>
                </w:tcPr>
                <w:p w14:paraId="3EA9B068">
                  <w:pPr>
                    <w:ind w:left="0" w:leftChars="0" w:firstLine="0" w:firstLineChars="0"/>
                    <w:jc w:val="center"/>
                    <w:rPr>
                      <w:rFonts w:hint="default"/>
                      <w:color w:val="auto"/>
                      <w:sz w:val="21"/>
                      <w:szCs w:val="21"/>
                      <w:highlight w:val="none"/>
                      <w:vertAlign w:val="baseline"/>
                      <w:lang w:val="en-US"/>
                    </w:rPr>
                  </w:pPr>
                  <w:r>
                    <w:rPr>
                      <w:rFonts w:hint="eastAsia"/>
                      <w:color w:val="auto"/>
                      <w:sz w:val="21"/>
                      <w:szCs w:val="21"/>
                      <w:highlight w:val="none"/>
                      <w:vertAlign w:val="baseline"/>
                      <w:lang w:val="en-US" w:eastAsia="zh-CN"/>
                    </w:rPr>
                    <w:t>昼54.00</w:t>
                  </w:r>
                </w:p>
              </w:tc>
              <w:tc>
                <w:tcPr>
                  <w:tcW w:w="1401" w:type="dxa"/>
                  <w:vAlign w:val="center"/>
                </w:tcPr>
                <w:p w14:paraId="58684851">
                  <w:pPr>
                    <w:ind w:left="0" w:leftChars="0" w:firstLine="0" w:firstLineChars="0"/>
                    <w:jc w:val="center"/>
                    <w:rPr>
                      <w:rFonts w:hint="default"/>
                      <w:color w:val="auto"/>
                      <w:sz w:val="21"/>
                      <w:szCs w:val="21"/>
                      <w:highlight w:val="none"/>
                      <w:vertAlign w:val="baseline"/>
                      <w:lang w:val="en-US"/>
                    </w:rPr>
                  </w:pPr>
                  <w:r>
                    <w:rPr>
                      <w:rFonts w:hint="eastAsia"/>
                      <w:color w:val="auto"/>
                      <w:sz w:val="21"/>
                      <w:szCs w:val="21"/>
                      <w:highlight w:val="none"/>
                      <w:vertAlign w:val="baseline"/>
                      <w:lang w:val="en-US" w:eastAsia="zh-CN"/>
                    </w:rPr>
                    <w:t>夜44.03</w:t>
                  </w:r>
                </w:p>
              </w:tc>
            </w:tr>
            <w:tr w14:paraId="5BC9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6" w:type="dxa"/>
                  <w:vAlign w:val="center"/>
                </w:tcPr>
                <w:p w14:paraId="3004F295">
                  <w:pPr>
                    <w:ind w:left="0" w:leftChars="0" w:firstLine="0" w:firstLineChars="0"/>
                    <w:jc w:val="center"/>
                    <w:rPr>
                      <w:color w:val="auto"/>
                      <w:sz w:val="21"/>
                      <w:szCs w:val="21"/>
                      <w:highlight w:val="none"/>
                      <w:vertAlign w:val="baseline"/>
                    </w:rPr>
                  </w:pPr>
                  <w:r>
                    <w:rPr>
                      <w:rFonts w:hint="eastAsia"/>
                      <w:color w:val="auto"/>
                      <w:sz w:val="21"/>
                      <w:szCs w:val="21"/>
                      <w:highlight w:val="none"/>
                      <w:vertAlign w:val="baseline"/>
                      <w:lang w:val="en-US" w:eastAsia="zh-CN"/>
                    </w:rPr>
                    <w:t>厂界东</w:t>
                  </w:r>
                </w:p>
              </w:tc>
              <w:tc>
                <w:tcPr>
                  <w:tcW w:w="1114" w:type="dxa"/>
                  <w:vAlign w:val="center"/>
                </w:tcPr>
                <w:p w14:paraId="5DD9B3C6">
                  <w:pPr>
                    <w:ind w:left="0" w:leftChars="0" w:firstLine="0" w:firstLineChars="0"/>
                    <w:jc w:val="center"/>
                    <w:rPr>
                      <w:rFonts w:hint="default"/>
                      <w:color w:val="auto"/>
                      <w:sz w:val="21"/>
                      <w:szCs w:val="21"/>
                      <w:highlight w:val="none"/>
                      <w:vertAlign w:val="baseline"/>
                      <w:lang w:val="en-US"/>
                    </w:rPr>
                  </w:pPr>
                  <w:r>
                    <w:rPr>
                      <w:rFonts w:hint="eastAsia"/>
                      <w:color w:val="auto"/>
                      <w:sz w:val="21"/>
                      <w:szCs w:val="21"/>
                      <w:highlight w:val="none"/>
                      <w:vertAlign w:val="baseline"/>
                      <w:lang w:val="en-US" w:eastAsia="zh-CN"/>
                    </w:rPr>
                    <w:t>昼55</w:t>
                  </w:r>
                </w:p>
              </w:tc>
              <w:tc>
                <w:tcPr>
                  <w:tcW w:w="1186" w:type="dxa"/>
                  <w:vAlign w:val="center"/>
                </w:tcPr>
                <w:p w14:paraId="4F1CE1B1">
                  <w:pPr>
                    <w:ind w:left="0" w:leftChars="0" w:firstLine="0" w:firstLineChars="0"/>
                    <w:jc w:val="center"/>
                    <w:rPr>
                      <w:rFonts w:hint="default"/>
                      <w:color w:val="auto"/>
                      <w:sz w:val="21"/>
                      <w:szCs w:val="21"/>
                      <w:highlight w:val="none"/>
                      <w:vertAlign w:val="baseline"/>
                      <w:lang w:val="en-US"/>
                    </w:rPr>
                  </w:pPr>
                  <w:r>
                    <w:rPr>
                      <w:rFonts w:hint="eastAsia"/>
                      <w:color w:val="auto"/>
                      <w:sz w:val="21"/>
                      <w:szCs w:val="21"/>
                      <w:highlight w:val="none"/>
                      <w:vertAlign w:val="baseline"/>
                      <w:lang w:val="en-US" w:eastAsia="zh-CN"/>
                    </w:rPr>
                    <w:t>夜43</w:t>
                  </w:r>
                </w:p>
              </w:tc>
              <w:tc>
                <w:tcPr>
                  <w:tcW w:w="1514" w:type="dxa"/>
                  <w:vAlign w:val="center"/>
                </w:tcPr>
                <w:p w14:paraId="31534F1B">
                  <w:pPr>
                    <w:ind w:left="0" w:leftChars="0" w:firstLine="0" w:firstLineChars="0"/>
                    <w:jc w:val="center"/>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49.24</w:t>
                  </w:r>
                </w:p>
              </w:tc>
              <w:tc>
                <w:tcPr>
                  <w:tcW w:w="1290" w:type="dxa"/>
                  <w:vAlign w:val="center"/>
                </w:tcPr>
                <w:p w14:paraId="540F5478">
                  <w:pPr>
                    <w:ind w:left="0" w:leftChars="0" w:firstLine="0" w:firstLineChars="0"/>
                    <w:jc w:val="center"/>
                    <w:rPr>
                      <w:rFonts w:hint="default"/>
                      <w:color w:val="auto"/>
                      <w:sz w:val="21"/>
                      <w:szCs w:val="21"/>
                      <w:highlight w:val="none"/>
                      <w:vertAlign w:val="baseline"/>
                      <w:lang w:val="en-US"/>
                    </w:rPr>
                  </w:pPr>
                  <w:r>
                    <w:rPr>
                      <w:rFonts w:hint="eastAsia"/>
                      <w:color w:val="auto"/>
                      <w:sz w:val="21"/>
                      <w:szCs w:val="21"/>
                      <w:highlight w:val="none"/>
                      <w:vertAlign w:val="baseline"/>
                      <w:lang w:val="en-US" w:eastAsia="zh-CN"/>
                    </w:rPr>
                    <w:t>昼56.02</w:t>
                  </w:r>
                </w:p>
              </w:tc>
              <w:tc>
                <w:tcPr>
                  <w:tcW w:w="1401" w:type="dxa"/>
                  <w:vAlign w:val="center"/>
                </w:tcPr>
                <w:p w14:paraId="347B5B90">
                  <w:pPr>
                    <w:ind w:left="0" w:leftChars="0" w:firstLine="0" w:firstLineChars="0"/>
                    <w:jc w:val="center"/>
                    <w:rPr>
                      <w:rFonts w:hint="default"/>
                      <w:color w:val="auto"/>
                      <w:sz w:val="21"/>
                      <w:szCs w:val="21"/>
                      <w:highlight w:val="none"/>
                      <w:vertAlign w:val="baseline"/>
                      <w:lang w:val="en-US"/>
                    </w:rPr>
                  </w:pPr>
                  <w:r>
                    <w:rPr>
                      <w:rFonts w:hint="eastAsia"/>
                      <w:color w:val="auto"/>
                      <w:sz w:val="21"/>
                      <w:szCs w:val="21"/>
                      <w:highlight w:val="none"/>
                      <w:vertAlign w:val="baseline"/>
                      <w:lang w:val="en-US" w:eastAsia="zh-CN"/>
                    </w:rPr>
                    <w:t>夜50.17</w:t>
                  </w:r>
                </w:p>
              </w:tc>
            </w:tr>
          </w:tbl>
          <w:p w14:paraId="0ECE71EC">
            <w:p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本项目厂界噪声预测值一览表呈现了4个厂界东预测点的噪声影响结果，各预测点昼间背景值为53~56dB</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A</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夜间背景值为43~44dB</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A</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，项目噪声贡献值范围为22.82~49.24dB(A</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，叠加背景值后，昼间噪声预测值为53.70~56.02dB(A</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，夜间噪声预测值为44.03~50.17dB(A</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。从预测结果来看，项目昼间厂界噪声预测值均满足《工业企业厂界环境噪声排放标准》（</w:t>
            </w:r>
            <w:r>
              <w:rPr>
                <w:rFonts w:hint="default" w:ascii="Times New Roman" w:hAnsi="Times New Roman" w:cs="Times New Roman"/>
                <w:color w:val="auto"/>
                <w:sz w:val="24"/>
                <w:szCs w:val="24"/>
                <w:highlight w:val="none"/>
                <w:lang w:val="en-US" w:eastAsia="zh-CN"/>
              </w:rPr>
              <w:t>GB12348-2008</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eastAsia="zh-CN"/>
              </w:rPr>
              <w:t>。</w:t>
            </w:r>
          </w:p>
          <w:p w14:paraId="7D30C5AA">
            <w:pPr>
              <w:pStyle w:val="6"/>
              <w:bidi w:val="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4"/>
                <w:szCs w:val="24"/>
                <w:highlight w:val="none"/>
                <w:lang w:val="en-US" w:eastAsia="zh-CN"/>
              </w:rPr>
              <w:t>根据现场调查，项目50m范围内无声环境保护</w:t>
            </w:r>
            <w:r>
              <w:rPr>
                <w:rFonts w:hint="eastAsia" w:cs="Times New Roman"/>
                <w:color w:val="auto"/>
                <w:sz w:val="24"/>
                <w:szCs w:val="24"/>
                <w:highlight w:val="none"/>
                <w:lang w:val="en-US" w:eastAsia="zh-CN"/>
              </w:rPr>
              <w:t>目标</w:t>
            </w:r>
            <w:r>
              <w:rPr>
                <w:rFonts w:hint="default" w:ascii="Times New Roman" w:hAnsi="Times New Roman" w:cs="Times New Roman"/>
                <w:color w:val="auto"/>
                <w:sz w:val="24"/>
                <w:szCs w:val="24"/>
                <w:highlight w:val="none"/>
                <w:lang w:val="en-US" w:eastAsia="zh-CN"/>
              </w:rPr>
              <w:t>，项目运营期产生的噪声通过治理后对周围声环境影响较小。</w:t>
            </w:r>
          </w:p>
          <w:p w14:paraId="178AF58B">
            <w:pPr>
              <w:pStyle w:val="6"/>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项目具体通过以下措施对噪声进行防治：</w:t>
            </w:r>
          </w:p>
          <w:p w14:paraId="70C842CC">
            <w:pPr>
              <w:pStyle w:val="6"/>
              <w:bidi w:val="0"/>
              <w:rPr>
                <w:rFonts w:hint="default" w:ascii="Times New Roman" w:hAnsi="Times New Roman" w:cs="Times New Roman"/>
                <w:b/>
                <w:bCs/>
                <w:color w:val="auto"/>
                <w:sz w:val="24"/>
                <w:szCs w:val="24"/>
                <w:highlight w:val="none"/>
              </w:rPr>
            </w:pPr>
            <w:r>
              <w:rPr>
                <w:rFonts w:hint="default" w:ascii="Times New Roman" w:hAnsi="Times New Roman" w:cs="Times New Roman"/>
                <w:color w:val="auto"/>
                <w:sz w:val="24"/>
                <w:szCs w:val="24"/>
                <w:highlight w:val="none"/>
                <w:lang w:val="en-US" w:eastAsia="zh-CN"/>
              </w:rPr>
              <w:t>①选用低噪声型号设备；</w:t>
            </w:r>
          </w:p>
          <w:p w14:paraId="2191C743">
            <w:pPr>
              <w:pStyle w:val="6"/>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②使用减振垫对部分设备进行基础减振；</w:t>
            </w:r>
          </w:p>
          <w:p w14:paraId="64252D5E">
            <w:pPr>
              <w:pStyle w:val="6"/>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③定期维护生产设备</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使设备运行良好；</w:t>
            </w:r>
          </w:p>
          <w:p w14:paraId="11E950F8">
            <w:pPr>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④合理安排设备和厂区平面布局。</w:t>
            </w:r>
          </w:p>
          <w:p w14:paraId="498BCC8B">
            <w:pPr>
              <w:bidi w:val="0"/>
              <w:ind w:left="0" w:leftChars="0" w:firstLine="0" w:firstLineChars="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4、固体废物环境影响分析及保护措施</w:t>
            </w:r>
          </w:p>
          <w:p w14:paraId="0C631BC0">
            <w:pPr>
              <w:bidi w:val="0"/>
              <w:rPr>
                <w:rFonts w:hint="default" w:eastAsia="宋体"/>
                <w:color w:val="auto"/>
                <w:sz w:val="24"/>
                <w:szCs w:val="24"/>
                <w:highlight w:val="none"/>
                <w:lang w:val="en-US" w:eastAsia="zh-CN"/>
              </w:rPr>
            </w:pPr>
            <w:r>
              <w:rPr>
                <w:rFonts w:hint="eastAsia"/>
                <w:color w:val="auto"/>
                <w:sz w:val="24"/>
                <w:szCs w:val="24"/>
                <w:highlight w:val="none"/>
                <w:lang w:val="en-US" w:eastAsia="zh-CN"/>
              </w:rPr>
              <w:t>本项目运营期固体废物主要包括筒仓除尘灰、搅拌工序除尘灰、不合格产品。</w:t>
            </w:r>
          </w:p>
          <w:p w14:paraId="6BCDED22">
            <w:pPr>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1）除尘灰</w:t>
            </w:r>
          </w:p>
          <w:p w14:paraId="4CAC52CB">
            <w:pPr>
              <w:numPr>
                <w:ilvl w:val="0"/>
                <w:numId w:val="0"/>
              </w:numPr>
              <w:bidi w:val="0"/>
              <w:ind w:left="0" w:leftChars="0" w:firstLine="480" w:firstLineChars="200"/>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本项目筒仓、搅拌工序均配套布袋除尘器，除尘灰总产生量</w:t>
            </w:r>
            <w:r>
              <w:rPr>
                <w:rStyle w:val="17"/>
                <w:rFonts w:hint="default" w:ascii="Times New Roman" w:hAnsi="Times New Roman" w:eastAsia="宋体" w:cs="Times New Roman"/>
                <w:b w:val="0"/>
                <w:bCs w:val="0"/>
                <w:color w:val="auto"/>
                <w:sz w:val="24"/>
                <w:szCs w:val="24"/>
                <w:highlight w:val="none"/>
              </w:rPr>
              <w:t>12.4625t/a</w:t>
            </w:r>
            <w:r>
              <w:rPr>
                <w:rFonts w:hint="default" w:ascii="Times New Roman" w:hAnsi="Times New Roman" w:eastAsia="宋体" w:cs="Times New Roman"/>
                <w:b w:val="0"/>
                <w:bCs w:val="0"/>
                <w:color w:val="auto"/>
                <w:sz w:val="24"/>
                <w:szCs w:val="24"/>
                <w:highlight w:val="none"/>
              </w:rPr>
              <w:t>（筒仓除尘灰5.982t/a</w:t>
            </w:r>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搅拌工序除尘灰6.4805t/a）；筒仓内置除尘器收集的除尘灰直接落入仓内，搅拌工序除尘器</w:t>
            </w:r>
            <w:r>
              <w:rPr>
                <w:rFonts w:hint="eastAsia" w:cs="Times New Roman"/>
                <w:b w:val="0"/>
                <w:bCs w:val="0"/>
                <w:color w:val="auto"/>
                <w:sz w:val="24"/>
                <w:szCs w:val="24"/>
                <w:highlight w:val="none"/>
                <w:lang w:eastAsia="zh-CN"/>
              </w:rPr>
              <w:t>收集的除尘</w:t>
            </w:r>
            <w:r>
              <w:rPr>
                <w:rFonts w:hint="default" w:ascii="Times New Roman" w:hAnsi="Times New Roman" w:eastAsia="宋体" w:cs="Times New Roman"/>
                <w:b w:val="0"/>
                <w:bCs w:val="0"/>
                <w:color w:val="auto"/>
                <w:sz w:val="24"/>
                <w:szCs w:val="24"/>
                <w:highlight w:val="none"/>
              </w:rPr>
              <w:t>灰定期清理，全部作为生产原料回用，不外排。</w:t>
            </w:r>
          </w:p>
          <w:p w14:paraId="203D6F31">
            <w:pPr>
              <w:numPr>
                <w:ilvl w:val="0"/>
                <w:numId w:val="0"/>
              </w:numPr>
              <w:bidi w:val="0"/>
              <w:ind w:left="0" w:leftChars="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不合格产品</w:t>
            </w:r>
          </w:p>
          <w:p w14:paraId="074F8FCE">
            <w:pPr>
              <w:numPr>
                <w:ilvl w:val="0"/>
                <w:numId w:val="0"/>
              </w:numPr>
              <w:bidi w:val="0"/>
              <w:ind w:leftChars="200" w:firstLine="240" w:firstLineChars="100"/>
              <w:rPr>
                <w:rFonts w:hint="eastAsia" w:eastAsia="宋体"/>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根据现有工程经验估算</w:t>
            </w:r>
            <w:r>
              <w:rPr>
                <w:rFonts w:hint="eastAsia" w:cs="Times New Roman"/>
                <w:color w:val="auto"/>
                <w:sz w:val="24"/>
                <w:szCs w:val="24"/>
                <w:highlight w:val="none"/>
                <w:lang w:val="en-US" w:eastAsia="zh-CN"/>
              </w:rPr>
              <w:t>，不</w:t>
            </w:r>
            <w:r>
              <w:rPr>
                <w:rFonts w:hint="default" w:ascii="Times New Roman" w:hAnsi="Times New Roman" w:cs="Times New Roman"/>
                <w:color w:val="auto"/>
                <w:sz w:val="24"/>
                <w:szCs w:val="24"/>
                <w:highlight w:val="none"/>
                <w:lang w:val="en-US" w:eastAsia="zh-CN"/>
              </w:rPr>
              <w:t>合格产品产生量为产品的0.01%，本项目年生产混凝土700800t/a，不合格产品产生量为70.08t/a。</w:t>
            </w:r>
            <w:r>
              <w:rPr>
                <w:rFonts w:hint="default" w:ascii="Times New Roman" w:hAnsi="Times New Roman" w:eastAsia="宋体" w:cs="Times New Roman"/>
                <w:color w:val="auto"/>
                <w:sz w:val="24"/>
                <w:szCs w:val="24"/>
                <w:highlight w:val="none"/>
              </w:rPr>
              <w:t>不合格混凝土经罐车运回厂区</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存放于全封闭砂石料场内划定的</w:t>
            </w:r>
            <w:r>
              <w:rPr>
                <w:rFonts w:hint="eastAsia" w:cs="Times New Roman"/>
                <w:color w:val="auto"/>
                <w:sz w:val="24"/>
                <w:szCs w:val="24"/>
                <w:highlight w:val="none"/>
                <w:lang w:eastAsia="zh-CN"/>
              </w:rPr>
              <w:t>堆存</w:t>
            </w:r>
            <w:r>
              <w:rPr>
                <w:rFonts w:hint="default" w:ascii="Times New Roman" w:hAnsi="Times New Roman" w:eastAsia="宋体" w:cs="Times New Roman"/>
                <w:color w:val="auto"/>
                <w:sz w:val="24"/>
                <w:szCs w:val="24"/>
                <w:highlight w:val="none"/>
              </w:rPr>
              <w:t>区域，后续</w:t>
            </w:r>
            <w:r>
              <w:rPr>
                <w:rFonts w:ascii="宋体" w:hAnsi="宋体" w:eastAsia="宋体" w:cs="宋体"/>
                <w:color w:val="auto"/>
                <w:sz w:val="24"/>
                <w:szCs w:val="24"/>
                <w:highlight w:val="none"/>
              </w:rPr>
              <w:t>全部回用至生产工序，不外排。</w:t>
            </w:r>
          </w:p>
          <w:p w14:paraId="3BAB9BC1">
            <w:pPr>
              <w:numPr>
                <w:ilvl w:val="0"/>
                <w:numId w:val="4"/>
              </w:numPr>
              <w:bidi w:val="0"/>
              <w:ind w:left="0" w:leftChars="0" w:firstLine="480" w:firstLineChars="200"/>
              <w:rPr>
                <w:rFonts w:hint="eastAsia"/>
                <w:color w:val="auto"/>
                <w:sz w:val="24"/>
                <w:szCs w:val="24"/>
                <w:highlight w:val="none"/>
                <w:lang w:val="en-US" w:eastAsia="zh-CN"/>
              </w:rPr>
            </w:pPr>
            <w:r>
              <w:rPr>
                <w:rFonts w:ascii="宋体" w:hAnsi="宋体" w:eastAsia="宋体" w:cs="宋体"/>
                <w:color w:val="auto"/>
                <w:sz w:val="24"/>
                <w:szCs w:val="24"/>
                <w:highlight w:val="none"/>
              </w:rPr>
              <w:t>布袋除尘器</w:t>
            </w:r>
          </w:p>
          <w:p w14:paraId="4763FCAB">
            <w:pPr>
              <w:numPr>
                <w:ilvl w:val="0"/>
                <w:numId w:val="0"/>
              </w:numPr>
              <w:bidi w:val="0"/>
              <w:ind w:leftChars="200" w:firstLine="240" w:firstLineChars="100"/>
              <w:rPr>
                <w:rFonts w:hint="default"/>
                <w:color w:val="auto"/>
                <w:sz w:val="24"/>
                <w:szCs w:val="24"/>
                <w:highlight w:val="none"/>
                <w:lang w:val="en-US" w:eastAsia="zh-CN"/>
              </w:rPr>
            </w:pPr>
            <w:r>
              <w:rPr>
                <w:rFonts w:hint="default"/>
                <w:color w:val="auto"/>
                <w:sz w:val="24"/>
                <w:szCs w:val="24"/>
                <w:highlight w:val="none"/>
                <w:lang w:val="en-US" w:eastAsia="zh-CN"/>
              </w:rPr>
              <w:t>项目布袋除尘器</w:t>
            </w:r>
            <w:r>
              <w:rPr>
                <w:rFonts w:hint="eastAsia"/>
                <w:color w:val="auto"/>
                <w:sz w:val="24"/>
                <w:szCs w:val="24"/>
                <w:highlight w:val="none"/>
                <w:lang w:val="en-US" w:eastAsia="zh-CN"/>
              </w:rPr>
              <w:t>布</w:t>
            </w:r>
            <w:r>
              <w:rPr>
                <w:rFonts w:hint="default"/>
                <w:color w:val="auto"/>
                <w:sz w:val="24"/>
                <w:szCs w:val="24"/>
                <w:highlight w:val="none"/>
                <w:lang w:val="en-US" w:eastAsia="zh-CN"/>
              </w:rPr>
              <w:t>袋长期使用老化、破损</w:t>
            </w:r>
            <w:r>
              <w:rPr>
                <w:rFonts w:hint="eastAsia"/>
                <w:color w:val="auto"/>
                <w:sz w:val="24"/>
                <w:szCs w:val="24"/>
                <w:highlight w:val="none"/>
                <w:lang w:val="en-US" w:eastAsia="zh-CN"/>
              </w:rPr>
              <w:t>，需</w:t>
            </w:r>
            <w:r>
              <w:rPr>
                <w:rFonts w:hint="default"/>
                <w:color w:val="auto"/>
                <w:sz w:val="24"/>
                <w:szCs w:val="24"/>
                <w:highlight w:val="none"/>
                <w:lang w:val="en-US" w:eastAsia="zh-CN"/>
              </w:rPr>
              <w:t>定期更换，产生少量废</w:t>
            </w:r>
            <w:r>
              <w:rPr>
                <w:rFonts w:hint="eastAsia"/>
                <w:color w:val="auto"/>
                <w:sz w:val="24"/>
                <w:szCs w:val="24"/>
                <w:highlight w:val="none"/>
                <w:lang w:val="en-US" w:eastAsia="zh-CN"/>
              </w:rPr>
              <w:t>布</w:t>
            </w:r>
            <w:r>
              <w:rPr>
                <w:rFonts w:ascii="宋体" w:hAnsi="宋体" w:eastAsia="宋体" w:cs="宋体"/>
                <w:color w:val="auto"/>
                <w:sz w:val="24"/>
                <w:szCs w:val="24"/>
                <w:highlight w:val="none"/>
              </w:rPr>
              <w:t>袋</w:t>
            </w:r>
            <w:r>
              <w:rPr>
                <w:rFonts w:hint="default"/>
                <w:color w:val="auto"/>
                <w:sz w:val="24"/>
                <w:szCs w:val="24"/>
                <w:highlight w:val="none"/>
                <w:lang w:val="en-US" w:eastAsia="zh-CN"/>
              </w:rPr>
              <w:t>。不含有毒有害污染物，不属于危险废物。项目</w:t>
            </w:r>
            <w:r>
              <w:rPr>
                <w:rFonts w:hint="eastAsia"/>
                <w:color w:val="auto"/>
                <w:sz w:val="24"/>
                <w:szCs w:val="24"/>
                <w:highlight w:val="none"/>
                <w:lang w:val="en-US" w:eastAsia="zh-CN"/>
              </w:rPr>
              <w:t>布袋</w:t>
            </w:r>
            <w:r>
              <w:rPr>
                <w:rFonts w:hint="default"/>
                <w:color w:val="auto"/>
                <w:sz w:val="24"/>
                <w:szCs w:val="24"/>
                <w:highlight w:val="none"/>
                <w:lang w:val="en-US" w:eastAsia="zh-CN"/>
              </w:rPr>
              <w:t>由设备厂家定期上门更换</w:t>
            </w:r>
            <w:r>
              <w:rPr>
                <w:rFonts w:hint="eastAsia"/>
                <w:color w:val="auto"/>
                <w:sz w:val="24"/>
                <w:szCs w:val="24"/>
                <w:highlight w:val="none"/>
                <w:lang w:val="en-US" w:eastAsia="zh-CN"/>
              </w:rPr>
              <w:t>，</w:t>
            </w:r>
            <w:r>
              <w:rPr>
                <w:rFonts w:hint="default"/>
                <w:color w:val="auto"/>
                <w:sz w:val="24"/>
                <w:szCs w:val="24"/>
                <w:highlight w:val="none"/>
                <w:lang w:val="en-US" w:eastAsia="zh-CN"/>
              </w:rPr>
              <w:t>直接回收带走处置，厂区不</w:t>
            </w:r>
            <w:r>
              <w:rPr>
                <w:rFonts w:hint="eastAsia"/>
                <w:color w:val="auto"/>
                <w:sz w:val="24"/>
                <w:szCs w:val="24"/>
                <w:highlight w:val="none"/>
                <w:lang w:val="en-US" w:eastAsia="zh-CN"/>
              </w:rPr>
              <w:t>堆存</w:t>
            </w:r>
            <w:r>
              <w:rPr>
                <w:rFonts w:hint="default"/>
                <w:color w:val="auto"/>
                <w:sz w:val="24"/>
                <w:szCs w:val="24"/>
                <w:highlight w:val="none"/>
                <w:lang w:val="en-US" w:eastAsia="zh-CN"/>
              </w:rPr>
              <w:t>、不外运，无废</w:t>
            </w:r>
            <w:r>
              <w:rPr>
                <w:rFonts w:hint="eastAsia" w:ascii="宋体" w:hAnsi="宋体" w:cs="宋体"/>
                <w:color w:val="auto"/>
                <w:sz w:val="24"/>
                <w:szCs w:val="24"/>
                <w:highlight w:val="none"/>
                <w:lang w:eastAsia="zh-CN"/>
              </w:rPr>
              <w:t>布袋</w:t>
            </w:r>
            <w:r>
              <w:rPr>
                <w:rFonts w:hint="default"/>
                <w:color w:val="auto"/>
                <w:sz w:val="24"/>
                <w:szCs w:val="24"/>
                <w:highlight w:val="none"/>
                <w:lang w:val="en-US" w:eastAsia="zh-CN"/>
              </w:rPr>
              <w:t>遗留污染。</w:t>
            </w:r>
          </w:p>
          <w:p w14:paraId="54F6C442">
            <w:pPr>
              <w:numPr>
                <w:ilvl w:val="0"/>
                <w:numId w:val="0"/>
              </w:numPr>
              <w:bidi w:val="0"/>
              <w:ind w:firstLine="480" w:firstLineChars="200"/>
              <w:rPr>
                <w:rFonts w:hint="default"/>
                <w:color w:val="auto"/>
                <w:sz w:val="24"/>
                <w:szCs w:val="24"/>
                <w:highlight w:val="none"/>
                <w:lang w:val="en-US" w:eastAsia="zh-CN"/>
              </w:rPr>
            </w:pPr>
            <w:r>
              <w:rPr>
                <w:rFonts w:hint="eastAsia"/>
                <w:color w:val="auto"/>
                <w:sz w:val="24"/>
                <w:szCs w:val="24"/>
                <w:highlight w:val="none"/>
                <w:lang w:val="en-US" w:eastAsia="zh-CN"/>
              </w:rPr>
              <w:t>（4）危险废物</w:t>
            </w:r>
          </w:p>
          <w:p w14:paraId="47E9C9FD">
            <w:pPr>
              <w:bidi w:val="0"/>
              <w:ind w:left="0" w:leftChars="0" w:firstLine="480" w:firstLineChars="200"/>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本项目搅拌主机、输送设备、罐车</w:t>
            </w:r>
            <w:r>
              <w:rPr>
                <w:rFonts w:hint="eastAsia" w:ascii="宋体" w:hAnsi="宋体" w:cs="宋体"/>
                <w:color w:val="auto"/>
                <w:sz w:val="24"/>
                <w:szCs w:val="24"/>
                <w:highlight w:val="none"/>
                <w:lang w:val="en-US" w:eastAsia="zh-CN"/>
              </w:rPr>
              <w:t>在</w:t>
            </w:r>
            <w:r>
              <w:rPr>
                <w:rFonts w:ascii="宋体" w:hAnsi="宋体" w:eastAsia="宋体" w:cs="宋体"/>
                <w:color w:val="auto"/>
                <w:sz w:val="24"/>
                <w:szCs w:val="24"/>
                <w:highlight w:val="none"/>
              </w:rPr>
              <w:t>检修保养过</w:t>
            </w:r>
            <w:r>
              <w:rPr>
                <w:rFonts w:hint="eastAsia" w:ascii="宋体" w:hAnsi="宋体" w:cs="宋体"/>
                <w:color w:val="auto"/>
                <w:sz w:val="24"/>
                <w:szCs w:val="24"/>
                <w:highlight w:val="none"/>
                <w:lang w:eastAsia="zh-CN"/>
              </w:rPr>
              <w:t>程中</w:t>
            </w:r>
            <w:r>
              <w:rPr>
                <w:rFonts w:ascii="宋体" w:hAnsi="宋体" w:eastAsia="宋体" w:cs="宋体"/>
                <w:color w:val="auto"/>
                <w:sz w:val="24"/>
                <w:szCs w:val="24"/>
                <w:highlight w:val="none"/>
              </w:rPr>
              <w:t>会产生少量废机油、残留油污的废油桶，其中废机油年产生量约0.08t</w:t>
            </w:r>
            <w:r>
              <w:rPr>
                <w:rFonts w:hint="eastAsia" w:ascii="宋体" w:hAnsi="宋体" w:eastAsia="宋体" w:cs="宋体"/>
                <w:color w:val="auto"/>
                <w:sz w:val="24"/>
                <w:szCs w:val="24"/>
                <w:highlight w:val="none"/>
                <w:lang w:val="en-US" w:eastAsia="zh-CN"/>
              </w:rPr>
              <w:t>/a</w:t>
            </w:r>
            <w:r>
              <w:rPr>
                <w:rFonts w:ascii="宋体" w:hAnsi="宋体" w:eastAsia="宋体" w:cs="宋体"/>
                <w:color w:val="auto"/>
                <w:sz w:val="24"/>
                <w:szCs w:val="24"/>
                <w:highlight w:val="none"/>
              </w:rPr>
              <w:t>，废油桶产生数量</w:t>
            </w:r>
            <w:r>
              <w:rPr>
                <w:rFonts w:hint="eastAsia" w:ascii="宋体" w:hAnsi="宋体" w:cs="宋体"/>
                <w:color w:val="auto"/>
                <w:sz w:val="24"/>
                <w:szCs w:val="24"/>
                <w:highlight w:val="none"/>
                <w:lang w:eastAsia="zh-CN"/>
              </w:rPr>
              <w:t>约</w:t>
            </w:r>
            <w:r>
              <w:rPr>
                <w:rFonts w:hint="eastAsia" w:ascii="宋体" w:hAnsi="宋体" w:eastAsia="宋体" w:cs="宋体"/>
                <w:color w:val="auto"/>
                <w:sz w:val="24"/>
                <w:szCs w:val="24"/>
                <w:highlight w:val="none"/>
                <w:lang w:val="en-US" w:eastAsia="zh-CN"/>
              </w:rPr>
              <w:t>0.004t/a</w:t>
            </w:r>
            <w:r>
              <w:rPr>
                <w:rFonts w:ascii="宋体" w:hAnsi="宋体" w:eastAsia="宋体" w:cs="宋体"/>
                <w:color w:val="auto"/>
                <w:sz w:val="24"/>
                <w:szCs w:val="24"/>
                <w:highlight w:val="none"/>
              </w:rPr>
              <w:t>，二者均属于危险废物。废机油采用专用密闭油桶收集，废油桶密闭存放；同时产生少量含油棉纱、抹布，根据《国家危险废物名录（2025版）》豁免清单，设备维修产生的含油抹布、劳保手套混入生活垃圾全过程豁免危险废物管理，可与矿区生活垃圾一并收集，交由矿区环卫清运，不进入危废</w:t>
            </w:r>
            <w:r>
              <w:rPr>
                <w:rFonts w:hint="eastAsia" w:ascii="宋体" w:hAnsi="宋体" w:cs="宋体"/>
                <w:color w:val="auto"/>
                <w:sz w:val="24"/>
                <w:szCs w:val="24"/>
                <w:highlight w:val="none"/>
                <w:lang w:eastAsia="zh-CN"/>
              </w:rPr>
              <w:t>堆存</w:t>
            </w:r>
            <w:r>
              <w:rPr>
                <w:rFonts w:ascii="宋体" w:hAnsi="宋体" w:eastAsia="宋体" w:cs="宋体"/>
                <w:color w:val="auto"/>
                <w:sz w:val="24"/>
                <w:szCs w:val="24"/>
                <w:highlight w:val="none"/>
              </w:rPr>
              <w:t>间。本项目不单独建设危废</w:t>
            </w:r>
            <w:r>
              <w:rPr>
                <w:rFonts w:hint="eastAsia" w:ascii="宋体" w:hAnsi="宋体" w:cs="宋体"/>
                <w:color w:val="auto"/>
                <w:sz w:val="24"/>
                <w:szCs w:val="24"/>
                <w:highlight w:val="none"/>
                <w:lang w:eastAsia="zh-CN"/>
              </w:rPr>
              <w:t>堆存</w:t>
            </w:r>
            <w:r>
              <w:rPr>
                <w:rFonts w:ascii="宋体" w:hAnsi="宋体" w:eastAsia="宋体" w:cs="宋体"/>
                <w:color w:val="auto"/>
                <w:sz w:val="24"/>
                <w:szCs w:val="24"/>
                <w:highlight w:val="none"/>
              </w:rPr>
              <w:t>间，危险废物依托煤矿现有危废贮存库房进行储存，库房配套防渗、泄漏应急物资，分区存放并设置警示标识</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严禁混入一般工业固体废物</w:t>
            </w:r>
            <w:r>
              <w:rPr>
                <w:rFonts w:hint="eastAsia" w:ascii="宋体" w:hAnsi="宋体" w:eastAsia="宋体" w:cs="宋体"/>
                <w:color w:val="auto"/>
                <w:sz w:val="24"/>
                <w:szCs w:val="24"/>
                <w:highlight w:val="none"/>
                <w:lang w:eastAsia="zh-CN"/>
              </w:rPr>
              <w:t>。</w:t>
            </w:r>
          </w:p>
          <w:p w14:paraId="51194F14">
            <w:pPr>
              <w:bidi w:val="0"/>
              <w:ind w:left="0" w:leftChars="0" w:firstLine="482" w:firstLineChars="200"/>
              <w:rPr>
                <w:rFonts w:hint="default" w:eastAsia="宋体"/>
                <w:b/>
                <w:bCs/>
                <w:color w:val="auto"/>
                <w:highlight w:val="none"/>
                <w:lang w:val="en-US" w:eastAsia="zh-CN"/>
              </w:rPr>
            </w:pPr>
            <w:r>
              <w:rPr>
                <w:rFonts w:hint="eastAsia"/>
                <w:b/>
                <w:bCs/>
                <w:color w:val="auto"/>
                <w:highlight w:val="none"/>
                <w:lang w:val="en-US" w:eastAsia="zh-CN"/>
              </w:rPr>
              <w:t>5. 地下水、土壤环境影响分析及保护措施</w:t>
            </w:r>
          </w:p>
          <w:p w14:paraId="712AAE75">
            <w:pPr>
              <w:pStyle w:val="6"/>
              <w:keepNext w:val="0"/>
              <w:keepLines w:val="0"/>
              <w:pageBreakBefore w:val="0"/>
              <w:widowControl/>
              <w:kinsoku/>
              <w:wordWrap/>
              <w:overflowPunct/>
              <w:topLinePunct w:val="0"/>
              <w:autoSpaceDE/>
              <w:autoSpaceDN/>
              <w:bidi w:val="0"/>
              <w:adjustRightInd/>
              <w:snapToGrid w:val="0"/>
              <w:spacing w:before="0" w:after="0" w:line="360" w:lineRule="auto"/>
              <w:ind w:right="0" w:firstLine="480"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本项目无生产废水产生</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无废水外排，正常工况下无废水渗漏污染地下水、土壤</w:t>
            </w:r>
            <w:r>
              <w:rPr>
                <w:rFonts w:hint="eastAsia" w:ascii="宋体" w:hAnsi="宋体" w:cs="宋体"/>
                <w:color w:val="auto"/>
                <w:sz w:val="24"/>
                <w:szCs w:val="24"/>
                <w:highlight w:val="none"/>
                <w:lang w:eastAsia="zh-CN"/>
              </w:rPr>
              <w:t>的风险</w:t>
            </w:r>
            <w:r>
              <w:rPr>
                <w:rFonts w:ascii="宋体" w:hAnsi="宋体" w:eastAsia="宋体" w:cs="宋体"/>
                <w:color w:val="auto"/>
                <w:sz w:val="24"/>
                <w:szCs w:val="24"/>
                <w:highlight w:val="none"/>
              </w:rPr>
              <w:t>。潜在污染途径仅为：</w:t>
            </w:r>
            <w:r>
              <w:rPr>
                <w:rFonts w:hint="eastAsia" w:asciiTheme="minorEastAsia" w:hAnsiTheme="minorEastAsia" w:eastAsiaTheme="minorEastAsia" w:cstheme="minorEastAsia"/>
                <w:color w:val="auto"/>
                <w:sz w:val="24"/>
                <w:szCs w:val="24"/>
                <w:highlight w:val="none"/>
                <w:lang w:val="en-US" w:eastAsia="zh-CN"/>
              </w:rPr>
              <w:t>全封闭砂石料场的砂石</w:t>
            </w:r>
            <w:r>
              <w:rPr>
                <w:rFonts w:ascii="宋体" w:hAnsi="宋体" w:eastAsia="宋体" w:cs="宋体"/>
                <w:color w:val="auto"/>
                <w:sz w:val="24"/>
                <w:szCs w:val="24"/>
                <w:highlight w:val="none"/>
              </w:rPr>
              <w:t>粉料、搅拌除尘灰受雨水淋溶后随雨水下渗；厂区硬化地面开裂破损后，雨水携带细骨料、粉料渗入土壤及地下含水层。</w:t>
            </w:r>
          </w:p>
          <w:p w14:paraId="58C5EA20">
            <w:pPr>
              <w:pStyle w:val="6"/>
              <w:keepNext w:val="0"/>
              <w:keepLines w:val="0"/>
              <w:pageBreakBefore w:val="0"/>
              <w:widowControl/>
              <w:kinsoku/>
              <w:wordWrap/>
              <w:overflowPunct/>
              <w:topLinePunct w:val="0"/>
              <w:autoSpaceDE/>
              <w:autoSpaceDN/>
              <w:bidi w:val="0"/>
              <w:adjustRightInd/>
              <w:snapToGrid w:val="0"/>
              <w:spacing w:before="0" w:after="0" w:line="360" w:lineRule="auto"/>
              <w:ind w:right="0" w:firstLine="480" w:firstLineChars="200"/>
              <w:textAlignment w:val="auto"/>
              <w:rPr>
                <w:rFonts w:hint="eastAsia"/>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）分区防渗</w:t>
            </w:r>
          </w:p>
          <w:p w14:paraId="4C24216F">
            <w:pPr>
              <w:pStyle w:val="6"/>
              <w:keepNext w:val="0"/>
              <w:keepLines w:val="0"/>
              <w:pageBreakBefore w:val="0"/>
              <w:widowControl/>
              <w:kinsoku/>
              <w:wordWrap/>
              <w:overflowPunct/>
              <w:topLinePunct w:val="0"/>
              <w:autoSpaceDE/>
              <w:autoSpaceDN/>
              <w:bidi w:val="0"/>
              <w:adjustRightInd/>
              <w:snapToGrid w:val="0"/>
              <w:spacing w:before="0" w:after="0" w:line="360" w:lineRule="auto"/>
              <w:ind w:right="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eastAsia="zh-CN"/>
              </w:rPr>
              <w:t>本项目对全封闭</w:t>
            </w:r>
            <w:r>
              <w:rPr>
                <w:rFonts w:hint="eastAsia" w:asciiTheme="minorEastAsia" w:hAnsiTheme="minorEastAsia" w:eastAsiaTheme="minorEastAsia" w:cstheme="minorEastAsia"/>
                <w:color w:val="auto"/>
                <w:sz w:val="24"/>
                <w:szCs w:val="24"/>
                <w:highlight w:val="none"/>
                <w:lang w:val="en-US" w:eastAsia="zh-CN"/>
              </w:rPr>
              <w:t>砂石料场</w:t>
            </w:r>
            <w:r>
              <w:rPr>
                <w:rFonts w:hint="eastAsia"/>
                <w:color w:val="auto"/>
                <w:sz w:val="24"/>
                <w:szCs w:val="24"/>
                <w:highlight w:val="none"/>
                <w:lang w:val="en-US" w:eastAsia="zh-CN"/>
              </w:rPr>
              <w:t>、生产区</w:t>
            </w:r>
            <w:r>
              <w:rPr>
                <w:rFonts w:hint="eastAsia"/>
                <w:color w:val="auto"/>
                <w:sz w:val="24"/>
                <w:szCs w:val="24"/>
                <w:highlight w:val="none"/>
                <w:lang w:eastAsia="zh-CN"/>
              </w:rPr>
              <w:t>进行简单防渗，采用混凝土硬化措施；</w:t>
            </w:r>
          </w:p>
          <w:p w14:paraId="563BD5CF">
            <w:pPr>
              <w:pStyle w:val="6"/>
              <w:keepNext w:val="0"/>
              <w:keepLines w:val="0"/>
              <w:pageBreakBefore w:val="0"/>
              <w:widowControl/>
              <w:kinsoku/>
              <w:wordWrap/>
              <w:overflowPunct/>
              <w:topLinePunct w:val="0"/>
              <w:autoSpaceDE/>
              <w:autoSpaceDN/>
              <w:bidi w:val="0"/>
              <w:adjustRightInd/>
              <w:snapToGrid w:val="0"/>
              <w:spacing w:before="0" w:after="0" w:line="240" w:lineRule="auto"/>
              <w:ind w:left="0" w:leftChars="0" w:right="0" w:firstLine="0" w:firstLineChars="0"/>
              <w:jc w:val="center"/>
              <w:textAlignment w:val="auto"/>
              <w:rPr>
                <w:rFonts w:hint="eastAsia"/>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表4-5-1分区防渗要求一览表</w:t>
            </w:r>
          </w:p>
          <w:tbl>
            <w:tblPr>
              <w:tblStyle w:val="15"/>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50"/>
              <w:gridCol w:w="2216"/>
              <w:gridCol w:w="3776"/>
            </w:tblGrid>
            <w:tr w14:paraId="7220B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70F1F20">
                  <w:pPr>
                    <w:pStyle w:val="6"/>
                    <w:keepNext w:val="0"/>
                    <w:keepLines w:val="0"/>
                    <w:pageBreakBefore w:val="0"/>
                    <w:widowControl/>
                    <w:kinsoku/>
                    <w:wordWrap/>
                    <w:overflowPunct/>
                    <w:topLinePunct w:val="0"/>
                    <w:autoSpaceDE/>
                    <w:autoSpaceDN/>
                    <w:bidi w:val="0"/>
                    <w:adjustRightInd/>
                    <w:snapToGrid w:val="0"/>
                    <w:spacing w:before="0" w:after="0" w:line="240" w:lineRule="auto"/>
                    <w:ind w:right="0" w:firstLine="0" w:firstLineChars="0"/>
                    <w:jc w:val="center"/>
                    <w:textAlignment w:val="auto"/>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序号</w:t>
                  </w:r>
                </w:p>
              </w:tc>
              <w:tc>
                <w:tcPr>
                  <w:tcW w:w="1250" w:type="dxa"/>
                  <w:vAlign w:val="center"/>
                </w:tcPr>
                <w:p w14:paraId="6B299DC0">
                  <w:pPr>
                    <w:pStyle w:val="6"/>
                    <w:keepNext w:val="0"/>
                    <w:keepLines w:val="0"/>
                    <w:pageBreakBefore w:val="0"/>
                    <w:widowControl/>
                    <w:kinsoku/>
                    <w:wordWrap/>
                    <w:overflowPunct/>
                    <w:topLinePunct w:val="0"/>
                    <w:autoSpaceDE/>
                    <w:autoSpaceDN/>
                    <w:bidi w:val="0"/>
                    <w:adjustRightInd/>
                    <w:snapToGrid w:val="0"/>
                    <w:spacing w:before="0" w:after="0" w:line="240" w:lineRule="auto"/>
                    <w:ind w:right="0" w:firstLine="0" w:firstLineChars="0"/>
                    <w:jc w:val="center"/>
                    <w:textAlignment w:val="auto"/>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防渗等级</w:t>
                  </w:r>
                </w:p>
              </w:tc>
              <w:tc>
                <w:tcPr>
                  <w:tcW w:w="2216" w:type="dxa"/>
                  <w:vAlign w:val="center"/>
                </w:tcPr>
                <w:p w14:paraId="2A97F873">
                  <w:pPr>
                    <w:pStyle w:val="6"/>
                    <w:keepNext w:val="0"/>
                    <w:keepLines w:val="0"/>
                    <w:pageBreakBefore w:val="0"/>
                    <w:widowControl/>
                    <w:kinsoku/>
                    <w:wordWrap/>
                    <w:overflowPunct/>
                    <w:topLinePunct w:val="0"/>
                    <w:autoSpaceDE/>
                    <w:autoSpaceDN/>
                    <w:bidi w:val="0"/>
                    <w:adjustRightInd/>
                    <w:snapToGrid w:val="0"/>
                    <w:spacing w:before="0" w:after="0" w:line="240" w:lineRule="auto"/>
                    <w:ind w:right="0" w:firstLine="0" w:firstLineChars="0"/>
                    <w:jc w:val="center"/>
                    <w:textAlignment w:val="auto"/>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防渗地点</w:t>
                  </w:r>
                </w:p>
              </w:tc>
              <w:tc>
                <w:tcPr>
                  <w:tcW w:w="3776" w:type="dxa"/>
                  <w:vAlign w:val="center"/>
                </w:tcPr>
                <w:p w14:paraId="44BBB80F">
                  <w:pPr>
                    <w:pStyle w:val="6"/>
                    <w:keepNext w:val="0"/>
                    <w:keepLines w:val="0"/>
                    <w:pageBreakBefore w:val="0"/>
                    <w:widowControl/>
                    <w:kinsoku/>
                    <w:wordWrap/>
                    <w:overflowPunct/>
                    <w:topLinePunct w:val="0"/>
                    <w:autoSpaceDE/>
                    <w:autoSpaceDN/>
                    <w:bidi w:val="0"/>
                    <w:adjustRightInd/>
                    <w:snapToGrid w:val="0"/>
                    <w:spacing w:before="0" w:after="0" w:line="240" w:lineRule="auto"/>
                    <w:ind w:right="0" w:firstLine="0" w:firstLineChars="0"/>
                    <w:jc w:val="center"/>
                    <w:textAlignment w:val="auto"/>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防渗技术要求</w:t>
                  </w:r>
                </w:p>
              </w:tc>
            </w:tr>
            <w:tr w14:paraId="5525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335088D">
                  <w:pPr>
                    <w:pStyle w:val="6"/>
                    <w:keepNext w:val="0"/>
                    <w:keepLines w:val="0"/>
                    <w:pageBreakBefore w:val="0"/>
                    <w:widowControl/>
                    <w:kinsoku/>
                    <w:wordWrap/>
                    <w:overflowPunct/>
                    <w:topLinePunct w:val="0"/>
                    <w:autoSpaceDE/>
                    <w:autoSpaceDN/>
                    <w:bidi w:val="0"/>
                    <w:adjustRightInd/>
                    <w:snapToGrid w:val="0"/>
                    <w:spacing w:before="0" w:after="0" w:line="240" w:lineRule="auto"/>
                    <w:ind w:right="0" w:firstLine="0" w:firstLineChars="0"/>
                    <w:jc w:val="center"/>
                    <w:textAlignment w:val="auto"/>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1</w:t>
                  </w:r>
                </w:p>
              </w:tc>
              <w:tc>
                <w:tcPr>
                  <w:tcW w:w="1250" w:type="dxa"/>
                  <w:vAlign w:val="center"/>
                </w:tcPr>
                <w:p w14:paraId="32544220">
                  <w:pPr>
                    <w:pStyle w:val="6"/>
                    <w:keepNext w:val="0"/>
                    <w:keepLines w:val="0"/>
                    <w:pageBreakBefore w:val="0"/>
                    <w:widowControl/>
                    <w:kinsoku/>
                    <w:wordWrap/>
                    <w:overflowPunct/>
                    <w:topLinePunct w:val="0"/>
                    <w:autoSpaceDE/>
                    <w:autoSpaceDN/>
                    <w:bidi w:val="0"/>
                    <w:adjustRightInd/>
                    <w:snapToGrid w:val="0"/>
                    <w:spacing w:before="0" w:after="0" w:line="240" w:lineRule="auto"/>
                    <w:ind w:right="0" w:firstLine="0" w:firstLineChars="0"/>
                    <w:jc w:val="center"/>
                    <w:textAlignment w:val="auto"/>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简单防渗</w:t>
                  </w:r>
                </w:p>
              </w:tc>
              <w:tc>
                <w:tcPr>
                  <w:tcW w:w="2216" w:type="dxa"/>
                  <w:vAlign w:val="center"/>
                </w:tcPr>
                <w:p w14:paraId="58AA6C10">
                  <w:pPr>
                    <w:pStyle w:val="6"/>
                    <w:keepNext w:val="0"/>
                    <w:keepLines w:val="0"/>
                    <w:pageBreakBefore w:val="0"/>
                    <w:widowControl/>
                    <w:kinsoku/>
                    <w:wordWrap/>
                    <w:overflowPunct/>
                    <w:topLinePunct w:val="0"/>
                    <w:autoSpaceDE/>
                    <w:autoSpaceDN/>
                    <w:bidi w:val="0"/>
                    <w:adjustRightInd/>
                    <w:snapToGrid w:val="0"/>
                    <w:spacing w:before="0" w:after="0" w:line="240" w:lineRule="auto"/>
                    <w:ind w:right="0" w:firstLine="0" w:firstLineChars="0"/>
                    <w:jc w:val="center"/>
                    <w:textAlignment w:val="auto"/>
                    <w:rPr>
                      <w:rFonts w:hint="default"/>
                      <w:color w:val="auto"/>
                      <w:sz w:val="24"/>
                      <w:szCs w:val="24"/>
                      <w:highlight w:val="none"/>
                      <w:vertAlign w:val="baseline"/>
                      <w:lang w:val="en-US" w:eastAsia="zh-CN"/>
                    </w:rPr>
                  </w:pPr>
                  <w:r>
                    <w:rPr>
                      <w:rFonts w:hint="eastAsia" w:asciiTheme="minorEastAsia" w:hAnsiTheme="minorEastAsia" w:eastAsiaTheme="minorEastAsia" w:cstheme="minorEastAsia"/>
                      <w:color w:val="auto"/>
                      <w:sz w:val="24"/>
                      <w:szCs w:val="24"/>
                      <w:highlight w:val="none"/>
                      <w:lang w:val="en-US" w:eastAsia="zh-CN"/>
                    </w:rPr>
                    <w:t>全封闭砂石料场</w:t>
                  </w:r>
                  <w:r>
                    <w:rPr>
                      <w:rFonts w:ascii="宋体" w:hAnsi="宋体" w:eastAsia="宋体" w:cs="宋体"/>
                      <w:color w:val="auto"/>
                      <w:sz w:val="24"/>
                      <w:szCs w:val="24"/>
                      <w:highlight w:val="none"/>
                    </w:rPr>
                    <w:t>、厂区道路、搅拌生产区</w:t>
                  </w:r>
                </w:p>
              </w:tc>
              <w:tc>
                <w:tcPr>
                  <w:tcW w:w="3776" w:type="dxa"/>
                  <w:vAlign w:val="center"/>
                </w:tcPr>
                <w:p w14:paraId="3D6FC2F6">
                  <w:pPr>
                    <w:pStyle w:val="6"/>
                    <w:keepNext w:val="0"/>
                    <w:keepLines w:val="0"/>
                    <w:pageBreakBefore w:val="0"/>
                    <w:widowControl/>
                    <w:kinsoku/>
                    <w:wordWrap/>
                    <w:overflowPunct/>
                    <w:topLinePunct w:val="0"/>
                    <w:autoSpaceDE/>
                    <w:autoSpaceDN/>
                    <w:bidi w:val="0"/>
                    <w:adjustRightInd/>
                    <w:snapToGrid w:val="0"/>
                    <w:spacing w:before="0" w:after="0" w:line="240" w:lineRule="auto"/>
                    <w:ind w:right="0" w:firstLine="0" w:firstLineChars="0"/>
                    <w:jc w:val="center"/>
                    <w:textAlignment w:val="auto"/>
                    <w:rPr>
                      <w:rFonts w:hint="default"/>
                      <w:color w:val="auto"/>
                      <w:sz w:val="24"/>
                      <w:szCs w:val="24"/>
                      <w:highlight w:val="none"/>
                      <w:vertAlign w:val="baseline"/>
                      <w:lang w:val="en-US" w:eastAsia="zh-CN"/>
                    </w:rPr>
                  </w:pPr>
                  <w:r>
                    <w:rPr>
                      <w:rFonts w:ascii="宋体" w:hAnsi="宋体" w:eastAsia="宋体" w:cs="宋体"/>
                      <w:color w:val="auto"/>
                      <w:sz w:val="24"/>
                      <w:szCs w:val="24"/>
                      <w:highlight w:val="none"/>
                    </w:rPr>
                    <w:t>铺设150mm厚C25混凝土硬化，地面向外找坡，厂区外围设置截排水沟，及时导排雨水，避免雨水在硬化区域长时间积留</w:t>
                  </w:r>
                  <w:r>
                    <w:rPr>
                      <w:rFonts w:hint="eastAsia" w:ascii="宋体" w:hAnsi="宋体" w:cs="宋体"/>
                      <w:color w:val="auto"/>
                      <w:sz w:val="24"/>
                      <w:szCs w:val="24"/>
                      <w:highlight w:val="none"/>
                      <w:lang w:eastAsia="zh-CN"/>
                    </w:rPr>
                    <w:t>，浸泡</w:t>
                  </w:r>
                  <w:r>
                    <w:rPr>
                      <w:rFonts w:ascii="宋体" w:hAnsi="宋体" w:eastAsia="宋体" w:cs="宋体"/>
                      <w:color w:val="auto"/>
                      <w:sz w:val="24"/>
                      <w:szCs w:val="24"/>
                      <w:highlight w:val="none"/>
                    </w:rPr>
                    <w:t>粉料</w:t>
                  </w:r>
                </w:p>
              </w:tc>
            </w:tr>
          </w:tbl>
          <w:p w14:paraId="2629E79E">
            <w:pPr>
              <w:numPr>
                <w:ilvl w:val="0"/>
                <w:numId w:val="6"/>
              </w:numPr>
              <w:bidi w:val="0"/>
              <w:rPr>
                <w:rFonts w:hint="eastAsia" w:ascii="Times New Roman" w:hAnsi="Times New Roman" w:eastAsia="宋体" w:cs="Times New Roman"/>
                <w:color w:val="auto"/>
                <w:sz w:val="24"/>
                <w:szCs w:val="24"/>
                <w:highlight w:val="none"/>
                <w:lang w:eastAsia="zh-CN"/>
              </w:rPr>
            </w:pPr>
            <w:r>
              <w:rPr>
                <w:rFonts w:ascii="宋体" w:hAnsi="宋体" w:eastAsia="宋体" w:cs="宋体"/>
                <w:color w:val="auto"/>
                <w:sz w:val="24"/>
                <w:szCs w:val="24"/>
                <w:highlight w:val="none"/>
              </w:rPr>
              <w:t>建立每周防渗巡检制度，专人检查</w:t>
            </w:r>
            <w:r>
              <w:rPr>
                <w:rFonts w:hint="eastAsia" w:asciiTheme="minorEastAsia" w:hAnsiTheme="minorEastAsia" w:eastAsiaTheme="minorEastAsia" w:cstheme="minorEastAsia"/>
                <w:color w:val="auto"/>
                <w:sz w:val="24"/>
                <w:szCs w:val="24"/>
                <w:highlight w:val="none"/>
                <w:lang w:val="en-US" w:eastAsia="zh-CN"/>
              </w:rPr>
              <w:t>全封闭砂石料场</w:t>
            </w:r>
            <w:r>
              <w:rPr>
                <w:rFonts w:ascii="宋体" w:hAnsi="宋体" w:eastAsia="宋体" w:cs="宋体"/>
                <w:color w:val="auto"/>
                <w:sz w:val="24"/>
                <w:szCs w:val="24"/>
                <w:highlight w:val="none"/>
              </w:rPr>
              <w:t>、搅拌区、道路混凝土硬化层，重点排查裂缝、起砂、破损点位，一旦发现破损，24小时内完成修补封堵，阻断雨水下渗通道。</w:t>
            </w:r>
          </w:p>
          <w:p w14:paraId="6988E6C8">
            <w:pPr>
              <w:numPr>
                <w:ilvl w:val="0"/>
                <w:numId w:val="6"/>
              </w:numPr>
              <w:bidi w:val="0"/>
              <w:rPr>
                <w:rFonts w:hint="eastAsia" w:ascii="Times New Roman" w:hAnsi="Times New Roman" w:eastAsia="宋体" w:cs="Times New Roman"/>
                <w:color w:val="auto"/>
                <w:sz w:val="24"/>
                <w:szCs w:val="24"/>
                <w:highlight w:val="none"/>
                <w:lang w:eastAsia="zh-CN"/>
              </w:rPr>
            </w:pPr>
            <w:r>
              <w:rPr>
                <w:rFonts w:ascii="宋体" w:hAnsi="宋体" w:eastAsia="宋体" w:cs="宋体"/>
                <w:color w:val="auto"/>
                <w:sz w:val="24"/>
                <w:szCs w:val="24"/>
                <w:highlight w:val="none"/>
              </w:rPr>
              <w:t>雨季来临前全面疏通厂区截排水沟，清理沟内积灰、砂石杂物，防止雨水漫流冲刷硬化地面。</w:t>
            </w:r>
          </w:p>
          <w:p w14:paraId="576FEDC5">
            <w:pPr>
              <w:numPr>
                <w:ilvl w:val="0"/>
                <w:numId w:val="6"/>
              </w:numPr>
              <w:bidi w:val="0"/>
              <w:rPr>
                <w:rFonts w:hint="eastAsia" w:ascii="Times New Roman" w:hAnsi="Times New Roman" w:eastAsia="宋体" w:cs="Times New Roman"/>
                <w:color w:val="auto"/>
                <w:sz w:val="24"/>
                <w:szCs w:val="24"/>
                <w:highlight w:val="none"/>
                <w:lang w:eastAsia="zh-CN"/>
              </w:rPr>
            </w:pPr>
            <w:r>
              <w:rPr>
                <w:rFonts w:ascii="宋体" w:hAnsi="宋体" w:eastAsia="宋体" w:cs="宋体"/>
                <w:color w:val="auto"/>
                <w:sz w:val="24"/>
                <w:szCs w:val="24"/>
                <w:highlight w:val="none"/>
              </w:rPr>
              <w:t>砂石骨料全部存放于</w:t>
            </w:r>
            <w:r>
              <w:rPr>
                <w:rFonts w:hint="eastAsia" w:asciiTheme="minorEastAsia" w:hAnsiTheme="minorEastAsia" w:eastAsiaTheme="minorEastAsia" w:cstheme="minorEastAsia"/>
                <w:color w:val="auto"/>
                <w:sz w:val="24"/>
                <w:szCs w:val="24"/>
                <w:highlight w:val="none"/>
                <w:lang w:val="en-US" w:eastAsia="zh-CN"/>
              </w:rPr>
              <w:t>全封闭砂石料场</w:t>
            </w:r>
            <w:r>
              <w:rPr>
                <w:rFonts w:ascii="宋体" w:hAnsi="宋体" w:eastAsia="宋体" w:cs="宋体"/>
                <w:color w:val="auto"/>
                <w:sz w:val="24"/>
                <w:szCs w:val="24"/>
                <w:highlight w:val="none"/>
              </w:rPr>
              <w:t>内，杜绝露天堆放，减少雨水直接淋溶粉料，降低淋溶污染物产生量。</w:t>
            </w:r>
          </w:p>
          <w:p w14:paraId="244F2ED0">
            <w:pPr>
              <w:numPr>
                <w:ilvl w:val="0"/>
                <w:numId w:val="6"/>
              </w:numPr>
              <w:bidi w:val="0"/>
              <w:rPr>
                <w:rFonts w:hint="eastAsia" w:ascii="Times New Roman" w:hAnsi="Times New Roman" w:eastAsia="宋体" w:cs="Times New Roman"/>
                <w:color w:val="auto"/>
                <w:sz w:val="24"/>
                <w:szCs w:val="24"/>
                <w:highlight w:val="none"/>
                <w:lang w:eastAsia="zh-CN"/>
              </w:rPr>
            </w:pPr>
            <w:r>
              <w:rPr>
                <w:rFonts w:ascii="宋体" w:hAnsi="宋体" w:eastAsia="宋体" w:cs="宋体"/>
                <w:color w:val="auto"/>
                <w:sz w:val="24"/>
                <w:szCs w:val="24"/>
                <w:highlight w:val="none"/>
              </w:rPr>
              <w:t>布袋除尘器收集的除尘灰密闭储存、即时转运回用于搅拌生产，不在厂区露天堆存，避免雨水冲刷产生淋溶渗滤液。</w:t>
            </w:r>
          </w:p>
          <w:p w14:paraId="7A1F1497">
            <w:pPr>
              <w:numPr>
                <w:ilvl w:val="0"/>
                <w:numId w:val="6"/>
              </w:numPr>
              <w:bidi w:val="0"/>
              <w:rPr>
                <w:rFonts w:hint="eastAsia" w:ascii="Times New Roman" w:hAnsi="Times New Roman" w:eastAsia="宋体" w:cs="Times New Roman"/>
                <w:color w:val="auto"/>
                <w:sz w:val="24"/>
                <w:szCs w:val="24"/>
                <w:highlight w:val="none"/>
                <w:lang w:eastAsia="zh-CN"/>
              </w:rPr>
            </w:pPr>
            <w:r>
              <w:rPr>
                <w:rFonts w:ascii="宋体" w:hAnsi="宋体" w:eastAsia="宋体" w:cs="宋体"/>
                <w:color w:val="auto"/>
                <w:sz w:val="24"/>
                <w:szCs w:val="24"/>
                <w:highlight w:val="none"/>
              </w:rPr>
              <w:t>厂区常备防渗沙袋、清扫工具，若出现物料大面积洒落，立即人工清扫收集，避免雨水冲刷携带粉料渗入土壤，从源头切断污染路径。</w:t>
            </w:r>
          </w:p>
          <w:p w14:paraId="3D68E966">
            <w:pPr>
              <w:spacing w:line="360" w:lineRule="auto"/>
              <w:rPr>
                <w:color w:val="auto"/>
                <w:highlight w:val="none"/>
              </w:rPr>
            </w:pPr>
            <w:r>
              <w:rPr>
                <w:rFonts w:ascii="宋体" w:hAnsi="宋体" w:eastAsia="宋体" w:cs="宋体"/>
                <w:color w:val="auto"/>
                <w:sz w:val="24"/>
                <w:szCs w:val="24"/>
                <w:highlight w:val="none"/>
              </w:rPr>
              <w:t>项目通过全域混凝土硬化防渗、雨水截排、物料密闭存放、定期巡检修补等多重防控措施，可有效阻断雨水淋溶下渗的地下水、土壤污染途径；运营工况稳定时，污染物下渗量极低，项目运行对区域地下水、土壤环境影响较小，环境风险处于可接受范围。</w:t>
            </w:r>
          </w:p>
          <w:p w14:paraId="32C134E2">
            <w:pPr>
              <w:bidi w:val="0"/>
              <w:ind w:left="0" w:leftChars="0" w:firstLine="0" w:firstLineChars="0"/>
              <w:rPr>
                <w:rFonts w:hint="default" w:eastAsia="宋体"/>
                <w:b/>
                <w:bCs/>
                <w:color w:val="auto"/>
                <w:highlight w:val="none"/>
                <w:lang w:val="en-US" w:eastAsia="zh-CN"/>
              </w:rPr>
            </w:pPr>
            <w:r>
              <w:rPr>
                <w:rFonts w:hint="eastAsia"/>
                <w:b/>
                <w:bCs/>
                <w:color w:val="auto"/>
                <w:highlight w:val="none"/>
                <w:lang w:val="en-US" w:eastAsia="zh-CN"/>
              </w:rPr>
              <w:t>6、监测计划</w:t>
            </w:r>
          </w:p>
          <w:p w14:paraId="08102A5B">
            <w:pPr>
              <w:widowControl/>
              <w:bidi w:val="0"/>
              <w:snapToGrid w:val="0"/>
              <w:spacing w:line="360" w:lineRule="auto"/>
              <w:ind w:right="0" w:firstLine="480" w:firstLineChars="200"/>
              <w:jc w:val="both"/>
              <w:rPr>
                <w:rFonts w:hint="eastAsia"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根据《排污单位自行监测技术指南</w:t>
            </w:r>
            <w:r>
              <w:rPr>
                <w:rFonts w:hint="eastAsia" w:cs="Times New Roman"/>
                <w:color w:val="auto"/>
                <w:kern w:val="0"/>
                <w:sz w:val="24"/>
                <w:szCs w:val="24"/>
                <w:highlight w:val="none"/>
                <w:lang w:val="en-US" w:eastAsia="zh-CN" w:bidi="ar-SA"/>
              </w:rPr>
              <w:t>总则</w:t>
            </w:r>
            <w:r>
              <w:rPr>
                <w:rFonts w:hint="eastAsia" w:ascii="Times New Roman" w:hAnsi="Times New Roman" w:eastAsia="宋体" w:cs="Times New Roman"/>
                <w:color w:val="auto"/>
                <w:kern w:val="0"/>
                <w:sz w:val="24"/>
                <w:szCs w:val="24"/>
                <w:highlight w:val="none"/>
                <w:lang w:val="en-US" w:eastAsia="zh-CN" w:bidi="ar-SA"/>
              </w:rPr>
              <w:t>》（</w:t>
            </w:r>
            <w:r>
              <w:rPr>
                <w:rFonts w:hint="eastAsia" w:cs="Times New Roman"/>
                <w:color w:val="auto"/>
                <w:kern w:val="0"/>
                <w:sz w:val="24"/>
                <w:szCs w:val="24"/>
                <w:highlight w:val="none"/>
                <w:lang w:val="en-US" w:eastAsia="zh-CN" w:bidi="ar-SA"/>
              </w:rPr>
              <w:t>HJ</w:t>
            </w:r>
            <w:r>
              <w:rPr>
                <w:rFonts w:hint="eastAsia" w:ascii="Times New Roman" w:hAnsi="Times New Roman" w:eastAsia="宋体" w:cs="Times New Roman"/>
                <w:color w:val="auto"/>
                <w:kern w:val="0"/>
                <w:sz w:val="24"/>
                <w:szCs w:val="24"/>
                <w:highlight w:val="none"/>
                <w:lang w:val="en-US" w:eastAsia="zh-CN" w:bidi="ar-SA"/>
              </w:rPr>
              <w:t>819-2017）</w:t>
            </w:r>
            <w:r>
              <w:rPr>
                <w:rFonts w:hint="eastAsia" w:cs="Times New Roman"/>
                <w:color w:val="auto"/>
                <w:kern w:val="0"/>
                <w:sz w:val="24"/>
                <w:szCs w:val="24"/>
                <w:highlight w:val="none"/>
                <w:lang w:val="en-US" w:eastAsia="zh-CN" w:bidi="ar-SA"/>
              </w:rPr>
              <w:t>、《排污单位自行监测技术指南水泥工业》（HJ848-2017）</w:t>
            </w:r>
            <w:r>
              <w:rPr>
                <w:rFonts w:hint="eastAsia" w:ascii="Times New Roman" w:hAnsi="Times New Roman" w:eastAsia="宋体" w:cs="Times New Roman"/>
                <w:color w:val="auto"/>
                <w:kern w:val="0"/>
                <w:sz w:val="24"/>
                <w:szCs w:val="24"/>
                <w:highlight w:val="none"/>
                <w:lang w:val="en-US" w:eastAsia="zh-CN" w:bidi="ar-SA"/>
              </w:rPr>
              <w:t>，本项目环境监测计划具体见下表。</w:t>
            </w:r>
          </w:p>
          <w:p w14:paraId="31218430">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eastAsia="宋体"/>
                <w:b/>
                <w:bCs/>
                <w:color w:val="auto"/>
                <w:highlight w:val="none"/>
                <w:lang w:val="en-US" w:eastAsia="zh-CN"/>
              </w:rPr>
            </w:pPr>
            <w:r>
              <w:rPr>
                <w:rFonts w:hint="eastAsia"/>
                <w:b/>
                <w:bCs/>
                <w:color w:val="auto"/>
                <w:highlight w:val="none"/>
                <w:lang w:val="en-US" w:eastAsia="zh-CN"/>
              </w:rPr>
              <w:t>表4-6-1项目环境监测计划一览表</w:t>
            </w:r>
          </w:p>
          <w:tbl>
            <w:tblPr>
              <w:tblStyle w:val="15"/>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515"/>
              <w:gridCol w:w="1214"/>
              <w:gridCol w:w="1255"/>
              <w:gridCol w:w="1200"/>
              <w:gridCol w:w="2024"/>
            </w:tblGrid>
            <w:tr w14:paraId="4CE5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40EA3E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类型</w:t>
                  </w:r>
                </w:p>
              </w:tc>
              <w:tc>
                <w:tcPr>
                  <w:tcW w:w="1515" w:type="dxa"/>
                  <w:vAlign w:val="center"/>
                </w:tcPr>
                <w:p w14:paraId="325FF9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污染源</w:t>
                  </w:r>
                </w:p>
              </w:tc>
              <w:tc>
                <w:tcPr>
                  <w:tcW w:w="1214" w:type="dxa"/>
                  <w:vAlign w:val="center"/>
                </w:tcPr>
                <w:p w14:paraId="086C62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监测点位</w:t>
                  </w:r>
                </w:p>
              </w:tc>
              <w:tc>
                <w:tcPr>
                  <w:tcW w:w="1255" w:type="dxa"/>
                  <w:vAlign w:val="center"/>
                </w:tcPr>
                <w:p w14:paraId="69E8F7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监测项目</w:t>
                  </w:r>
                </w:p>
              </w:tc>
              <w:tc>
                <w:tcPr>
                  <w:tcW w:w="1200" w:type="dxa"/>
                  <w:vAlign w:val="center"/>
                </w:tcPr>
                <w:p w14:paraId="6634B3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监测频次</w:t>
                  </w:r>
                </w:p>
              </w:tc>
              <w:tc>
                <w:tcPr>
                  <w:tcW w:w="2024" w:type="dxa"/>
                  <w:vAlign w:val="center"/>
                </w:tcPr>
                <w:p w14:paraId="510020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执行标准</w:t>
                  </w:r>
                </w:p>
              </w:tc>
            </w:tr>
            <w:tr w14:paraId="23E0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restart"/>
                  <w:vAlign w:val="center"/>
                </w:tcPr>
                <w:p w14:paraId="6670E7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val="en-US" w:eastAsia="zh-CN"/>
                    </w:rPr>
                    <w:t>废气</w:t>
                  </w:r>
                </w:p>
              </w:tc>
              <w:tc>
                <w:tcPr>
                  <w:tcW w:w="1515" w:type="dxa"/>
                  <w:vAlign w:val="center"/>
                </w:tcPr>
                <w:p w14:paraId="7EBCEE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搅拌工序</w:t>
                  </w:r>
                </w:p>
              </w:tc>
              <w:tc>
                <w:tcPr>
                  <w:tcW w:w="1214" w:type="dxa"/>
                  <w:vAlign w:val="center"/>
                </w:tcPr>
                <w:p w14:paraId="49C923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lang w:val="en-US" w:eastAsia="zh-CN"/>
                    </w:rPr>
                    <w:t>DA003</w:t>
                  </w:r>
                </w:p>
              </w:tc>
              <w:tc>
                <w:tcPr>
                  <w:tcW w:w="1255" w:type="dxa"/>
                  <w:vAlign w:val="center"/>
                </w:tcPr>
                <w:p w14:paraId="0C2F0A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颗粒物</w:t>
                  </w:r>
                </w:p>
              </w:tc>
              <w:tc>
                <w:tcPr>
                  <w:tcW w:w="1200" w:type="dxa"/>
                  <w:vAlign w:val="center"/>
                </w:tcPr>
                <w:p w14:paraId="66BF01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1次/2年</w:t>
                  </w:r>
                </w:p>
              </w:tc>
              <w:tc>
                <w:tcPr>
                  <w:tcW w:w="2024" w:type="dxa"/>
                  <w:vAlign w:val="center"/>
                </w:tcPr>
                <w:p w14:paraId="2EF276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kern w:val="0"/>
                      <w:sz w:val="21"/>
                      <w:szCs w:val="21"/>
                      <w:highlight w:val="none"/>
                    </w:rPr>
                    <w:t>《水泥工业大气污染物排放标准》（</w:t>
                  </w:r>
                  <w:r>
                    <w:rPr>
                      <w:rFonts w:hint="eastAsia" w:ascii="宋体" w:hAnsi="宋体" w:eastAsia="宋体" w:cs="宋体"/>
                      <w:b w:val="0"/>
                      <w:bCs w:val="0"/>
                      <w:color w:val="auto"/>
                      <w:kern w:val="0"/>
                      <w:sz w:val="21"/>
                      <w:szCs w:val="21"/>
                      <w:highlight w:val="none"/>
                      <w:lang w:val="en-US" w:eastAsia="zh-CN"/>
                    </w:rPr>
                    <w:t>GB</w:t>
                  </w:r>
                  <w:r>
                    <w:rPr>
                      <w:rFonts w:hint="eastAsia" w:ascii="宋体" w:hAnsi="宋体" w:eastAsia="宋体" w:cs="宋体"/>
                      <w:b w:val="0"/>
                      <w:bCs w:val="0"/>
                      <w:color w:val="auto"/>
                      <w:kern w:val="0"/>
                      <w:sz w:val="21"/>
                      <w:szCs w:val="21"/>
                      <w:highlight w:val="none"/>
                    </w:rPr>
                    <w:t>4915-2013）</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含</w:t>
                  </w:r>
                  <w:r>
                    <w:rPr>
                      <w:rFonts w:hint="eastAsia" w:ascii="宋体" w:hAnsi="宋体" w:eastAsia="宋体" w:cs="宋体"/>
                      <w:b w:val="0"/>
                      <w:bCs w:val="0"/>
                      <w:color w:val="auto"/>
                      <w:kern w:val="0"/>
                      <w:sz w:val="21"/>
                      <w:szCs w:val="21"/>
                      <w:highlight w:val="none"/>
                      <w:lang w:val="en-US" w:eastAsia="zh-CN"/>
                    </w:rPr>
                    <w:t>2025年修改单</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中</w:t>
                  </w:r>
                  <w:r>
                    <w:rPr>
                      <w:rFonts w:hint="eastAsia" w:ascii="宋体" w:hAnsi="宋体" w:eastAsia="宋体" w:cs="宋体"/>
                      <w:b w:val="0"/>
                      <w:bCs w:val="0"/>
                      <w:color w:val="auto"/>
                      <w:kern w:val="0"/>
                      <w:sz w:val="21"/>
                      <w:szCs w:val="21"/>
                      <w:highlight w:val="none"/>
                      <w:lang w:val="en-US" w:eastAsia="zh-CN"/>
                    </w:rPr>
                    <w:t>表2中</w:t>
                  </w:r>
                  <w:r>
                    <w:rPr>
                      <w:rFonts w:hint="eastAsia" w:ascii="宋体" w:hAnsi="宋体" w:eastAsia="宋体" w:cs="宋体"/>
                      <w:color w:val="auto"/>
                      <w:sz w:val="21"/>
                      <w:szCs w:val="21"/>
                      <w:highlight w:val="none"/>
                      <w:lang w:val="en-US" w:eastAsia="zh-CN"/>
                    </w:rPr>
                    <w:t>水泥制品生产颗粒物排放标准</w:t>
                  </w:r>
                </w:p>
              </w:tc>
            </w:tr>
            <w:tr w14:paraId="3684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vAlign w:val="center"/>
                </w:tcPr>
                <w:p w14:paraId="0B1EE8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rPr>
                  </w:pPr>
                </w:p>
              </w:tc>
              <w:tc>
                <w:tcPr>
                  <w:tcW w:w="1515" w:type="dxa"/>
                  <w:vAlign w:val="center"/>
                </w:tcPr>
                <w:p w14:paraId="0A3415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筒仓</w:t>
                  </w:r>
                </w:p>
              </w:tc>
              <w:tc>
                <w:tcPr>
                  <w:tcW w:w="1214" w:type="dxa"/>
                  <w:vAlign w:val="center"/>
                </w:tcPr>
                <w:p w14:paraId="2D69A1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w:t>
                  </w:r>
                </w:p>
              </w:tc>
              <w:tc>
                <w:tcPr>
                  <w:tcW w:w="1255" w:type="dxa"/>
                  <w:vAlign w:val="center"/>
                </w:tcPr>
                <w:p w14:paraId="55222D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颗粒物</w:t>
                  </w:r>
                </w:p>
              </w:tc>
              <w:tc>
                <w:tcPr>
                  <w:tcW w:w="1200" w:type="dxa"/>
                  <w:vAlign w:val="center"/>
                </w:tcPr>
                <w:p w14:paraId="305249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1次/2年</w:t>
                  </w:r>
                </w:p>
              </w:tc>
              <w:tc>
                <w:tcPr>
                  <w:tcW w:w="2024" w:type="dxa"/>
                  <w:vAlign w:val="center"/>
                </w:tcPr>
                <w:p w14:paraId="2040DF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《水泥工业大气污染物排放标准》（</w:t>
                  </w:r>
                  <w:r>
                    <w:rPr>
                      <w:rFonts w:hint="eastAsia" w:ascii="宋体" w:hAnsi="宋体" w:eastAsia="宋体" w:cs="宋体"/>
                      <w:b w:val="0"/>
                      <w:bCs w:val="0"/>
                      <w:color w:val="auto"/>
                      <w:kern w:val="0"/>
                      <w:sz w:val="21"/>
                      <w:szCs w:val="21"/>
                      <w:highlight w:val="none"/>
                      <w:lang w:val="en-US" w:eastAsia="zh-CN"/>
                    </w:rPr>
                    <w:t>GB</w:t>
                  </w:r>
                  <w:r>
                    <w:rPr>
                      <w:rFonts w:hint="eastAsia" w:ascii="宋体" w:hAnsi="宋体" w:eastAsia="宋体" w:cs="宋体"/>
                      <w:b w:val="0"/>
                      <w:bCs w:val="0"/>
                      <w:color w:val="auto"/>
                      <w:kern w:val="0"/>
                      <w:sz w:val="21"/>
                      <w:szCs w:val="21"/>
                      <w:highlight w:val="none"/>
                    </w:rPr>
                    <w:t>4915-2013）</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含</w:t>
                  </w:r>
                  <w:r>
                    <w:rPr>
                      <w:rFonts w:hint="eastAsia" w:ascii="宋体" w:hAnsi="宋体" w:eastAsia="宋体" w:cs="宋体"/>
                      <w:b w:val="0"/>
                      <w:bCs w:val="0"/>
                      <w:color w:val="auto"/>
                      <w:kern w:val="0"/>
                      <w:sz w:val="21"/>
                      <w:szCs w:val="21"/>
                      <w:highlight w:val="none"/>
                      <w:lang w:val="en-US" w:eastAsia="zh-CN"/>
                    </w:rPr>
                    <w:t>2025年修改单</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中</w:t>
                  </w:r>
                  <w:r>
                    <w:rPr>
                      <w:rFonts w:hint="eastAsia" w:ascii="宋体" w:hAnsi="宋体" w:eastAsia="宋体" w:cs="宋体"/>
                      <w:b w:val="0"/>
                      <w:bCs w:val="0"/>
                      <w:color w:val="auto"/>
                      <w:kern w:val="0"/>
                      <w:sz w:val="21"/>
                      <w:szCs w:val="21"/>
                      <w:highlight w:val="none"/>
                      <w:lang w:val="en-US" w:eastAsia="zh-CN"/>
                    </w:rPr>
                    <w:t>表</w:t>
                  </w:r>
                  <w:r>
                    <w:rPr>
                      <w:rFonts w:hint="eastAsia" w:ascii="宋体" w:hAnsi="宋体" w:cs="宋体"/>
                      <w:b w:val="0"/>
                      <w:bCs w:val="0"/>
                      <w:color w:val="auto"/>
                      <w:kern w:val="0"/>
                      <w:sz w:val="21"/>
                      <w:szCs w:val="21"/>
                      <w:highlight w:val="none"/>
                      <w:lang w:val="en-US" w:eastAsia="zh-CN"/>
                    </w:rPr>
                    <w:t>2</w:t>
                  </w:r>
                  <w:r>
                    <w:rPr>
                      <w:rFonts w:hint="eastAsia" w:ascii="宋体" w:hAnsi="宋体" w:eastAsia="宋体" w:cs="宋体"/>
                      <w:b w:val="0"/>
                      <w:bCs w:val="0"/>
                      <w:color w:val="auto"/>
                      <w:kern w:val="0"/>
                      <w:sz w:val="21"/>
                      <w:szCs w:val="21"/>
                      <w:highlight w:val="none"/>
                      <w:lang w:val="en-US" w:eastAsia="zh-CN"/>
                    </w:rPr>
                    <w:t>中</w:t>
                  </w:r>
                  <w:r>
                    <w:rPr>
                      <w:rFonts w:hint="eastAsia" w:ascii="宋体" w:hAnsi="宋体" w:eastAsia="宋体" w:cs="宋体"/>
                      <w:color w:val="auto"/>
                      <w:sz w:val="21"/>
                      <w:szCs w:val="21"/>
                      <w:highlight w:val="none"/>
                      <w:lang w:val="en-US" w:eastAsia="zh-CN"/>
                    </w:rPr>
                    <w:t>水泥制品生产颗粒物排放标准</w:t>
                  </w:r>
                </w:p>
              </w:tc>
            </w:tr>
            <w:tr w14:paraId="735F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vAlign w:val="center"/>
                </w:tcPr>
                <w:p w14:paraId="6B5626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vertAlign w:val="baseline"/>
                    </w:rPr>
                  </w:pPr>
                </w:p>
              </w:tc>
              <w:tc>
                <w:tcPr>
                  <w:tcW w:w="1515" w:type="dxa"/>
                  <w:vAlign w:val="center"/>
                </w:tcPr>
                <w:p w14:paraId="34EE44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b w:val="0"/>
                      <w:bCs w:val="0"/>
                      <w:color w:val="auto"/>
                      <w:sz w:val="21"/>
                      <w:szCs w:val="21"/>
                      <w:highlight w:val="none"/>
                      <w:lang w:val="en-US" w:eastAsia="zh-CN"/>
                    </w:rPr>
                    <w:t>厂界无组织</w:t>
                  </w:r>
                </w:p>
              </w:tc>
              <w:tc>
                <w:tcPr>
                  <w:tcW w:w="1214" w:type="dxa"/>
                  <w:vAlign w:val="center"/>
                </w:tcPr>
                <w:p w14:paraId="0BB2C8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vertAlign w:val="baseline"/>
                      <w:lang w:val="en-US" w:eastAsia="zh-CN"/>
                    </w:rPr>
                    <w:t>厂界上风向1点，下风向3点</w:t>
                  </w:r>
                </w:p>
              </w:tc>
              <w:tc>
                <w:tcPr>
                  <w:tcW w:w="1255" w:type="dxa"/>
                  <w:vAlign w:val="center"/>
                </w:tcPr>
                <w:p w14:paraId="5EAF75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颗粒物</w:t>
                  </w:r>
                </w:p>
              </w:tc>
              <w:tc>
                <w:tcPr>
                  <w:tcW w:w="1200" w:type="dxa"/>
                  <w:vAlign w:val="center"/>
                </w:tcPr>
                <w:p w14:paraId="2EB8F6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1次/2年</w:t>
                  </w:r>
                </w:p>
              </w:tc>
              <w:tc>
                <w:tcPr>
                  <w:tcW w:w="2024" w:type="dxa"/>
                  <w:vAlign w:val="center"/>
                </w:tcPr>
                <w:p w14:paraId="3F6F43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color w:val="auto"/>
                      <w:kern w:val="0"/>
                      <w:sz w:val="21"/>
                      <w:szCs w:val="21"/>
                      <w:highlight w:val="none"/>
                    </w:rPr>
                  </w:pPr>
                  <w:r>
                    <w:rPr>
                      <w:rFonts w:hint="eastAsia"/>
                      <w:color w:val="auto"/>
                      <w:sz w:val="21"/>
                      <w:szCs w:val="21"/>
                      <w:highlight w:val="none"/>
                      <w:lang w:val="en-US" w:eastAsia="zh-CN"/>
                    </w:rPr>
                    <w:t>《水泥工业大气污染物排放标准》（GB4915-2013）（含2025年修改单）表3无组织排放浓度限值</w:t>
                  </w:r>
                </w:p>
              </w:tc>
            </w:tr>
            <w:tr w14:paraId="36CEA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71088C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噪声</w:t>
                  </w:r>
                </w:p>
              </w:tc>
              <w:tc>
                <w:tcPr>
                  <w:tcW w:w="1515" w:type="dxa"/>
                  <w:vAlign w:val="center"/>
                </w:tcPr>
                <w:p w14:paraId="0BFC5F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机械设备噪声</w:t>
                  </w:r>
                </w:p>
              </w:tc>
              <w:tc>
                <w:tcPr>
                  <w:tcW w:w="1214" w:type="dxa"/>
                  <w:vAlign w:val="center"/>
                </w:tcPr>
                <w:p w14:paraId="131257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厂界外1</w:t>
                  </w:r>
                </w:p>
              </w:tc>
              <w:tc>
                <w:tcPr>
                  <w:tcW w:w="1255" w:type="dxa"/>
                  <w:vAlign w:val="center"/>
                </w:tcPr>
                <w:p w14:paraId="5D7470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等效连续声级</w:t>
                  </w:r>
                </w:p>
              </w:tc>
              <w:tc>
                <w:tcPr>
                  <w:tcW w:w="1200" w:type="dxa"/>
                  <w:vAlign w:val="center"/>
                </w:tcPr>
                <w:p w14:paraId="2BAF77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1次/季度</w:t>
                  </w:r>
                </w:p>
              </w:tc>
              <w:tc>
                <w:tcPr>
                  <w:tcW w:w="2024" w:type="dxa"/>
                  <w:vAlign w:val="center"/>
                </w:tcPr>
                <w:p w14:paraId="33396B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《工业企业厂界环境噪声排放标准》（GB12348-2008）中的3类排放标准</w:t>
                  </w:r>
                </w:p>
              </w:tc>
            </w:tr>
          </w:tbl>
          <w:p w14:paraId="22641122">
            <w:pPr>
              <w:pStyle w:val="48"/>
              <w:spacing w:before="120" w:beforeLines="50" w:line="360" w:lineRule="auto"/>
              <w:ind w:firstLine="482" w:firstLineChars="200"/>
              <w:jc w:val="both"/>
              <w:rPr>
                <w:rFonts w:hint="eastAsia" w:asciiTheme="minorEastAsia" w:hAnsiTheme="minorEastAsia" w:eastAsiaTheme="minorEastAsia" w:cstheme="minorEastAsia"/>
                <w:b/>
                <w:bCs/>
                <w:color w:val="auto"/>
                <w:sz w:val="24"/>
                <w:highlight w:val="none"/>
                <w:lang w:val="en-US"/>
              </w:rPr>
            </w:pPr>
            <w:r>
              <w:rPr>
                <w:rFonts w:hint="eastAsia" w:asciiTheme="minorEastAsia" w:hAnsiTheme="minorEastAsia" w:eastAsiaTheme="minorEastAsia" w:cstheme="minorEastAsia"/>
                <w:b/>
                <w:bCs/>
                <w:color w:val="auto"/>
                <w:sz w:val="24"/>
                <w:highlight w:val="none"/>
                <w:lang w:val="en-US" w:eastAsia="zh-CN"/>
              </w:rPr>
              <w:t>7.</w:t>
            </w:r>
            <w:r>
              <w:rPr>
                <w:rFonts w:hint="eastAsia" w:asciiTheme="minorEastAsia" w:hAnsiTheme="minorEastAsia" w:eastAsiaTheme="minorEastAsia" w:cstheme="minorEastAsia"/>
                <w:b/>
                <w:bCs/>
                <w:color w:val="auto"/>
                <w:sz w:val="24"/>
                <w:highlight w:val="none"/>
                <w:lang w:val="en-US"/>
              </w:rPr>
              <w:t>“三同时”验收</w:t>
            </w:r>
          </w:p>
          <w:p w14:paraId="578BEC7F">
            <w:pPr>
              <w:pStyle w:val="48"/>
              <w:spacing w:line="360" w:lineRule="auto"/>
              <w:ind w:firstLine="480" w:firstLineChars="200"/>
              <w:jc w:val="both"/>
              <w:rPr>
                <w:rFonts w:ascii="Times New Roman" w:hAnsi="Times New Roman" w:cs="Times New Roman"/>
                <w:color w:val="auto"/>
                <w:sz w:val="24"/>
                <w:highlight w:val="none"/>
                <w:lang w:val="en-US"/>
              </w:rPr>
            </w:pPr>
            <w:r>
              <w:rPr>
                <w:rFonts w:ascii="Times New Roman" w:hAnsi="Times New Roman" w:cs="Times New Roman"/>
                <w:color w:val="auto"/>
                <w:sz w:val="24"/>
                <w:highlight w:val="none"/>
                <w:lang w:val="en-US"/>
              </w:rPr>
              <w:t>项目治理设施“三同时”验收一览表见下表</w:t>
            </w:r>
            <w:r>
              <w:rPr>
                <w:rFonts w:hint="eastAsia" w:ascii="Times New Roman" w:hAnsi="Times New Roman" w:cs="Times New Roman"/>
                <w:color w:val="auto"/>
                <w:sz w:val="24"/>
                <w:highlight w:val="none"/>
                <w:lang w:val="en-US" w:eastAsia="zh-CN"/>
              </w:rPr>
              <w:t>4-7-1</w:t>
            </w:r>
            <w:r>
              <w:rPr>
                <w:rFonts w:ascii="Times New Roman" w:hAnsi="Times New Roman" w:cs="Times New Roman"/>
                <w:color w:val="auto"/>
                <w:sz w:val="24"/>
                <w:highlight w:val="none"/>
                <w:lang w:val="en-US"/>
              </w:rPr>
              <w:t>。</w:t>
            </w:r>
          </w:p>
          <w:p w14:paraId="3F9DCFE6">
            <w:pPr>
              <w:jc w:val="center"/>
              <w:rPr>
                <w:b/>
                <w:bCs/>
                <w:color w:val="auto"/>
                <w:highlight w:val="none"/>
                <w:vertAlign w:val="baseline"/>
              </w:rPr>
            </w:pPr>
            <w:r>
              <w:rPr>
                <w:rFonts w:hint="eastAsia"/>
                <w:b/>
                <w:bCs/>
                <w:color w:val="auto"/>
                <w:highlight w:val="none"/>
              </w:rPr>
              <w:t>表</w:t>
            </w:r>
            <w:r>
              <w:rPr>
                <w:rFonts w:hint="eastAsia"/>
                <w:b/>
                <w:bCs/>
                <w:color w:val="auto"/>
                <w:highlight w:val="none"/>
                <w:lang w:val="en-US" w:eastAsia="zh-CN"/>
              </w:rPr>
              <w:t>4-7</w:t>
            </w:r>
            <w:r>
              <w:rPr>
                <w:rFonts w:hint="eastAsia"/>
                <w:b/>
                <w:bCs/>
                <w:color w:val="auto"/>
                <w:highlight w:val="none"/>
              </w:rPr>
              <w:t>-1项目环保设施“三同时”验收一览表</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2006"/>
              <w:gridCol w:w="1992"/>
              <w:gridCol w:w="3134"/>
            </w:tblGrid>
            <w:tr w14:paraId="2C52C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2592" w:type="dxa"/>
                  <w:gridSpan w:val="2"/>
                  <w:vAlign w:val="center"/>
                </w:tcPr>
                <w:p w14:paraId="38AE1682">
                  <w:pPr>
                    <w:ind w:left="0" w:leftChars="0" w:firstLine="0" w:firstLineChars="0"/>
                    <w:jc w:val="center"/>
                    <w:rPr>
                      <w:rFonts w:hint="eastAsia" w:asciiTheme="minorEastAsia" w:hAnsiTheme="minorEastAsia" w:eastAsiaTheme="minorEastAsia" w:cstheme="minorEastAsia"/>
                      <w:color w:val="auto"/>
                      <w:sz w:val="24"/>
                      <w:szCs w:val="24"/>
                      <w:highlight w:val="none"/>
                      <w:vertAlign w:val="baseline"/>
                      <w:lang w:val="en-US" w:eastAsia="zh-CN"/>
                    </w:rPr>
                  </w:pPr>
                  <w:r>
                    <w:rPr>
                      <w:rFonts w:hint="eastAsia" w:asciiTheme="minorEastAsia" w:hAnsiTheme="minorEastAsia" w:eastAsiaTheme="minorEastAsia" w:cstheme="minorEastAsia"/>
                      <w:color w:val="auto"/>
                      <w:sz w:val="24"/>
                      <w:szCs w:val="24"/>
                      <w:highlight w:val="none"/>
                      <w:vertAlign w:val="baseline"/>
                      <w:lang w:val="en-US" w:eastAsia="zh-CN"/>
                    </w:rPr>
                    <w:t>类别</w:t>
                  </w:r>
                </w:p>
              </w:tc>
              <w:tc>
                <w:tcPr>
                  <w:tcW w:w="1992" w:type="dxa"/>
                  <w:vAlign w:val="center"/>
                </w:tcPr>
                <w:p w14:paraId="1033B236">
                  <w:pPr>
                    <w:ind w:left="0" w:leftChars="0" w:firstLine="0" w:firstLineChars="0"/>
                    <w:jc w:val="center"/>
                    <w:rPr>
                      <w:rFonts w:hint="eastAsia" w:asciiTheme="minorEastAsia" w:hAnsiTheme="minorEastAsia" w:eastAsiaTheme="minorEastAsia" w:cstheme="minorEastAsia"/>
                      <w:color w:val="auto"/>
                      <w:sz w:val="24"/>
                      <w:szCs w:val="24"/>
                      <w:highlight w:val="none"/>
                      <w:vertAlign w:val="baseline"/>
                      <w:lang w:val="en-US" w:eastAsia="zh-CN"/>
                    </w:rPr>
                  </w:pPr>
                  <w:r>
                    <w:rPr>
                      <w:rFonts w:hint="eastAsia" w:asciiTheme="minorEastAsia" w:hAnsiTheme="minorEastAsia" w:eastAsiaTheme="minorEastAsia" w:cstheme="minorEastAsia"/>
                      <w:color w:val="auto"/>
                      <w:sz w:val="24"/>
                      <w:szCs w:val="24"/>
                      <w:highlight w:val="none"/>
                      <w:vertAlign w:val="baseline"/>
                      <w:lang w:val="en-US" w:eastAsia="zh-CN"/>
                    </w:rPr>
                    <w:t>环境保护措施</w:t>
                  </w:r>
                </w:p>
              </w:tc>
              <w:tc>
                <w:tcPr>
                  <w:tcW w:w="3134" w:type="dxa"/>
                  <w:vAlign w:val="center"/>
                </w:tcPr>
                <w:p w14:paraId="34707764">
                  <w:pPr>
                    <w:ind w:left="0" w:leftChars="0" w:firstLine="0" w:firstLineChars="0"/>
                    <w:jc w:val="center"/>
                    <w:rPr>
                      <w:rFonts w:hint="eastAsia" w:asciiTheme="minorEastAsia" w:hAnsiTheme="minorEastAsia" w:eastAsiaTheme="minorEastAsia" w:cstheme="minorEastAsia"/>
                      <w:color w:val="auto"/>
                      <w:sz w:val="24"/>
                      <w:szCs w:val="24"/>
                      <w:highlight w:val="none"/>
                      <w:vertAlign w:val="baseline"/>
                      <w:lang w:val="en-US" w:eastAsia="zh-CN"/>
                    </w:rPr>
                  </w:pPr>
                  <w:r>
                    <w:rPr>
                      <w:rFonts w:hint="eastAsia" w:asciiTheme="minorEastAsia" w:hAnsiTheme="minorEastAsia" w:eastAsiaTheme="minorEastAsia" w:cstheme="minorEastAsia"/>
                      <w:color w:val="auto"/>
                      <w:sz w:val="24"/>
                      <w:szCs w:val="24"/>
                      <w:highlight w:val="none"/>
                      <w:vertAlign w:val="baseline"/>
                      <w:lang w:val="en-US" w:eastAsia="zh-CN"/>
                    </w:rPr>
                    <w:t>验收要求</w:t>
                  </w:r>
                </w:p>
              </w:tc>
            </w:tr>
            <w:tr w14:paraId="149D1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86" w:type="dxa"/>
                  <w:vMerge w:val="restart"/>
                  <w:vAlign w:val="center"/>
                </w:tcPr>
                <w:p w14:paraId="00B1B1A4">
                  <w:pPr>
                    <w:ind w:left="0" w:leftChars="0" w:firstLine="0" w:firstLineChars="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废气</w:t>
                  </w:r>
                </w:p>
              </w:tc>
              <w:tc>
                <w:tcPr>
                  <w:tcW w:w="2006" w:type="dxa"/>
                  <w:vAlign w:val="center"/>
                </w:tcPr>
                <w:p w14:paraId="77ED9AFD">
                  <w:pPr>
                    <w:ind w:left="0" w:leftChars="0" w:firstLine="0" w:firstLineChars="0"/>
                    <w:jc w:val="center"/>
                    <w:rPr>
                      <w:rFonts w:hint="eastAsia" w:asciiTheme="minorEastAsia" w:hAnsiTheme="minorEastAsia" w:eastAsiaTheme="minorEastAsia" w:cstheme="minorEastAsia"/>
                      <w:color w:val="auto"/>
                      <w:sz w:val="24"/>
                      <w:szCs w:val="24"/>
                      <w:highlight w:val="none"/>
                      <w:vertAlign w:val="baseline"/>
                    </w:rPr>
                  </w:pPr>
                  <w:r>
                    <w:rPr>
                      <w:rFonts w:hint="eastAsia" w:ascii="宋体" w:hAnsi="宋体" w:cs="宋体"/>
                      <w:color w:val="auto"/>
                      <w:sz w:val="21"/>
                      <w:szCs w:val="21"/>
                      <w:highlight w:val="none"/>
                      <w:lang w:val="en-US" w:eastAsia="zh-CN"/>
                    </w:rPr>
                    <w:t>砂石料堆存、装卸</w:t>
                  </w:r>
                </w:p>
              </w:tc>
              <w:tc>
                <w:tcPr>
                  <w:tcW w:w="1992" w:type="dxa"/>
                  <w:vAlign w:val="center"/>
                </w:tcPr>
                <w:p w14:paraId="636F290B">
                  <w:pPr>
                    <w:ind w:left="0" w:leftChars="0" w:firstLine="0" w:firstLineChars="0"/>
                    <w:jc w:val="center"/>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1"/>
                      <w:szCs w:val="21"/>
                      <w:highlight w:val="none"/>
                      <w:lang w:val="en-US" w:eastAsia="zh-CN"/>
                    </w:rPr>
                    <w:t>全封闭砂石料场</w:t>
                  </w:r>
                </w:p>
              </w:tc>
              <w:tc>
                <w:tcPr>
                  <w:tcW w:w="3134" w:type="dxa"/>
                  <w:vAlign w:val="center"/>
                </w:tcPr>
                <w:p w14:paraId="2FE0FC89">
                  <w:pPr>
                    <w:spacing w:line="240" w:lineRule="auto"/>
                    <w:ind w:left="0" w:leftChars="0" w:firstLine="0" w:firstLineChars="0"/>
                    <w:jc w:val="center"/>
                    <w:rPr>
                      <w:rFonts w:hint="eastAsia" w:asciiTheme="minorEastAsia" w:hAnsiTheme="minorEastAsia" w:eastAsiaTheme="minorEastAsia" w:cstheme="minorEastAsia"/>
                      <w:color w:val="auto"/>
                      <w:sz w:val="24"/>
                      <w:szCs w:val="24"/>
                      <w:highlight w:val="none"/>
                      <w:vertAlign w:val="baseline"/>
                    </w:rPr>
                  </w:pPr>
                  <w:r>
                    <w:rPr>
                      <w:rFonts w:hint="eastAsia"/>
                      <w:color w:val="auto"/>
                      <w:sz w:val="21"/>
                      <w:szCs w:val="21"/>
                      <w:highlight w:val="none"/>
                      <w:lang w:val="en-US" w:eastAsia="zh-CN"/>
                    </w:rPr>
                    <w:t>《水泥工业大气污染物排放标准》（GB4915-2013）（含2025年修改单）表3无组织排放浓度限值</w:t>
                  </w:r>
                </w:p>
              </w:tc>
            </w:tr>
            <w:tr w14:paraId="7021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86" w:type="dxa"/>
                  <w:vMerge w:val="continue"/>
                  <w:vAlign w:val="center"/>
                </w:tcPr>
                <w:p w14:paraId="43D92267">
                  <w:pPr>
                    <w:jc w:val="center"/>
                    <w:rPr>
                      <w:rFonts w:hint="eastAsia" w:ascii="宋体" w:hAnsi="宋体" w:cs="宋体"/>
                      <w:color w:val="auto"/>
                      <w:sz w:val="21"/>
                      <w:szCs w:val="21"/>
                      <w:highlight w:val="none"/>
                      <w:lang w:val="en-US" w:eastAsia="zh-CN"/>
                    </w:rPr>
                  </w:pPr>
                </w:p>
              </w:tc>
              <w:tc>
                <w:tcPr>
                  <w:tcW w:w="2006" w:type="dxa"/>
                  <w:vAlign w:val="center"/>
                </w:tcPr>
                <w:p w14:paraId="37346DDB">
                  <w:pPr>
                    <w:ind w:left="0" w:leftChars="0" w:firstLine="0" w:firstLineChars="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输送皮带</w:t>
                  </w:r>
                </w:p>
              </w:tc>
              <w:tc>
                <w:tcPr>
                  <w:tcW w:w="1992" w:type="dxa"/>
                  <w:vAlign w:val="center"/>
                </w:tcPr>
                <w:p w14:paraId="5F5B546D">
                  <w:pPr>
                    <w:ind w:left="0" w:leftChars="0" w:firstLine="0" w:firstLineChars="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全封闭输送皮带</w:t>
                  </w:r>
                </w:p>
              </w:tc>
              <w:tc>
                <w:tcPr>
                  <w:tcW w:w="3134" w:type="dxa"/>
                  <w:vAlign w:val="center"/>
                </w:tcPr>
                <w:p w14:paraId="240C8B5C">
                  <w:pPr>
                    <w:spacing w:line="240" w:lineRule="auto"/>
                    <w:ind w:left="0" w:leftChars="0" w:firstLine="0" w:firstLineChars="0"/>
                    <w:jc w:val="center"/>
                    <w:rPr>
                      <w:rFonts w:hint="eastAsia"/>
                      <w:color w:val="auto"/>
                      <w:sz w:val="21"/>
                      <w:szCs w:val="21"/>
                      <w:highlight w:val="none"/>
                      <w:lang w:val="en-US" w:eastAsia="zh-CN"/>
                    </w:rPr>
                  </w:pPr>
                  <w:r>
                    <w:rPr>
                      <w:rFonts w:hint="eastAsia"/>
                      <w:color w:val="auto"/>
                      <w:sz w:val="21"/>
                      <w:szCs w:val="21"/>
                      <w:highlight w:val="none"/>
                      <w:lang w:val="en-US" w:eastAsia="zh-CN"/>
                    </w:rPr>
                    <w:t>《水泥工业大气污染物排放标准》（GB4915-2013）（含2025年修改单）表3无组织排放浓度限值</w:t>
                  </w:r>
                </w:p>
              </w:tc>
            </w:tr>
            <w:tr w14:paraId="5455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86" w:type="dxa"/>
                  <w:vMerge w:val="continue"/>
                  <w:vAlign w:val="center"/>
                </w:tcPr>
                <w:p w14:paraId="55A324A4">
                  <w:pPr>
                    <w:jc w:val="center"/>
                    <w:rPr>
                      <w:rFonts w:hint="eastAsia" w:ascii="宋体" w:hAnsi="宋体" w:cs="宋体"/>
                      <w:color w:val="auto"/>
                      <w:sz w:val="21"/>
                      <w:szCs w:val="21"/>
                      <w:highlight w:val="none"/>
                      <w:lang w:val="en-US" w:eastAsia="zh-CN"/>
                    </w:rPr>
                  </w:pPr>
                </w:p>
              </w:tc>
              <w:tc>
                <w:tcPr>
                  <w:tcW w:w="2006" w:type="dxa"/>
                  <w:vAlign w:val="center"/>
                </w:tcPr>
                <w:p w14:paraId="35B3B639">
                  <w:pPr>
                    <w:ind w:left="0" w:leftChars="0" w:firstLine="0" w:firstLineChars="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搅拌废气</w:t>
                  </w:r>
                </w:p>
              </w:tc>
              <w:tc>
                <w:tcPr>
                  <w:tcW w:w="1992" w:type="dxa"/>
                  <w:vAlign w:val="center"/>
                </w:tcPr>
                <w:p w14:paraId="3374E85A">
                  <w:pPr>
                    <w:ind w:left="0" w:leftChars="0" w:firstLine="0" w:firstLineChars="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搅拌自带除尘器</w:t>
                  </w:r>
                </w:p>
              </w:tc>
              <w:tc>
                <w:tcPr>
                  <w:tcW w:w="3134" w:type="dxa"/>
                  <w:vAlign w:val="center"/>
                </w:tcPr>
                <w:p w14:paraId="4F92A318">
                  <w:pPr>
                    <w:spacing w:line="240" w:lineRule="auto"/>
                    <w:ind w:left="0" w:leftChars="0" w:firstLine="0" w:firstLineChars="0"/>
                    <w:jc w:val="center"/>
                    <w:rPr>
                      <w:rFonts w:hint="eastAsia"/>
                      <w:color w:val="auto"/>
                      <w:sz w:val="21"/>
                      <w:szCs w:val="21"/>
                      <w:highlight w:val="none"/>
                      <w:lang w:val="en-US" w:eastAsia="zh-CN"/>
                    </w:rPr>
                  </w:pPr>
                  <w:r>
                    <w:rPr>
                      <w:rFonts w:hint="eastAsia" w:ascii="宋体" w:hAnsi="宋体" w:eastAsia="宋体" w:cs="宋体"/>
                      <w:b w:val="0"/>
                      <w:bCs w:val="0"/>
                      <w:color w:val="auto"/>
                      <w:kern w:val="0"/>
                      <w:sz w:val="21"/>
                      <w:szCs w:val="21"/>
                      <w:highlight w:val="none"/>
                    </w:rPr>
                    <w:t>《水泥工业大气污染物排放标准》（</w:t>
                  </w:r>
                  <w:r>
                    <w:rPr>
                      <w:rFonts w:hint="eastAsia" w:ascii="宋体" w:hAnsi="宋体" w:eastAsia="宋体" w:cs="宋体"/>
                      <w:b w:val="0"/>
                      <w:bCs w:val="0"/>
                      <w:color w:val="auto"/>
                      <w:kern w:val="0"/>
                      <w:sz w:val="21"/>
                      <w:szCs w:val="21"/>
                      <w:highlight w:val="none"/>
                      <w:lang w:val="en-US" w:eastAsia="zh-CN"/>
                    </w:rPr>
                    <w:t>GB</w:t>
                  </w:r>
                  <w:r>
                    <w:rPr>
                      <w:rFonts w:hint="eastAsia" w:ascii="宋体" w:hAnsi="宋体" w:eastAsia="宋体" w:cs="宋体"/>
                      <w:b w:val="0"/>
                      <w:bCs w:val="0"/>
                      <w:color w:val="auto"/>
                      <w:kern w:val="0"/>
                      <w:sz w:val="21"/>
                      <w:szCs w:val="21"/>
                      <w:highlight w:val="none"/>
                    </w:rPr>
                    <w:t>4915-2013）</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含</w:t>
                  </w:r>
                  <w:r>
                    <w:rPr>
                      <w:rFonts w:hint="eastAsia" w:ascii="宋体" w:hAnsi="宋体" w:eastAsia="宋体" w:cs="宋体"/>
                      <w:b w:val="0"/>
                      <w:bCs w:val="0"/>
                      <w:color w:val="auto"/>
                      <w:kern w:val="0"/>
                      <w:sz w:val="21"/>
                      <w:szCs w:val="21"/>
                      <w:highlight w:val="none"/>
                      <w:lang w:val="en-US" w:eastAsia="zh-CN"/>
                    </w:rPr>
                    <w:t>2025年修改单</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中</w:t>
                  </w:r>
                  <w:r>
                    <w:rPr>
                      <w:rFonts w:hint="eastAsia" w:ascii="宋体" w:hAnsi="宋体" w:eastAsia="宋体" w:cs="宋体"/>
                      <w:b w:val="0"/>
                      <w:bCs w:val="0"/>
                      <w:color w:val="auto"/>
                      <w:kern w:val="0"/>
                      <w:sz w:val="21"/>
                      <w:szCs w:val="21"/>
                      <w:highlight w:val="none"/>
                      <w:lang w:val="en-US" w:eastAsia="zh-CN"/>
                    </w:rPr>
                    <w:t>表2中</w:t>
                  </w:r>
                  <w:r>
                    <w:rPr>
                      <w:rFonts w:hint="eastAsia" w:ascii="宋体" w:hAnsi="宋体" w:eastAsia="宋体" w:cs="宋体"/>
                      <w:color w:val="auto"/>
                      <w:sz w:val="21"/>
                      <w:szCs w:val="21"/>
                      <w:highlight w:val="none"/>
                      <w:lang w:val="en-US" w:eastAsia="zh-CN"/>
                    </w:rPr>
                    <w:t>水泥制品生产颗粒物排放标准</w:t>
                  </w:r>
                </w:p>
              </w:tc>
            </w:tr>
            <w:tr w14:paraId="5B224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586" w:type="dxa"/>
                  <w:vMerge w:val="continue"/>
                  <w:vAlign w:val="center"/>
                </w:tcPr>
                <w:p w14:paraId="15D40A9C">
                  <w:pPr>
                    <w:jc w:val="center"/>
                    <w:rPr>
                      <w:rFonts w:hint="eastAsia" w:ascii="宋体" w:hAnsi="宋体" w:cs="宋体"/>
                      <w:color w:val="auto"/>
                      <w:sz w:val="21"/>
                      <w:szCs w:val="21"/>
                      <w:highlight w:val="none"/>
                      <w:lang w:val="en-US" w:eastAsia="zh-CN"/>
                    </w:rPr>
                  </w:pPr>
                </w:p>
              </w:tc>
              <w:tc>
                <w:tcPr>
                  <w:tcW w:w="2006" w:type="dxa"/>
                  <w:vAlign w:val="center"/>
                </w:tcPr>
                <w:p w14:paraId="2AF483F1">
                  <w:pPr>
                    <w:ind w:left="0" w:leftChars="0" w:firstLine="0" w:firstLineChars="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筒仓</w:t>
                  </w:r>
                </w:p>
              </w:tc>
              <w:tc>
                <w:tcPr>
                  <w:tcW w:w="1992" w:type="dxa"/>
                  <w:vAlign w:val="center"/>
                </w:tcPr>
                <w:p w14:paraId="5B0C3D97">
                  <w:pPr>
                    <w:ind w:left="0" w:leftChars="0" w:firstLine="0" w:firstLineChars="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筒仓自带布袋除尘器</w:t>
                  </w:r>
                </w:p>
              </w:tc>
              <w:tc>
                <w:tcPr>
                  <w:tcW w:w="3134" w:type="dxa"/>
                  <w:shd w:val="clear" w:color="auto" w:fill="auto"/>
                  <w:vAlign w:val="center"/>
                </w:tcPr>
                <w:p w14:paraId="16D5F6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eastAsiaTheme="minorEastAsia"/>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rPr>
                    <w:t>《水泥工业大气污染物排放标准》（</w:t>
                  </w:r>
                  <w:r>
                    <w:rPr>
                      <w:rFonts w:hint="eastAsia" w:ascii="宋体" w:hAnsi="宋体" w:eastAsia="宋体" w:cs="宋体"/>
                      <w:b w:val="0"/>
                      <w:bCs w:val="0"/>
                      <w:color w:val="auto"/>
                      <w:kern w:val="0"/>
                      <w:sz w:val="21"/>
                      <w:szCs w:val="21"/>
                      <w:highlight w:val="none"/>
                      <w:lang w:val="en-US" w:eastAsia="zh-CN"/>
                    </w:rPr>
                    <w:t>GB</w:t>
                  </w:r>
                  <w:r>
                    <w:rPr>
                      <w:rFonts w:hint="eastAsia" w:ascii="宋体" w:hAnsi="宋体" w:eastAsia="宋体" w:cs="宋体"/>
                      <w:b w:val="0"/>
                      <w:bCs w:val="0"/>
                      <w:color w:val="auto"/>
                      <w:kern w:val="0"/>
                      <w:sz w:val="21"/>
                      <w:szCs w:val="21"/>
                      <w:highlight w:val="none"/>
                    </w:rPr>
                    <w:t>4915-2013）</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含</w:t>
                  </w:r>
                  <w:r>
                    <w:rPr>
                      <w:rFonts w:hint="eastAsia" w:ascii="宋体" w:hAnsi="宋体" w:eastAsia="宋体" w:cs="宋体"/>
                      <w:b w:val="0"/>
                      <w:bCs w:val="0"/>
                      <w:color w:val="auto"/>
                      <w:kern w:val="0"/>
                      <w:sz w:val="21"/>
                      <w:szCs w:val="21"/>
                      <w:highlight w:val="none"/>
                      <w:lang w:val="en-US" w:eastAsia="zh-CN"/>
                    </w:rPr>
                    <w:t>2025年修改单</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中</w:t>
                  </w:r>
                  <w:r>
                    <w:rPr>
                      <w:rFonts w:hint="eastAsia" w:ascii="宋体" w:hAnsi="宋体" w:eastAsia="宋体" w:cs="宋体"/>
                      <w:b w:val="0"/>
                      <w:bCs w:val="0"/>
                      <w:color w:val="auto"/>
                      <w:kern w:val="0"/>
                      <w:sz w:val="21"/>
                      <w:szCs w:val="21"/>
                      <w:highlight w:val="none"/>
                      <w:lang w:val="en-US" w:eastAsia="zh-CN"/>
                    </w:rPr>
                    <w:t>表2中</w:t>
                  </w:r>
                  <w:r>
                    <w:rPr>
                      <w:rFonts w:hint="eastAsia" w:ascii="宋体" w:hAnsi="宋体" w:eastAsia="宋体" w:cs="宋体"/>
                      <w:color w:val="auto"/>
                      <w:sz w:val="21"/>
                      <w:szCs w:val="21"/>
                      <w:highlight w:val="none"/>
                      <w:lang w:val="en-US" w:eastAsia="zh-CN"/>
                    </w:rPr>
                    <w:t>水泥制品生产颗粒物排放标准</w:t>
                  </w:r>
                </w:p>
              </w:tc>
            </w:tr>
            <w:tr w14:paraId="2484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86" w:type="dxa"/>
                  <w:vAlign w:val="center"/>
                </w:tcPr>
                <w:p w14:paraId="1B84D81C">
                  <w:pPr>
                    <w:ind w:left="0" w:leftChars="0" w:firstLine="0" w:firstLineChars="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噪声</w:t>
                  </w:r>
                </w:p>
              </w:tc>
              <w:tc>
                <w:tcPr>
                  <w:tcW w:w="2006" w:type="dxa"/>
                  <w:vAlign w:val="center"/>
                </w:tcPr>
                <w:p w14:paraId="214173AA">
                  <w:pPr>
                    <w:ind w:left="0" w:leftChars="0" w:firstLine="0" w:firstLineChars="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机械设备、运输车辆</w:t>
                  </w:r>
                </w:p>
              </w:tc>
              <w:tc>
                <w:tcPr>
                  <w:tcW w:w="1992" w:type="dxa"/>
                  <w:vAlign w:val="center"/>
                </w:tcPr>
                <w:p w14:paraId="5F6E1F5E">
                  <w:pPr>
                    <w:ind w:left="0" w:leftChars="0" w:firstLine="0" w:firstLineChars="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基础减振、厂房隔声、限制车速、禁止鸣笛</w:t>
                  </w:r>
                </w:p>
              </w:tc>
              <w:tc>
                <w:tcPr>
                  <w:tcW w:w="3134" w:type="dxa"/>
                  <w:vAlign w:val="center"/>
                </w:tcPr>
                <w:p w14:paraId="0EBDC7BE">
                  <w:pPr>
                    <w:spacing w:line="240" w:lineRule="auto"/>
                    <w:ind w:left="0" w:leftChars="0" w:firstLine="0" w:firstLineChars="0"/>
                    <w:jc w:val="center"/>
                    <w:rPr>
                      <w:rFonts w:hint="eastAsia"/>
                      <w:color w:val="auto"/>
                      <w:sz w:val="21"/>
                      <w:szCs w:val="21"/>
                      <w:highlight w:val="none"/>
                      <w:lang w:val="en-US" w:eastAsia="zh-CN"/>
                    </w:rPr>
                  </w:pPr>
                  <w:r>
                    <w:rPr>
                      <w:rFonts w:hint="eastAsia" w:ascii="宋体" w:hAnsi="宋体" w:cs="宋体"/>
                      <w:color w:val="auto"/>
                      <w:sz w:val="21"/>
                      <w:szCs w:val="21"/>
                      <w:highlight w:val="none"/>
                      <w:lang w:val="en-US" w:eastAsia="zh-CN"/>
                    </w:rPr>
                    <w:t>《工业企业厂界环境噪声排</w:t>
                  </w:r>
                  <w:r>
                    <w:rPr>
                      <w:rFonts w:hint="default" w:ascii="Times New Roman" w:hAnsi="Times New Roman" w:cs="Times New Roman"/>
                      <w:color w:val="auto"/>
                      <w:sz w:val="21"/>
                      <w:szCs w:val="21"/>
                      <w:highlight w:val="none"/>
                      <w:lang w:val="en-US" w:eastAsia="zh-CN"/>
                    </w:rPr>
                    <w:t>放标准》（</w:t>
                  </w:r>
                  <w:r>
                    <w:rPr>
                      <w:rFonts w:hint="eastAsia" w:cs="Times New Roman"/>
                      <w:color w:val="auto"/>
                      <w:sz w:val="21"/>
                      <w:szCs w:val="21"/>
                      <w:highlight w:val="none"/>
                      <w:lang w:val="en-US" w:eastAsia="zh-CN"/>
                    </w:rPr>
                    <w:t>GB</w:t>
                  </w:r>
                  <w:r>
                    <w:rPr>
                      <w:rFonts w:hint="default" w:ascii="Times New Roman" w:hAnsi="Times New Roman" w:cs="Times New Roman"/>
                      <w:color w:val="auto"/>
                      <w:sz w:val="21"/>
                      <w:szCs w:val="21"/>
                      <w:highlight w:val="none"/>
                      <w:lang w:val="en-US" w:eastAsia="zh-CN"/>
                    </w:rPr>
                    <w:t>12348-2008）中的</w:t>
                  </w:r>
                  <w:r>
                    <w:rPr>
                      <w:rFonts w:hint="eastAsia"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类排放标</w:t>
                  </w:r>
                  <w:r>
                    <w:rPr>
                      <w:rFonts w:hint="eastAsia" w:ascii="宋体" w:hAnsi="宋体" w:cs="宋体"/>
                      <w:color w:val="auto"/>
                      <w:sz w:val="21"/>
                      <w:szCs w:val="21"/>
                      <w:highlight w:val="none"/>
                      <w:lang w:val="en-US" w:eastAsia="zh-CN"/>
                    </w:rPr>
                    <w:t>准</w:t>
                  </w:r>
                </w:p>
              </w:tc>
            </w:tr>
            <w:tr w14:paraId="13B0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86" w:type="dxa"/>
                  <w:vAlign w:val="center"/>
                </w:tcPr>
                <w:p w14:paraId="54272740">
                  <w:pPr>
                    <w:ind w:left="0" w:leftChars="0" w:firstLine="0" w:firstLineChars="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固废</w:t>
                  </w:r>
                </w:p>
              </w:tc>
              <w:tc>
                <w:tcPr>
                  <w:tcW w:w="2006" w:type="dxa"/>
                  <w:vAlign w:val="center"/>
                </w:tcPr>
                <w:p w14:paraId="40073F05">
                  <w:pPr>
                    <w:ind w:left="0" w:leftChars="0" w:firstLine="0" w:firstLineChars="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筒仓除尘灰、搅拌工序除尘灰</w:t>
                  </w:r>
                </w:p>
              </w:tc>
              <w:tc>
                <w:tcPr>
                  <w:tcW w:w="1992" w:type="dxa"/>
                  <w:vAlign w:val="center"/>
                </w:tcPr>
                <w:p w14:paraId="4D4CA2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筒仓除尘灰落回仓内作为原料使用，不外排；搅拌工序除尘灰定期清理作为原料使用，不外排；</w:t>
                  </w:r>
                </w:p>
              </w:tc>
              <w:tc>
                <w:tcPr>
                  <w:tcW w:w="3134" w:type="dxa"/>
                  <w:vAlign w:val="center"/>
                </w:tcPr>
                <w:p w14:paraId="210307B1">
                  <w:pPr>
                    <w:ind w:left="0" w:leftChars="0" w:firstLine="0" w:firstLineChars="0"/>
                    <w:jc w:val="center"/>
                    <w:rPr>
                      <w:rFonts w:hint="eastAsia"/>
                      <w:color w:val="auto"/>
                      <w:sz w:val="21"/>
                      <w:szCs w:val="21"/>
                      <w:highlight w:val="none"/>
                      <w:lang w:val="en-US" w:eastAsia="zh-CN"/>
                    </w:rPr>
                  </w:pPr>
                  <w:r>
                    <w:rPr>
                      <w:rFonts w:hint="eastAsia" w:ascii="宋体" w:hAnsi="宋体" w:cs="宋体"/>
                      <w:color w:val="auto"/>
                      <w:sz w:val="21"/>
                      <w:szCs w:val="21"/>
                      <w:highlight w:val="none"/>
                      <w:lang w:val="en-US" w:eastAsia="zh-CN"/>
                    </w:rPr>
                    <w:t>不外排</w:t>
                  </w:r>
                </w:p>
              </w:tc>
            </w:tr>
            <w:tr w14:paraId="5867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86" w:type="dxa"/>
                  <w:vAlign w:val="center"/>
                </w:tcPr>
                <w:p w14:paraId="592D3678">
                  <w:pPr>
                    <w:ind w:left="0" w:leftChars="0" w:firstLine="0" w:firstLineChars="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危废</w:t>
                  </w:r>
                </w:p>
              </w:tc>
              <w:tc>
                <w:tcPr>
                  <w:tcW w:w="2006" w:type="dxa"/>
                  <w:vAlign w:val="center"/>
                </w:tcPr>
                <w:p w14:paraId="31D3BF0D">
                  <w:pPr>
                    <w:ind w:left="0" w:leftChars="0" w:firstLine="0" w:firstLineChars="0"/>
                    <w:jc w:val="center"/>
                    <w:rPr>
                      <w:rFonts w:hint="eastAsia" w:ascii="宋体" w:hAnsi="宋体" w:cs="宋体"/>
                      <w:color w:val="auto"/>
                      <w:sz w:val="21"/>
                      <w:szCs w:val="21"/>
                      <w:highlight w:val="none"/>
                      <w:lang w:val="en-US" w:eastAsia="zh-CN"/>
                    </w:rPr>
                  </w:pPr>
                  <w:r>
                    <w:rPr>
                      <w:rFonts w:ascii="宋体" w:hAnsi="宋体" w:eastAsia="宋体" w:cs="宋体"/>
                      <w:color w:val="auto"/>
                      <w:sz w:val="21"/>
                      <w:szCs w:val="21"/>
                      <w:highlight w:val="none"/>
                    </w:rPr>
                    <w:t>废机油、残留油污废油桶</w:t>
                  </w:r>
                </w:p>
              </w:tc>
              <w:tc>
                <w:tcPr>
                  <w:tcW w:w="1992" w:type="dxa"/>
                  <w:vAlign w:val="center"/>
                </w:tcPr>
                <w:p w14:paraId="79C43F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lang w:val="en-US" w:eastAsia="zh-CN"/>
                    </w:rPr>
                  </w:pPr>
                  <w:r>
                    <w:rPr>
                      <w:rFonts w:ascii="宋体" w:hAnsi="宋体" w:eastAsia="宋体" w:cs="宋体"/>
                      <w:color w:val="auto"/>
                      <w:sz w:val="21"/>
                      <w:szCs w:val="21"/>
                      <w:highlight w:val="none"/>
                    </w:rPr>
                    <w:t>废机油密闭桶收集，依托煤矿现有危废库房储存；含油抹布按名录豁免，随矿区生活垃圾清运</w:t>
                  </w:r>
                </w:p>
              </w:tc>
              <w:tc>
                <w:tcPr>
                  <w:tcW w:w="3134" w:type="dxa"/>
                  <w:vAlign w:val="center"/>
                </w:tcPr>
                <w:p w14:paraId="1BD9900A">
                  <w:pPr>
                    <w:ind w:left="0" w:leftChars="0" w:firstLine="0" w:firstLineChars="0"/>
                    <w:jc w:val="center"/>
                    <w:rPr>
                      <w:rFonts w:hint="eastAsia" w:ascii="宋体" w:hAnsi="宋体" w:cs="宋体"/>
                      <w:color w:val="auto"/>
                      <w:sz w:val="21"/>
                      <w:szCs w:val="21"/>
                      <w:highlight w:val="none"/>
                      <w:lang w:val="en-US" w:eastAsia="zh-CN"/>
                    </w:rPr>
                  </w:pPr>
                  <w:r>
                    <w:rPr>
                      <w:rFonts w:ascii="宋体" w:hAnsi="宋体" w:eastAsia="宋体" w:cs="宋体"/>
                      <w:color w:val="auto"/>
                      <w:sz w:val="21"/>
                      <w:szCs w:val="21"/>
                      <w:highlight w:val="none"/>
                    </w:rPr>
                    <w:t>《危险废物贮存污染控制标准》（GB18597</w:t>
                  </w:r>
                  <w:r>
                    <w:rPr>
                      <w:rFonts w:ascii="宋体" w:hAnsi="宋体" w:eastAsia="宋体" w:cs="宋体"/>
                      <w:color w:val="auto"/>
                      <w:sz w:val="21"/>
                      <w:szCs w:val="21"/>
                      <w:highlight w:val="none"/>
                    </w:rPr>
                    <w:noBreakHyphen/>
                  </w:r>
                  <w:r>
                    <w:rPr>
                      <w:rFonts w:ascii="宋体" w:hAnsi="宋体" w:eastAsia="宋体" w:cs="宋体"/>
                      <w:color w:val="auto"/>
                      <w:sz w:val="21"/>
                      <w:szCs w:val="21"/>
                      <w:highlight w:val="none"/>
                    </w:rPr>
                    <w:t>2023）</w:t>
                  </w:r>
                </w:p>
              </w:tc>
            </w:tr>
            <w:tr w14:paraId="7ECE7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586" w:type="dxa"/>
                  <w:vAlign w:val="center"/>
                </w:tcPr>
                <w:p w14:paraId="200190CD">
                  <w:pPr>
                    <w:ind w:left="0" w:leftChars="0" w:firstLine="0" w:firstLineChars="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废水</w:t>
                  </w:r>
                </w:p>
              </w:tc>
              <w:tc>
                <w:tcPr>
                  <w:tcW w:w="2006" w:type="dxa"/>
                  <w:vAlign w:val="center"/>
                </w:tcPr>
                <w:p w14:paraId="5AF8CE44">
                  <w:pPr>
                    <w:ind w:left="0" w:leftChars="0" w:firstLine="0" w:firstLineChars="0"/>
                    <w:jc w:val="center"/>
                    <w:rPr>
                      <w:rFonts w:hint="default" w:ascii="宋体" w:hAnsi="宋体" w:cs="宋体"/>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vertAlign w:val="baseline"/>
                      <w:lang w:val="en-US" w:eastAsia="zh-CN"/>
                    </w:rPr>
                    <w:t>搅拌罐清洗、罐车清洗废水</w:t>
                  </w:r>
                </w:p>
              </w:tc>
              <w:tc>
                <w:tcPr>
                  <w:tcW w:w="1992" w:type="dxa"/>
                  <w:vAlign w:val="center"/>
                </w:tcPr>
                <w:p w14:paraId="1FBE0AD4">
                  <w:pPr>
                    <w:ind w:left="0" w:leftChars="0" w:firstLine="0" w:firstLineChars="0"/>
                    <w:jc w:val="center"/>
                    <w:rPr>
                      <w:rFonts w:hint="eastAsia" w:ascii="宋体" w:hAnsi="宋体" w:cs="宋体"/>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vertAlign w:val="baseline"/>
                      <w:lang w:val="en-US" w:eastAsia="zh-CN"/>
                    </w:rPr>
                    <w:t>搅拌罐清洗废水：清洗废水不出搅拌罐，全部回用；罐车清洗在矿井下混凝土浇筑地点进行，清洗废水与混凝土共同进入浇筑点，不外排</w:t>
                  </w:r>
                </w:p>
              </w:tc>
              <w:tc>
                <w:tcPr>
                  <w:tcW w:w="3134" w:type="dxa"/>
                  <w:vAlign w:val="center"/>
                </w:tcPr>
                <w:p w14:paraId="03F6BC54">
                  <w:pPr>
                    <w:ind w:left="0" w:leftChars="0"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不外排</w:t>
                  </w:r>
                </w:p>
              </w:tc>
            </w:tr>
          </w:tbl>
          <w:p w14:paraId="59552DE2">
            <w:pPr>
              <w:bidi w:val="0"/>
              <w:ind w:left="0" w:leftChars="0" w:firstLine="0" w:firstLineChars="0"/>
              <w:rPr>
                <w:rFonts w:hint="default" w:eastAsia="宋体"/>
                <w:b/>
                <w:bCs/>
                <w:color w:val="auto"/>
                <w:highlight w:val="none"/>
                <w:lang w:val="en-US" w:eastAsia="zh-CN"/>
              </w:rPr>
            </w:pPr>
            <w:r>
              <w:rPr>
                <w:rFonts w:hint="eastAsia"/>
                <w:b/>
                <w:bCs/>
                <w:color w:val="auto"/>
                <w:highlight w:val="none"/>
                <w:lang w:val="en-US" w:eastAsia="zh-CN"/>
              </w:rPr>
              <w:t>8.环保投资</w:t>
            </w:r>
          </w:p>
          <w:p w14:paraId="297825C1">
            <w:pPr>
              <w:bidi w:val="0"/>
              <w:rPr>
                <w:rFonts w:hint="default" w:eastAsia="宋体"/>
                <w:color w:val="auto"/>
                <w:sz w:val="24"/>
                <w:szCs w:val="24"/>
                <w:highlight w:val="none"/>
                <w:lang w:val="en-US" w:eastAsia="zh-CN"/>
              </w:rPr>
            </w:pPr>
            <w:r>
              <w:rPr>
                <w:rFonts w:hint="eastAsia"/>
                <w:color w:val="auto"/>
                <w:sz w:val="24"/>
                <w:szCs w:val="24"/>
                <w:highlight w:val="none"/>
                <w:lang w:val="en-US" w:eastAsia="zh-CN"/>
              </w:rPr>
              <w:t>本项目总投资770万元，其中环保投资279.1万元，占投资的36.77%，具体环保投资见下表。</w:t>
            </w:r>
          </w:p>
          <w:p w14:paraId="52B5FA4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eastAsia="宋体"/>
                <w:b/>
                <w:bCs/>
                <w:color w:val="auto"/>
                <w:highlight w:val="none"/>
                <w:lang w:val="en-US" w:eastAsia="zh-CN"/>
              </w:rPr>
            </w:pPr>
            <w:r>
              <w:rPr>
                <w:rFonts w:hint="eastAsia"/>
                <w:b/>
                <w:bCs/>
                <w:color w:val="auto"/>
                <w:highlight w:val="none"/>
                <w:lang w:val="en-US" w:eastAsia="zh-CN"/>
              </w:rPr>
              <w:t>表4-8-1环保投资一览表</w:t>
            </w:r>
          </w:p>
          <w:tbl>
            <w:tblPr>
              <w:tblStyle w:val="15"/>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663"/>
              <w:gridCol w:w="3392"/>
              <w:gridCol w:w="1153"/>
            </w:tblGrid>
            <w:tr w14:paraId="31407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03373B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项目</w:t>
                  </w:r>
                </w:p>
              </w:tc>
              <w:tc>
                <w:tcPr>
                  <w:tcW w:w="2663" w:type="dxa"/>
                  <w:vAlign w:val="center"/>
                </w:tcPr>
                <w:p w14:paraId="57D73F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污染源</w:t>
                  </w:r>
                </w:p>
              </w:tc>
              <w:tc>
                <w:tcPr>
                  <w:tcW w:w="3392" w:type="dxa"/>
                  <w:vAlign w:val="center"/>
                </w:tcPr>
                <w:p w14:paraId="320316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环保措施</w:t>
                  </w:r>
                </w:p>
              </w:tc>
              <w:tc>
                <w:tcPr>
                  <w:tcW w:w="1153" w:type="dxa"/>
                  <w:vAlign w:val="center"/>
                </w:tcPr>
                <w:p w14:paraId="39F4B2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环保投资（万元）</w:t>
                  </w:r>
                </w:p>
              </w:tc>
            </w:tr>
            <w:tr w14:paraId="20499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restart"/>
                  <w:vAlign w:val="center"/>
                </w:tcPr>
                <w:p w14:paraId="7AE45F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废气</w:t>
                  </w:r>
                </w:p>
              </w:tc>
              <w:tc>
                <w:tcPr>
                  <w:tcW w:w="2663" w:type="dxa"/>
                  <w:vAlign w:val="center"/>
                </w:tcPr>
                <w:p w14:paraId="24E3B2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砂石料堆存、装卸</w:t>
                  </w:r>
                </w:p>
              </w:tc>
              <w:tc>
                <w:tcPr>
                  <w:tcW w:w="3392" w:type="dxa"/>
                  <w:vAlign w:val="center"/>
                </w:tcPr>
                <w:p w14:paraId="60849D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asciiTheme="minorEastAsia" w:hAnsiTheme="minorEastAsia" w:eastAsiaTheme="minorEastAsia" w:cstheme="minorEastAsia"/>
                      <w:color w:val="auto"/>
                      <w:sz w:val="21"/>
                      <w:szCs w:val="21"/>
                      <w:highlight w:val="none"/>
                      <w:lang w:val="en-US" w:eastAsia="zh-CN"/>
                    </w:rPr>
                    <w:t>全封闭砂石料场</w:t>
                  </w:r>
                  <w:r>
                    <w:rPr>
                      <w:rFonts w:hint="default" w:eastAsia="宋体"/>
                      <w:color w:val="auto"/>
                      <w:sz w:val="21"/>
                      <w:szCs w:val="21"/>
                      <w:highlight w:val="none"/>
                      <w:vertAlign w:val="baseline"/>
                      <w:lang w:val="en-US" w:eastAsia="zh-CN"/>
                    </w:rPr>
                    <w:t>、洒水抑尘</w:t>
                  </w:r>
                </w:p>
              </w:tc>
              <w:tc>
                <w:tcPr>
                  <w:tcW w:w="1153" w:type="dxa"/>
                  <w:vAlign w:val="center"/>
                </w:tcPr>
                <w:p w14:paraId="1B81F1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60</w:t>
                  </w:r>
                </w:p>
              </w:tc>
            </w:tr>
            <w:tr w14:paraId="0404F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vAlign w:val="center"/>
                </w:tcPr>
                <w:p w14:paraId="653B22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vertAlign w:val="baseline"/>
                    </w:rPr>
                  </w:pPr>
                </w:p>
              </w:tc>
              <w:tc>
                <w:tcPr>
                  <w:tcW w:w="2663" w:type="dxa"/>
                  <w:vAlign w:val="center"/>
                </w:tcPr>
                <w:p w14:paraId="2A8505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输送皮带</w:t>
                  </w:r>
                </w:p>
              </w:tc>
              <w:tc>
                <w:tcPr>
                  <w:tcW w:w="3392" w:type="dxa"/>
                  <w:vAlign w:val="center"/>
                </w:tcPr>
                <w:p w14:paraId="74ACC4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全封闭输送皮带</w:t>
                  </w:r>
                </w:p>
              </w:tc>
              <w:tc>
                <w:tcPr>
                  <w:tcW w:w="1153" w:type="dxa"/>
                  <w:vAlign w:val="center"/>
                </w:tcPr>
                <w:p w14:paraId="4D5999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6</w:t>
                  </w:r>
                </w:p>
              </w:tc>
            </w:tr>
            <w:tr w14:paraId="4CDCE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vAlign w:val="center"/>
                </w:tcPr>
                <w:p w14:paraId="1DBCD2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vertAlign w:val="baseline"/>
                    </w:rPr>
                  </w:pPr>
                </w:p>
              </w:tc>
              <w:tc>
                <w:tcPr>
                  <w:tcW w:w="2663" w:type="dxa"/>
                  <w:vAlign w:val="center"/>
                </w:tcPr>
                <w:p w14:paraId="22835D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筒仓粉尘</w:t>
                  </w:r>
                </w:p>
              </w:tc>
              <w:tc>
                <w:tcPr>
                  <w:tcW w:w="3392" w:type="dxa"/>
                  <w:vAlign w:val="center"/>
                </w:tcPr>
                <w:p w14:paraId="3342DB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筒仓自带布袋除尘器</w:t>
                  </w:r>
                </w:p>
              </w:tc>
              <w:tc>
                <w:tcPr>
                  <w:tcW w:w="1153" w:type="dxa"/>
                  <w:vAlign w:val="center"/>
                </w:tcPr>
                <w:p w14:paraId="1363F7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r>
            <w:tr w14:paraId="1B32A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vAlign w:val="center"/>
                </w:tcPr>
                <w:p w14:paraId="550FA3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vertAlign w:val="baseline"/>
                    </w:rPr>
                  </w:pPr>
                </w:p>
              </w:tc>
              <w:tc>
                <w:tcPr>
                  <w:tcW w:w="2663" w:type="dxa"/>
                  <w:vAlign w:val="center"/>
                </w:tcPr>
                <w:p w14:paraId="5E5805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搅拌工序</w:t>
                  </w:r>
                </w:p>
              </w:tc>
              <w:tc>
                <w:tcPr>
                  <w:tcW w:w="3392" w:type="dxa"/>
                  <w:vAlign w:val="center"/>
                </w:tcPr>
                <w:p w14:paraId="5A51D7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布袋除尘器+15m高排气筒</w:t>
                  </w:r>
                </w:p>
              </w:tc>
              <w:tc>
                <w:tcPr>
                  <w:tcW w:w="1153" w:type="dxa"/>
                  <w:vAlign w:val="center"/>
                </w:tcPr>
                <w:p w14:paraId="4DBD2C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42</w:t>
                  </w:r>
                </w:p>
              </w:tc>
            </w:tr>
            <w:tr w14:paraId="3000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06D71D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噪声</w:t>
                  </w:r>
                </w:p>
              </w:tc>
              <w:tc>
                <w:tcPr>
                  <w:tcW w:w="2663" w:type="dxa"/>
                  <w:vAlign w:val="center"/>
                </w:tcPr>
                <w:p w14:paraId="38E8C6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机械噪声、车辆噪声</w:t>
                  </w:r>
                </w:p>
              </w:tc>
              <w:tc>
                <w:tcPr>
                  <w:tcW w:w="3392" w:type="dxa"/>
                  <w:vAlign w:val="center"/>
                </w:tcPr>
                <w:p w14:paraId="044243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低噪设备、基础减振、限速行驶、禁止鸣笛</w:t>
                  </w:r>
                </w:p>
              </w:tc>
              <w:tc>
                <w:tcPr>
                  <w:tcW w:w="1153" w:type="dxa"/>
                  <w:vAlign w:val="center"/>
                </w:tcPr>
                <w:p w14:paraId="60263E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1</w:t>
                  </w:r>
                </w:p>
              </w:tc>
            </w:tr>
            <w:tr w14:paraId="5C7B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738" w:type="dxa"/>
                  <w:vMerge w:val="restart"/>
                  <w:vAlign w:val="center"/>
                </w:tcPr>
                <w:p w14:paraId="398C36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固废</w:t>
                  </w:r>
                </w:p>
              </w:tc>
              <w:tc>
                <w:tcPr>
                  <w:tcW w:w="2663" w:type="dxa"/>
                  <w:vAlign w:val="center"/>
                </w:tcPr>
                <w:p w14:paraId="76CD6D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筒仓除尘灰</w:t>
                  </w:r>
                </w:p>
              </w:tc>
              <w:tc>
                <w:tcPr>
                  <w:tcW w:w="3392" w:type="dxa"/>
                  <w:vAlign w:val="center"/>
                </w:tcPr>
                <w:p w14:paraId="609FDD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lang w:val="en-US" w:eastAsia="zh-CN"/>
                    </w:rPr>
                    <w:t>作为原料全部回用</w:t>
                  </w:r>
                </w:p>
              </w:tc>
              <w:tc>
                <w:tcPr>
                  <w:tcW w:w="1153" w:type="dxa"/>
                  <w:vMerge w:val="restart"/>
                  <w:vAlign w:val="center"/>
                </w:tcPr>
                <w:p w14:paraId="426B93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0</w:t>
                  </w:r>
                </w:p>
              </w:tc>
            </w:tr>
            <w:tr w14:paraId="3FCD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738" w:type="dxa"/>
                  <w:vMerge w:val="continue"/>
                  <w:vAlign w:val="center"/>
                </w:tcPr>
                <w:p w14:paraId="026884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c>
                <w:tcPr>
                  <w:tcW w:w="2663" w:type="dxa"/>
                  <w:vAlign w:val="center"/>
                </w:tcPr>
                <w:p w14:paraId="650245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搅拌工序除尘灰</w:t>
                  </w:r>
                </w:p>
              </w:tc>
              <w:tc>
                <w:tcPr>
                  <w:tcW w:w="3392" w:type="dxa"/>
                  <w:vAlign w:val="center"/>
                </w:tcPr>
                <w:p w14:paraId="5732BA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rFonts w:hint="eastAsia"/>
                      <w:color w:val="auto"/>
                      <w:sz w:val="21"/>
                      <w:szCs w:val="21"/>
                      <w:highlight w:val="none"/>
                      <w:lang w:val="en-US" w:eastAsia="zh-CN"/>
                    </w:rPr>
                    <w:t>作为原料全部回用</w:t>
                  </w:r>
                </w:p>
              </w:tc>
              <w:tc>
                <w:tcPr>
                  <w:tcW w:w="1153" w:type="dxa"/>
                  <w:vMerge w:val="continue"/>
                  <w:vAlign w:val="center"/>
                </w:tcPr>
                <w:p w14:paraId="0C3034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r>
            <w:tr w14:paraId="35D7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738" w:type="dxa"/>
                  <w:vMerge w:val="continue"/>
                  <w:vAlign w:val="center"/>
                </w:tcPr>
                <w:p w14:paraId="253363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c>
                <w:tcPr>
                  <w:tcW w:w="2663" w:type="dxa"/>
                  <w:vAlign w:val="center"/>
                </w:tcPr>
                <w:p w14:paraId="7431E2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不合格产品</w:t>
                  </w:r>
                </w:p>
              </w:tc>
              <w:tc>
                <w:tcPr>
                  <w:tcW w:w="3392" w:type="dxa"/>
                  <w:vAlign w:val="center"/>
                </w:tcPr>
                <w:p w14:paraId="41CEE2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作为原料全部回用</w:t>
                  </w:r>
                </w:p>
              </w:tc>
              <w:tc>
                <w:tcPr>
                  <w:tcW w:w="1153" w:type="dxa"/>
                  <w:vMerge w:val="continue"/>
                  <w:vAlign w:val="center"/>
                </w:tcPr>
                <w:p w14:paraId="31F73D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highlight w:val="none"/>
                    </w:rPr>
                  </w:pPr>
                </w:p>
              </w:tc>
            </w:tr>
            <w:tr w14:paraId="5B0E3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BAFF2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防渗</w:t>
                  </w:r>
                </w:p>
              </w:tc>
              <w:tc>
                <w:tcPr>
                  <w:tcW w:w="2663" w:type="dxa"/>
                  <w:vAlign w:val="center"/>
                </w:tcPr>
                <w:p w14:paraId="2A64A7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z w:val="21"/>
                      <w:szCs w:val="21"/>
                      <w:highlight w:val="none"/>
                      <w:lang w:val="en-US" w:eastAsia="zh-CN"/>
                    </w:rPr>
                    <w:t>全封闭砂石料场</w:t>
                  </w:r>
                  <w:r>
                    <w:rPr>
                      <w:rFonts w:hint="eastAsia"/>
                      <w:color w:val="auto"/>
                      <w:sz w:val="21"/>
                      <w:szCs w:val="21"/>
                      <w:highlight w:val="none"/>
                      <w:vertAlign w:val="baseline"/>
                      <w:lang w:val="en-US" w:eastAsia="zh-CN"/>
                    </w:rPr>
                    <w:t>、道路和生产区</w:t>
                  </w:r>
                </w:p>
              </w:tc>
              <w:tc>
                <w:tcPr>
                  <w:tcW w:w="3392" w:type="dxa"/>
                  <w:vAlign w:val="center"/>
                </w:tcPr>
                <w:p w14:paraId="415536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防渗，采用混凝土硬化措施</w:t>
                  </w:r>
                </w:p>
              </w:tc>
              <w:tc>
                <w:tcPr>
                  <w:tcW w:w="1153" w:type="dxa"/>
                  <w:vAlign w:val="center"/>
                </w:tcPr>
                <w:p w14:paraId="3F7853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170</w:t>
                  </w:r>
                </w:p>
              </w:tc>
            </w:tr>
            <w:tr w14:paraId="00CC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793" w:type="dxa"/>
                  <w:gridSpan w:val="3"/>
                  <w:vAlign w:val="center"/>
                </w:tcPr>
                <w:p w14:paraId="1CCFA7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合计</w:t>
                  </w:r>
                </w:p>
              </w:tc>
              <w:tc>
                <w:tcPr>
                  <w:tcW w:w="1153" w:type="dxa"/>
                  <w:vAlign w:val="center"/>
                </w:tcPr>
                <w:p w14:paraId="463825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279</w:t>
                  </w:r>
                </w:p>
              </w:tc>
            </w:tr>
          </w:tbl>
          <w:p w14:paraId="787B0408">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eastAsia="宋体"/>
                <w:b/>
                <w:bCs/>
                <w:color w:val="auto"/>
                <w:highlight w:val="none"/>
                <w:lang w:val="en-US" w:eastAsia="zh-CN"/>
              </w:rPr>
            </w:pPr>
            <w:r>
              <w:rPr>
                <w:rFonts w:hint="eastAsia"/>
                <w:color w:val="auto"/>
                <w:highlight w:val="none"/>
                <w:lang w:eastAsia="zh-CN"/>
              </w:rPr>
              <w:t>9.</w:t>
            </w:r>
            <w:r>
              <w:rPr>
                <w:rFonts w:hint="eastAsia"/>
                <w:b/>
                <w:bCs/>
                <w:color w:val="auto"/>
                <w:highlight w:val="none"/>
                <w:lang w:val="en-US" w:eastAsia="zh-CN"/>
              </w:rPr>
              <w:t>“三本账”一览表</w:t>
            </w:r>
          </w:p>
          <w:p w14:paraId="150703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highlight w:val="none"/>
                <w:lang w:val="en-US" w:eastAsia="zh-CN"/>
              </w:rPr>
            </w:pPr>
            <w:r>
              <w:rPr>
                <w:rFonts w:hint="eastAsia"/>
                <w:b/>
                <w:bCs/>
                <w:color w:val="auto"/>
                <w:highlight w:val="none"/>
                <w:lang w:val="en-US" w:eastAsia="zh-CN"/>
              </w:rPr>
              <w:t>表4.9-1项目“三本账”一览表</w:t>
            </w:r>
          </w:p>
          <w:tbl>
            <w:tblPr>
              <w:tblStyle w:val="15"/>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9"/>
              <w:gridCol w:w="1589"/>
              <w:gridCol w:w="1589"/>
              <w:gridCol w:w="1589"/>
              <w:gridCol w:w="1590"/>
            </w:tblGrid>
            <w:tr w14:paraId="4A5F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Align w:val="center"/>
                </w:tcPr>
                <w:p w14:paraId="50EA2B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lang w:val="en-US" w:eastAsia="zh-CN"/>
                    </w:rPr>
                    <w:t>污染物</w:t>
                  </w:r>
                </w:p>
              </w:tc>
              <w:tc>
                <w:tcPr>
                  <w:tcW w:w="1589" w:type="dxa"/>
                </w:tcPr>
                <w:p w14:paraId="02D0E1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现有工程排放量（t/a）</w:t>
                  </w:r>
                </w:p>
              </w:tc>
              <w:tc>
                <w:tcPr>
                  <w:tcW w:w="1589" w:type="dxa"/>
                </w:tcPr>
                <w:p w14:paraId="0AC7D4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扩建工程排放量（t/a）</w:t>
                  </w:r>
                </w:p>
              </w:tc>
              <w:tc>
                <w:tcPr>
                  <w:tcW w:w="1589" w:type="dxa"/>
                </w:tcPr>
                <w:p w14:paraId="66C817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eastAsia="zh-CN"/>
                    </w:rPr>
                    <w:t>“</w:t>
                  </w:r>
                  <w:r>
                    <w:rPr>
                      <w:rFonts w:hint="eastAsia"/>
                      <w:color w:val="auto"/>
                      <w:sz w:val="21"/>
                      <w:szCs w:val="21"/>
                      <w:highlight w:val="none"/>
                      <w:vertAlign w:val="baseline"/>
                      <w:lang w:val="en-US" w:eastAsia="zh-CN"/>
                    </w:rPr>
                    <w:t>以新带老</w:t>
                  </w:r>
                  <w:r>
                    <w:rPr>
                      <w:rFonts w:hint="eastAsia"/>
                      <w:color w:val="auto"/>
                      <w:sz w:val="21"/>
                      <w:szCs w:val="21"/>
                      <w:highlight w:val="none"/>
                      <w:vertAlign w:val="baseline"/>
                      <w:lang w:eastAsia="zh-CN"/>
                    </w:rPr>
                    <w:t>”</w:t>
                  </w:r>
                  <w:r>
                    <w:rPr>
                      <w:rFonts w:hint="eastAsia"/>
                      <w:color w:val="auto"/>
                      <w:sz w:val="21"/>
                      <w:szCs w:val="21"/>
                      <w:highlight w:val="none"/>
                      <w:vertAlign w:val="baseline"/>
                      <w:lang w:val="en-US" w:eastAsia="zh-CN"/>
                    </w:rPr>
                    <w:t>削减量（t/a）</w:t>
                  </w:r>
                </w:p>
              </w:tc>
              <w:tc>
                <w:tcPr>
                  <w:tcW w:w="1590" w:type="dxa"/>
                </w:tcPr>
                <w:p w14:paraId="291CD0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扩建后排放量（t/a）</w:t>
                  </w:r>
                </w:p>
              </w:tc>
            </w:tr>
            <w:tr w14:paraId="15434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Align w:val="center"/>
                </w:tcPr>
                <w:p w14:paraId="5C88FF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颗粒物</w:t>
                  </w:r>
                </w:p>
              </w:tc>
              <w:tc>
                <w:tcPr>
                  <w:tcW w:w="1589" w:type="dxa"/>
                  <w:vAlign w:val="center"/>
                </w:tcPr>
                <w:p w14:paraId="006B7F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vertAlign w:val="baseline"/>
                    </w:rPr>
                  </w:pPr>
                  <w:r>
                    <w:rPr>
                      <w:rFonts w:hint="eastAsia" w:cs="Times New Roman"/>
                      <w:color w:val="auto"/>
                      <w:kern w:val="2"/>
                      <w:sz w:val="21"/>
                      <w:szCs w:val="21"/>
                      <w:highlight w:val="none"/>
                      <w:lang w:val="en-US" w:eastAsia="zh-CN" w:bidi="ar-SA"/>
                    </w:rPr>
                    <w:t>0.688</w:t>
                  </w:r>
                </w:p>
              </w:tc>
              <w:tc>
                <w:tcPr>
                  <w:tcW w:w="1589" w:type="dxa"/>
                  <w:vAlign w:val="center"/>
                </w:tcPr>
                <w:p w14:paraId="78E61D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rPr>
                  </w:pPr>
                  <w:r>
                    <w:rPr>
                      <w:rFonts w:hint="eastAsia"/>
                      <w:color w:val="auto"/>
                      <w:sz w:val="21"/>
                      <w:szCs w:val="21"/>
                      <w:highlight w:val="none"/>
                      <w:lang w:val="en-US" w:eastAsia="zh-CN"/>
                    </w:rPr>
                    <w:t>13.5746</w:t>
                  </w:r>
                </w:p>
              </w:tc>
              <w:tc>
                <w:tcPr>
                  <w:tcW w:w="1589" w:type="dxa"/>
                  <w:vAlign w:val="center"/>
                </w:tcPr>
                <w:p w14:paraId="5D9571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1590" w:type="dxa"/>
                  <w:vAlign w:val="center"/>
                </w:tcPr>
                <w:p w14:paraId="4ECD4C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rPr>
                  </w:pPr>
                  <w:r>
                    <w:rPr>
                      <w:rFonts w:hint="eastAsia" w:cs="Times New Roman"/>
                      <w:color w:val="auto"/>
                      <w:kern w:val="2"/>
                      <w:sz w:val="21"/>
                      <w:szCs w:val="21"/>
                      <w:highlight w:val="none"/>
                      <w:lang w:val="en-US" w:eastAsia="zh-CN" w:bidi="ar-SA"/>
                    </w:rPr>
                    <w:t>14.2626</w:t>
                  </w:r>
                </w:p>
              </w:tc>
            </w:tr>
            <w:tr w14:paraId="5FD5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Align w:val="center"/>
                </w:tcPr>
                <w:p w14:paraId="30CFAF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vertAlign w:val="baseline"/>
                    </w:rPr>
                  </w:pPr>
                  <w:r>
                    <w:rPr>
                      <w:rFonts w:ascii="Times New Roman" w:hAnsi="Times New Roman" w:eastAsia="宋体" w:cs="Times New Roman"/>
                      <w:color w:val="auto"/>
                      <w:kern w:val="0"/>
                      <w:sz w:val="21"/>
                      <w:szCs w:val="21"/>
                      <w:highlight w:val="none"/>
                      <w:lang w:val="en-US" w:eastAsia="zh-CN" w:bidi="ar-SA"/>
                    </w:rPr>
                    <w:t>除尘灰</w:t>
                  </w:r>
                </w:p>
              </w:tc>
              <w:tc>
                <w:tcPr>
                  <w:tcW w:w="1589" w:type="dxa"/>
                  <w:vAlign w:val="center"/>
                </w:tcPr>
                <w:p w14:paraId="76B219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vertAlign w:val="baseline"/>
                    </w:rPr>
                  </w:pPr>
                  <w:r>
                    <w:rPr>
                      <w:rFonts w:hint="eastAsia" w:cs="Times New Roman"/>
                      <w:color w:val="auto"/>
                      <w:kern w:val="2"/>
                      <w:sz w:val="21"/>
                      <w:szCs w:val="21"/>
                      <w:highlight w:val="none"/>
                      <w:lang w:val="en-US" w:eastAsia="zh-CN" w:bidi="ar-SA"/>
                    </w:rPr>
                    <w:t>1.2.387</w:t>
                  </w:r>
                </w:p>
              </w:tc>
              <w:tc>
                <w:tcPr>
                  <w:tcW w:w="1589" w:type="dxa"/>
                  <w:vAlign w:val="center"/>
                </w:tcPr>
                <w:p w14:paraId="0FF801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vertAlign w:val="baseline"/>
                    </w:rPr>
                  </w:pPr>
                  <w:r>
                    <w:rPr>
                      <w:rFonts w:hint="eastAsia" w:cs="Times New Roman"/>
                      <w:color w:val="auto"/>
                      <w:kern w:val="2"/>
                      <w:sz w:val="21"/>
                      <w:szCs w:val="21"/>
                      <w:highlight w:val="none"/>
                      <w:lang w:val="en-US" w:eastAsia="zh-CN" w:bidi="ar-SA"/>
                    </w:rPr>
                    <w:t>12.46</w:t>
                  </w:r>
                </w:p>
              </w:tc>
              <w:tc>
                <w:tcPr>
                  <w:tcW w:w="1589" w:type="dxa"/>
                  <w:vAlign w:val="center"/>
                </w:tcPr>
                <w:p w14:paraId="1D5FCE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1590" w:type="dxa"/>
                  <w:vAlign w:val="center"/>
                </w:tcPr>
                <w:p w14:paraId="7A7A30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vertAlign w:val="baseline"/>
                    </w:rPr>
                  </w:pPr>
                  <w:r>
                    <w:rPr>
                      <w:rFonts w:hint="eastAsia" w:cs="Times New Roman"/>
                      <w:color w:val="auto"/>
                      <w:kern w:val="2"/>
                      <w:sz w:val="21"/>
                      <w:szCs w:val="21"/>
                      <w:highlight w:val="none"/>
                      <w:lang w:val="en-US" w:eastAsia="zh-CN" w:bidi="ar-SA"/>
                    </w:rPr>
                    <w:t>13.747</w:t>
                  </w:r>
                </w:p>
              </w:tc>
            </w:tr>
            <w:tr w14:paraId="1A18E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Align w:val="center"/>
                </w:tcPr>
                <w:p w14:paraId="6322D4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废水</w:t>
                  </w:r>
                </w:p>
              </w:tc>
              <w:tc>
                <w:tcPr>
                  <w:tcW w:w="1589" w:type="dxa"/>
                  <w:vAlign w:val="center"/>
                </w:tcPr>
                <w:p w14:paraId="1EAB4A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1589" w:type="dxa"/>
                  <w:vAlign w:val="center"/>
                </w:tcPr>
                <w:p w14:paraId="680941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1589" w:type="dxa"/>
                  <w:vAlign w:val="center"/>
                </w:tcPr>
                <w:p w14:paraId="367493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1590" w:type="dxa"/>
                  <w:vAlign w:val="center"/>
                </w:tcPr>
                <w:p w14:paraId="0EF3EA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r>
            <w:tr w14:paraId="0D118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Align w:val="center"/>
                </w:tcPr>
                <w:p w14:paraId="786564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不合格产品</w:t>
                  </w:r>
                </w:p>
              </w:tc>
              <w:tc>
                <w:tcPr>
                  <w:tcW w:w="1589" w:type="dxa"/>
                  <w:vAlign w:val="center"/>
                </w:tcPr>
                <w:p w14:paraId="6B5854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2.701</w:t>
                  </w:r>
                </w:p>
              </w:tc>
              <w:tc>
                <w:tcPr>
                  <w:tcW w:w="1589" w:type="dxa"/>
                  <w:vAlign w:val="center"/>
                </w:tcPr>
                <w:p w14:paraId="26CF92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70.08</w:t>
                  </w:r>
                </w:p>
              </w:tc>
              <w:tc>
                <w:tcPr>
                  <w:tcW w:w="1589" w:type="dxa"/>
                  <w:vAlign w:val="center"/>
                </w:tcPr>
                <w:p w14:paraId="2BA2B7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1590" w:type="dxa"/>
                  <w:vAlign w:val="center"/>
                </w:tcPr>
                <w:p w14:paraId="7E03E1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72.781</w:t>
                  </w:r>
                </w:p>
              </w:tc>
            </w:tr>
            <w:tr w14:paraId="58F0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Align w:val="center"/>
                </w:tcPr>
                <w:p w14:paraId="7E2C13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废机油</w:t>
                  </w:r>
                </w:p>
              </w:tc>
              <w:tc>
                <w:tcPr>
                  <w:tcW w:w="1589" w:type="dxa"/>
                  <w:vAlign w:val="center"/>
                </w:tcPr>
                <w:p w14:paraId="3BCB41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1589" w:type="dxa"/>
                  <w:vAlign w:val="center"/>
                </w:tcPr>
                <w:p w14:paraId="69C9F2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0.08</w:t>
                  </w:r>
                </w:p>
              </w:tc>
              <w:tc>
                <w:tcPr>
                  <w:tcW w:w="1589" w:type="dxa"/>
                  <w:vAlign w:val="center"/>
                </w:tcPr>
                <w:p w14:paraId="7F7574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1590" w:type="dxa"/>
                  <w:vAlign w:val="center"/>
                </w:tcPr>
                <w:p w14:paraId="5B4473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0.08</w:t>
                  </w:r>
                </w:p>
              </w:tc>
            </w:tr>
            <w:tr w14:paraId="54E0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Align w:val="center"/>
                </w:tcPr>
                <w:p w14:paraId="59F032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废油桶</w:t>
                  </w:r>
                </w:p>
              </w:tc>
              <w:tc>
                <w:tcPr>
                  <w:tcW w:w="1589" w:type="dxa"/>
                  <w:vAlign w:val="center"/>
                </w:tcPr>
                <w:p w14:paraId="2D12CF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1589" w:type="dxa"/>
                  <w:vAlign w:val="center"/>
                </w:tcPr>
                <w:p w14:paraId="5D680C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0.004</w:t>
                  </w:r>
                </w:p>
              </w:tc>
              <w:tc>
                <w:tcPr>
                  <w:tcW w:w="1589" w:type="dxa"/>
                  <w:vAlign w:val="center"/>
                </w:tcPr>
                <w:p w14:paraId="71225B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1590" w:type="dxa"/>
                  <w:vAlign w:val="center"/>
                </w:tcPr>
                <w:p w14:paraId="45536E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0.004</w:t>
                  </w:r>
                </w:p>
              </w:tc>
            </w:tr>
          </w:tbl>
          <w:p w14:paraId="4E9C639D">
            <w:pPr>
              <w:bidi w:val="0"/>
              <w:ind w:left="0" w:leftChars="0" w:firstLine="0" w:firstLineChars="0"/>
              <w:rPr>
                <w:color w:val="auto"/>
                <w:highlight w:val="none"/>
              </w:rPr>
            </w:pPr>
          </w:p>
        </w:tc>
      </w:tr>
    </w:tbl>
    <w:p w14:paraId="2329CC36">
      <w:pPr>
        <w:adjustRightInd w:val="0"/>
        <w:snapToGrid w:val="0"/>
        <w:spacing w:line="360" w:lineRule="auto"/>
        <w:rPr>
          <w:rFonts w:hint="eastAsia" w:ascii="宋体" w:cs="宋体"/>
          <w:b/>
          <w:color w:val="auto"/>
          <w:kern w:val="0"/>
          <w:sz w:val="28"/>
          <w:szCs w:val="28"/>
          <w:highlight w:val="none"/>
        </w:rPr>
        <w:sectPr>
          <w:pgSz w:w="11907" w:h="16840"/>
          <w:pgMar w:top="1701" w:right="1531" w:bottom="2127" w:left="1531" w:header="851" w:footer="851" w:gutter="0"/>
          <w:pgNumType w:fmt="decimal"/>
          <w:cols w:space="720" w:num="1"/>
          <w:docGrid w:linePitch="312" w:charSpace="0"/>
        </w:sectPr>
      </w:pPr>
    </w:p>
    <w:p w14:paraId="62588AE9">
      <w:pPr>
        <w:pStyle w:val="12"/>
        <w:keepNext w:val="0"/>
        <w:keepLines w:val="0"/>
        <w:pageBreakBefore w:val="0"/>
        <w:widowControl/>
        <w:numPr>
          <w:ilvl w:val="0"/>
          <w:numId w:val="7"/>
        </w:numPr>
        <w:kinsoku/>
        <w:wordWrap/>
        <w:overflowPunct/>
        <w:topLinePunct w:val="0"/>
        <w:autoSpaceDE/>
        <w:autoSpaceDN/>
        <w:bidi w:val="0"/>
        <w:adjustRightInd w:val="0"/>
        <w:snapToGrid w:val="0"/>
        <w:spacing w:before="0" w:beforeAutospacing="0" w:after="0" w:afterAutospacing="0"/>
        <w:jc w:val="center"/>
        <w:textAlignment w:val="auto"/>
        <w:outlineLvl w:val="0"/>
        <w:rPr>
          <w:rFonts w:hint="eastAsia" w:ascii="黑体" w:hAnsi="黑体" w:eastAsia="黑体"/>
          <w:snapToGrid w:val="0"/>
          <w:color w:val="auto"/>
          <w:sz w:val="30"/>
          <w:szCs w:val="30"/>
          <w:highlight w:val="none"/>
        </w:rPr>
      </w:pPr>
      <w:bookmarkStart w:id="1" w:name="_Hlk54167917"/>
      <w:r>
        <w:rPr>
          <w:rFonts w:hint="eastAsia" w:ascii="黑体" w:hAnsi="黑体" w:eastAsia="黑体"/>
          <w:snapToGrid w:val="0"/>
          <w:color w:val="auto"/>
          <w:sz w:val="30"/>
          <w:szCs w:val="30"/>
          <w:highlight w:val="none"/>
        </w:rPr>
        <w:t>环境保护措施监督检查清单</w:t>
      </w:r>
      <w:bookmarkEnd w:id="1"/>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906"/>
        <w:gridCol w:w="1604"/>
        <w:gridCol w:w="1"/>
        <w:gridCol w:w="1681"/>
        <w:gridCol w:w="1830"/>
      </w:tblGrid>
      <w:tr w14:paraId="733983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tcBorders>
              <w:tl2br w:val="single" w:color="auto" w:sz="4" w:space="0"/>
            </w:tcBorders>
            <w:noWrap w:val="0"/>
            <w:vAlign w:val="top"/>
          </w:tcPr>
          <w:p w14:paraId="54CEC300">
            <w:pPr>
              <w:keepNext w:val="0"/>
              <w:keepLines w:val="0"/>
              <w:pageBreakBefore w:val="0"/>
              <w:widowControl w:val="0"/>
              <w:kinsoku/>
              <w:wordWrap/>
              <w:overflowPunct/>
              <w:topLinePunct w:val="0"/>
              <w:autoSpaceDE/>
              <w:autoSpaceDN/>
              <w:bidi w:val="0"/>
              <w:adjustRightInd w:val="0"/>
              <w:snapToGrid w:val="0"/>
              <w:spacing w:line="240" w:lineRule="auto"/>
              <w:ind w:firstLine="840" w:firstLineChars="4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内容</w:t>
            </w:r>
          </w:p>
          <w:p w14:paraId="79F256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要素</w:t>
            </w:r>
          </w:p>
        </w:tc>
        <w:tc>
          <w:tcPr>
            <w:tcW w:w="1906" w:type="dxa"/>
            <w:noWrap w:val="0"/>
            <w:vAlign w:val="center"/>
          </w:tcPr>
          <w:p w14:paraId="108D1F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排放口</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编号、名称</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/污染源</w:t>
            </w:r>
          </w:p>
        </w:tc>
        <w:tc>
          <w:tcPr>
            <w:tcW w:w="1604" w:type="dxa"/>
            <w:noWrap w:val="0"/>
            <w:vAlign w:val="center"/>
          </w:tcPr>
          <w:p w14:paraId="6825A1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污染物项目</w:t>
            </w:r>
          </w:p>
        </w:tc>
        <w:tc>
          <w:tcPr>
            <w:tcW w:w="1682" w:type="dxa"/>
            <w:gridSpan w:val="2"/>
            <w:noWrap w:val="0"/>
            <w:vAlign w:val="center"/>
          </w:tcPr>
          <w:p w14:paraId="15FE25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环境保护措施</w:t>
            </w:r>
          </w:p>
        </w:tc>
        <w:tc>
          <w:tcPr>
            <w:tcW w:w="1830" w:type="dxa"/>
            <w:noWrap w:val="0"/>
            <w:vAlign w:val="center"/>
          </w:tcPr>
          <w:p w14:paraId="6494B0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执行标准</w:t>
            </w:r>
          </w:p>
        </w:tc>
      </w:tr>
      <w:tr w14:paraId="2F71B6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restart"/>
            <w:noWrap w:val="0"/>
            <w:vAlign w:val="center"/>
          </w:tcPr>
          <w:p w14:paraId="34855A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大气环境</w:t>
            </w:r>
          </w:p>
        </w:tc>
        <w:tc>
          <w:tcPr>
            <w:tcW w:w="1906" w:type="dxa"/>
            <w:noWrap w:val="0"/>
            <w:vAlign w:val="center"/>
          </w:tcPr>
          <w:p w14:paraId="208E6B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砂石料堆存、装卸、</w:t>
            </w:r>
          </w:p>
        </w:tc>
        <w:tc>
          <w:tcPr>
            <w:tcW w:w="1604" w:type="dxa"/>
            <w:noWrap w:val="0"/>
            <w:vAlign w:val="center"/>
          </w:tcPr>
          <w:p w14:paraId="1B63EB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颗粒物</w:t>
            </w:r>
          </w:p>
        </w:tc>
        <w:tc>
          <w:tcPr>
            <w:tcW w:w="1682" w:type="dxa"/>
            <w:gridSpan w:val="2"/>
            <w:noWrap w:val="0"/>
            <w:vAlign w:val="center"/>
          </w:tcPr>
          <w:p w14:paraId="7CC58C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全封闭砂石料场</w:t>
            </w:r>
          </w:p>
        </w:tc>
        <w:tc>
          <w:tcPr>
            <w:tcW w:w="1830" w:type="dxa"/>
            <w:vMerge w:val="restart"/>
            <w:noWrap w:val="0"/>
            <w:vAlign w:val="center"/>
          </w:tcPr>
          <w:p w14:paraId="22C4E8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宋体" w:hAnsi="宋体" w:cs="宋体"/>
                <w:color w:val="auto"/>
                <w:sz w:val="21"/>
                <w:szCs w:val="21"/>
                <w:highlight w:val="none"/>
                <w:lang w:val="en-US"/>
              </w:rPr>
            </w:pPr>
            <w:r>
              <w:rPr>
                <w:rFonts w:hint="eastAsia"/>
                <w:color w:val="auto"/>
                <w:sz w:val="21"/>
                <w:szCs w:val="21"/>
                <w:highlight w:val="none"/>
                <w:lang w:val="en-US" w:eastAsia="zh-CN"/>
              </w:rPr>
              <w:t>《水泥工业大气污染物排放标准》（GB4915-2013）（含2025年修改单）表3无组织排放浓度限值</w:t>
            </w:r>
          </w:p>
        </w:tc>
      </w:tr>
      <w:tr w14:paraId="0464D8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6D12DC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p>
        </w:tc>
        <w:tc>
          <w:tcPr>
            <w:tcW w:w="1906" w:type="dxa"/>
            <w:noWrap w:val="0"/>
            <w:vAlign w:val="center"/>
          </w:tcPr>
          <w:p w14:paraId="7CC378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输送皮带</w:t>
            </w:r>
          </w:p>
        </w:tc>
        <w:tc>
          <w:tcPr>
            <w:tcW w:w="1604" w:type="dxa"/>
            <w:noWrap w:val="0"/>
            <w:vAlign w:val="center"/>
          </w:tcPr>
          <w:p w14:paraId="2806CA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颗粒物</w:t>
            </w:r>
          </w:p>
        </w:tc>
        <w:tc>
          <w:tcPr>
            <w:tcW w:w="1682" w:type="dxa"/>
            <w:gridSpan w:val="2"/>
            <w:noWrap w:val="0"/>
            <w:vAlign w:val="center"/>
          </w:tcPr>
          <w:p w14:paraId="1EF146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全封闭输送皮带</w:t>
            </w:r>
          </w:p>
        </w:tc>
        <w:tc>
          <w:tcPr>
            <w:tcW w:w="1830" w:type="dxa"/>
            <w:vMerge w:val="continue"/>
            <w:noWrap w:val="0"/>
            <w:vAlign w:val="center"/>
          </w:tcPr>
          <w:p w14:paraId="2C7650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p>
        </w:tc>
      </w:tr>
      <w:tr w14:paraId="05EB57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634630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p>
        </w:tc>
        <w:tc>
          <w:tcPr>
            <w:tcW w:w="1906" w:type="dxa"/>
            <w:noWrap w:val="0"/>
            <w:vAlign w:val="center"/>
          </w:tcPr>
          <w:p w14:paraId="398DA0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搅拌废气</w:t>
            </w:r>
          </w:p>
        </w:tc>
        <w:tc>
          <w:tcPr>
            <w:tcW w:w="1604" w:type="dxa"/>
            <w:noWrap w:val="0"/>
            <w:vAlign w:val="center"/>
          </w:tcPr>
          <w:p w14:paraId="70AB1A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颗粒物</w:t>
            </w:r>
          </w:p>
        </w:tc>
        <w:tc>
          <w:tcPr>
            <w:tcW w:w="1682" w:type="dxa"/>
            <w:gridSpan w:val="2"/>
            <w:noWrap w:val="0"/>
            <w:vAlign w:val="center"/>
          </w:tcPr>
          <w:p w14:paraId="7C4AAB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搅拌自带除尘器</w:t>
            </w:r>
          </w:p>
        </w:tc>
        <w:tc>
          <w:tcPr>
            <w:tcW w:w="1830" w:type="dxa"/>
            <w:noWrap w:val="0"/>
            <w:vAlign w:val="center"/>
          </w:tcPr>
          <w:p w14:paraId="64FDFF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r>
              <w:rPr>
                <w:rFonts w:hint="eastAsia" w:ascii="宋体" w:hAnsi="宋体" w:eastAsia="宋体" w:cs="宋体"/>
                <w:b w:val="0"/>
                <w:bCs w:val="0"/>
                <w:color w:val="auto"/>
                <w:kern w:val="0"/>
                <w:sz w:val="21"/>
                <w:szCs w:val="21"/>
                <w:highlight w:val="none"/>
              </w:rPr>
              <w:t>《水泥工业大气污染物排放标准》（</w:t>
            </w:r>
            <w:r>
              <w:rPr>
                <w:rFonts w:hint="eastAsia" w:ascii="宋体" w:hAnsi="宋体" w:eastAsia="宋体" w:cs="宋体"/>
                <w:b w:val="0"/>
                <w:bCs w:val="0"/>
                <w:color w:val="auto"/>
                <w:kern w:val="0"/>
                <w:sz w:val="21"/>
                <w:szCs w:val="21"/>
                <w:highlight w:val="none"/>
                <w:lang w:val="en-US" w:eastAsia="zh-CN"/>
              </w:rPr>
              <w:t>GB</w:t>
            </w:r>
            <w:r>
              <w:rPr>
                <w:rFonts w:hint="eastAsia" w:ascii="宋体" w:hAnsi="宋体" w:eastAsia="宋体" w:cs="宋体"/>
                <w:b w:val="0"/>
                <w:bCs w:val="0"/>
                <w:color w:val="auto"/>
                <w:kern w:val="0"/>
                <w:sz w:val="21"/>
                <w:szCs w:val="21"/>
                <w:highlight w:val="none"/>
              </w:rPr>
              <w:t>4915-2013）</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含</w:t>
            </w:r>
            <w:r>
              <w:rPr>
                <w:rFonts w:hint="eastAsia" w:ascii="宋体" w:hAnsi="宋体" w:eastAsia="宋体" w:cs="宋体"/>
                <w:b w:val="0"/>
                <w:bCs w:val="0"/>
                <w:color w:val="auto"/>
                <w:kern w:val="0"/>
                <w:sz w:val="21"/>
                <w:szCs w:val="21"/>
                <w:highlight w:val="none"/>
                <w:lang w:val="en-US" w:eastAsia="zh-CN"/>
              </w:rPr>
              <w:t>2025年修改单</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中</w:t>
            </w:r>
            <w:r>
              <w:rPr>
                <w:rFonts w:hint="eastAsia" w:ascii="宋体" w:hAnsi="宋体" w:eastAsia="宋体" w:cs="宋体"/>
                <w:b w:val="0"/>
                <w:bCs w:val="0"/>
                <w:color w:val="auto"/>
                <w:kern w:val="0"/>
                <w:sz w:val="21"/>
                <w:szCs w:val="21"/>
                <w:highlight w:val="none"/>
                <w:lang w:val="en-US" w:eastAsia="zh-CN"/>
              </w:rPr>
              <w:t>表2中</w:t>
            </w:r>
            <w:r>
              <w:rPr>
                <w:rFonts w:hint="eastAsia" w:ascii="宋体" w:hAnsi="宋体" w:eastAsia="宋体" w:cs="宋体"/>
                <w:color w:val="auto"/>
                <w:sz w:val="21"/>
                <w:szCs w:val="21"/>
                <w:highlight w:val="none"/>
                <w:lang w:val="en-US" w:eastAsia="zh-CN"/>
              </w:rPr>
              <w:t>水泥制品生产颗粒物排放标准</w:t>
            </w:r>
          </w:p>
        </w:tc>
      </w:tr>
      <w:tr w14:paraId="11BD34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03EF17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p>
        </w:tc>
        <w:tc>
          <w:tcPr>
            <w:tcW w:w="1906" w:type="dxa"/>
            <w:noWrap w:val="0"/>
            <w:vAlign w:val="center"/>
          </w:tcPr>
          <w:p w14:paraId="3EEB77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筒仓</w:t>
            </w:r>
          </w:p>
        </w:tc>
        <w:tc>
          <w:tcPr>
            <w:tcW w:w="1604" w:type="dxa"/>
            <w:noWrap w:val="0"/>
            <w:vAlign w:val="center"/>
          </w:tcPr>
          <w:p w14:paraId="2C0C34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颗粒物</w:t>
            </w:r>
          </w:p>
        </w:tc>
        <w:tc>
          <w:tcPr>
            <w:tcW w:w="1682" w:type="dxa"/>
            <w:gridSpan w:val="2"/>
            <w:noWrap w:val="0"/>
            <w:vAlign w:val="center"/>
          </w:tcPr>
          <w:p w14:paraId="326A0D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筒仓自带布袋除尘器</w:t>
            </w:r>
          </w:p>
        </w:tc>
        <w:tc>
          <w:tcPr>
            <w:tcW w:w="1830" w:type="dxa"/>
            <w:noWrap w:val="0"/>
            <w:vAlign w:val="center"/>
          </w:tcPr>
          <w:p w14:paraId="3CF1AA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cs="宋体"/>
                <w:color w:val="auto"/>
                <w:sz w:val="21"/>
                <w:szCs w:val="21"/>
                <w:highlight w:val="none"/>
              </w:rPr>
            </w:pPr>
            <w:r>
              <w:rPr>
                <w:rFonts w:hint="eastAsia" w:ascii="宋体" w:hAnsi="宋体" w:eastAsia="宋体" w:cs="宋体"/>
                <w:b w:val="0"/>
                <w:bCs w:val="0"/>
                <w:color w:val="auto"/>
                <w:kern w:val="0"/>
                <w:sz w:val="21"/>
                <w:szCs w:val="21"/>
                <w:highlight w:val="none"/>
              </w:rPr>
              <w:t>《水泥工业大气污染物排放标准》（</w:t>
            </w:r>
            <w:r>
              <w:rPr>
                <w:rFonts w:hint="eastAsia" w:ascii="宋体" w:hAnsi="宋体" w:eastAsia="宋体" w:cs="宋体"/>
                <w:b w:val="0"/>
                <w:bCs w:val="0"/>
                <w:color w:val="auto"/>
                <w:kern w:val="0"/>
                <w:sz w:val="21"/>
                <w:szCs w:val="21"/>
                <w:highlight w:val="none"/>
                <w:lang w:val="en-US" w:eastAsia="zh-CN"/>
              </w:rPr>
              <w:t>GB</w:t>
            </w:r>
            <w:r>
              <w:rPr>
                <w:rFonts w:hint="eastAsia" w:ascii="宋体" w:hAnsi="宋体" w:eastAsia="宋体" w:cs="宋体"/>
                <w:b w:val="0"/>
                <w:bCs w:val="0"/>
                <w:color w:val="auto"/>
                <w:kern w:val="0"/>
                <w:sz w:val="21"/>
                <w:szCs w:val="21"/>
                <w:highlight w:val="none"/>
              </w:rPr>
              <w:t>4915-2013）</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含</w:t>
            </w:r>
            <w:r>
              <w:rPr>
                <w:rFonts w:hint="eastAsia" w:ascii="宋体" w:hAnsi="宋体" w:eastAsia="宋体" w:cs="宋体"/>
                <w:b w:val="0"/>
                <w:bCs w:val="0"/>
                <w:color w:val="auto"/>
                <w:kern w:val="0"/>
                <w:sz w:val="21"/>
                <w:szCs w:val="21"/>
                <w:highlight w:val="none"/>
                <w:lang w:val="en-US" w:eastAsia="zh-CN"/>
              </w:rPr>
              <w:t>2025年修改单</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中</w:t>
            </w:r>
            <w:r>
              <w:rPr>
                <w:rFonts w:hint="eastAsia" w:ascii="宋体" w:hAnsi="宋体" w:eastAsia="宋体" w:cs="宋体"/>
                <w:b w:val="0"/>
                <w:bCs w:val="0"/>
                <w:color w:val="auto"/>
                <w:kern w:val="0"/>
                <w:sz w:val="21"/>
                <w:szCs w:val="21"/>
                <w:highlight w:val="none"/>
                <w:lang w:val="en-US" w:eastAsia="zh-CN"/>
              </w:rPr>
              <w:t>表2中</w:t>
            </w:r>
            <w:r>
              <w:rPr>
                <w:rFonts w:hint="eastAsia" w:ascii="宋体" w:hAnsi="宋体" w:eastAsia="宋体" w:cs="宋体"/>
                <w:color w:val="auto"/>
                <w:sz w:val="21"/>
                <w:szCs w:val="21"/>
                <w:highlight w:val="none"/>
                <w:lang w:val="en-US" w:eastAsia="zh-CN"/>
              </w:rPr>
              <w:t>水泥制品生产颗粒物排放标准</w:t>
            </w:r>
          </w:p>
        </w:tc>
      </w:tr>
      <w:tr w14:paraId="0556A5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223AF0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地表水环境</w:t>
            </w:r>
          </w:p>
        </w:tc>
        <w:tc>
          <w:tcPr>
            <w:tcW w:w="1906" w:type="dxa"/>
            <w:noWrap w:val="0"/>
            <w:vAlign w:val="center"/>
          </w:tcPr>
          <w:p w14:paraId="406374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c>
          <w:tcPr>
            <w:tcW w:w="1604" w:type="dxa"/>
            <w:noWrap w:val="0"/>
            <w:vAlign w:val="center"/>
          </w:tcPr>
          <w:p w14:paraId="2AFA6B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c>
          <w:tcPr>
            <w:tcW w:w="1682" w:type="dxa"/>
            <w:gridSpan w:val="2"/>
            <w:noWrap w:val="0"/>
            <w:vAlign w:val="center"/>
          </w:tcPr>
          <w:p w14:paraId="3F41A9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c>
          <w:tcPr>
            <w:tcW w:w="1830" w:type="dxa"/>
            <w:noWrap w:val="0"/>
            <w:vAlign w:val="center"/>
          </w:tcPr>
          <w:p w14:paraId="53C2DE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r>
      <w:tr w14:paraId="3B80D3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778" w:type="dxa"/>
            <w:vMerge w:val="restart"/>
            <w:noWrap w:val="0"/>
            <w:vAlign w:val="center"/>
          </w:tcPr>
          <w:p w14:paraId="32C76C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声环境</w:t>
            </w:r>
          </w:p>
        </w:tc>
        <w:tc>
          <w:tcPr>
            <w:tcW w:w="1906" w:type="dxa"/>
            <w:noWrap w:val="0"/>
            <w:vAlign w:val="center"/>
          </w:tcPr>
          <w:p w14:paraId="2D031B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机械设备</w:t>
            </w:r>
          </w:p>
        </w:tc>
        <w:tc>
          <w:tcPr>
            <w:tcW w:w="1604" w:type="dxa"/>
            <w:vMerge w:val="restart"/>
            <w:noWrap w:val="0"/>
            <w:vAlign w:val="center"/>
          </w:tcPr>
          <w:p w14:paraId="4058F3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等效连续声级</w:t>
            </w:r>
          </w:p>
        </w:tc>
        <w:tc>
          <w:tcPr>
            <w:tcW w:w="1682" w:type="dxa"/>
            <w:gridSpan w:val="2"/>
            <w:noWrap w:val="0"/>
            <w:vAlign w:val="center"/>
          </w:tcPr>
          <w:p w14:paraId="100B0B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cs="宋体"/>
                <w:color w:val="auto"/>
                <w:sz w:val="21"/>
                <w:szCs w:val="21"/>
                <w:highlight w:val="none"/>
                <w:lang w:val="en-US"/>
              </w:rPr>
            </w:pPr>
            <w:r>
              <w:rPr>
                <w:rFonts w:hint="eastAsia" w:ascii="宋体" w:hAnsi="宋体" w:cs="宋体"/>
                <w:color w:val="auto"/>
                <w:sz w:val="21"/>
                <w:szCs w:val="21"/>
                <w:highlight w:val="none"/>
                <w:lang w:val="en-US" w:eastAsia="zh-CN"/>
              </w:rPr>
              <w:t>基础减振、厂房隔声</w:t>
            </w:r>
          </w:p>
        </w:tc>
        <w:tc>
          <w:tcPr>
            <w:tcW w:w="1830" w:type="dxa"/>
            <w:vMerge w:val="restart"/>
            <w:noWrap w:val="0"/>
            <w:vAlign w:val="center"/>
          </w:tcPr>
          <w:p w14:paraId="7897F5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《工业企业厂界环境噪声排</w:t>
            </w:r>
            <w:r>
              <w:rPr>
                <w:rFonts w:hint="default" w:ascii="Times New Roman" w:hAnsi="Times New Roman" w:cs="Times New Roman"/>
                <w:color w:val="auto"/>
                <w:sz w:val="21"/>
                <w:szCs w:val="21"/>
                <w:highlight w:val="none"/>
                <w:lang w:val="en-US" w:eastAsia="zh-CN"/>
              </w:rPr>
              <w:t>放标准》（</w:t>
            </w:r>
            <w:r>
              <w:rPr>
                <w:rFonts w:hint="eastAsia" w:cs="Times New Roman"/>
                <w:color w:val="auto"/>
                <w:sz w:val="21"/>
                <w:szCs w:val="21"/>
                <w:highlight w:val="none"/>
                <w:lang w:val="en-US" w:eastAsia="zh-CN"/>
              </w:rPr>
              <w:t>GB</w:t>
            </w:r>
            <w:r>
              <w:rPr>
                <w:rFonts w:hint="default" w:ascii="Times New Roman" w:hAnsi="Times New Roman" w:cs="Times New Roman"/>
                <w:color w:val="auto"/>
                <w:sz w:val="21"/>
                <w:szCs w:val="21"/>
                <w:highlight w:val="none"/>
                <w:lang w:val="en-US" w:eastAsia="zh-CN"/>
              </w:rPr>
              <w:t>12348-2008）中的</w:t>
            </w:r>
            <w:r>
              <w:rPr>
                <w:rFonts w:hint="eastAsia"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类排放标</w:t>
            </w:r>
            <w:r>
              <w:rPr>
                <w:rFonts w:hint="eastAsia" w:ascii="宋体" w:hAnsi="宋体" w:cs="宋体"/>
                <w:color w:val="auto"/>
                <w:sz w:val="21"/>
                <w:szCs w:val="21"/>
                <w:highlight w:val="none"/>
                <w:lang w:val="en-US" w:eastAsia="zh-CN"/>
              </w:rPr>
              <w:t>准</w:t>
            </w:r>
          </w:p>
        </w:tc>
      </w:tr>
      <w:tr w14:paraId="6AEBE6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1DE5B6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p>
        </w:tc>
        <w:tc>
          <w:tcPr>
            <w:tcW w:w="1906" w:type="dxa"/>
            <w:noWrap w:val="0"/>
            <w:vAlign w:val="center"/>
          </w:tcPr>
          <w:p w14:paraId="5046B1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运输车辆</w:t>
            </w:r>
          </w:p>
        </w:tc>
        <w:tc>
          <w:tcPr>
            <w:tcW w:w="1604" w:type="dxa"/>
            <w:vMerge w:val="continue"/>
            <w:noWrap w:val="0"/>
            <w:vAlign w:val="center"/>
          </w:tcPr>
          <w:p w14:paraId="0672B0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p>
        </w:tc>
        <w:tc>
          <w:tcPr>
            <w:tcW w:w="1682" w:type="dxa"/>
            <w:gridSpan w:val="2"/>
            <w:noWrap w:val="0"/>
            <w:vAlign w:val="center"/>
          </w:tcPr>
          <w:p w14:paraId="73414A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限制车速、禁止鸣笛</w:t>
            </w:r>
          </w:p>
        </w:tc>
        <w:tc>
          <w:tcPr>
            <w:tcW w:w="1830" w:type="dxa"/>
            <w:vMerge w:val="continue"/>
            <w:noWrap w:val="0"/>
            <w:vAlign w:val="center"/>
          </w:tcPr>
          <w:p w14:paraId="59550D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p>
        </w:tc>
      </w:tr>
      <w:tr w14:paraId="51DA69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5D000B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电磁辐射</w:t>
            </w:r>
          </w:p>
        </w:tc>
        <w:tc>
          <w:tcPr>
            <w:tcW w:w="1906" w:type="dxa"/>
            <w:noWrap w:val="0"/>
            <w:vAlign w:val="center"/>
          </w:tcPr>
          <w:p w14:paraId="1815AC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c>
          <w:tcPr>
            <w:tcW w:w="1604" w:type="dxa"/>
            <w:noWrap w:val="0"/>
            <w:vAlign w:val="center"/>
          </w:tcPr>
          <w:p w14:paraId="515199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c>
          <w:tcPr>
            <w:tcW w:w="1682" w:type="dxa"/>
            <w:gridSpan w:val="2"/>
            <w:noWrap w:val="0"/>
            <w:vAlign w:val="center"/>
          </w:tcPr>
          <w:p w14:paraId="66F73B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c>
          <w:tcPr>
            <w:tcW w:w="1830" w:type="dxa"/>
            <w:noWrap w:val="0"/>
            <w:vAlign w:val="center"/>
          </w:tcPr>
          <w:p w14:paraId="66A82B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r>
      <w:tr w14:paraId="5935C6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778" w:type="dxa"/>
            <w:noWrap w:val="0"/>
            <w:vAlign w:val="center"/>
          </w:tcPr>
          <w:p w14:paraId="576141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固体废物</w:t>
            </w:r>
          </w:p>
        </w:tc>
        <w:tc>
          <w:tcPr>
            <w:tcW w:w="7022" w:type="dxa"/>
            <w:gridSpan w:val="5"/>
            <w:noWrap w:val="0"/>
            <w:vAlign w:val="center"/>
          </w:tcPr>
          <w:p w14:paraId="51CF0E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筒仓除尘灰落回仓内作为原料使用，不外排；</w:t>
            </w:r>
          </w:p>
          <w:p w14:paraId="2DAE58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搅拌工序除尘灰定期清理作为原料使用，不外排；</w:t>
            </w:r>
          </w:p>
          <w:p w14:paraId="34CA14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不合格产品作为原料使用，不外排；</w:t>
            </w:r>
          </w:p>
        </w:tc>
      </w:tr>
      <w:tr w14:paraId="60232E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778" w:type="dxa"/>
            <w:noWrap w:val="0"/>
            <w:vAlign w:val="center"/>
          </w:tcPr>
          <w:p w14:paraId="62D752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危险废物</w:t>
            </w:r>
          </w:p>
        </w:tc>
        <w:tc>
          <w:tcPr>
            <w:tcW w:w="3511" w:type="dxa"/>
            <w:gridSpan w:val="3"/>
            <w:noWrap w:val="0"/>
            <w:vAlign w:val="center"/>
          </w:tcPr>
          <w:p w14:paraId="75DF64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ascii="宋体" w:hAnsi="宋体" w:eastAsia="宋体" w:cs="宋体"/>
                <w:color w:val="auto"/>
                <w:sz w:val="21"/>
                <w:szCs w:val="21"/>
                <w:highlight w:val="none"/>
              </w:rPr>
            </w:pPr>
            <w:r>
              <w:rPr>
                <w:rFonts w:ascii="宋体" w:hAnsi="宋体" w:eastAsia="宋体" w:cs="宋体"/>
                <w:color w:val="auto"/>
                <w:sz w:val="21"/>
                <w:szCs w:val="21"/>
                <w:highlight w:val="none"/>
              </w:rPr>
              <w:t>废机油密闭桶收集，依托煤矿现有危废库房储存；</w:t>
            </w:r>
          </w:p>
          <w:p w14:paraId="0A1D36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cs="宋体"/>
                <w:color w:val="auto"/>
                <w:sz w:val="21"/>
                <w:szCs w:val="21"/>
                <w:highlight w:val="none"/>
                <w:lang w:val="en-US" w:eastAsia="zh-CN"/>
              </w:rPr>
            </w:pPr>
            <w:r>
              <w:rPr>
                <w:rFonts w:ascii="宋体" w:hAnsi="宋体" w:eastAsia="宋体" w:cs="宋体"/>
                <w:color w:val="auto"/>
                <w:sz w:val="21"/>
                <w:szCs w:val="21"/>
                <w:highlight w:val="none"/>
              </w:rPr>
              <w:t>含油抹布按名录豁免，随矿区生活垃圾清运</w:t>
            </w:r>
          </w:p>
        </w:tc>
        <w:tc>
          <w:tcPr>
            <w:tcW w:w="3511" w:type="dxa"/>
            <w:gridSpan w:val="2"/>
            <w:noWrap w:val="0"/>
            <w:vAlign w:val="center"/>
          </w:tcPr>
          <w:p w14:paraId="15213B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cs="宋体"/>
                <w:color w:val="auto"/>
                <w:sz w:val="21"/>
                <w:szCs w:val="21"/>
                <w:highlight w:val="none"/>
                <w:lang w:val="en-US" w:eastAsia="zh-CN"/>
              </w:rPr>
            </w:pPr>
            <w:r>
              <w:rPr>
                <w:rFonts w:ascii="宋体" w:hAnsi="宋体" w:eastAsia="宋体" w:cs="宋体"/>
                <w:color w:val="auto"/>
                <w:sz w:val="21"/>
                <w:szCs w:val="21"/>
                <w:highlight w:val="none"/>
              </w:rPr>
              <w:t>《危险废物贮存污染控制标准》（GB18597</w:t>
            </w:r>
            <w:r>
              <w:rPr>
                <w:rFonts w:hint="eastAsia" w:ascii="宋体" w:hAnsi="宋体" w:cs="宋体"/>
                <w:color w:val="auto"/>
                <w:sz w:val="21"/>
                <w:szCs w:val="21"/>
                <w:highlight w:val="none"/>
                <w:lang w:eastAsia="zh-CN"/>
              </w:rPr>
              <w:t>-</w:t>
            </w:r>
            <w:r>
              <w:rPr>
                <w:rFonts w:ascii="宋体" w:hAnsi="宋体" w:eastAsia="宋体" w:cs="宋体"/>
                <w:color w:val="auto"/>
                <w:sz w:val="21"/>
                <w:szCs w:val="21"/>
                <w:highlight w:val="none"/>
              </w:rPr>
              <w:t>2023）</w:t>
            </w:r>
          </w:p>
        </w:tc>
      </w:tr>
      <w:tr w14:paraId="39B0F8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263C57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土壤及地下水</w:t>
            </w:r>
          </w:p>
          <w:p w14:paraId="40F6F4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污染防治措施</w:t>
            </w:r>
          </w:p>
        </w:tc>
        <w:tc>
          <w:tcPr>
            <w:tcW w:w="7022" w:type="dxa"/>
            <w:gridSpan w:val="5"/>
            <w:noWrap w:val="0"/>
            <w:vAlign w:val="center"/>
          </w:tcPr>
          <w:p w14:paraId="26133B96">
            <w:pPr>
              <w:pStyle w:val="6"/>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textAlignment w:val="auto"/>
              <w:rPr>
                <w:rFonts w:hint="eastAsia" w:ascii="宋体" w:hAnsi="宋体" w:cs="宋体"/>
                <w:color w:val="auto"/>
                <w:sz w:val="21"/>
                <w:szCs w:val="21"/>
                <w:highlight w:val="none"/>
              </w:rPr>
            </w:pPr>
            <w:r>
              <w:rPr>
                <w:rFonts w:hint="eastAsia"/>
                <w:color w:val="auto"/>
                <w:sz w:val="21"/>
                <w:szCs w:val="21"/>
                <w:highlight w:val="none"/>
                <w:lang w:val="en-US" w:eastAsia="zh-CN"/>
              </w:rPr>
              <w:t>简单防渗区：</w:t>
            </w:r>
            <w:r>
              <w:rPr>
                <w:rFonts w:hint="eastAsia" w:asciiTheme="minorEastAsia" w:hAnsiTheme="minorEastAsia" w:eastAsiaTheme="minorEastAsia" w:cstheme="minorEastAsia"/>
                <w:color w:val="auto"/>
                <w:sz w:val="21"/>
                <w:szCs w:val="21"/>
                <w:highlight w:val="none"/>
                <w:lang w:val="en-US" w:eastAsia="zh-CN"/>
              </w:rPr>
              <w:t>全封闭砂石料场</w:t>
            </w:r>
            <w:r>
              <w:rPr>
                <w:rFonts w:hint="eastAsia"/>
                <w:color w:val="auto"/>
                <w:sz w:val="21"/>
                <w:szCs w:val="21"/>
                <w:highlight w:val="none"/>
                <w:lang w:val="en-US" w:eastAsia="zh-CN"/>
              </w:rPr>
              <w:t>、道路、生产区采用混凝土硬化；</w:t>
            </w:r>
          </w:p>
        </w:tc>
      </w:tr>
      <w:tr w14:paraId="05DB4A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noWrap w:val="0"/>
            <w:vAlign w:val="center"/>
          </w:tcPr>
          <w:p w14:paraId="317212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生态保护措施</w:t>
            </w:r>
          </w:p>
        </w:tc>
        <w:tc>
          <w:tcPr>
            <w:tcW w:w="7022" w:type="dxa"/>
            <w:gridSpan w:val="5"/>
            <w:noWrap w:val="0"/>
            <w:vAlign w:val="center"/>
          </w:tcPr>
          <w:p w14:paraId="32ECB2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无</w:t>
            </w:r>
          </w:p>
        </w:tc>
      </w:tr>
      <w:tr w14:paraId="722210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6C44CB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cs="宋体"/>
                <w:color w:val="auto"/>
                <w:spacing w:val="-8"/>
                <w:sz w:val="21"/>
                <w:szCs w:val="21"/>
                <w:highlight w:val="none"/>
              </w:rPr>
            </w:pPr>
            <w:r>
              <w:rPr>
                <w:rFonts w:hint="eastAsia" w:ascii="宋体" w:hAnsi="宋体" w:cs="宋体"/>
                <w:color w:val="auto"/>
                <w:spacing w:val="-8"/>
                <w:sz w:val="21"/>
                <w:szCs w:val="21"/>
                <w:highlight w:val="none"/>
              </w:rPr>
              <w:t>环境风险</w:t>
            </w:r>
          </w:p>
          <w:p w14:paraId="371178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pacing w:val="-8"/>
                <w:sz w:val="21"/>
                <w:szCs w:val="21"/>
                <w:highlight w:val="none"/>
              </w:rPr>
            </w:pPr>
            <w:r>
              <w:rPr>
                <w:rFonts w:hint="eastAsia" w:ascii="宋体" w:hAnsi="宋体" w:cs="宋体"/>
                <w:color w:val="auto"/>
                <w:spacing w:val="-8"/>
                <w:sz w:val="21"/>
                <w:szCs w:val="21"/>
                <w:highlight w:val="none"/>
              </w:rPr>
              <w:t>防范措施</w:t>
            </w:r>
          </w:p>
        </w:tc>
        <w:tc>
          <w:tcPr>
            <w:tcW w:w="7022" w:type="dxa"/>
            <w:gridSpan w:val="5"/>
            <w:shd w:val="clear" w:color="auto" w:fill="auto"/>
            <w:noWrap w:val="0"/>
            <w:vAlign w:val="center"/>
          </w:tcPr>
          <w:p w14:paraId="7AEEF7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rPr>
              <w:t>环境风险管理的核心是降低风险度，可以从两个方面采取措施，一是降低事故发生概率，二是减轻事故危害强度，此外预先制定好切实可行的事故应急计划，可以大大减轻事故来临时可能受到的损失，针对本项目具体情况提出以下环境风险管理对策。加强安全、消防和环保管理，建立健全环保、安全、消防各项制度，设置环保、安全、消防设施专职管理人员，保证设施正常运行或处于良好的待命状态。</w:t>
            </w:r>
          </w:p>
        </w:tc>
      </w:tr>
      <w:tr w14:paraId="6473F4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78" w:type="dxa"/>
            <w:noWrap w:val="0"/>
            <w:vAlign w:val="center"/>
          </w:tcPr>
          <w:p w14:paraId="477BBA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cs="宋体"/>
                <w:color w:val="auto"/>
                <w:spacing w:val="-8"/>
                <w:sz w:val="21"/>
                <w:szCs w:val="21"/>
                <w:highlight w:val="none"/>
              </w:rPr>
            </w:pPr>
            <w:r>
              <w:rPr>
                <w:rFonts w:hint="eastAsia" w:ascii="宋体" w:hAnsi="宋体" w:cs="宋体"/>
                <w:color w:val="auto"/>
                <w:spacing w:val="-8"/>
                <w:sz w:val="21"/>
                <w:szCs w:val="21"/>
                <w:highlight w:val="none"/>
              </w:rPr>
              <w:t>其他环境</w:t>
            </w:r>
          </w:p>
          <w:p w14:paraId="0128E8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color w:val="auto"/>
                <w:spacing w:val="-8"/>
                <w:sz w:val="21"/>
                <w:szCs w:val="21"/>
                <w:highlight w:val="none"/>
              </w:rPr>
            </w:pPr>
            <w:r>
              <w:rPr>
                <w:rFonts w:hint="eastAsia" w:ascii="宋体" w:hAnsi="宋体" w:cs="宋体"/>
                <w:color w:val="auto"/>
                <w:spacing w:val="-8"/>
                <w:sz w:val="21"/>
                <w:szCs w:val="21"/>
                <w:highlight w:val="none"/>
              </w:rPr>
              <w:t>管理要求</w:t>
            </w:r>
          </w:p>
        </w:tc>
        <w:tc>
          <w:tcPr>
            <w:tcW w:w="7022" w:type="dxa"/>
            <w:gridSpan w:val="5"/>
            <w:shd w:val="clear" w:color="auto" w:fill="auto"/>
            <w:noWrap w:val="0"/>
            <w:vAlign w:val="center"/>
          </w:tcPr>
          <w:p w14:paraId="6E3DC3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eastAsia="zh-CN"/>
              </w:rPr>
              <w:t>按照环境监测计划按时进行环境监测；贯彻执行国家和地方各项环保方针、政策和法规，将环境指标纳入生产计划指标，建立企业内部的环境保护机构，制定与其相适应的管理规章制度及细则，及时验收投产；做好环保设施的“三同时”环境保护工作，在项目建成后确保各项污染物达标排放，对各部门的环保工作进行监督与考核；编制突发环境应急预案；</w:t>
            </w:r>
            <w:r>
              <w:rPr>
                <w:rFonts w:hint="eastAsia" w:ascii="宋体" w:hAnsi="宋体" w:cs="宋体"/>
                <w:color w:val="auto"/>
                <w:sz w:val="21"/>
                <w:szCs w:val="21"/>
                <w:highlight w:val="none"/>
                <w:lang w:val="en-US" w:eastAsia="zh-CN"/>
              </w:rPr>
              <w:t>按排污许可制度要求办理相关排污许可手续</w:t>
            </w:r>
            <w:r>
              <w:rPr>
                <w:rFonts w:hint="eastAsia" w:ascii="宋体" w:hAnsi="宋体" w:cs="宋体"/>
                <w:color w:val="auto"/>
                <w:sz w:val="21"/>
                <w:szCs w:val="21"/>
                <w:highlight w:val="none"/>
                <w:lang w:eastAsia="zh-CN"/>
              </w:rPr>
              <w:t>。</w:t>
            </w:r>
          </w:p>
        </w:tc>
      </w:tr>
    </w:tbl>
    <w:p w14:paraId="1C78D085">
      <w:pPr>
        <w:pStyle w:val="12"/>
        <w:jc w:val="center"/>
        <w:outlineLvl w:val="0"/>
        <w:rPr>
          <w:rFonts w:ascii="黑体" w:hAnsi="黑体" w:eastAsia="黑体"/>
          <w:snapToGrid w:val="0"/>
          <w:color w:val="auto"/>
          <w:sz w:val="30"/>
          <w:szCs w:val="30"/>
          <w:highlight w:val="none"/>
        </w:rPr>
      </w:pPr>
      <w:r>
        <w:rPr>
          <w:snapToGrid w:val="0"/>
          <w:color w:val="auto"/>
          <w:highlight w:val="none"/>
        </w:rPr>
        <w:br w:type="page"/>
      </w:r>
      <w:r>
        <w:rPr>
          <w:rFonts w:hint="eastAsia" w:ascii="黑体" w:hAnsi="黑体" w:eastAsia="黑体"/>
          <w:snapToGrid w:val="0"/>
          <w:color w:val="auto"/>
          <w:sz w:val="30"/>
          <w:szCs w:val="30"/>
          <w:highlight w:val="none"/>
        </w:rPr>
        <w:t>六、结论</w:t>
      </w:r>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15278C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top"/>
          </w:tcPr>
          <w:p w14:paraId="559876A6">
            <w:pPr>
              <w:pStyle w:val="6"/>
              <w:bidi w:val="0"/>
            </w:pPr>
            <w:r>
              <w:t>综上所述，国能包头能源有限责任公司万利一矿混凝土搅拌站项目为矿区配套扩建项目，属于《产业结构调整指导目录（2024年本）》允许类建设项目，符合国家产业政策要求。项目选址位于万利一矿现有工业广场内，不新增建设用地，符合《内蒙古鄂尔多斯万利矿区总体规划（修编）》及规划环境影响评价审查意见要求，与矿区整体开发布局、公辅设施统筹配置的规划导向一致。项目所在区域属鄂尔多斯市东胜区万利矿区及周边煤矿区重点管控单元，不涉及生态保护红线，污染物排放不会突破区域环境质量底线，水、电等资源消耗不超出当地资源利用</w:t>
            </w:r>
            <w:r>
              <w:rPr>
                <w:rFonts w:hint="eastAsia"/>
                <w:lang w:eastAsia="zh-CN"/>
              </w:rPr>
              <w:t>上限</w:t>
            </w:r>
            <w:r>
              <w:t>，全面符合</w:t>
            </w:r>
            <w:r>
              <w:rPr>
                <w:rFonts w:hint="eastAsia"/>
                <w:lang w:eastAsia="zh-CN"/>
              </w:rPr>
              <w:t>“三线一单”生态环境分区管控</w:t>
            </w:r>
            <w:r>
              <w:t>及单元环境准入要求。</w:t>
            </w:r>
          </w:p>
          <w:p w14:paraId="5D4D41D6">
            <w:pPr>
              <w:pStyle w:val="6"/>
              <w:bidi w:val="0"/>
            </w:pPr>
            <w:r>
              <w:t>项目运营期针对废气、废水、噪声、固体废物及地下水、土壤环境分别配套了成熟可靠的污染防治与生态管控措施：有组织粉尘经布袋除尘器净化后可稳定达标排放，无组织粉尘通过全封闭料场、</w:t>
            </w:r>
            <w:r>
              <w:rPr>
                <w:rFonts w:hint="eastAsia"/>
                <w:lang w:val="en-US" w:eastAsia="zh-CN"/>
              </w:rPr>
              <w:t>全</w:t>
            </w:r>
            <w:r>
              <w:t>密闭输送廊道、定期洒水抑尘得到有效管控；生产废水全部循环回用，无生产废水外排；高噪设备经基础减振、建筑隔声及空间距离衰减后，厂界噪声可满足对应标准要求；除尘灰、不合格产品全部资源化回用于生产，危险废物依托矿区现有合规贮存设施规范处置；全域硬化防渗、雨水截排收集、定期巡检维护等措施可有效阻断地下水、土壤污染途径。各项污染治理及生态保护措施技术成熟、运行稳定，具备环境可行性。</w:t>
            </w:r>
          </w:p>
          <w:p w14:paraId="38315967">
            <w:pPr>
              <w:pStyle w:val="6"/>
              <w:bidi w:val="0"/>
            </w:pPr>
            <w:r>
              <w:t>针对现有工程自行监测频次不足的原有环境问题，本次改扩建同步落实“以新带老”整改要求，项目建成后将统筹制定全厂完善的自行监测方案，严格按照排污许可及相关技术规范定期开展自行监测，强化现有工程与扩建工程的一体化环境管理，切实补齐现有环境管理短板。对照建设项目生态环境管理相关法律法规，本项目不存在法定不予批准的情形。</w:t>
            </w:r>
          </w:p>
          <w:p w14:paraId="581B3FAB">
            <w:pPr>
              <w:pStyle w:val="6"/>
              <w:bidi w:val="0"/>
            </w:pPr>
            <w:r>
              <w:t>在严格落实本</w:t>
            </w:r>
            <w:r>
              <w:rPr>
                <w:rFonts w:hint="eastAsia"/>
                <w:lang w:eastAsia="zh-CN"/>
              </w:rPr>
              <w:t>报告</w:t>
            </w:r>
            <w:r>
              <w:t>提出的各项环境保护措施、环境管理要求及整改方案的前提下，项目建设对区域生态环境的影响处于可接受、可控范围，从生态环境保护角度分析，本项目的建设是可行的。</w:t>
            </w:r>
          </w:p>
          <w:p w14:paraId="451F1041">
            <w:pPr>
              <w:spacing w:line="360" w:lineRule="auto"/>
              <w:rPr>
                <w:rFonts w:ascii="宋体" w:cs="宋体"/>
                <w:color w:val="auto"/>
                <w:sz w:val="24"/>
                <w:highlight w:val="none"/>
              </w:rPr>
            </w:pPr>
          </w:p>
        </w:tc>
      </w:tr>
    </w:tbl>
    <w:p w14:paraId="3DBBFEF8">
      <w:pPr>
        <w:rPr>
          <w:rFonts w:ascii="宋体"/>
          <w:color w:val="auto"/>
          <w:highlight w:val="none"/>
        </w:rPr>
        <w:sectPr>
          <w:pgSz w:w="11906" w:h="16838"/>
          <w:pgMar w:top="1701" w:right="1531" w:bottom="1701" w:left="1531" w:header="851" w:footer="851" w:gutter="0"/>
          <w:pgNumType w:fmt="decimal"/>
          <w:cols w:space="720" w:num="1"/>
          <w:docGrid w:linePitch="312" w:charSpace="0"/>
        </w:sectPr>
      </w:pPr>
    </w:p>
    <w:p w14:paraId="2A364C82">
      <w:pPr>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jc w:val="left"/>
        <w:textAlignment w:val="auto"/>
        <w:outlineLvl w:val="0"/>
        <w:rPr>
          <w:rFonts w:hint="eastAsia" w:ascii="黑体" w:hAnsi="黑体" w:eastAsia="黑体" w:cs="Times New Roman"/>
          <w:snapToGrid w:val="0"/>
          <w:color w:val="auto"/>
          <w:kern w:val="0"/>
          <w:sz w:val="32"/>
          <w:szCs w:val="32"/>
          <w:highlight w:val="none"/>
          <w:lang w:val="en-US" w:eastAsia="zh-CN" w:bidi="ar-SA"/>
        </w:rPr>
      </w:pPr>
      <w:r>
        <w:rPr>
          <w:rFonts w:hint="eastAsia" w:ascii="黑体" w:hAnsi="黑体" w:eastAsia="黑体" w:cs="Times New Roman"/>
          <w:snapToGrid w:val="0"/>
          <w:color w:val="auto"/>
          <w:kern w:val="0"/>
          <w:sz w:val="32"/>
          <w:szCs w:val="32"/>
          <w:highlight w:val="none"/>
          <w:lang w:val="en-US" w:eastAsia="zh-CN" w:bidi="ar-SA"/>
        </w:rPr>
        <w:t>附表</w:t>
      </w:r>
    </w:p>
    <w:p w14:paraId="755F44A3">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eastAsia" w:ascii="方正小标宋_GBK" w:hAnsi="黑体" w:eastAsia="方正小标宋_GBK" w:cs="Times New Roman"/>
          <w:snapToGrid w:val="0"/>
          <w:color w:val="auto"/>
          <w:kern w:val="0"/>
          <w:sz w:val="38"/>
          <w:szCs w:val="38"/>
          <w:highlight w:val="none"/>
          <w:lang w:val="en-US" w:eastAsia="zh-CN" w:bidi="ar-SA"/>
        </w:rPr>
      </w:pPr>
      <w:r>
        <w:rPr>
          <w:rFonts w:hint="eastAsia" w:ascii="方正小标宋_GBK" w:hAnsi="黑体" w:eastAsia="方正小标宋_GBK" w:cs="Times New Roman"/>
          <w:snapToGrid w:val="0"/>
          <w:color w:val="auto"/>
          <w:kern w:val="0"/>
          <w:sz w:val="38"/>
          <w:szCs w:val="38"/>
          <w:highlight w:val="none"/>
          <w:lang w:val="en-US" w:eastAsia="zh-CN" w:bidi="ar-SA"/>
        </w:rPr>
        <w:t>建设项目污染物排放量汇总表</w:t>
      </w:r>
    </w:p>
    <w:tbl>
      <w:tblPr>
        <w:tblStyle w:val="14"/>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41"/>
        <w:gridCol w:w="1455"/>
        <w:gridCol w:w="1680"/>
        <w:gridCol w:w="1275"/>
        <w:gridCol w:w="1545"/>
        <w:gridCol w:w="1650"/>
        <w:gridCol w:w="1575"/>
        <w:gridCol w:w="1829"/>
        <w:gridCol w:w="1338"/>
      </w:tblGrid>
      <w:tr w14:paraId="084873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1" w:type="dxa"/>
            <w:tcBorders>
              <w:tl2br w:val="single" w:color="auto" w:sz="4" w:space="0"/>
            </w:tcBorders>
            <w:tcMar>
              <w:left w:w="28" w:type="dxa"/>
              <w:right w:w="28" w:type="dxa"/>
            </w:tcMar>
            <w:vAlign w:val="center"/>
          </w:tcPr>
          <w:p w14:paraId="1C94ED2D">
            <w:pPr>
              <w:widowControl w:val="0"/>
              <w:adjustRightInd w:val="0"/>
              <w:snapToGrid w:val="0"/>
              <w:spacing w:beforeLines="0" w:afterLines="0" w:line="240" w:lineRule="auto"/>
              <w:jc w:val="center"/>
              <w:rPr>
                <w:rFonts w:ascii="Times New Roman" w:hAnsi="Times New Roman" w:eastAsia="黑体" w:cs="Times New Roman"/>
                <w:snapToGrid w:val="0"/>
                <w:color w:val="auto"/>
                <w:spacing w:val="-6"/>
                <w:kern w:val="21"/>
                <w:sz w:val="21"/>
                <w:szCs w:val="21"/>
                <w:highlight w:val="none"/>
                <w:lang w:val="en-US" w:eastAsia="zh-CN" w:bidi="ar-SA"/>
              </w:rPr>
            </w:pPr>
            <w:r>
              <w:rPr>
                <w:rFonts w:ascii="Times New Roman" w:hAnsi="Times New Roman" w:eastAsia="黑体" w:cs="Times New Roman"/>
                <w:snapToGrid w:val="0"/>
                <w:color w:val="auto"/>
                <w:spacing w:val="-6"/>
                <w:kern w:val="21"/>
                <w:sz w:val="21"/>
                <w:szCs w:val="21"/>
                <w:highlight w:val="none"/>
                <w:lang w:val="en-US" w:eastAsia="zh-CN" w:bidi="ar-SA"/>
              </w:rPr>
              <w:t>项目</w:t>
            </w:r>
          </w:p>
          <w:p w14:paraId="7A6C32C7">
            <w:pPr>
              <w:widowControl w:val="0"/>
              <w:adjustRightInd w:val="0"/>
              <w:snapToGrid w:val="0"/>
              <w:spacing w:beforeLines="0" w:afterLines="0" w:line="240" w:lineRule="auto"/>
              <w:ind w:left="0" w:leftChars="0" w:firstLine="0" w:firstLineChars="0"/>
              <w:jc w:val="center"/>
              <w:rPr>
                <w:rFonts w:ascii="Times New Roman" w:hAnsi="Times New Roman" w:eastAsia="黑体" w:cs="Times New Roman"/>
                <w:snapToGrid w:val="0"/>
                <w:color w:val="auto"/>
                <w:spacing w:val="-6"/>
                <w:kern w:val="21"/>
                <w:sz w:val="21"/>
                <w:szCs w:val="21"/>
                <w:highlight w:val="none"/>
                <w:lang w:val="en-US" w:eastAsia="zh-CN" w:bidi="ar-SA"/>
              </w:rPr>
            </w:pPr>
            <w:r>
              <w:rPr>
                <w:rFonts w:ascii="Times New Roman" w:hAnsi="Times New Roman" w:eastAsia="黑体" w:cs="Times New Roman"/>
                <w:snapToGrid w:val="0"/>
                <w:color w:val="auto"/>
                <w:spacing w:val="-6"/>
                <w:kern w:val="21"/>
                <w:sz w:val="21"/>
                <w:szCs w:val="21"/>
                <w:highlight w:val="none"/>
                <w:lang w:val="en-US" w:eastAsia="zh-CN" w:bidi="ar-SA"/>
              </w:rPr>
              <w:t>分类</w:t>
            </w:r>
          </w:p>
        </w:tc>
        <w:tc>
          <w:tcPr>
            <w:tcW w:w="1455" w:type="dxa"/>
            <w:tcMar>
              <w:left w:w="28" w:type="dxa"/>
              <w:right w:w="28" w:type="dxa"/>
            </w:tcMar>
            <w:vAlign w:val="center"/>
          </w:tcPr>
          <w:p w14:paraId="502E3078">
            <w:pPr>
              <w:widowControl w:val="0"/>
              <w:adjustRightInd w:val="0"/>
              <w:snapToGrid w:val="0"/>
              <w:spacing w:beforeLines="0" w:afterLines="0" w:line="240" w:lineRule="auto"/>
              <w:ind w:left="0" w:leftChars="0" w:firstLine="0" w:firstLineChars="0"/>
              <w:jc w:val="center"/>
              <w:rPr>
                <w:rFonts w:ascii="Times New Roman" w:hAnsi="Times New Roman" w:eastAsia="黑体" w:cs="Times New Roman"/>
                <w:snapToGrid w:val="0"/>
                <w:color w:val="auto"/>
                <w:spacing w:val="-6"/>
                <w:kern w:val="21"/>
                <w:sz w:val="21"/>
                <w:szCs w:val="21"/>
                <w:highlight w:val="none"/>
                <w:lang w:val="en-US" w:eastAsia="zh-CN" w:bidi="ar-SA"/>
              </w:rPr>
            </w:pPr>
            <w:r>
              <w:rPr>
                <w:rFonts w:ascii="Times New Roman" w:hAnsi="Times New Roman" w:eastAsia="黑体" w:cs="Times New Roman"/>
                <w:snapToGrid w:val="0"/>
                <w:color w:val="auto"/>
                <w:spacing w:val="-6"/>
                <w:kern w:val="21"/>
                <w:sz w:val="21"/>
                <w:szCs w:val="21"/>
                <w:highlight w:val="none"/>
                <w:lang w:val="en-US" w:eastAsia="zh-CN" w:bidi="ar-SA"/>
              </w:rPr>
              <w:t>污染物名称</w:t>
            </w:r>
          </w:p>
        </w:tc>
        <w:tc>
          <w:tcPr>
            <w:tcW w:w="1680" w:type="dxa"/>
            <w:tcMar>
              <w:left w:w="28" w:type="dxa"/>
              <w:right w:w="28" w:type="dxa"/>
            </w:tcMar>
            <w:vAlign w:val="center"/>
          </w:tcPr>
          <w:p w14:paraId="5F90E62D">
            <w:pPr>
              <w:widowControl w:val="0"/>
              <w:adjustRightInd w:val="0"/>
              <w:snapToGrid w:val="0"/>
              <w:spacing w:beforeLines="0" w:afterLines="0" w:line="240" w:lineRule="auto"/>
              <w:ind w:left="0" w:leftChars="0" w:firstLine="0" w:firstLineChars="0"/>
              <w:jc w:val="center"/>
              <w:rPr>
                <w:rFonts w:ascii="Times New Roman" w:hAnsi="Times New Roman" w:eastAsia="黑体" w:cs="Times New Roman"/>
                <w:snapToGrid w:val="0"/>
                <w:color w:val="auto"/>
                <w:spacing w:val="-6"/>
                <w:kern w:val="21"/>
                <w:sz w:val="21"/>
                <w:szCs w:val="21"/>
                <w:highlight w:val="none"/>
                <w:lang w:val="en-US" w:eastAsia="zh-CN" w:bidi="ar-SA"/>
              </w:rPr>
            </w:pPr>
            <w:r>
              <w:rPr>
                <w:rFonts w:ascii="Times New Roman" w:hAnsi="Times New Roman" w:eastAsia="黑体" w:cs="Times New Roman"/>
                <w:snapToGrid w:val="0"/>
                <w:color w:val="auto"/>
                <w:spacing w:val="-6"/>
                <w:kern w:val="21"/>
                <w:sz w:val="21"/>
                <w:szCs w:val="21"/>
                <w:highlight w:val="none"/>
                <w:lang w:val="en-US" w:eastAsia="zh-CN" w:bidi="ar-SA"/>
              </w:rPr>
              <w:t>现有工程排放量（固体废物产生量）</w:t>
            </w:r>
            <w:r>
              <w:rPr>
                <w:rFonts w:ascii="Times New Roman" w:hAnsi="Times New Roman" w:eastAsia="黑体" w:cs="Times New Roman"/>
                <w:snapToGrid w:val="0"/>
                <w:color w:val="auto"/>
                <w:spacing w:val="-6"/>
                <w:kern w:val="21"/>
                <w:sz w:val="21"/>
                <w:szCs w:val="21"/>
                <w:highlight w:val="none"/>
                <w:lang w:val="en-US" w:eastAsia="zh-CN" w:bidi="ar-SA"/>
              </w:rPr>
              <w:fldChar w:fldCharType="begin"/>
            </w:r>
            <w:r>
              <w:rPr>
                <w:rFonts w:ascii="Times New Roman" w:hAnsi="Times New Roman" w:eastAsia="黑体" w:cs="Times New Roman"/>
                <w:snapToGrid w:val="0"/>
                <w:color w:val="auto"/>
                <w:spacing w:val="-6"/>
                <w:kern w:val="21"/>
                <w:sz w:val="21"/>
                <w:szCs w:val="21"/>
                <w:highlight w:val="none"/>
                <w:lang w:val="en-US" w:eastAsia="zh-CN" w:bidi="ar-SA"/>
              </w:rPr>
              <w:instrText xml:space="preserve"> = 1 \* GB3 \* MERGEFORMAT </w:instrText>
            </w:r>
            <w:r>
              <w:rPr>
                <w:rFonts w:ascii="Times New Roman" w:hAnsi="Times New Roman" w:eastAsia="黑体" w:cs="Times New Roman"/>
                <w:snapToGrid w:val="0"/>
                <w:color w:val="auto"/>
                <w:spacing w:val="-6"/>
                <w:kern w:val="21"/>
                <w:sz w:val="21"/>
                <w:szCs w:val="21"/>
                <w:highlight w:val="none"/>
                <w:lang w:val="en-US" w:eastAsia="zh-CN" w:bidi="ar-SA"/>
              </w:rPr>
              <w:fldChar w:fldCharType="separate"/>
            </w:r>
            <w:r>
              <w:rPr>
                <w:rFonts w:ascii="Times New Roman" w:hAnsi="Times New Roman" w:eastAsia="黑体" w:cs="Times New Roman"/>
                <w:color w:val="auto"/>
                <w:kern w:val="2"/>
                <w:sz w:val="21"/>
                <w:szCs w:val="21"/>
                <w:highlight w:val="none"/>
                <w:lang w:val="en-US" w:eastAsia="zh-CN" w:bidi="ar-SA"/>
              </w:rPr>
              <w:t>①</w:t>
            </w:r>
            <w:r>
              <w:rPr>
                <w:rFonts w:ascii="Times New Roman" w:hAnsi="Times New Roman" w:eastAsia="黑体" w:cs="Times New Roman"/>
                <w:snapToGrid w:val="0"/>
                <w:color w:val="auto"/>
                <w:spacing w:val="-6"/>
                <w:kern w:val="21"/>
                <w:sz w:val="21"/>
                <w:szCs w:val="21"/>
                <w:highlight w:val="none"/>
                <w:lang w:val="en-US" w:eastAsia="zh-CN" w:bidi="ar-SA"/>
              </w:rPr>
              <w:fldChar w:fldCharType="end"/>
            </w:r>
          </w:p>
        </w:tc>
        <w:tc>
          <w:tcPr>
            <w:tcW w:w="1275" w:type="dxa"/>
            <w:tcMar>
              <w:left w:w="28" w:type="dxa"/>
              <w:right w:w="28" w:type="dxa"/>
            </w:tcMar>
            <w:vAlign w:val="center"/>
          </w:tcPr>
          <w:p w14:paraId="5D461CAE">
            <w:pPr>
              <w:widowControl w:val="0"/>
              <w:adjustRightInd w:val="0"/>
              <w:snapToGrid w:val="0"/>
              <w:spacing w:beforeLines="0" w:afterLines="0" w:line="240" w:lineRule="auto"/>
              <w:ind w:left="0" w:leftChars="0" w:firstLine="0" w:firstLineChars="0"/>
              <w:jc w:val="center"/>
              <w:rPr>
                <w:rFonts w:ascii="Times New Roman" w:hAnsi="Times New Roman" w:eastAsia="黑体" w:cs="Times New Roman"/>
                <w:snapToGrid w:val="0"/>
                <w:color w:val="auto"/>
                <w:spacing w:val="-6"/>
                <w:kern w:val="21"/>
                <w:sz w:val="21"/>
                <w:szCs w:val="21"/>
                <w:highlight w:val="none"/>
                <w:lang w:val="en-US" w:eastAsia="zh-CN" w:bidi="ar-SA"/>
              </w:rPr>
            </w:pPr>
            <w:r>
              <w:rPr>
                <w:rFonts w:ascii="Times New Roman" w:hAnsi="Times New Roman" w:eastAsia="黑体" w:cs="Times New Roman"/>
                <w:snapToGrid w:val="0"/>
                <w:color w:val="auto"/>
                <w:spacing w:val="-6"/>
                <w:kern w:val="21"/>
                <w:sz w:val="21"/>
                <w:szCs w:val="21"/>
                <w:highlight w:val="none"/>
                <w:lang w:val="en-US" w:eastAsia="zh-CN" w:bidi="ar-SA"/>
              </w:rPr>
              <w:t>现有工程许可排放量</w:t>
            </w:r>
            <w:r>
              <w:rPr>
                <w:rFonts w:ascii="Times New Roman" w:hAnsi="Times New Roman" w:eastAsia="黑体" w:cs="Times New Roman"/>
                <w:snapToGrid w:val="0"/>
                <w:color w:val="auto"/>
                <w:spacing w:val="-6"/>
                <w:kern w:val="21"/>
                <w:sz w:val="21"/>
                <w:szCs w:val="21"/>
                <w:highlight w:val="none"/>
                <w:lang w:val="en-US" w:eastAsia="zh-CN" w:bidi="ar-SA"/>
              </w:rPr>
              <w:fldChar w:fldCharType="begin"/>
            </w:r>
            <w:r>
              <w:rPr>
                <w:rFonts w:ascii="Times New Roman" w:hAnsi="Times New Roman" w:eastAsia="黑体" w:cs="Times New Roman"/>
                <w:snapToGrid w:val="0"/>
                <w:color w:val="auto"/>
                <w:spacing w:val="-6"/>
                <w:kern w:val="21"/>
                <w:sz w:val="21"/>
                <w:szCs w:val="21"/>
                <w:highlight w:val="none"/>
                <w:lang w:val="en-US" w:eastAsia="zh-CN" w:bidi="ar-SA"/>
              </w:rPr>
              <w:instrText xml:space="preserve"> = 2 \* GB3 \* MERGEFORMAT </w:instrText>
            </w:r>
            <w:r>
              <w:rPr>
                <w:rFonts w:ascii="Times New Roman" w:hAnsi="Times New Roman" w:eastAsia="黑体" w:cs="Times New Roman"/>
                <w:snapToGrid w:val="0"/>
                <w:color w:val="auto"/>
                <w:spacing w:val="-6"/>
                <w:kern w:val="21"/>
                <w:sz w:val="21"/>
                <w:szCs w:val="21"/>
                <w:highlight w:val="none"/>
                <w:lang w:val="en-US" w:eastAsia="zh-CN" w:bidi="ar-SA"/>
              </w:rPr>
              <w:fldChar w:fldCharType="separate"/>
            </w:r>
            <w:r>
              <w:rPr>
                <w:rFonts w:ascii="Times New Roman" w:hAnsi="Times New Roman" w:eastAsia="黑体" w:cs="Times New Roman"/>
                <w:snapToGrid w:val="0"/>
                <w:color w:val="auto"/>
                <w:spacing w:val="-6"/>
                <w:kern w:val="21"/>
                <w:sz w:val="21"/>
                <w:szCs w:val="21"/>
                <w:highlight w:val="none"/>
                <w:lang w:val="en-US" w:eastAsia="zh-CN" w:bidi="ar-SA"/>
              </w:rPr>
              <w:t>②</w:t>
            </w:r>
            <w:r>
              <w:rPr>
                <w:rFonts w:ascii="Times New Roman" w:hAnsi="Times New Roman" w:eastAsia="黑体" w:cs="Times New Roman"/>
                <w:snapToGrid w:val="0"/>
                <w:color w:val="auto"/>
                <w:spacing w:val="-6"/>
                <w:kern w:val="21"/>
                <w:sz w:val="21"/>
                <w:szCs w:val="21"/>
                <w:highlight w:val="none"/>
                <w:lang w:val="en-US" w:eastAsia="zh-CN" w:bidi="ar-SA"/>
              </w:rPr>
              <w:fldChar w:fldCharType="end"/>
            </w:r>
          </w:p>
        </w:tc>
        <w:tc>
          <w:tcPr>
            <w:tcW w:w="1545" w:type="dxa"/>
            <w:tcMar>
              <w:left w:w="28" w:type="dxa"/>
              <w:right w:w="28" w:type="dxa"/>
            </w:tcMar>
            <w:vAlign w:val="center"/>
          </w:tcPr>
          <w:p w14:paraId="21B80318">
            <w:pPr>
              <w:widowControl w:val="0"/>
              <w:adjustRightInd w:val="0"/>
              <w:snapToGrid w:val="0"/>
              <w:spacing w:beforeLines="0" w:afterLines="0" w:line="240" w:lineRule="auto"/>
              <w:ind w:left="0" w:leftChars="0" w:firstLine="0" w:firstLineChars="0"/>
              <w:jc w:val="center"/>
              <w:rPr>
                <w:rFonts w:ascii="Times New Roman" w:hAnsi="Times New Roman" w:eastAsia="黑体" w:cs="Times New Roman"/>
                <w:snapToGrid w:val="0"/>
                <w:color w:val="auto"/>
                <w:spacing w:val="-6"/>
                <w:kern w:val="21"/>
                <w:sz w:val="21"/>
                <w:szCs w:val="21"/>
                <w:highlight w:val="none"/>
                <w:lang w:val="en-US" w:eastAsia="zh-CN" w:bidi="ar-SA"/>
              </w:rPr>
            </w:pPr>
            <w:r>
              <w:rPr>
                <w:rFonts w:ascii="Times New Roman" w:hAnsi="Times New Roman" w:eastAsia="黑体" w:cs="Times New Roman"/>
                <w:snapToGrid w:val="0"/>
                <w:color w:val="auto"/>
                <w:spacing w:val="-6"/>
                <w:kern w:val="21"/>
                <w:sz w:val="21"/>
                <w:szCs w:val="21"/>
                <w:highlight w:val="none"/>
                <w:lang w:val="en-US" w:eastAsia="zh-CN" w:bidi="ar-SA"/>
              </w:rPr>
              <w:t>在建工程排放量（固体废物产生量）</w:t>
            </w:r>
            <w:r>
              <w:rPr>
                <w:rFonts w:ascii="Times New Roman" w:hAnsi="Times New Roman" w:eastAsia="黑体" w:cs="Times New Roman"/>
                <w:snapToGrid w:val="0"/>
                <w:color w:val="auto"/>
                <w:spacing w:val="-6"/>
                <w:kern w:val="21"/>
                <w:sz w:val="21"/>
                <w:szCs w:val="21"/>
                <w:highlight w:val="none"/>
                <w:lang w:val="en-US" w:eastAsia="zh-CN" w:bidi="ar-SA"/>
              </w:rPr>
              <w:fldChar w:fldCharType="begin"/>
            </w:r>
            <w:r>
              <w:rPr>
                <w:rFonts w:ascii="Times New Roman" w:hAnsi="Times New Roman" w:eastAsia="黑体" w:cs="Times New Roman"/>
                <w:snapToGrid w:val="0"/>
                <w:color w:val="auto"/>
                <w:spacing w:val="-6"/>
                <w:kern w:val="21"/>
                <w:sz w:val="21"/>
                <w:szCs w:val="21"/>
                <w:highlight w:val="none"/>
                <w:lang w:val="en-US" w:eastAsia="zh-CN" w:bidi="ar-SA"/>
              </w:rPr>
              <w:instrText xml:space="preserve"> = 3 \* GB3 \* MERGEFORMAT </w:instrText>
            </w:r>
            <w:r>
              <w:rPr>
                <w:rFonts w:ascii="Times New Roman" w:hAnsi="Times New Roman" w:eastAsia="黑体" w:cs="Times New Roman"/>
                <w:snapToGrid w:val="0"/>
                <w:color w:val="auto"/>
                <w:spacing w:val="-6"/>
                <w:kern w:val="21"/>
                <w:sz w:val="21"/>
                <w:szCs w:val="21"/>
                <w:highlight w:val="none"/>
                <w:lang w:val="en-US" w:eastAsia="zh-CN" w:bidi="ar-SA"/>
              </w:rPr>
              <w:fldChar w:fldCharType="separate"/>
            </w:r>
            <w:r>
              <w:rPr>
                <w:rFonts w:ascii="Times New Roman" w:hAnsi="Times New Roman" w:eastAsia="黑体" w:cs="Times New Roman"/>
                <w:color w:val="auto"/>
                <w:kern w:val="2"/>
                <w:sz w:val="21"/>
                <w:szCs w:val="21"/>
                <w:highlight w:val="none"/>
                <w:lang w:val="en-US" w:eastAsia="zh-CN" w:bidi="ar-SA"/>
              </w:rPr>
              <w:t>③</w:t>
            </w:r>
            <w:r>
              <w:rPr>
                <w:rFonts w:ascii="Times New Roman" w:hAnsi="Times New Roman" w:eastAsia="黑体" w:cs="Times New Roman"/>
                <w:snapToGrid w:val="0"/>
                <w:color w:val="auto"/>
                <w:spacing w:val="-6"/>
                <w:kern w:val="21"/>
                <w:sz w:val="21"/>
                <w:szCs w:val="21"/>
                <w:highlight w:val="none"/>
                <w:lang w:val="en-US" w:eastAsia="zh-CN" w:bidi="ar-SA"/>
              </w:rPr>
              <w:fldChar w:fldCharType="end"/>
            </w:r>
          </w:p>
        </w:tc>
        <w:tc>
          <w:tcPr>
            <w:tcW w:w="1650" w:type="dxa"/>
            <w:tcMar>
              <w:left w:w="28" w:type="dxa"/>
              <w:right w:w="28" w:type="dxa"/>
            </w:tcMar>
            <w:vAlign w:val="center"/>
          </w:tcPr>
          <w:p w14:paraId="42E895BC">
            <w:pPr>
              <w:widowControl w:val="0"/>
              <w:adjustRightInd w:val="0"/>
              <w:snapToGrid w:val="0"/>
              <w:spacing w:beforeLines="0" w:afterLines="0" w:line="240" w:lineRule="auto"/>
              <w:ind w:left="0" w:leftChars="0" w:firstLine="0" w:firstLineChars="0"/>
              <w:jc w:val="center"/>
              <w:rPr>
                <w:rFonts w:ascii="Times New Roman" w:hAnsi="Times New Roman" w:eastAsia="黑体" w:cs="Times New Roman"/>
                <w:snapToGrid w:val="0"/>
                <w:color w:val="auto"/>
                <w:spacing w:val="-6"/>
                <w:kern w:val="21"/>
                <w:sz w:val="21"/>
                <w:szCs w:val="21"/>
                <w:highlight w:val="none"/>
                <w:lang w:val="en-US" w:eastAsia="zh-CN" w:bidi="ar-SA"/>
              </w:rPr>
            </w:pPr>
            <w:r>
              <w:rPr>
                <w:rFonts w:ascii="Times New Roman" w:hAnsi="Times New Roman" w:eastAsia="黑体" w:cs="Times New Roman"/>
                <w:snapToGrid w:val="0"/>
                <w:color w:val="auto"/>
                <w:spacing w:val="-6"/>
                <w:kern w:val="21"/>
                <w:sz w:val="21"/>
                <w:szCs w:val="21"/>
                <w:highlight w:val="none"/>
                <w:lang w:val="en-US" w:eastAsia="zh-CN" w:bidi="ar-SA"/>
              </w:rPr>
              <w:t>本项目排放量（固体废物产生量）</w:t>
            </w:r>
            <w:r>
              <w:rPr>
                <w:rFonts w:ascii="Times New Roman" w:hAnsi="Times New Roman" w:eastAsia="黑体" w:cs="Times New Roman"/>
                <w:snapToGrid w:val="0"/>
                <w:color w:val="auto"/>
                <w:spacing w:val="-6"/>
                <w:kern w:val="21"/>
                <w:sz w:val="21"/>
                <w:szCs w:val="21"/>
                <w:highlight w:val="none"/>
                <w:lang w:val="en-US" w:eastAsia="zh-CN" w:bidi="ar-SA"/>
              </w:rPr>
              <w:fldChar w:fldCharType="begin"/>
            </w:r>
            <w:r>
              <w:rPr>
                <w:rFonts w:ascii="Times New Roman" w:hAnsi="Times New Roman" w:eastAsia="黑体" w:cs="Times New Roman"/>
                <w:snapToGrid w:val="0"/>
                <w:color w:val="auto"/>
                <w:spacing w:val="-6"/>
                <w:kern w:val="21"/>
                <w:sz w:val="21"/>
                <w:szCs w:val="21"/>
                <w:highlight w:val="none"/>
                <w:lang w:val="en-US" w:eastAsia="zh-CN" w:bidi="ar-SA"/>
              </w:rPr>
              <w:instrText xml:space="preserve"> = 4 \* GB3 \* MERGEFORMAT </w:instrText>
            </w:r>
            <w:r>
              <w:rPr>
                <w:rFonts w:ascii="Times New Roman" w:hAnsi="Times New Roman" w:eastAsia="黑体" w:cs="Times New Roman"/>
                <w:snapToGrid w:val="0"/>
                <w:color w:val="auto"/>
                <w:spacing w:val="-6"/>
                <w:kern w:val="21"/>
                <w:sz w:val="21"/>
                <w:szCs w:val="21"/>
                <w:highlight w:val="none"/>
                <w:lang w:val="en-US" w:eastAsia="zh-CN" w:bidi="ar-SA"/>
              </w:rPr>
              <w:fldChar w:fldCharType="separate"/>
            </w:r>
            <w:r>
              <w:rPr>
                <w:rFonts w:ascii="Times New Roman" w:hAnsi="Times New Roman" w:eastAsia="黑体" w:cs="Times New Roman"/>
                <w:color w:val="auto"/>
                <w:kern w:val="2"/>
                <w:sz w:val="21"/>
                <w:szCs w:val="21"/>
                <w:highlight w:val="none"/>
                <w:lang w:val="en-US" w:eastAsia="zh-CN" w:bidi="ar-SA"/>
              </w:rPr>
              <w:t>④</w:t>
            </w:r>
            <w:r>
              <w:rPr>
                <w:rFonts w:ascii="Times New Roman" w:hAnsi="Times New Roman" w:eastAsia="黑体" w:cs="Times New Roman"/>
                <w:snapToGrid w:val="0"/>
                <w:color w:val="auto"/>
                <w:spacing w:val="-6"/>
                <w:kern w:val="21"/>
                <w:sz w:val="21"/>
                <w:szCs w:val="21"/>
                <w:highlight w:val="none"/>
                <w:lang w:val="en-US" w:eastAsia="zh-CN" w:bidi="ar-SA"/>
              </w:rPr>
              <w:fldChar w:fldCharType="end"/>
            </w:r>
          </w:p>
        </w:tc>
        <w:tc>
          <w:tcPr>
            <w:tcW w:w="1575" w:type="dxa"/>
            <w:tcMar>
              <w:left w:w="28" w:type="dxa"/>
              <w:right w:w="28" w:type="dxa"/>
            </w:tcMar>
            <w:vAlign w:val="center"/>
          </w:tcPr>
          <w:p w14:paraId="48441E4D">
            <w:pPr>
              <w:widowControl w:val="0"/>
              <w:adjustRightInd w:val="0"/>
              <w:snapToGrid w:val="0"/>
              <w:spacing w:beforeLines="0" w:afterLines="0" w:line="240" w:lineRule="auto"/>
              <w:ind w:left="0" w:leftChars="0" w:firstLine="0" w:firstLineChars="0"/>
              <w:jc w:val="center"/>
              <w:rPr>
                <w:rFonts w:ascii="Times New Roman" w:hAnsi="Times New Roman" w:eastAsia="黑体" w:cs="Times New Roman"/>
                <w:snapToGrid w:val="0"/>
                <w:color w:val="auto"/>
                <w:spacing w:val="-16"/>
                <w:kern w:val="21"/>
                <w:sz w:val="21"/>
                <w:szCs w:val="21"/>
                <w:highlight w:val="none"/>
                <w:lang w:val="en-US" w:eastAsia="zh-CN" w:bidi="ar-SA"/>
              </w:rPr>
            </w:pPr>
            <w:r>
              <w:rPr>
                <w:rFonts w:ascii="Times New Roman" w:hAnsi="Times New Roman" w:eastAsia="黑体" w:cs="Times New Roman"/>
                <w:snapToGrid w:val="0"/>
                <w:color w:val="auto"/>
                <w:spacing w:val="-16"/>
                <w:kern w:val="21"/>
                <w:sz w:val="21"/>
                <w:szCs w:val="21"/>
                <w:highlight w:val="none"/>
                <w:lang w:val="en-US" w:eastAsia="zh-CN" w:bidi="ar-SA"/>
              </w:rPr>
              <w:t>以新带老削减量（新建项目不填）</w:t>
            </w:r>
            <w:r>
              <w:rPr>
                <w:rFonts w:ascii="Times New Roman" w:hAnsi="Times New Roman" w:eastAsia="黑体" w:cs="Times New Roman"/>
                <w:snapToGrid w:val="0"/>
                <w:color w:val="auto"/>
                <w:spacing w:val="-16"/>
                <w:kern w:val="21"/>
                <w:sz w:val="21"/>
                <w:szCs w:val="21"/>
                <w:highlight w:val="none"/>
                <w:lang w:val="en-US" w:eastAsia="zh-CN" w:bidi="ar-SA"/>
              </w:rPr>
              <w:fldChar w:fldCharType="begin"/>
            </w:r>
            <w:r>
              <w:rPr>
                <w:rFonts w:ascii="Times New Roman" w:hAnsi="Times New Roman" w:eastAsia="黑体" w:cs="Times New Roman"/>
                <w:snapToGrid w:val="0"/>
                <w:color w:val="auto"/>
                <w:spacing w:val="-16"/>
                <w:kern w:val="21"/>
                <w:sz w:val="21"/>
                <w:szCs w:val="21"/>
                <w:highlight w:val="none"/>
                <w:lang w:val="en-US" w:eastAsia="zh-CN" w:bidi="ar-SA"/>
              </w:rPr>
              <w:instrText xml:space="preserve"> = 5 \* GB3 \* MERGEFORMAT </w:instrText>
            </w:r>
            <w:r>
              <w:rPr>
                <w:rFonts w:ascii="Times New Roman" w:hAnsi="Times New Roman" w:eastAsia="黑体" w:cs="Times New Roman"/>
                <w:snapToGrid w:val="0"/>
                <w:color w:val="auto"/>
                <w:spacing w:val="-16"/>
                <w:kern w:val="21"/>
                <w:sz w:val="21"/>
                <w:szCs w:val="21"/>
                <w:highlight w:val="none"/>
                <w:lang w:val="en-US" w:eastAsia="zh-CN" w:bidi="ar-SA"/>
              </w:rPr>
              <w:fldChar w:fldCharType="separate"/>
            </w:r>
            <w:r>
              <w:rPr>
                <w:rFonts w:ascii="Times New Roman" w:hAnsi="Times New Roman" w:eastAsia="黑体" w:cs="Times New Roman"/>
                <w:color w:val="auto"/>
                <w:kern w:val="2"/>
                <w:sz w:val="21"/>
                <w:szCs w:val="21"/>
                <w:highlight w:val="none"/>
                <w:lang w:val="en-US" w:eastAsia="zh-CN" w:bidi="ar-SA"/>
              </w:rPr>
              <w:t>⑤</w:t>
            </w:r>
            <w:r>
              <w:rPr>
                <w:rFonts w:ascii="Times New Roman" w:hAnsi="Times New Roman" w:eastAsia="黑体" w:cs="Times New Roman"/>
                <w:snapToGrid w:val="0"/>
                <w:color w:val="auto"/>
                <w:spacing w:val="-16"/>
                <w:kern w:val="21"/>
                <w:sz w:val="21"/>
                <w:szCs w:val="21"/>
                <w:highlight w:val="none"/>
                <w:lang w:val="en-US" w:eastAsia="zh-CN" w:bidi="ar-SA"/>
              </w:rPr>
              <w:fldChar w:fldCharType="end"/>
            </w:r>
          </w:p>
        </w:tc>
        <w:tc>
          <w:tcPr>
            <w:tcW w:w="1829" w:type="dxa"/>
            <w:tcMar>
              <w:left w:w="28" w:type="dxa"/>
              <w:right w:w="28" w:type="dxa"/>
            </w:tcMar>
            <w:vAlign w:val="center"/>
          </w:tcPr>
          <w:p w14:paraId="5F3FDBF4">
            <w:pPr>
              <w:widowControl w:val="0"/>
              <w:adjustRightInd w:val="0"/>
              <w:snapToGrid w:val="0"/>
              <w:spacing w:beforeLines="0" w:afterLines="0" w:line="240" w:lineRule="auto"/>
              <w:ind w:left="0" w:leftChars="0" w:firstLine="0" w:firstLineChars="0"/>
              <w:jc w:val="center"/>
              <w:rPr>
                <w:rFonts w:ascii="Times New Roman" w:hAnsi="Times New Roman" w:eastAsia="黑体" w:cs="Times New Roman"/>
                <w:snapToGrid w:val="0"/>
                <w:color w:val="auto"/>
                <w:spacing w:val="-16"/>
                <w:kern w:val="21"/>
                <w:sz w:val="21"/>
                <w:szCs w:val="21"/>
                <w:highlight w:val="none"/>
                <w:lang w:val="en-US" w:eastAsia="zh-CN" w:bidi="ar-SA"/>
              </w:rPr>
            </w:pPr>
            <w:r>
              <w:rPr>
                <w:rFonts w:ascii="Times New Roman" w:hAnsi="Times New Roman" w:eastAsia="黑体" w:cs="Times New Roman"/>
                <w:snapToGrid w:val="0"/>
                <w:color w:val="auto"/>
                <w:spacing w:val="-16"/>
                <w:kern w:val="21"/>
                <w:sz w:val="21"/>
                <w:szCs w:val="21"/>
                <w:highlight w:val="none"/>
                <w:lang w:val="en-US" w:eastAsia="zh-CN" w:bidi="ar-SA"/>
              </w:rPr>
              <w:t>本项目建成后全厂排放量（固体废物产生量）</w:t>
            </w:r>
            <w:r>
              <w:rPr>
                <w:rFonts w:ascii="Times New Roman" w:hAnsi="Times New Roman" w:eastAsia="黑体" w:cs="Times New Roman"/>
                <w:snapToGrid w:val="0"/>
                <w:color w:val="auto"/>
                <w:spacing w:val="-16"/>
                <w:kern w:val="21"/>
                <w:sz w:val="21"/>
                <w:szCs w:val="21"/>
                <w:highlight w:val="none"/>
                <w:lang w:val="en-US" w:eastAsia="zh-CN" w:bidi="ar-SA"/>
              </w:rPr>
              <w:fldChar w:fldCharType="begin"/>
            </w:r>
            <w:r>
              <w:rPr>
                <w:rFonts w:ascii="Times New Roman" w:hAnsi="Times New Roman" w:eastAsia="黑体" w:cs="Times New Roman"/>
                <w:snapToGrid w:val="0"/>
                <w:color w:val="auto"/>
                <w:spacing w:val="-16"/>
                <w:kern w:val="21"/>
                <w:sz w:val="21"/>
                <w:szCs w:val="21"/>
                <w:highlight w:val="none"/>
                <w:lang w:val="en-US" w:eastAsia="zh-CN" w:bidi="ar-SA"/>
              </w:rPr>
              <w:instrText xml:space="preserve"> = 6 \* GB3 \* MERGEFORMAT </w:instrText>
            </w:r>
            <w:r>
              <w:rPr>
                <w:rFonts w:ascii="Times New Roman" w:hAnsi="Times New Roman" w:eastAsia="黑体" w:cs="Times New Roman"/>
                <w:snapToGrid w:val="0"/>
                <w:color w:val="auto"/>
                <w:spacing w:val="-16"/>
                <w:kern w:val="21"/>
                <w:sz w:val="21"/>
                <w:szCs w:val="21"/>
                <w:highlight w:val="none"/>
                <w:lang w:val="en-US" w:eastAsia="zh-CN" w:bidi="ar-SA"/>
              </w:rPr>
              <w:fldChar w:fldCharType="separate"/>
            </w:r>
            <w:r>
              <w:rPr>
                <w:rFonts w:ascii="Times New Roman" w:hAnsi="Times New Roman" w:eastAsia="黑体" w:cs="Times New Roman"/>
                <w:color w:val="auto"/>
                <w:kern w:val="2"/>
                <w:sz w:val="21"/>
                <w:szCs w:val="21"/>
                <w:highlight w:val="none"/>
                <w:lang w:val="en-US" w:eastAsia="zh-CN" w:bidi="ar-SA"/>
              </w:rPr>
              <w:t>⑥</w:t>
            </w:r>
            <w:r>
              <w:rPr>
                <w:rFonts w:ascii="Times New Roman" w:hAnsi="Times New Roman" w:eastAsia="黑体" w:cs="Times New Roman"/>
                <w:snapToGrid w:val="0"/>
                <w:color w:val="auto"/>
                <w:spacing w:val="-16"/>
                <w:kern w:val="21"/>
                <w:sz w:val="21"/>
                <w:szCs w:val="21"/>
                <w:highlight w:val="none"/>
                <w:lang w:val="en-US" w:eastAsia="zh-CN" w:bidi="ar-SA"/>
              </w:rPr>
              <w:fldChar w:fldCharType="end"/>
            </w:r>
          </w:p>
        </w:tc>
        <w:tc>
          <w:tcPr>
            <w:tcW w:w="1338" w:type="dxa"/>
            <w:tcMar>
              <w:left w:w="28" w:type="dxa"/>
              <w:right w:w="28" w:type="dxa"/>
            </w:tcMar>
            <w:vAlign w:val="center"/>
          </w:tcPr>
          <w:p w14:paraId="30CEE730">
            <w:pPr>
              <w:widowControl w:val="0"/>
              <w:adjustRightInd w:val="0"/>
              <w:snapToGrid w:val="0"/>
              <w:spacing w:beforeLines="0" w:afterLines="0" w:line="240" w:lineRule="auto"/>
              <w:ind w:left="0" w:leftChars="0" w:firstLine="0" w:firstLineChars="0"/>
              <w:jc w:val="center"/>
              <w:rPr>
                <w:rFonts w:ascii="Times New Roman" w:hAnsi="Times New Roman" w:eastAsia="黑体" w:cs="Times New Roman"/>
                <w:snapToGrid w:val="0"/>
                <w:color w:val="auto"/>
                <w:spacing w:val="-6"/>
                <w:kern w:val="21"/>
                <w:sz w:val="21"/>
                <w:szCs w:val="21"/>
                <w:highlight w:val="none"/>
                <w:lang w:val="en-US" w:eastAsia="zh-CN" w:bidi="ar-SA"/>
              </w:rPr>
            </w:pPr>
            <w:r>
              <w:rPr>
                <w:rFonts w:ascii="Times New Roman" w:hAnsi="Times New Roman" w:eastAsia="黑体" w:cs="Times New Roman"/>
                <w:snapToGrid w:val="0"/>
                <w:color w:val="auto"/>
                <w:spacing w:val="-6"/>
                <w:kern w:val="21"/>
                <w:sz w:val="21"/>
                <w:szCs w:val="21"/>
                <w:highlight w:val="none"/>
                <w:lang w:val="en-US" w:eastAsia="zh-CN" w:bidi="ar-SA"/>
              </w:rPr>
              <w:t>变化量</w:t>
            </w:r>
            <w:r>
              <w:rPr>
                <w:rFonts w:ascii="Times New Roman" w:hAnsi="Times New Roman" w:eastAsia="黑体" w:cs="Times New Roman"/>
                <w:snapToGrid w:val="0"/>
                <w:color w:val="auto"/>
                <w:spacing w:val="-6"/>
                <w:kern w:val="21"/>
                <w:sz w:val="21"/>
                <w:szCs w:val="21"/>
                <w:highlight w:val="none"/>
                <w:lang w:val="en-US" w:eastAsia="zh-CN" w:bidi="ar-SA"/>
              </w:rPr>
              <w:fldChar w:fldCharType="begin"/>
            </w:r>
            <w:r>
              <w:rPr>
                <w:rFonts w:ascii="Times New Roman" w:hAnsi="Times New Roman" w:eastAsia="黑体" w:cs="Times New Roman"/>
                <w:snapToGrid w:val="0"/>
                <w:color w:val="auto"/>
                <w:spacing w:val="-6"/>
                <w:kern w:val="21"/>
                <w:sz w:val="21"/>
                <w:szCs w:val="21"/>
                <w:highlight w:val="none"/>
                <w:lang w:val="en-US" w:eastAsia="zh-CN" w:bidi="ar-SA"/>
              </w:rPr>
              <w:instrText xml:space="preserve"> = 7 \* GB3 \* MERGEFORMAT </w:instrText>
            </w:r>
            <w:r>
              <w:rPr>
                <w:rFonts w:ascii="Times New Roman" w:hAnsi="Times New Roman" w:eastAsia="黑体" w:cs="Times New Roman"/>
                <w:snapToGrid w:val="0"/>
                <w:color w:val="auto"/>
                <w:spacing w:val="-6"/>
                <w:kern w:val="21"/>
                <w:sz w:val="21"/>
                <w:szCs w:val="21"/>
                <w:highlight w:val="none"/>
                <w:lang w:val="en-US" w:eastAsia="zh-CN" w:bidi="ar-SA"/>
              </w:rPr>
              <w:fldChar w:fldCharType="separate"/>
            </w:r>
            <w:r>
              <w:rPr>
                <w:rFonts w:ascii="Times New Roman" w:hAnsi="Times New Roman" w:eastAsia="黑体" w:cs="Times New Roman"/>
                <w:color w:val="auto"/>
                <w:kern w:val="2"/>
                <w:sz w:val="21"/>
                <w:szCs w:val="21"/>
                <w:highlight w:val="none"/>
                <w:lang w:val="en-US" w:eastAsia="zh-CN" w:bidi="ar-SA"/>
              </w:rPr>
              <w:t>⑦</w:t>
            </w:r>
            <w:r>
              <w:rPr>
                <w:rFonts w:ascii="Times New Roman" w:hAnsi="Times New Roman" w:eastAsia="黑体" w:cs="Times New Roman"/>
                <w:snapToGrid w:val="0"/>
                <w:color w:val="auto"/>
                <w:spacing w:val="-6"/>
                <w:kern w:val="21"/>
                <w:sz w:val="21"/>
                <w:szCs w:val="21"/>
                <w:highlight w:val="none"/>
                <w:lang w:val="en-US" w:eastAsia="zh-CN" w:bidi="ar-SA"/>
              </w:rPr>
              <w:fldChar w:fldCharType="end"/>
            </w:r>
          </w:p>
        </w:tc>
      </w:tr>
      <w:tr w14:paraId="474BA0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441" w:type="dxa"/>
            <w:vAlign w:val="center"/>
          </w:tcPr>
          <w:p w14:paraId="0D575462">
            <w:pPr>
              <w:widowControl w:val="0"/>
              <w:adjustRightInd w:val="0"/>
              <w:snapToGrid w:val="0"/>
              <w:spacing w:beforeLines="0" w:afterLines="0" w:line="240" w:lineRule="auto"/>
              <w:ind w:left="0" w:leftChars="0" w:firstLine="0" w:firstLineChars="0"/>
              <w:jc w:val="center"/>
              <w:rPr>
                <w:rFonts w:ascii="Times New Roman" w:hAnsi="Times New Roman" w:eastAsia="宋体" w:cs="Times New Roman"/>
                <w:snapToGrid w:val="0"/>
                <w:color w:val="auto"/>
                <w:kern w:val="21"/>
                <w:sz w:val="21"/>
                <w:szCs w:val="21"/>
                <w:highlight w:val="none"/>
                <w:lang w:val="en-US" w:eastAsia="zh-CN" w:bidi="ar-SA"/>
              </w:rPr>
            </w:pPr>
            <w:r>
              <w:rPr>
                <w:rFonts w:ascii="Times New Roman" w:hAnsi="Times New Roman" w:eastAsia="宋体" w:cs="Times New Roman"/>
                <w:snapToGrid w:val="0"/>
                <w:color w:val="auto"/>
                <w:kern w:val="21"/>
                <w:sz w:val="21"/>
                <w:szCs w:val="21"/>
                <w:highlight w:val="none"/>
                <w:lang w:val="en-US" w:eastAsia="zh-CN" w:bidi="ar-SA"/>
              </w:rPr>
              <w:t>废气</w:t>
            </w:r>
          </w:p>
        </w:tc>
        <w:tc>
          <w:tcPr>
            <w:tcW w:w="1455" w:type="dxa"/>
            <w:vAlign w:val="center"/>
          </w:tcPr>
          <w:p w14:paraId="6B0BFFEB">
            <w:pPr>
              <w:widowControl w:val="0"/>
              <w:adjustRightInd w:val="0"/>
              <w:snapToGrid w:val="0"/>
              <w:spacing w:beforeLines="0" w:afterLines="0" w:line="240" w:lineRule="auto"/>
              <w:ind w:left="0" w:leftChars="0" w:firstLine="0" w:firstLineChars="0"/>
              <w:jc w:val="center"/>
              <w:rPr>
                <w:rFonts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snapToGrid w:val="0"/>
                <w:color w:val="auto"/>
                <w:kern w:val="21"/>
                <w:sz w:val="21"/>
                <w:szCs w:val="21"/>
                <w:highlight w:val="none"/>
                <w:lang w:val="en-US" w:eastAsia="zh-CN" w:bidi="ar-SA"/>
              </w:rPr>
              <w:t>颗粒物</w:t>
            </w:r>
          </w:p>
        </w:tc>
        <w:tc>
          <w:tcPr>
            <w:tcW w:w="1680" w:type="dxa"/>
            <w:shd w:val="clear" w:color="auto" w:fill="auto"/>
            <w:vAlign w:val="center"/>
          </w:tcPr>
          <w:p w14:paraId="661973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0.688t/a</w:t>
            </w:r>
          </w:p>
        </w:tc>
        <w:tc>
          <w:tcPr>
            <w:tcW w:w="1275" w:type="dxa"/>
            <w:shd w:val="clear" w:color="auto" w:fill="auto"/>
            <w:vAlign w:val="center"/>
          </w:tcPr>
          <w:p w14:paraId="51CA7D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4"/>
                <w:highlight w:val="none"/>
                <w:lang w:val="en-US" w:eastAsia="zh-CN" w:bidi="ar-SA"/>
              </w:rPr>
            </w:pPr>
            <w:r>
              <w:rPr>
                <w:rFonts w:hint="eastAsia"/>
                <w:color w:val="auto"/>
                <w:sz w:val="21"/>
                <w:highlight w:val="none"/>
              </w:rPr>
              <w:t>/</w:t>
            </w:r>
          </w:p>
        </w:tc>
        <w:tc>
          <w:tcPr>
            <w:tcW w:w="1545" w:type="dxa"/>
            <w:shd w:val="clear" w:color="auto" w:fill="auto"/>
            <w:vAlign w:val="center"/>
          </w:tcPr>
          <w:p w14:paraId="35530E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w:t>
            </w:r>
          </w:p>
        </w:tc>
        <w:tc>
          <w:tcPr>
            <w:tcW w:w="1650" w:type="dxa"/>
            <w:shd w:val="clear" w:color="auto" w:fill="auto"/>
            <w:vAlign w:val="center"/>
          </w:tcPr>
          <w:p w14:paraId="20E9F8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sz w:val="21"/>
                <w:highlight w:val="none"/>
                <w:lang w:val="en-US" w:eastAsia="zh-CN"/>
              </w:rPr>
              <w:t>13.5746</w:t>
            </w:r>
            <w:r>
              <w:rPr>
                <w:rFonts w:hint="eastAsia" w:cs="Times New Roman"/>
                <w:color w:val="auto"/>
                <w:kern w:val="2"/>
                <w:sz w:val="21"/>
                <w:szCs w:val="24"/>
                <w:highlight w:val="none"/>
                <w:lang w:val="en-US" w:eastAsia="zh-CN" w:bidi="ar-SA"/>
              </w:rPr>
              <w:t>t/a</w:t>
            </w:r>
          </w:p>
        </w:tc>
        <w:tc>
          <w:tcPr>
            <w:tcW w:w="1575" w:type="dxa"/>
            <w:shd w:val="clear" w:color="auto" w:fill="auto"/>
            <w:vAlign w:val="center"/>
          </w:tcPr>
          <w:p w14:paraId="358888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4"/>
                <w:highlight w:val="none"/>
                <w:lang w:val="en-US" w:eastAsia="zh-CN" w:bidi="ar-SA"/>
              </w:rPr>
            </w:pPr>
            <w:r>
              <w:rPr>
                <w:rFonts w:hint="eastAsia"/>
                <w:color w:val="auto"/>
                <w:sz w:val="21"/>
                <w:highlight w:val="none"/>
              </w:rPr>
              <w:t>/</w:t>
            </w:r>
          </w:p>
        </w:tc>
        <w:tc>
          <w:tcPr>
            <w:tcW w:w="1829" w:type="dxa"/>
            <w:shd w:val="clear" w:color="auto" w:fill="auto"/>
            <w:vAlign w:val="center"/>
          </w:tcPr>
          <w:p w14:paraId="3F1926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14.2626</w:t>
            </w:r>
          </w:p>
        </w:tc>
        <w:tc>
          <w:tcPr>
            <w:tcW w:w="1338" w:type="dxa"/>
            <w:shd w:val="clear" w:color="auto" w:fill="auto"/>
            <w:vAlign w:val="center"/>
          </w:tcPr>
          <w:p w14:paraId="7956A8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+13.5746</w:t>
            </w:r>
          </w:p>
        </w:tc>
      </w:tr>
      <w:tr w14:paraId="59E747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441" w:type="dxa"/>
            <w:vAlign w:val="center"/>
          </w:tcPr>
          <w:p w14:paraId="0B117465">
            <w:pPr>
              <w:widowControl w:val="0"/>
              <w:adjustRightInd w:val="0"/>
              <w:snapToGrid w:val="0"/>
              <w:spacing w:beforeLines="0" w:afterLines="0" w:line="240" w:lineRule="auto"/>
              <w:ind w:left="0" w:leftChars="0" w:firstLine="0" w:firstLineChars="0"/>
              <w:jc w:val="center"/>
              <w:rPr>
                <w:rFonts w:ascii="Times New Roman" w:hAnsi="Times New Roman" w:eastAsia="宋体" w:cs="Times New Roman"/>
                <w:snapToGrid w:val="0"/>
                <w:color w:val="auto"/>
                <w:kern w:val="21"/>
                <w:sz w:val="21"/>
                <w:szCs w:val="21"/>
                <w:highlight w:val="none"/>
                <w:lang w:val="en-US" w:eastAsia="zh-CN" w:bidi="ar-SA"/>
              </w:rPr>
            </w:pPr>
            <w:r>
              <w:rPr>
                <w:rFonts w:ascii="Times New Roman" w:hAnsi="Times New Roman" w:eastAsia="宋体" w:cs="Times New Roman"/>
                <w:snapToGrid w:val="0"/>
                <w:color w:val="auto"/>
                <w:kern w:val="21"/>
                <w:sz w:val="21"/>
                <w:szCs w:val="21"/>
                <w:highlight w:val="none"/>
                <w:lang w:val="en-US" w:eastAsia="zh-CN" w:bidi="ar-SA"/>
              </w:rPr>
              <w:t>废水</w:t>
            </w:r>
          </w:p>
        </w:tc>
        <w:tc>
          <w:tcPr>
            <w:tcW w:w="1455" w:type="dxa"/>
            <w:vAlign w:val="center"/>
          </w:tcPr>
          <w:p w14:paraId="07ACE43A">
            <w:pPr>
              <w:widowControl w:val="0"/>
              <w:adjustRightInd w:val="0"/>
              <w:snapToGrid w:val="0"/>
              <w:spacing w:beforeLines="0" w:afterLines="0" w:line="240" w:lineRule="auto"/>
              <w:ind w:left="0" w:leftChars="0" w:firstLine="0" w:firstLineChars="0"/>
              <w:jc w:val="center"/>
              <w:rPr>
                <w:rFonts w:ascii="Times New Roman" w:hAnsi="Times New Roman" w:eastAsia="宋体" w:cs="Times New Roman"/>
                <w:snapToGrid w:val="0"/>
                <w:color w:val="auto"/>
                <w:kern w:val="21"/>
                <w:sz w:val="21"/>
                <w:szCs w:val="21"/>
                <w:highlight w:val="none"/>
                <w:lang w:val="en-US" w:eastAsia="zh-CN" w:bidi="ar-SA"/>
              </w:rPr>
            </w:pPr>
            <w:r>
              <w:rPr>
                <w:rFonts w:ascii="Times New Roman" w:hAnsi="Times New Roman" w:eastAsia="宋体" w:cs="Times New Roman"/>
                <w:snapToGrid w:val="0"/>
                <w:color w:val="auto"/>
                <w:kern w:val="21"/>
                <w:sz w:val="21"/>
                <w:szCs w:val="21"/>
                <w:highlight w:val="none"/>
                <w:lang w:val="en-US" w:eastAsia="zh-CN" w:bidi="ar-SA"/>
              </w:rPr>
              <w:t>废水</w:t>
            </w:r>
          </w:p>
        </w:tc>
        <w:tc>
          <w:tcPr>
            <w:tcW w:w="1680" w:type="dxa"/>
            <w:shd w:val="clear" w:color="auto" w:fill="auto"/>
            <w:vAlign w:val="center"/>
          </w:tcPr>
          <w:p w14:paraId="27A5AE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w:t>
            </w:r>
          </w:p>
        </w:tc>
        <w:tc>
          <w:tcPr>
            <w:tcW w:w="1275" w:type="dxa"/>
            <w:shd w:val="clear" w:color="auto" w:fill="auto"/>
            <w:vAlign w:val="center"/>
          </w:tcPr>
          <w:p w14:paraId="001819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4"/>
                <w:highlight w:val="none"/>
                <w:lang w:val="en-US" w:eastAsia="zh-CN" w:bidi="ar-SA"/>
              </w:rPr>
            </w:pPr>
            <w:r>
              <w:rPr>
                <w:rFonts w:hint="eastAsia"/>
                <w:color w:val="auto"/>
                <w:sz w:val="21"/>
                <w:highlight w:val="none"/>
              </w:rPr>
              <w:t>/</w:t>
            </w:r>
          </w:p>
        </w:tc>
        <w:tc>
          <w:tcPr>
            <w:tcW w:w="1545" w:type="dxa"/>
            <w:shd w:val="clear" w:color="auto" w:fill="auto"/>
            <w:vAlign w:val="center"/>
          </w:tcPr>
          <w:p w14:paraId="1E9D8C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4"/>
                <w:highlight w:val="none"/>
                <w:lang w:val="en-US" w:eastAsia="zh-CN" w:bidi="ar-SA"/>
              </w:rPr>
            </w:pPr>
            <w:r>
              <w:rPr>
                <w:rFonts w:hint="eastAsia"/>
                <w:color w:val="auto"/>
                <w:sz w:val="21"/>
                <w:highlight w:val="none"/>
              </w:rPr>
              <w:t>/</w:t>
            </w:r>
          </w:p>
        </w:tc>
        <w:tc>
          <w:tcPr>
            <w:tcW w:w="1650" w:type="dxa"/>
            <w:shd w:val="clear" w:color="auto" w:fill="auto"/>
            <w:vAlign w:val="center"/>
          </w:tcPr>
          <w:p w14:paraId="7D8D80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sz w:val="21"/>
                <w:highlight w:val="none"/>
                <w:lang w:val="en-US" w:eastAsia="zh-CN"/>
              </w:rPr>
              <w:t>/</w:t>
            </w:r>
          </w:p>
        </w:tc>
        <w:tc>
          <w:tcPr>
            <w:tcW w:w="1575" w:type="dxa"/>
            <w:shd w:val="clear" w:color="auto" w:fill="auto"/>
            <w:vAlign w:val="center"/>
          </w:tcPr>
          <w:p w14:paraId="656085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4"/>
                <w:highlight w:val="none"/>
                <w:lang w:val="en-US" w:eastAsia="zh-CN" w:bidi="ar-SA"/>
              </w:rPr>
            </w:pPr>
            <w:r>
              <w:rPr>
                <w:rFonts w:hint="eastAsia"/>
                <w:color w:val="auto"/>
                <w:sz w:val="21"/>
                <w:highlight w:val="none"/>
              </w:rPr>
              <w:t>/</w:t>
            </w:r>
          </w:p>
        </w:tc>
        <w:tc>
          <w:tcPr>
            <w:tcW w:w="1829" w:type="dxa"/>
            <w:shd w:val="clear" w:color="auto" w:fill="auto"/>
            <w:vAlign w:val="center"/>
          </w:tcPr>
          <w:p w14:paraId="23B43C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w:t>
            </w:r>
          </w:p>
        </w:tc>
        <w:tc>
          <w:tcPr>
            <w:tcW w:w="1338" w:type="dxa"/>
            <w:shd w:val="clear" w:color="auto" w:fill="auto"/>
            <w:vAlign w:val="center"/>
          </w:tcPr>
          <w:p w14:paraId="51C856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sz w:val="21"/>
                <w:highlight w:val="none"/>
                <w:lang w:val="en-US" w:eastAsia="zh-CN"/>
              </w:rPr>
              <w:t>/</w:t>
            </w:r>
          </w:p>
        </w:tc>
      </w:tr>
      <w:tr w14:paraId="3C581E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441" w:type="dxa"/>
            <w:vMerge w:val="restart"/>
            <w:vAlign w:val="center"/>
          </w:tcPr>
          <w:p w14:paraId="73636984">
            <w:pPr>
              <w:pStyle w:val="36"/>
              <w:spacing w:beforeLines="0" w:afterLines="0" w:line="240" w:lineRule="auto"/>
              <w:ind w:left="0" w:leftChars="0" w:firstLine="0" w:firstLineChars="0"/>
              <w:jc w:val="center"/>
              <w:rPr>
                <w:rFonts w:ascii="Times New Roman" w:hAnsi="Times New Roman" w:eastAsia="宋体" w:cs="Times New Roman"/>
                <w:snapToGrid w:val="0"/>
                <w:color w:val="auto"/>
                <w:kern w:val="21"/>
                <w:sz w:val="21"/>
                <w:szCs w:val="21"/>
                <w:highlight w:val="none"/>
                <w:lang w:val="en-US" w:eastAsia="zh-CN" w:bidi="ar-SA"/>
              </w:rPr>
            </w:pPr>
            <w:r>
              <w:rPr>
                <w:rFonts w:hint="eastAsia" w:hAnsi="宋体" w:cs="宋体"/>
                <w:snapToGrid w:val="0"/>
                <w:color w:val="auto"/>
                <w:kern w:val="21"/>
                <w:sz w:val="21"/>
                <w:szCs w:val="21"/>
                <w:highlight w:val="none"/>
              </w:rPr>
              <w:t>一般工业固体废物</w:t>
            </w:r>
          </w:p>
        </w:tc>
        <w:tc>
          <w:tcPr>
            <w:tcW w:w="1455" w:type="dxa"/>
            <w:vAlign w:val="center"/>
          </w:tcPr>
          <w:p w14:paraId="6821A83F">
            <w:pPr>
              <w:widowControl w:val="0"/>
              <w:adjustRightInd w:val="0"/>
              <w:snapToGrid w:val="0"/>
              <w:spacing w:beforeLines="0" w:afterLines="0" w:line="240" w:lineRule="auto"/>
              <w:ind w:left="0" w:leftChars="0" w:firstLine="0" w:firstLineChars="0"/>
              <w:jc w:val="center"/>
              <w:rPr>
                <w:rFonts w:ascii="Times New Roman" w:hAnsi="Times New Roman" w:eastAsia="宋体" w:cs="Times New Roman"/>
                <w:snapToGrid w:val="0"/>
                <w:color w:val="auto"/>
                <w:kern w:val="21"/>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除尘灰</w:t>
            </w:r>
          </w:p>
        </w:tc>
        <w:tc>
          <w:tcPr>
            <w:tcW w:w="1680" w:type="dxa"/>
            <w:shd w:val="clear" w:color="auto" w:fill="auto"/>
            <w:vAlign w:val="center"/>
          </w:tcPr>
          <w:p w14:paraId="40F282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1.287t/a</w:t>
            </w:r>
          </w:p>
        </w:tc>
        <w:tc>
          <w:tcPr>
            <w:tcW w:w="1275" w:type="dxa"/>
            <w:shd w:val="clear" w:color="auto" w:fill="auto"/>
            <w:vAlign w:val="center"/>
          </w:tcPr>
          <w:p w14:paraId="3A8B39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4"/>
                <w:highlight w:val="none"/>
                <w:lang w:val="en-US" w:eastAsia="zh-CN" w:bidi="ar-SA"/>
              </w:rPr>
            </w:pPr>
            <w:r>
              <w:rPr>
                <w:rFonts w:hint="eastAsia"/>
                <w:color w:val="auto"/>
                <w:sz w:val="21"/>
                <w:highlight w:val="none"/>
              </w:rPr>
              <w:t>/</w:t>
            </w:r>
          </w:p>
        </w:tc>
        <w:tc>
          <w:tcPr>
            <w:tcW w:w="1545" w:type="dxa"/>
            <w:shd w:val="clear" w:color="auto" w:fill="auto"/>
            <w:vAlign w:val="center"/>
          </w:tcPr>
          <w:p w14:paraId="2D5051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w:t>
            </w:r>
          </w:p>
        </w:tc>
        <w:tc>
          <w:tcPr>
            <w:tcW w:w="1650" w:type="dxa"/>
            <w:shd w:val="clear" w:color="auto" w:fill="auto"/>
            <w:vAlign w:val="center"/>
          </w:tcPr>
          <w:p w14:paraId="665318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12.46t/a</w:t>
            </w:r>
          </w:p>
        </w:tc>
        <w:tc>
          <w:tcPr>
            <w:tcW w:w="1575" w:type="dxa"/>
            <w:shd w:val="clear" w:color="auto" w:fill="auto"/>
            <w:vAlign w:val="center"/>
          </w:tcPr>
          <w:p w14:paraId="1F04A4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4"/>
                <w:highlight w:val="none"/>
                <w:lang w:val="en-US" w:eastAsia="zh-CN" w:bidi="ar-SA"/>
              </w:rPr>
            </w:pPr>
            <w:r>
              <w:rPr>
                <w:rFonts w:hint="eastAsia"/>
                <w:color w:val="auto"/>
                <w:sz w:val="21"/>
                <w:highlight w:val="none"/>
              </w:rPr>
              <w:t>/</w:t>
            </w:r>
          </w:p>
        </w:tc>
        <w:tc>
          <w:tcPr>
            <w:tcW w:w="1829" w:type="dxa"/>
            <w:shd w:val="clear" w:color="auto" w:fill="auto"/>
            <w:vAlign w:val="center"/>
          </w:tcPr>
          <w:p w14:paraId="632A20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13.747</w:t>
            </w:r>
          </w:p>
        </w:tc>
        <w:tc>
          <w:tcPr>
            <w:tcW w:w="1338" w:type="dxa"/>
            <w:shd w:val="clear" w:color="auto" w:fill="auto"/>
            <w:vAlign w:val="center"/>
          </w:tcPr>
          <w:p w14:paraId="4A57A8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+12.46</w:t>
            </w:r>
          </w:p>
        </w:tc>
      </w:tr>
      <w:tr w14:paraId="0CC9CD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441" w:type="dxa"/>
            <w:vMerge w:val="continue"/>
            <w:vAlign w:val="center"/>
          </w:tcPr>
          <w:p w14:paraId="0905A427">
            <w:pPr>
              <w:pStyle w:val="36"/>
              <w:spacing w:beforeLines="0" w:afterLines="0" w:line="240" w:lineRule="auto"/>
              <w:ind w:left="0" w:leftChars="0" w:firstLine="0" w:firstLineChars="0"/>
              <w:jc w:val="center"/>
              <w:rPr>
                <w:rFonts w:hint="eastAsia" w:hAnsi="宋体" w:cs="宋体"/>
                <w:snapToGrid w:val="0"/>
                <w:color w:val="auto"/>
                <w:kern w:val="21"/>
                <w:szCs w:val="21"/>
                <w:highlight w:val="none"/>
              </w:rPr>
            </w:pPr>
          </w:p>
        </w:tc>
        <w:tc>
          <w:tcPr>
            <w:tcW w:w="1455" w:type="dxa"/>
            <w:vAlign w:val="center"/>
          </w:tcPr>
          <w:p w14:paraId="5CCE6509">
            <w:pPr>
              <w:widowControl w:val="0"/>
              <w:adjustRightInd w:val="0"/>
              <w:snapToGrid w:val="0"/>
              <w:spacing w:beforeLines="0" w:afterLines="0" w:line="240" w:lineRule="auto"/>
              <w:ind w:left="0" w:lef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不合格产品</w:t>
            </w:r>
          </w:p>
        </w:tc>
        <w:tc>
          <w:tcPr>
            <w:tcW w:w="1680" w:type="dxa"/>
            <w:shd w:val="clear" w:color="auto" w:fill="auto"/>
            <w:vAlign w:val="center"/>
          </w:tcPr>
          <w:p w14:paraId="160DF9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2.701</w:t>
            </w:r>
          </w:p>
        </w:tc>
        <w:tc>
          <w:tcPr>
            <w:tcW w:w="1275" w:type="dxa"/>
            <w:shd w:val="clear" w:color="auto" w:fill="auto"/>
            <w:vAlign w:val="center"/>
          </w:tcPr>
          <w:p w14:paraId="296DF4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sz w:val="21"/>
                <w:highlight w:val="none"/>
                <w:lang w:val="en-US" w:eastAsia="zh-CN"/>
              </w:rPr>
            </w:pPr>
            <w:r>
              <w:rPr>
                <w:rFonts w:hint="eastAsia"/>
                <w:color w:val="auto"/>
                <w:sz w:val="21"/>
                <w:highlight w:val="none"/>
                <w:lang w:val="en-US" w:eastAsia="zh-CN"/>
              </w:rPr>
              <w:t>/</w:t>
            </w:r>
          </w:p>
        </w:tc>
        <w:tc>
          <w:tcPr>
            <w:tcW w:w="1545" w:type="dxa"/>
            <w:shd w:val="clear" w:color="auto" w:fill="auto"/>
            <w:vAlign w:val="center"/>
          </w:tcPr>
          <w:p w14:paraId="3A77B1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w:t>
            </w:r>
          </w:p>
        </w:tc>
        <w:tc>
          <w:tcPr>
            <w:tcW w:w="1650" w:type="dxa"/>
            <w:shd w:val="clear" w:color="auto" w:fill="auto"/>
            <w:vAlign w:val="center"/>
          </w:tcPr>
          <w:p w14:paraId="3DE02F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70.08</w:t>
            </w:r>
          </w:p>
        </w:tc>
        <w:tc>
          <w:tcPr>
            <w:tcW w:w="1575" w:type="dxa"/>
            <w:shd w:val="clear" w:color="auto" w:fill="auto"/>
            <w:vAlign w:val="center"/>
          </w:tcPr>
          <w:p w14:paraId="202A7B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sz w:val="21"/>
                <w:highlight w:val="none"/>
                <w:lang w:val="en-US" w:eastAsia="zh-CN"/>
              </w:rPr>
            </w:pPr>
            <w:r>
              <w:rPr>
                <w:rFonts w:hint="eastAsia"/>
                <w:color w:val="auto"/>
                <w:sz w:val="21"/>
                <w:highlight w:val="none"/>
                <w:lang w:val="en-US" w:eastAsia="zh-CN"/>
              </w:rPr>
              <w:t>/</w:t>
            </w:r>
          </w:p>
        </w:tc>
        <w:tc>
          <w:tcPr>
            <w:tcW w:w="1829" w:type="dxa"/>
            <w:shd w:val="clear" w:color="auto" w:fill="auto"/>
            <w:vAlign w:val="center"/>
          </w:tcPr>
          <w:p w14:paraId="44A321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72.781</w:t>
            </w:r>
          </w:p>
        </w:tc>
        <w:tc>
          <w:tcPr>
            <w:tcW w:w="1338" w:type="dxa"/>
            <w:shd w:val="clear" w:color="auto" w:fill="auto"/>
            <w:vAlign w:val="center"/>
          </w:tcPr>
          <w:p w14:paraId="384235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+70.08</w:t>
            </w:r>
          </w:p>
        </w:tc>
      </w:tr>
      <w:tr w14:paraId="54C668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441" w:type="dxa"/>
            <w:vAlign w:val="center"/>
          </w:tcPr>
          <w:p w14:paraId="7A47C16A">
            <w:pPr>
              <w:pStyle w:val="36"/>
              <w:spacing w:beforeLines="0" w:afterLines="0" w:line="240" w:lineRule="auto"/>
              <w:ind w:left="0" w:leftChars="0" w:firstLine="0" w:firstLineChars="0"/>
              <w:jc w:val="center"/>
              <w:rPr>
                <w:rFonts w:hint="eastAsia" w:hAnsi="宋体" w:cs="宋体"/>
                <w:snapToGrid w:val="0"/>
                <w:color w:val="auto"/>
                <w:kern w:val="21"/>
                <w:szCs w:val="21"/>
                <w:highlight w:val="none"/>
              </w:rPr>
            </w:pPr>
            <w:r>
              <w:rPr>
                <w:rFonts w:hint="eastAsia" w:hAnsi="宋体" w:cs="宋体"/>
                <w:snapToGrid w:val="0"/>
                <w:color w:val="auto"/>
                <w:kern w:val="21"/>
                <w:sz w:val="21"/>
                <w:szCs w:val="21"/>
                <w:highlight w:val="none"/>
              </w:rPr>
              <w:t>危险废物</w:t>
            </w:r>
          </w:p>
        </w:tc>
        <w:tc>
          <w:tcPr>
            <w:tcW w:w="1455" w:type="dxa"/>
            <w:vAlign w:val="center"/>
          </w:tcPr>
          <w:p w14:paraId="0E37A261">
            <w:pPr>
              <w:pStyle w:val="36"/>
              <w:spacing w:beforeLines="0" w:afterLines="0" w:line="240" w:lineRule="auto"/>
              <w:ind w:left="0" w:lef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cs="Times New Roman"/>
                <w:color w:val="auto"/>
                <w:kern w:val="0"/>
                <w:sz w:val="21"/>
                <w:szCs w:val="21"/>
                <w:highlight w:val="none"/>
                <w:lang w:val="en-US" w:eastAsia="zh-CN" w:bidi="ar-SA"/>
              </w:rPr>
              <w:t>废机油</w:t>
            </w:r>
          </w:p>
        </w:tc>
        <w:tc>
          <w:tcPr>
            <w:tcW w:w="1680" w:type="dxa"/>
            <w:shd w:val="clear" w:color="auto" w:fill="auto"/>
            <w:vAlign w:val="center"/>
          </w:tcPr>
          <w:p w14:paraId="17CCBA5C">
            <w:pPr>
              <w:pStyle w:val="36"/>
              <w:spacing w:beforeLines="0" w:afterLines="0" w:line="240" w:lineRule="auto"/>
              <w:ind w:left="0" w:leftChars="0" w:firstLine="0" w:firstLineChars="0"/>
              <w:jc w:val="center"/>
              <w:rPr>
                <w:rFonts w:hint="eastAsia" w:eastAsia="宋体"/>
                <w:color w:val="auto"/>
                <w:sz w:val="21"/>
                <w:highlight w:val="none"/>
                <w:lang w:val="en-US" w:eastAsia="zh-CN"/>
              </w:rPr>
            </w:pPr>
            <w:r>
              <w:rPr>
                <w:rFonts w:hint="eastAsia"/>
                <w:color w:val="auto"/>
                <w:sz w:val="21"/>
                <w:highlight w:val="none"/>
                <w:lang w:val="en-US" w:eastAsia="zh-CN"/>
              </w:rPr>
              <w:t>/</w:t>
            </w:r>
          </w:p>
        </w:tc>
        <w:tc>
          <w:tcPr>
            <w:tcW w:w="1275" w:type="dxa"/>
            <w:shd w:val="clear" w:color="auto" w:fill="auto"/>
            <w:vAlign w:val="center"/>
          </w:tcPr>
          <w:p w14:paraId="354FDD98">
            <w:pPr>
              <w:pStyle w:val="36"/>
              <w:spacing w:beforeLines="0" w:afterLines="0" w:line="240" w:lineRule="auto"/>
              <w:ind w:left="0" w:leftChars="0" w:firstLine="0" w:firstLineChars="0"/>
              <w:jc w:val="center"/>
              <w:rPr>
                <w:rFonts w:hint="eastAsia" w:eastAsia="宋体"/>
                <w:color w:val="auto"/>
                <w:sz w:val="21"/>
                <w:highlight w:val="none"/>
                <w:lang w:val="en-US" w:eastAsia="zh-CN"/>
              </w:rPr>
            </w:pPr>
            <w:r>
              <w:rPr>
                <w:rFonts w:hint="eastAsia"/>
                <w:color w:val="auto"/>
                <w:sz w:val="21"/>
                <w:highlight w:val="none"/>
                <w:lang w:val="en-US" w:eastAsia="zh-CN"/>
              </w:rPr>
              <w:t>/</w:t>
            </w:r>
          </w:p>
        </w:tc>
        <w:tc>
          <w:tcPr>
            <w:tcW w:w="1545" w:type="dxa"/>
            <w:shd w:val="clear" w:color="auto" w:fill="auto"/>
            <w:vAlign w:val="center"/>
          </w:tcPr>
          <w:p w14:paraId="3B9A0E40">
            <w:pPr>
              <w:pStyle w:val="36"/>
              <w:spacing w:beforeLines="0" w:afterLines="0" w:line="240" w:lineRule="auto"/>
              <w:ind w:left="0" w:leftChars="0" w:firstLine="0" w:firstLineChars="0"/>
              <w:jc w:val="center"/>
              <w:rPr>
                <w:rFonts w:hint="eastAsia" w:eastAsia="宋体"/>
                <w:color w:val="auto"/>
                <w:sz w:val="21"/>
                <w:highlight w:val="none"/>
                <w:lang w:val="en-US" w:eastAsia="zh-CN"/>
              </w:rPr>
            </w:pPr>
            <w:r>
              <w:rPr>
                <w:rFonts w:hint="eastAsia"/>
                <w:color w:val="auto"/>
                <w:sz w:val="21"/>
                <w:highlight w:val="none"/>
                <w:lang w:val="en-US" w:eastAsia="zh-CN"/>
              </w:rPr>
              <w:t>/</w:t>
            </w:r>
          </w:p>
        </w:tc>
        <w:tc>
          <w:tcPr>
            <w:tcW w:w="1650" w:type="dxa"/>
            <w:shd w:val="clear" w:color="auto" w:fill="auto"/>
            <w:vAlign w:val="center"/>
          </w:tcPr>
          <w:p w14:paraId="66F7FEF0">
            <w:pPr>
              <w:pStyle w:val="36"/>
              <w:spacing w:beforeLines="0" w:afterLines="0" w:line="240" w:lineRule="auto"/>
              <w:ind w:left="0" w:leftChars="0" w:firstLine="0" w:firstLineChars="0"/>
              <w:jc w:val="center"/>
              <w:rPr>
                <w:rFonts w:hint="default" w:ascii="Times New Roman" w:eastAsia="宋体"/>
                <w:color w:val="auto"/>
                <w:sz w:val="21"/>
                <w:highlight w:val="none"/>
                <w:lang w:val="en-US" w:eastAsia="zh-CN"/>
              </w:rPr>
            </w:pPr>
            <w:r>
              <w:rPr>
                <w:rFonts w:hint="eastAsia" w:ascii="Times New Roman"/>
                <w:color w:val="auto"/>
                <w:sz w:val="21"/>
                <w:highlight w:val="none"/>
                <w:lang w:val="en-US" w:eastAsia="zh-CN"/>
              </w:rPr>
              <w:t>0.084</w:t>
            </w:r>
          </w:p>
        </w:tc>
        <w:tc>
          <w:tcPr>
            <w:tcW w:w="1575" w:type="dxa"/>
            <w:shd w:val="clear" w:color="auto" w:fill="auto"/>
            <w:vAlign w:val="center"/>
          </w:tcPr>
          <w:p w14:paraId="7194BDAC">
            <w:pPr>
              <w:pStyle w:val="36"/>
              <w:spacing w:beforeLines="0" w:afterLines="0" w:line="240" w:lineRule="auto"/>
              <w:ind w:left="0" w:leftChars="0" w:firstLine="0" w:firstLineChars="0"/>
              <w:jc w:val="center"/>
              <w:rPr>
                <w:rFonts w:hint="eastAsia" w:eastAsia="宋体"/>
                <w:color w:val="auto"/>
                <w:sz w:val="21"/>
                <w:highlight w:val="none"/>
                <w:lang w:val="en-US" w:eastAsia="zh-CN"/>
              </w:rPr>
            </w:pPr>
            <w:r>
              <w:rPr>
                <w:rFonts w:hint="eastAsia"/>
                <w:color w:val="auto"/>
                <w:sz w:val="21"/>
                <w:highlight w:val="none"/>
                <w:lang w:val="en-US" w:eastAsia="zh-CN"/>
              </w:rPr>
              <w:t>/</w:t>
            </w:r>
          </w:p>
        </w:tc>
        <w:tc>
          <w:tcPr>
            <w:tcW w:w="1829" w:type="dxa"/>
            <w:shd w:val="clear" w:color="auto" w:fill="auto"/>
            <w:vAlign w:val="center"/>
          </w:tcPr>
          <w:p w14:paraId="64B4B582">
            <w:pPr>
              <w:pStyle w:val="36"/>
              <w:spacing w:beforeLines="0" w:afterLines="0" w:line="240" w:lineRule="auto"/>
              <w:ind w:left="0" w:leftChars="0" w:firstLine="0" w:firstLineChars="0"/>
              <w:jc w:val="center"/>
              <w:rPr>
                <w:rFonts w:hint="default" w:ascii="Times New Roman" w:eastAsia="宋体"/>
                <w:color w:val="auto"/>
                <w:sz w:val="21"/>
                <w:highlight w:val="none"/>
                <w:lang w:val="en-US" w:eastAsia="zh-CN"/>
              </w:rPr>
            </w:pPr>
            <w:r>
              <w:rPr>
                <w:rFonts w:hint="eastAsia" w:ascii="Times New Roman"/>
                <w:color w:val="auto"/>
                <w:sz w:val="21"/>
                <w:highlight w:val="none"/>
                <w:lang w:val="en-US" w:eastAsia="zh-CN"/>
              </w:rPr>
              <w:t>0.084</w:t>
            </w:r>
          </w:p>
        </w:tc>
        <w:tc>
          <w:tcPr>
            <w:tcW w:w="1338" w:type="dxa"/>
            <w:shd w:val="clear" w:color="auto" w:fill="auto"/>
            <w:vAlign w:val="center"/>
          </w:tcPr>
          <w:p w14:paraId="651A7137">
            <w:pPr>
              <w:pStyle w:val="36"/>
              <w:spacing w:beforeLines="0" w:afterLines="0" w:line="240" w:lineRule="auto"/>
              <w:ind w:left="0" w:leftChars="0" w:firstLine="0" w:firstLineChars="0"/>
              <w:jc w:val="center"/>
              <w:rPr>
                <w:rFonts w:hint="default" w:ascii="Times New Roman" w:eastAsia="宋体"/>
                <w:color w:val="auto"/>
                <w:sz w:val="21"/>
                <w:highlight w:val="none"/>
                <w:lang w:val="en-US" w:eastAsia="zh-CN"/>
              </w:rPr>
            </w:pPr>
            <w:r>
              <w:rPr>
                <w:rFonts w:hint="eastAsia" w:ascii="Times New Roman"/>
                <w:color w:val="auto"/>
                <w:sz w:val="21"/>
                <w:highlight w:val="none"/>
                <w:lang w:val="en-US" w:eastAsia="zh-CN"/>
              </w:rPr>
              <w:t>+0.084</w:t>
            </w:r>
          </w:p>
        </w:tc>
      </w:tr>
    </w:tbl>
    <w:p w14:paraId="579CC2E0">
      <w:pPr>
        <w:widowControl w:val="0"/>
        <w:adjustRightInd w:val="0"/>
        <w:snapToGrid w:val="0"/>
        <w:spacing w:before="192" w:beforeLines="80" w:after="24" w:afterLines="10" w:line="259" w:lineRule="auto"/>
        <w:jc w:val="left"/>
        <w:rPr>
          <w:rFonts w:hint="eastAsia" w:ascii="宋体" w:hAnsi="宋体" w:eastAsia="宋体" w:cs="Times New Roman"/>
          <w:snapToGrid w:val="0"/>
          <w:color w:val="auto"/>
          <w:spacing w:val="-6"/>
          <w:kern w:val="21"/>
          <w:sz w:val="21"/>
          <w:szCs w:val="21"/>
          <w:highlight w:val="none"/>
          <w:lang w:val="en-US" w:eastAsia="zh-CN" w:bidi="ar-SA"/>
        </w:rPr>
      </w:pPr>
      <w:r>
        <w:rPr>
          <w:rFonts w:ascii="宋体" w:hAnsi="宋体" w:eastAsia="宋体" w:cs="Times New Roman"/>
          <w:snapToGrid w:val="0"/>
          <w:color w:val="auto"/>
          <w:kern w:val="21"/>
          <w:sz w:val="21"/>
          <w:szCs w:val="21"/>
          <w:highlight w:val="none"/>
          <w:lang w:val="en-US" w:eastAsia="zh-CN" w:bidi="ar-SA"/>
        </w:rPr>
        <w:t>注：</w:t>
      </w:r>
      <w:r>
        <w:rPr>
          <w:rFonts w:ascii="宋体" w:hAnsi="宋体" w:eastAsia="宋体" w:cs="Times New Roman"/>
          <w:snapToGrid w:val="0"/>
          <w:color w:val="auto"/>
          <w:spacing w:val="-16"/>
          <w:kern w:val="21"/>
          <w:sz w:val="21"/>
          <w:szCs w:val="21"/>
          <w:highlight w:val="none"/>
          <w:lang w:val="en-US" w:eastAsia="zh-CN" w:bidi="ar-SA"/>
        </w:rPr>
        <w:fldChar w:fldCharType="begin"/>
      </w:r>
      <w:r>
        <w:rPr>
          <w:rFonts w:ascii="宋体" w:hAnsi="宋体" w:eastAsia="宋体" w:cs="Times New Roman"/>
          <w:snapToGrid w:val="0"/>
          <w:color w:val="auto"/>
          <w:spacing w:val="-16"/>
          <w:kern w:val="21"/>
          <w:sz w:val="21"/>
          <w:szCs w:val="21"/>
          <w:highlight w:val="none"/>
          <w:lang w:val="en-US" w:eastAsia="zh-CN" w:bidi="ar-SA"/>
        </w:rPr>
        <w:instrText xml:space="preserve"> = 6 \* GB3 \* MERGEFORMAT </w:instrText>
      </w:r>
      <w:r>
        <w:rPr>
          <w:rFonts w:ascii="宋体" w:hAnsi="宋体" w:eastAsia="宋体" w:cs="Times New Roman"/>
          <w:snapToGrid w:val="0"/>
          <w:color w:val="auto"/>
          <w:spacing w:val="-16"/>
          <w:kern w:val="21"/>
          <w:sz w:val="21"/>
          <w:szCs w:val="21"/>
          <w:highlight w:val="none"/>
          <w:lang w:val="en-US" w:eastAsia="zh-CN" w:bidi="ar-SA"/>
        </w:rPr>
        <w:fldChar w:fldCharType="separate"/>
      </w:r>
      <w:r>
        <w:rPr>
          <w:rFonts w:hint="eastAsia" w:ascii="宋体" w:hAnsi="宋体" w:eastAsia="宋体" w:cs="Times New Roman"/>
          <w:color w:val="auto"/>
          <w:kern w:val="0"/>
          <w:sz w:val="21"/>
          <w:szCs w:val="21"/>
          <w:highlight w:val="none"/>
          <w:lang w:val="en-US" w:eastAsia="zh-CN" w:bidi="ar-SA"/>
        </w:rPr>
        <w:t>⑥</w:t>
      </w:r>
      <w:r>
        <w:rPr>
          <w:rFonts w:ascii="宋体" w:hAnsi="宋体" w:eastAsia="宋体" w:cs="Times New Roman"/>
          <w:snapToGrid w:val="0"/>
          <w:color w:val="auto"/>
          <w:spacing w:val="-16"/>
          <w:kern w:val="21"/>
          <w:sz w:val="21"/>
          <w:szCs w:val="21"/>
          <w:highlight w:val="none"/>
          <w:lang w:val="en-US" w:eastAsia="zh-CN" w:bidi="ar-SA"/>
        </w:rPr>
        <w:fldChar w:fldCharType="end"/>
      </w:r>
      <w:r>
        <w:rPr>
          <w:rFonts w:ascii="宋体" w:hAnsi="宋体" w:eastAsia="宋体" w:cs="Times New Roman"/>
          <w:snapToGrid w:val="0"/>
          <w:color w:val="auto"/>
          <w:spacing w:val="-16"/>
          <w:kern w:val="21"/>
          <w:sz w:val="21"/>
          <w:szCs w:val="21"/>
          <w:highlight w:val="none"/>
          <w:lang w:val="en-US" w:eastAsia="zh-CN" w:bidi="ar-SA"/>
        </w:rPr>
        <w:t>=</w:t>
      </w:r>
      <w:r>
        <w:rPr>
          <w:rFonts w:ascii="宋体" w:hAnsi="宋体" w:eastAsia="宋体" w:cs="Times New Roman"/>
          <w:snapToGrid w:val="0"/>
          <w:color w:val="auto"/>
          <w:spacing w:val="-6"/>
          <w:kern w:val="21"/>
          <w:sz w:val="21"/>
          <w:szCs w:val="21"/>
          <w:highlight w:val="none"/>
          <w:lang w:val="en-US" w:eastAsia="zh-CN" w:bidi="ar-SA"/>
        </w:rPr>
        <w:fldChar w:fldCharType="begin"/>
      </w:r>
      <w:r>
        <w:rPr>
          <w:rFonts w:ascii="宋体" w:hAnsi="宋体" w:eastAsia="宋体" w:cs="Times New Roman"/>
          <w:snapToGrid w:val="0"/>
          <w:color w:val="auto"/>
          <w:spacing w:val="-6"/>
          <w:kern w:val="21"/>
          <w:sz w:val="21"/>
          <w:szCs w:val="21"/>
          <w:highlight w:val="none"/>
          <w:lang w:val="en-US" w:eastAsia="zh-CN" w:bidi="ar-SA"/>
        </w:rPr>
        <w:instrText xml:space="preserve"> = 1 \* GB3 \* MERGEFORMAT </w:instrText>
      </w:r>
      <w:r>
        <w:rPr>
          <w:rFonts w:ascii="宋体" w:hAnsi="宋体" w:eastAsia="宋体" w:cs="Times New Roman"/>
          <w:snapToGrid w:val="0"/>
          <w:color w:val="auto"/>
          <w:spacing w:val="-6"/>
          <w:kern w:val="21"/>
          <w:sz w:val="21"/>
          <w:szCs w:val="21"/>
          <w:highlight w:val="none"/>
          <w:lang w:val="en-US" w:eastAsia="zh-CN" w:bidi="ar-SA"/>
        </w:rPr>
        <w:fldChar w:fldCharType="separate"/>
      </w:r>
      <w:r>
        <w:rPr>
          <w:rFonts w:hint="eastAsia" w:ascii="宋体" w:hAnsi="宋体" w:eastAsia="宋体" w:cs="Times New Roman"/>
          <w:color w:val="auto"/>
          <w:kern w:val="0"/>
          <w:sz w:val="21"/>
          <w:szCs w:val="21"/>
          <w:highlight w:val="none"/>
          <w:lang w:val="en-US" w:eastAsia="zh-CN" w:bidi="ar-SA"/>
        </w:rPr>
        <w:t>①</w:t>
      </w:r>
      <w:r>
        <w:rPr>
          <w:rFonts w:ascii="宋体" w:hAnsi="宋体" w:eastAsia="宋体" w:cs="Times New Roman"/>
          <w:snapToGrid w:val="0"/>
          <w:color w:val="auto"/>
          <w:spacing w:val="-6"/>
          <w:kern w:val="21"/>
          <w:sz w:val="21"/>
          <w:szCs w:val="21"/>
          <w:highlight w:val="none"/>
          <w:lang w:val="en-US" w:eastAsia="zh-CN" w:bidi="ar-SA"/>
        </w:rPr>
        <w:fldChar w:fldCharType="end"/>
      </w:r>
      <w:r>
        <w:rPr>
          <w:rFonts w:ascii="宋体" w:hAnsi="宋体" w:eastAsia="宋体" w:cs="Times New Roman"/>
          <w:snapToGrid w:val="0"/>
          <w:color w:val="auto"/>
          <w:spacing w:val="-6"/>
          <w:kern w:val="21"/>
          <w:sz w:val="21"/>
          <w:szCs w:val="21"/>
          <w:highlight w:val="none"/>
          <w:lang w:val="en-US" w:eastAsia="zh-CN" w:bidi="ar-SA"/>
        </w:rPr>
        <w:t>+</w:t>
      </w:r>
      <w:r>
        <w:rPr>
          <w:rFonts w:ascii="宋体" w:hAnsi="宋体" w:eastAsia="宋体" w:cs="Times New Roman"/>
          <w:snapToGrid w:val="0"/>
          <w:color w:val="auto"/>
          <w:spacing w:val="-6"/>
          <w:kern w:val="21"/>
          <w:sz w:val="21"/>
          <w:szCs w:val="21"/>
          <w:highlight w:val="none"/>
          <w:lang w:val="en-US" w:eastAsia="zh-CN" w:bidi="ar-SA"/>
        </w:rPr>
        <w:fldChar w:fldCharType="begin"/>
      </w:r>
      <w:r>
        <w:rPr>
          <w:rFonts w:ascii="宋体" w:hAnsi="宋体" w:eastAsia="宋体" w:cs="Times New Roman"/>
          <w:snapToGrid w:val="0"/>
          <w:color w:val="auto"/>
          <w:spacing w:val="-6"/>
          <w:kern w:val="21"/>
          <w:sz w:val="21"/>
          <w:szCs w:val="21"/>
          <w:highlight w:val="none"/>
          <w:lang w:val="en-US" w:eastAsia="zh-CN" w:bidi="ar-SA"/>
        </w:rPr>
        <w:instrText xml:space="preserve"> = 3 \* GB3 \* MERGEFORMAT </w:instrText>
      </w:r>
      <w:r>
        <w:rPr>
          <w:rFonts w:ascii="宋体" w:hAnsi="宋体" w:eastAsia="宋体" w:cs="Times New Roman"/>
          <w:snapToGrid w:val="0"/>
          <w:color w:val="auto"/>
          <w:spacing w:val="-6"/>
          <w:kern w:val="21"/>
          <w:sz w:val="21"/>
          <w:szCs w:val="21"/>
          <w:highlight w:val="none"/>
          <w:lang w:val="en-US" w:eastAsia="zh-CN" w:bidi="ar-SA"/>
        </w:rPr>
        <w:fldChar w:fldCharType="separate"/>
      </w:r>
      <w:r>
        <w:rPr>
          <w:rFonts w:hint="eastAsia" w:ascii="宋体" w:hAnsi="宋体" w:eastAsia="宋体" w:cs="Times New Roman"/>
          <w:color w:val="auto"/>
          <w:kern w:val="0"/>
          <w:sz w:val="21"/>
          <w:szCs w:val="21"/>
          <w:highlight w:val="none"/>
          <w:lang w:val="en-US" w:eastAsia="zh-CN" w:bidi="ar-SA"/>
        </w:rPr>
        <w:t>③</w:t>
      </w:r>
      <w:r>
        <w:rPr>
          <w:rFonts w:ascii="宋体" w:hAnsi="宋体" w:eastAsia="宋体" w:cs="Times New Roman"/>
          <w:snapToGrid w:val="0"/>
          <w:color w:val="auto"/>
          <w:spacing w:val="-6"/>
          <w:kern w:val="21"/>
          <w:sz w:val="21"/>
          <w:szCs w:val="21"/>
          <w:highlight w:val="none"/>
          <w:lang w:val="en-US" w:eastAsia="zh-CN" w:bidi="ar-SA"/>
        </w:rPr>
        <w:fldChar w:fldCharType="end"/>
      </w:r>
      <w:r>
        <w:rPr>
          <w:rFonts w:ascii="宋体" w:hAnsi="宋体" w:eastAsia="宋体" w:cs="Times New Roman"/>
          <w:snapToGrid w:val="0"/>
          <w:color w:val="auto"/>
          <w:spacing w:val="-6"/>
          <w:kern w:val="21"/>
          <w:sz w:val="21"/>
          <w:szCs w:val="21"/>
          <w:highlight w:val="none"/>
          <w:lang w:val="en-US" w:eastAsia="zh-CN" w:bidi="ar-SA"/>
        </w:rPr>
        <w:t>+</w:t>
      </w:r>
      <w:r>
        <w:rPr>
          <w:rFonts w:ascii="宋体" w:hAnsi="宋体" w:eastAsia="宋体" w:cs="Times New Roman"/>
          <w:snapToGrid w:val="0"/>
          <w:color w:val="auto"/>
          <w:spacing w:val="-6"/>
          <w:kern w:val="21"/>
          <w:sz w:val="21"/>
          <w:szCs w:val="21"/>
          <w:highlight w:val="none"/>
          <w:lang w:val="en-US" w:eastAsia="zh-CN" w:bidi="ar-SA"/>
        </w:rPr>
        <w:fldChar w:fldCharType="begin"/>
      </w:r>
      <w:r>
        <w:rPr>
          <w:rFonts w:ascii="宋体" w:hAnsi="宋体" w:eastAsia="宋体" w:cs="Times New Roman"/>
          <w:snapToGrid w:val="0"/>
          <w:color w:val="auto"/>
          <w:spacing w:val="-6"/>
          <w:kern w:val="21"/>
          <w:sz w:val="21"/>
          <w:szCs w:val="21"/>
          <w:highlight w:val="none"/>
          <w:lang w:val="en-US" w:eastAsia="zh-CN" w:bidi="ar-SA"/>
        </w:rPr>
        <w:instrText xml:space="preserve"> = 4 \* GB3 \* MERGEFORMAT </w:instrText>
      </w:r>
      <w:r>
        <w:rPr>
          <w:rFonts w:ascii="宋体" w:hAnsi="宋体" w:eastAsia="宋体" w:cs="Times New Roman"/>
          <w:snapToGrid w:val="0"/>
          <w:color w:val="auto"/>
          <w:spacing w:val="-6"/>
          <w:kern w:val="21"/>
          <w:sz w:val="21"/>
          <w:szCs w:val="21"/>
          <w:highlight w:val="none"/>
          <w:lang w:val="en-US" w:eastAsia="zh-CN" w:bidi="ar-SA"/>
        </w:rPr>
        <w:fldChar w:fldCharType="separate"/>
      </w:r>
      <w:r>
        <w:rPr>
          <w:rFonts w:hint="eastAsia" w:ascii="宋体" w:hAnsi="宋体" w:eastAsia="宋体" w:cs="Times New Roman"/>
          <w:color w:val="auto"/>
          <w:kern w:val="0"/>
          <w:sz w:val="21"/>
          <w:szCs w:val="21"/>
          <w:highlight w:val="none"/>
          <w:lang w:val="en-US" w:eastAsia="zh-CN" w:bidi="ar-SA"/>
        </w:rPr>
        <w:t>④</w:t>
      </w:r>
      <w:r>
        <w:rPr>
          <w:rFonts w:ascii="宋体" w:hAnsi="宋体" w:eastAsia="宋体" w:cs="Times New Roman"/>
          <w:snapToGrid w:val="0"/>
          <w:color w:val="auto"/>
          <w:spacing w:val="-6"/>
          <w:kern w:val="21"/>
          <w:sz w:val="21"/>
          <w:szCs w:val="21"/>
          <w:highlight w:val="none"/>
          <w:lang w:val="en-US" w:eastAsia="zh-CN" w:bidi="ar-SA"/>
        </w:rPr>
        <w:fldChar w:fldCharType="end"/>
      </w:r>
      <w:r>
        <w:rPr>
          <w:rFonts w:ascii="宋体" w:hAnsi="宋体" w:eastAsia="宋体" w:cs="Times New Roman"/>
          <w:snapToGrid w:val="0"/>
          <w:color w:val="auto"/>
          <w:spacing w:val="-6"/>
          <w:kern w:val="21"/>
          <w:sz w:val="21"/>
          <w:szCs w:val="21"/>
          <w:highlight w:val="none"/>
          <w:lang w:val="en-US" w:eastAsia="zh-CN" w:bidi="ar-SA"/>
        </w:rPr>
        <w:t>-</w:t>
      </w:r>
      <w:r>
        <w:rPr>
          <w:rFonts w:ascii="宋体" w:hAnsi="宋体" w:eastAsia="宋体" w:cs="Times New Roman"/>
          <w:snapToGrid w:val="0"/>
          <w:color w:val="auto"/>
          <w:spacing w:val="-16"/>
          <w:kern w:val="21"/>
          <w:sz w:val="21"/>
          <w:szCs w:val="21"/>
          <w:highlight w:val="none"/>
          <w:lang w:val="en-US" w:eastAsia="zh-CN" w:bidi="ar-SA"/>
        </w:rPr>
        <w:fldChar w:fldCharType="begin"/>
      </w:r>
      <w:r>
        <w:rPr>
          <w:rFonts w:ascii="宋体" w:hAnsi="宋体" w:eastAsia="宋体" w:cs="Times New Roman"/>
          <w:snapToGrid w:val="0"/>
          <w:color w:val="auto"/>
          <w:spacing w:val="-16"/>
          <w:kern w:val="21"/>
          <w:sz w:val="21"/>
          <w:szCs w:val="21"/>
          <w:highlight w:val="none"/>
          <w:lang w:val="en-US" w:eastAsia="zh-CN" w:bidi="ar-SA"/>
        </w:rPr>
        <w:instrText xml:space="preserve"> = 5 \* GB3 \* MERGEFORMAT </w:instrText>
      </w:r>
      <w:r>
        <w:rPr>
          <w:rFonts w:ascii="宋体" w:hAnsi="宋体" w:eastAsia="宋体" w:cs="Times New Roman"/>
          <w:snapToGrid w:val="0"/>
          <w:color w:val="auto"/>
          <w:spacing w:val="-16"/>
          <w:kern w:val="21"/>
          <w:sz w:val="21"/>
          <w:szCs w:val="21"/>
          <w:highlight w:val="none"/>
          <w:lang w:val="en-US" w:eastAsia="zh-CN" w:bidi="ar-SA"/>
        </w:rPr>
        <w:fldChar w:fldCharType="separate"/>
      </w:r>
      <w:r>
        <w:rPr>
          <w:rFonts w:hint="eastAsia" w:ascii="宋体" w:hAnsi="宋体" w:eastAsia="宋体" w:cs="Times New Roman"/>
          <w:color w:val="auto"/>
          <w:kern w:val="0"/>
          <w:sz w:val="21"/>
          <w:szCs w:val="21"/>
          <w:highlight w:val="none"/>
          <w:lang w:val="en-US" w:eastAsia="zh-CN" w:bidi="ar-SA"/>
        </w:rPr>
        <w:t>⑤</w:t>
      </w:r>
      <w:r>
        <w:rPr>
          <w:rFonts w:ascii="宋体" w:hAnsi="宋体" w:eastAsia="宋体" w:cs="Times New Roman"/>
          <w:snapToGrid w:val="0"/>
          <w:color w:val="auto"/>
          <w:spacing w:val="-16"/>
          <w:kern w:val="21"/>
          <w:sz w:val="21"/>
          <w:szCs w:val="21"/>
          <w:highlight w:val="none"/>
          <w:lang w:val="en-US" w:eastAsia="zh-CN" w:bidi="ar-SA"/>
        </w:rPr>
        <w:fldChar w:fldCharType="end"/>
      </w:r>
      <w:r>
        <w:rPr>
          <w:rFonts w:ascii="宋体" w:hAnsi="宋体" w:eastAsia="宋体" w:cs="Times New Roman"/>
          <w:snapToGrid w:val="0"/>
          <w:color w:val="auto"/>
          <w:spacing w:val="-16"/>
          <w:kern w:val="21"/>
          <w:sz w:val="21"/>
          <w:szCs w:val="21"/>
          <w:highlight w:val="none"/>
          <w:lang w:val="en-US" w:eastAsia="zh-CN" w:bidi="ar-SA"/>
        </w:rPr>
        <w:t>；</w:t>
      </w:r>
      <w:r>
        <w:rPr>
          <w:rFonts w:ascii="宋体" w:hAnsi="宋体" w:eastAsia="宋体" w:cs="Times New Roman"/>
          <w:snapToGrid w:val="0"/>
          <w:color w:val="auto"/>
          <w:spacing w:val="-6"/>
          <w:kern w:val="21"/>
          <w:sz w:val="21"/>
          <w:szCs w:val="21"/>
          <w:highlight w:val="none"/>
          <w:lang w:val="en-US" w:eastAsia="zh-CN" w:bidi="ar-SA"/>
        </w:rPr>
        <w:fldChar w:fldCharType="begin"/>
      </w:r>
      <w:r>
        <w:rPr>
          <w:rFonts w:ascii="宋体" w:hAnsi="宋体" w:eastAsia="宋体" w:cs="Times New Roman"/>
          <w:snapToGrid w:val="0"/>
          <w:color w:val="auto"/>
          <w:spacing w:val="-6"/>
          <w:kern w:val="21"/>
          <w:sz w:val="21"/>
          <w:szCs w:val="21"/>
          <w:highlight w:val="none"/>
          <w:lang w:val="en-US" w:eastAsia="zh-CN" w:bidi="ar-SA"/>
        </w:rPr>
        <w:instrText xml:space="preserve"> = 7 \* GB3 \* MERGEFORMAT </w:instrText>
      </w:r>
      <w:r>
        <w:rPr>
          <w:rFonts w:ascii="宋体" w:hAnsi="宋体" w:eastAsia="宋体" w:cs="Times New Roman"/>
          <w:snapToGrid w:val="0"/>
          <w:color w:val="auto"/>
          <w:spacing w:val="-6"/>
          <w:kern w:val="21"/>
          <w:sz w:val="21"/>
          <w:szCs w:val="21"/>
          <w:highlight w:val="none"/>
          <w:lang w:val="en-US" w:eastAsia="zh-CN" w:bidi="ar-SA"/>
        </w:rPr>
        <w:fldChar w:fldCharType="separate"/>
      </w:r>
      <w:r>
        <w:rPr>
          <w:rFonts w:hint="eastAsia" w:ascii="宋体" w:hAnsi="宋体" w:eastAsia="宋体" w:cs="Times New Roman"/>
          <w:color w:val="auto"/>
          <w:kern w:val="0"/>
          <w:sz w:val="21"/>
          <w:szCs w:val="21"/>
          <w:highlight w:val="none"/>
          <w:lang w:val="en-US" w:eastAsia="zh-CN" w:bidi="ar-SA"/>
        </w:rPr>
        <w:t>⑦</w:t>
      </w:r>
      <w:r>
        <w:rPr>
          <w:rFonts w:ascii="宋体" w:hAnsi="宋体" w:eastAsia="宋体" w:cs="Times New Roman"/>
          <w:snapToGrid w:val="0"/>
          <w:color w:val="auto"/>
          <w:spacing w:val="-6"/>
          <w:kern w:val="21"/>
          <w:sz w:val="21"/>
          <w:szCs w:val="21"/>
          <w:highlight w:val="none"/>
          <w:lang w:val="en-US" w:eastAsia="zh-CN" w:bidi="ar-SA"/>
        </w:rPr>
        <w:fldChar w:fldCharType="end"/>
      </w:r>
      <w:r>
        <w:rPr>
          <w:rFonts w:ascii="宋体" w:hAnsi="宋体" w:eastAsia="宋体" w:cs="Times New Roman"/>
          <w:snapToGrid w:val="0"/>
          <w:color w:val="auto"/>
          <w:spacing w:val="-6"/>
          <w:kern w:val="21"/>
          <w:sz w:val="21"/>
          <w:szCs w:val="21"/>
          <w:highlight w:val="none"/>
          <w:lang w:val="en-US" w:eastAsia="zh-CN" w:bidi="ar-SA"/>
        </w:rPr>
        <w:t>=</w:t>
      </w:r>
      <w:r>
        <w:rPr>
          <w:rFonts w:ascii="宋体" w:hAnsi="宋体" w:eastAsia="宋体" w:cs="Times New Roman"/>
          <w:snapToGrid w:val="0"/>
          <w:color w:val="auto"/>
          <w:spacing w:val="-16"/>
          <w:kern w:val="21"/>
          <w:sz w:val="21"/>
          <w:szCs w:val="21"/>
          <w:highlight w:val="none"/>
          <w:lang w:val="en-US" w:eastAsia="zh-CN" w:bidi="ar-SA"/>
        </w:rPr>
        <w:fldChar w:fldCharType="begin"/>
      </w:r>
      <w:r>
        <w:rPr>
          <w:rFonts w:ascii="宋体" w:hAnsi="宋体" w:eastAsia="宋体" w:cs="Times New Roman"/>
          <w:snapToGrid w:val="0"/>
          <w:color w:val="auto"/>
          <w:spacing w:val="-16"/>
          <w:kern w:val="21"/>
          <w:sz w:val="21"/>
          <w:szCs w:val="21"/>
          <w:highlight w:val="none"/>
          <w:lang w:val="en-US" w:eastAsia="zh-CN" w:bidi="ar-SA"/>
        </w:rPr>
        <w:instrText xml:space="preserve"> = 6 \* GB3 \* MERGEFORMAT </w:instrText>
      </w:r>
      <w:r>
        <w:rPr>
          <w:rFonts w:ascii="宋体" w:hAnsi="宋体" w:eastAsia="宋体" w:cs="Times New Roman"/>
          <w:snapToGrid w:val="0"/>
          <w:color w:val="auto"/>
          <w:spacing w:val="-16"/>
          <w:kern w:val="21"/>
          <w:sz w:val="21"/>
          <w:szCs w:val="21"/>
          <w:highlight w:val="none"/>
          <w:lang w:val="en-US" w:eastAsia="zh-CN" w:bidi="ar-SA"/>
        </w:rPr>
        <w:fldChar w:fldCharType="separate"/>
      </w:r>
      <w:r>
        <w:rPr>
          <w:rFonts w:hint="eastAsia" w:ascii="宋体" w:hAnsi="宋体" w:eastAsia="宋体" w:cs="Times New Roman"/>
          <w:color w:val="auto"/>
          <w:kern w:val="0"/>
          <w:sz w:val="21"/>
          <w:szCs w:val="21"/>
          <w:highlight w:val="none"/>
          <w:lang w:val="en-US" w:eastAsia="zh-CN" w:bidi="ar-SA"/>
        </w:rPr>
        <w:t>⑥</w:t>
      </w:r>
      <w:r>
        <w:rPr>
          <w:rFonts w:ascii="宋体" w:hAnsi="宋体" w:eastAsia="宋体" w:cs="Times New Roman"/>
          <w:snapToGrid w:val="0"/>
          <w:color w:val="auto"/>
          <w:spacing w:val="-16"/>
          <w:kern w:val="21"/>
          <w:sz w:val="21"/>
          <w:szCs w:val="21"/>
          <w:highlight w:val="none"/>
          <w:lang w:val="en-US" w:eastAsia="zh-CN" w:bidi="ar-SA"/>
        </w:rPr>
        <w:fldChar w:fldCharType="end"/>
      </w:r>
      <w:r>
        <w:rPr>
          <w:rFonts w:ascii="宋体" w:hAnsi="宋体" w:eastAsia="宋体" w:cs="Times New Roman"/>
          <w:snapToGrid w:val="0"/>
          <w:color w:val="auto"/>
          <w:spacing w:val="-16"/>
          <w:kern w:val="21"/>
          <w:sz w:val="21"/>
          <w:szCs w:val="21"/>
          <w:highlight w:val="none"/>
          <w:lang w:val="en-US" w:eastAsia="zh-CN" w:bidi="ar-SA"/>
        </w:rPr>
        <w:t>-</w:t>
      </w:r>
      <w:r>
        <w:rPr>
          <w:rFonts w:ascii="宋体" w:hAnsi="宋体" w:eastAsia="宋体" w:cs="Times New Roman"/>
          <w:snapToGrid w:val="0"/>
          <w:color w:val="auto"/>
          <w:spacing w:val="-6"/>
          <w:kern w:val="21"/>
          <w:sz w:val="21"/>
          <w:szCs w:val="21"/>
          <w:highlight w:val="none"/>
          <w:lang w:val="en-US" w:eastAsia="zh-CN" w:bidi="ar-SA"/>
        </w:rPr>
        <w:fldChar w:fldCharType="begin"/>
      </w:r>
      <w:r>
        <w:rPr>
          <w:rFonts w:ascii="宋体" w:hAnsi="宋体" w:eastAsia="宋体" w:cs="Times New Roman"/>
          <w:snapToGrid w:val="0"/>
          <w:color w:val="auto"/>
          <w:spacing w:val="-6"/>
          <w:kern w:val="21"/>
          <w:sz w:val="21"/>
          <w:szCs w:val="21"/>
          <w:highlight w:val="none"/>
          <w:lang w:val="en-US" w:eastAsia="zh-CN" w:bidi="ar-SA"/>
        </w:rPr>
        <w:instrText xml:space="preserve"> = 1 \* GB3 \* MERGEFORMAT </w:instrText>
      </w:r>
      <w:r>
        <w:rPr>
          <w:rFonts w:ascii="宋体" w:hAnsi="宋体" w:eastAsia="宋体" w:cs="Times New Roman"/>
          <w:snapToGrid w:val="0"/>
          <w:color w:val="auto"/>
          <w:spacing w:val="-6"/>
          <w:kern w:val="21"/>
          <w:sz w:val="21"/>
          <w:szCs w:val="21"/>
          <w:highlight w:val="none"/>
          <w:lang w:val="en-US" w:eastAsia="zh-CN" w:bidi="ar-SA"/>
        </w:rPr>
        <w:fldChar w:fldCharType="separate"/>
      </w:r>
      <w:r>
        <w:rPr>
          <w:rFonts w:hint="eastAsia" w:ascii="宋体" w:hAnsi="宋体" w:eastAsia="宋体" w:cs="Times New Roman"/>
          <w:color w:val="auto"/>
          <w:kern w:val="0"/>
          <w:sz w:val="21"/>
          <w:szCs w:val="21"/>
          <w:highlight w:val="none"/>
          <w:lang w:val="en-US" w:eastAsia="zh-CN" w:bidi="ar-SA"/>
        </w:rPr>
        <w:t>①</w:t>
      </w:r>
      <w:r>
        <w:rPr>
          <w:rFonts w:ascii="宋体" w:hAnsi="宋体" w:eastAsia="宋体" w:cs="Times New Roman"/>
          <w:snapToGrid w:val="0"/>
          <w:color w:val="auto"/>
          <w:spacing w:val="-6"/>
          <w:kern w:val="21"/>
          <w:sz w:val="21"/>
          <w:szCs w:val="21"/>
          <w:highlight w:val="none"/>
          <w:lang w:val="en-US" w:eastAsia="zh-CN" w:bidi="ar-SA"/>
        </w:rPr>
        <w:fldChar w:fldCharType="end"/>
      </w:r>
    </w:p>
    <w:p w14:paraId="0D9E36A6">
      <w:pPr>
        <w:rPr>
          <w:color w:val="000000" w:themeColor="text1"/>
          <w:highlight w:val="none"/>
          <w14:textFill>
            <w14:solidFill>
              <w14:schemeClr w14:val="tx1"/>
            </w14:solidFill>
          </w14:textFill>
        </w:rPr>
        <w:sectPr>
          <w:footerReference r:id="rId7" w:type="default"/>
          <w:pgSz w:w="16838" w:h="11906" w:orient="landscape"/>
          <w:pgMar w:top="1701" w:right="1531" w:bottom="1701" w:left="1531" w:header="851" w:footer="851" w:gutter="0"/>
          <w:pgNumType w:fmt="decimal"/>
          <w:cols w:space="720" w:num="1"/>
          <w:docGrid w:linePitch="312" w:charSpace="0"/>
        </w:sectPr>
      </w:pPr>
    </w:p>
    <w:p w14:paraId="1F1E119F">
      <w:pPr>
        <w:bidi w:val="0"/>
        <w:ind w:left="0" w:leftChars="0" w:firstLine="0" w:firstLineChars="0"/>
        <w:jc w:val="both"/>
        <w:rPr>
          <w:rFonts w:hint="eastAsia" w:ascii="宋体" w:hAnsi="宋体" w:eastAsia="宋体" w:cs="宋体"/>
          <w:highlight w:val="none"/>
          <w:lang w:val="en-US" w:eastAsia="zh-CN"/>
        </w:rPr>
        <w:sectPr>
          <w:footerReference r:id="rId8" w:type="default"/>
          <w:pgSz w:w="11906" w:h="16838"/>
          <w:pgMar w:top="1701" w:right="1531" w:bottom="1701" w:left="1531" w:header="851" w:footer="851" w:gutter="0"/>
          <w:pgNumType w:fmt="decimal"/>
          <w:cols w:space="720" w:num="1"/>
          <w:docGrid w:linePitch="312" w:charSpace="0"/>
        </w:sectPr>
      </w:pPr>
      <w:r>
        <w:rPr>
          <w:rFonts w:hint="eastAsia" w:ascii="宋体" w:hAnsi="宋体" w:eastAsia="宋体" w:cs="宋体"/>
          <w:highlight w:val="none"/>
          <w:lang w:val="en-US" w:eastAsia="zh-CN"/>
        </w:rPr>
        <w:drawing>
          <wp:anchor distT="0" distB="0" distL="114300" distR="114300" simplePos="0" relativeHeight="251667456" behindDoc="1" locked="0" layoutInCell="1" allowOverlap="1">
            <wp:simplePos x="0" y="0"/>
            <wp:positionH relativeFrom="column">
              <wp:posOffset>-91440</wp:posOffset>
            </wp:positionH>
            <wp:positionV relativeFrom="paragraph">
              <wp:posOffset>587375</wp:posOffset>
            </wp:positionV>
            <wp:extent cx="5612130" cy="8016875"/>
            <wp:effectExtent l="0" t="0" r="7620" b="3175"/>
            <wp:wrapNone/>
            <wp:docPr id="25" name="图片 25" descr="46094ab29411f43b4aacb32b367289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46094ab29411f43b4aacb32b3672895d"/>
                    <pic:cNvPicPr>
                      <a:picLocks noChangeAspect="1"/>
                    </pic:cNvPicPr>
                  </pic:nvPicPr>
                  <pic:blipFill>
                    <a:blip r:embed="rId21"/>
                    <a:stretch>
                      <a:fillRect/>
                    </a:stretch>
                  </pic:blipFill>
                  <pic:spPr>
                    <a:xfrm>
                      <a:off x="0" y="0"/>
                      <a:ext cx="5612130" cy="8016875"/>
                    </a:xfrm>
                    <a:prstGeom prst="rect">
                      <a:avLst/>
                    </a:prstGeom>
                  </pic:spPr>
                </pic:pic>
              </a:graphicData>
            </a:graphic>
          </wp:anchor>
        </w:drawing>
      </w:r>
      <w:r>
        <w:rPr>
          <w:rFonts w:hint="eastAsia"/>
          <w:highlight w:val="none"/>
          <w:lang w:val="en-US" w:eastAsia="zh-CN"/>
        </w:rPr>
        <w:t>附件1：委托书</w:t>
      </w:r>
    </w:p>
    <w:p w14:paraId="69A597BB">
      <w:pPr>
        <w:bidi w:val="0"/>
        <w:ind w:left="0" w:leftChars="0" w:firstLine="0" w:firstLineChars="0"/>
        <w:jc w:val="both"/>
        <w:rPr>
          <w:rFonts w:hint="eastAsia" w:ascii="宋体" w:hAnsi="宋体" w:eastAsia="宋体" w:cs="宋体"/>
          <w:highlight w:val="none"/>
          <w:lang w:val="en-US" w:eastAsia="zh-CN"/>
        </w:rPr>
        <w:sectPr>
          <w:pgSz w:w="11906" w:h="16838"/>
          <w:pgMar w:top="1701" w:right="1531" w:bottom="1701" w:left="1531" w:header="851" w:footer="851" w:gutter="0"/>
          <w:pgNumType w:fmt="decimal"/>
          <w:cols w:space="720" w:num="1"/>
          <w:docGrid w:linePitch="312" w:charSpace="0"/>
        </w:sectPr>
      </w:pPr>
      <w:r>
        <w:rPr>
          <w:rFonts w:hint="eastAsia" w:ascii="宋体" w:hAnsi="宋体" w:eastAsia="宋体" w:cs="宋体"/>
          <w:highlight w:val="none"/>
          <w:lang w:val="en-US" w:eastAsia="zh-CN"/>
        </w:rPr>
        <w:drawing>
          <wp:anchor distT="0" distB="0" distL="114300" distR="114300" simplePos="0" relativeHeight="251662336" behindDoc="1" locked="0" layoutInCell="1" allowOverlap="1">
            <wp:simplePos x="0" y="0"/>
            <wp:positionH relativeFrom="column">
              <wp:posOffset>-57150</wp:posOffset>
            </wp:positionH>
            <wp:positionV relativeFrom="paragraph">
              <wp:posOffset>505460</wp:posOffset>
            </wp:positionV>
            <wp:extent cx="5593080" cy="7910195"/>
            <wp:effectExtent l="0" t="0" r="7620" b="14605"/>
            <wp:wrapNone/>
            <wp:docPr id="5" name="图片 5" descr="YFHB-2026-XZ-020-01(2026.05.07)   废气  国能包头能源有限责任公司万利一矿商砼站项目环境影响评价环境现状监测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YFHB-2026-XZ-020-01(2026.05.07)   废气  国能包头能源有限责任公司万利一矿商砼站项目环境影响评价环境现状监测_01"/>
                    <pic:cNvPicPr>
                      <a:picLocks noChangeAspect="1"/>
                    </pic:cNvPicPr>
                  </pic:nvPicPr>
                  <pic:blipFill>
                    <a:blip r:embed="rId22"/>
                    <a:stretch>
                      <a:fillRect/>
                    </a:stretch>
                  </pic:blipFill>
                  <pic:spPr>
                    <a:xfrm>
                      <a:off x="0" y="0"/>
                      <a:ext cx="5593080" cy="7910195"/>
                    </a:xfrm>
                    <a:prstGeom prst="rect">
                      <a:avLst/>
                    </a:prstGeom>
                  </pic:spPr>
                </pic:pic>
              </a:graphicData>
            </a:graphic>
          </wp:anchor>
        </w:drawing>
      </w:r>
      <w:r>
        <w:rPr>
          <w:rFonts w:hint="eastAsia" w:ascii="宋体" w:hAnsi="宋体" w:eastAsia="宋体" w:cs="宋体"/>
          <w:highlight w:val="none"/>
          <w:lang w:val="en-US" w:eastAsia="zh-CN"/>
        </w:rPr>
        <w:t>附件</w:t>
      </w:r>
      <w:r>
        <w:rPr>
          <w:rFonts w:hint="eastAsia" w:ascii="宋体" w:hAnsi="宋体" w:cs="宋体"/>
          <w:highlight w:val="none"/>
          <w:lang w:val="en-US" w:eastAsia="zh-CN"/>
        </w:rPr>
        <w:t>2</w:t>
      </w:r>
      <w:r>
        <w:rPr>
          <w:rFonts w:hint="eastAsia" w:ascii="宋体" w:hAnsi="宋体" w:eastAsia="宋体" w:cs="宋体"/>
          <w:highlight w:val="none"/>
          <w:lang w:val="en-US" w:eastAsia="zh-CN"/>
        </w:rPr>
        <w:t>：检测报告</w:t>
      </w:r>
    </w:p>
    <w:p w14:paraId="721222C4">
      <w:pPr>
        <w:bidi w:val="0"/>
        <w:ind w:left="0" w:leftChars="0" w:firstLine="0" w:firstLineChars="0"/>
        <w:jc w:val="both"/>
        <w:rPr>
          <w:rFonts w:hint="default" w:ascii="宋体" w:hAnsi="宋体" w:eastAsia="宋体" w:cs="宋体"/>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ascii="宋体" w:hAnsi="宋体" w:eastAsia="宋体" w:cs="宋体"/>
          <w:highlight w:val="none"/>
          <w:lang w:val="en-US" w:eastAsia="zh-CN"/>
        </w:rPr>
        <w:drawing>
          <wp:anchor distT="0" distB="0" distL="114300" distR="114300" simplePos="0" relativeHeight="251663360" behindDoc="1" locked="0" layoutInCell="1" allowOverlap="1">
            <wp:simplePos x="0" y="0"/>
            <wp:positionH relativeFrom="column">
              <wp:posOffset>152400</wp:posOffset>
            </wp:positionH>
            <wp:positionV relativeFrom="paragraph">
              <wp:posOffset>285750</wp:posOffset>
            </wp:positionV>
            <wp:extent cx="5593080" cy="7910195"/>
            <wp:effectExtent l="0" t="0" r="7620" b="14605"/>
            <wp:wrapNone/>
            <wp:docPr id="7" name="图片 7" descr="YFHB-2026-XZ-020-01(2026.05.07)   废气  国能包头能源有限责任公司万利一矿商砼站项目环境影响评价环境现状监测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YFHB-2026-XZ-020-01(2026.05.07)   废气  国能包头能源有限责任公司万利一矿商砼站项目环境影响评价环境现状监测_02"/>
                    <pic:cNvPicPr>
                      <a:picLocks noChangeAspect="1"/>
                    </pic:cNvPicPr>
                  </pic:nvPicPr>
                  <pic:blipFill>
                    <a:blip r:embed="rId23"/>
                    <a:stretch>
                      <a:fillRect/>
                    </a:stretch>
                  </pic:blipFill>
                  <pic:spPr>
                    <a:xfrm>
                      <a:off x="0" y="0"/>
                      <a:ext cx="5593080" cy="7910195"/>
                    </a:xfrm>
                    <a:prstGeom prst="rect">
                      <a:avLst/>
                    </a:prstGeom>
                  </pic:spPr>
                </pic:pic>
              </a:graphicData>
            </a:graphic>
          </wp:anchor>
        </w:drawing>
      </w:r>
    </w:p>
    <w:p w14:paraId="34F2567A">
      <w:pPr>
        <w:bidi w:val="0"/>
        <w:ind w:left="0" w:leftChars="0" w:firstLine="0" w:firstLineChars="0"/>
        <w:jc w:val="both"/>
        <w:rPr>
          <w:rFonts w:hint="default" w:ascii="宋体" w:hAnsi="宋体" w:eastAsia="宋体" w:cs="宋体"/>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ascii="宋体" w:hAnsi="宋体" w:eastAsia="宋体" w:cs="宋体"/>
          <w:highlight w:val="none"/>
          <w:lang w:val="en-US" w:eastAsia="zh-CN"/>
        </w:rPr>
        <w:drawing>
          <wp:anchor distT="0" distB="0" distL="114300" distR="114300" simplePos="0" relativeHeight="251664384" behindDoc="1" locked="0" layoutInCell="1" allowOverlap="1">
            <wp:simplePos x="0" y="0"/>
            <wp:positionH relativeFrom="column">
              <wp:posOffset>100965</wp:posOffset>
            </wp:positionH>
            <wp:positionV relativeFrom="paragraph">
              <wp:posOffset>457200</wp:posOffset>
            </wp:positionV>
            <wp:extent cx="5593080" cy="7910195"/>
            <wp:effectExtent l="0" t="0" r="7620" b="14605"/>
            <wp:wrapNone/>
            <wp:docPr id="8" name="图片 8" descr="YFHB-2026-XZ-020-01(2026.05.07)   废气  国能包头能源有限责任公司万利一矿商砼站项目环境影响评价环境现状监测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YFHB-2026-XZ-020-01(2026.05.07)   废气  国能包头能源有限责任公司万利一矿商砼站项目环境影响评价环境现状监测_03"/>
                    <pic:cNvPicPr>
                      <a:picLocks noChangeAspect="1"/>
                    </pic:cNvPicPr>
                  </pic:nvPicPr>
                  <pic:blipFill>
                    <a:blip r:embed="rId24"/>
                    <a:stretch>
                      <a:fillRect/>
                    </a:stretch>
                  </pic:blipFill>
                  <pic:spPr>
                    <a:xfrm>
                      <a:off x="0" y="0"/>
                      <a:ext cx="5593080" cy="7910195"/>
                    </a:xfrm>
                    <a:prstGeom prst="rect">
                      <a:avLst/>
                    </a:prstGeom>
                  </pic:spPr>
                </pic:pic>
              </a:graphicData>
            </a:graphic>
          </wp:anchor>
        </w:drawing>
      </w:r>
    </w:p>
    <w:p w14:paraId="6EA604CE">
      <w:pPr>
        <w:bidi w:val="0"/>
        <w:ind w:left="0" w:leftChars="0" w:firstLine="0" w:firstLineChars="0"/>
        <w:jc w:val="both"/>
        <w:rPr>
          <w:rFonts w:hint="default" w:ascii="宋体" w:hAnsi="宋体" w:eastAsia="宋体" w:cs="宋体"/>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ascii="宋体" w:hAnsi="宋体" w:eastAsia="宋体" w:cs="宋体"/>
          <w:highlight w:val="none"/>
          <w:lang w:val="en-US" w:eastAsia="zh-CN"/>
        </w:rPr>
        <w:drawing>
          <wp:anchor distT="0" distB="0" distL="114300" distR="114300" simplePos="0" relativeHeight="251665408" behindDoc="1" locked="0" layoutInCell="1" allowOverlap="1">
            <wp:simplePos x="0" y="0"/>
            <wp:positionH relativeFrom="column">
              <wp:posOffset>0</wp:posOffset>
            </wp:positionH>
            <wp:positionV relativeFrom="paragraph">
              <wp:posOffset>438150</wp:posOffset>
            </wp:positionV>
            <wp:extent cx="5593080" cy="7910195"/>
            <wp:effectExtent l="0" t="0" r="7620" b="14605"/>
            <wp:wrapNone/>
            <wp:docPr id="9" name="图片 9" descr="YFHB-2026-XZ-020-01(2026.05.07)   废气  国能包头能源有限责任公司万利一矿商砼站项目环境影响评价环境现状监测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YFHB-2026-XZ-020-01(2026.05.07)   废气  国能包头能源有限责任公司万利一矿商砼站项目环境影响评价环境现状监测_04"/>
                    <pic:cNvPicPr>
                      <a:picLocks noChangeAspect="1"/>
                    </pic:cNvPicPr>
                  </pic:nvPicPr>
                  <pic:blipFill>
                    <a:blip r:embed="rId25"/>
                    <a:stretch>
                      <a:fillRect/>
                    </a:stretch>
                  </pic:blipFill>
                  <pic:spPr>
                    <a:xfrm>
                      <a:off x="0" y="0"/>
                      <a:ext cx="5593080" cy="7910195"/>
                    </a:xfrm>
                    <a:prstGeom prst="rect">
                      <a:avLst/>
                    </a:prstGeom>
                  </pic:spPr>
                </pic:pic>
              </a:graphicData>
            </a:graphic>
          </wp:anchor>
        </w:drawing>
      </w:r>
    </w:p>
    <w:p w14:paraId="784D3D8A">
      <w:pPr>
        <w:bidi w:val="0"/>
        <w:ind w:left="0" w:leftChars="0" w:firstLine="0" w:firstLineChars="0"/>
        <w:jc w:val="both"/>
        <w:rPr>
          <w:rFonts w:hint="default" w:ascii="宋体" w:hAnsi="宋体" w:eastAsia="宋体" w:cs="宋体"/>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ascii="宋体" w:hAnsi="宋体" w:eastAsia="宋体" w:cs="宋体"/>
          <w:highlight w:val="none"/>
          <w:lang w:val="en-US" w:eastAsia="zh-CN"/>
        </w:rPr>
        <w:drawing>
          <wp:anchor distT="0" distB="0" distL="114300" distR="114300" simplePos="0" relativeHeight="251668480" behindDoc="1" locked="0" layoutInCell="1" allowOverlap="1">
            <wp:simplePos x="0" y="0"/>
            <wp:positionH relativeFrom="column">
              <wp:posOffset>0</wp:posOffset>
            </wp:positionH>
            <wp:positionV relativeFrom="paragraph">
              <wp:posOffset>348615</wp:posOffset>
            </wp:positionV>
            <wp:extent cx="5593080" cy="7910195"/>
            <wp:effectExtent l="0" t="0" r="7620" b="14605"/>
            <wp:wrapNone/>
            <wp:docPr id="41" name="图片 41" descr="YFHB-2026-XZ-020-01(2026.06.16)   废气  国能包头能源有限责任公司万利一矿商砼站项目环境影响评价环境现状监测(1)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YFHB-2026-XZ-020-01(2026.06.16)   废气  国能包头能源有限责任公司万利一矿商砼站项目环境影响评价环境现状监测(1)_05"/>
                    <pic:cNvPicPr>
                      <a:picLocks noChangeAspect="1"/>
                    </pic:cNvPicPr>
                  </pic:nvPicPr>
                  <pic:blipFill>
                    <a:blip r:embed="rId26"/>
                    <a:stretch>
                      <a:fillRect/>
                    </a:stretch>
                  </pic:blipFill>
                  <pic:spPr>
                    <a:xfrm>
                      <a:off x="0" y="0"/>
                      <a:ext cx="5593080" cy="7910195"/>
                    </a:xfrm>
                    <a:prstGeom prst="rect">
                      <a:avLst/>
                    </a:prstGeom>
                  </pic:spPr>
                </pic:pic>
              </a:graphicData>
            </a:graphic>
          </wp:anchor>
        </w:drawing>
      </w:r>
    </w:p>
    <w:p w14:paraId="70B7D1AB">
      <w:pPr>
        <w:bidi w:val="0"/>
        <w:ind w:left="0" w:leftChars="0" w:firstLine="0" w:firstLineChars="0"/>
        <w:jc w:val="both"/>
        <w:rPr>
          <w:rFonts w:hint="default" w:ascii="宋体" w:hAnsi="宋体" w:eastAsia="宋体" w:cs="宋体"/>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ascii="宋体" w:hAnsi="宋体" w:eastAsia="宋体" w:cs="宋体"/>
          <w:highlight w:val="none"/>
          <w:lang w:val="en-US" w:eastAsia="zh-CN"/>
        </w:rPr>
        <w:drawing>
          <wp:anchor distT="0" distB="0" distL="114300" distR="114300" simplePos="0" relativeHeight="251669504" behindDoc="1" locked="0" layoutInCell="1" allowOverlap="1">
            <wp:simplePos x="0" y="0"/>
            <wp:positionH relativeFrom="column">
              <wp:posOffset>31115</wp:posOffset>
            </wp:positionH>
            <wp:positionV relativeFrom="paragraph">
              <wp:posOffset>287020</wp:posOffset>
            </wp:positionV>
            <wp:extent cx="5593080" cy="7910195"/>
            <wp:effectExtent l="0" t="0" r="7620" b="14605"/>
            <wp:wrapNone/>
            <wp:docPr id="42" name="图片 42" descr="YFHB-2026-XZ-020-01(2026.06.16)   废气  国能包头能源有限责任公司万利一矿商砼站项目环境影响评价环境现状监测(1)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YFHB-2026-XZ-020-01(2026.06.16)   废气  国能包头能源有限责任公司万利一矿商砼站项目环境影响评价环境现状监测(1)_06"/>
                    <pic:cNvPicPr>
                      <a:picLocks noChangeAspect="1"/>
                    </pic:cNvPicPr>
                  </pic:nvPicPr>
                  <pic:blipFill>
                    <a:blip r:embed="rId27"/>
                    <a:stretch>
                      <a:fillRect/>
                    </a:stretch>
                  </pic:blipFill>
                  <pic:spPr>
                    <a:xfrm>
                      <a:off x="0" y="0"/>
                      <a:ext cx="5593080" cy="7910195"/>
                    </a:xfrm>
                    <a:prstGeom prst="rect">
                      <a:avLst/>
                    </a:prstGeom>
                  </pic:spPr>
                </pic:pic>
              </a:graphicData>
            </a:graphic>
          </wp:anchor>
        </w:drawing>
      </w:r>
    </w:p>
    <w:p w14:paraId="22E44489">
      <w:pPr>
        <w:bidi w:val="0"/>
        <w:ind w:left="0" w:leftChars="0" w:firstLine="0" w:firstLineChars="0"/>
        <w:jc w:val="both"/>
        <w:rPr>
          <w:rFonts w:hint="default" w:ascii="宋体" w:hAnsi="宋体" w:eastAsia="宋体" w:cs="宋体"/>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ascii="宋体" w:hAnsi="宋体" w:eastAsia="宋体" w:cs="宋体"/>
          <w:highlight w:val="none"/>
          <w:lang w:val="en-US" w:eastAsia="zh-CN"/>
        </w:rPr>
        <w:drawing>
          <wp:anchor distT="0" distB="0" distL="114300" distR="114300" simplePos="0" relativeHeight="251666432" behindDoc="1" locked="0" layoutInCell="1" allowOverlap="1">
            <wp:simplePos x="0" y="0"/>
            <wp:positionH relativeFrom="column">
              <wp:posOffset>57150</wp:posOffset>
            </wp:positionH>
            <wp:positionV relativeFrom="paragraph">
              <wp:posOffset>381000</wp:posOffset>
            </wp:positionV>
            <wp:extent cx="5593080" cy="7910195"/>
            <wp:effectExtent l="0" t="0" r="7620" b="14605"/>
            <wp:wrapNone/>
            <wp:docPr id="12" name="图片 12" descr="YFHB-2026-XZ-020-01(2026.05.07)   废气  国能包头能源有限责任公司万利一矿商砼站项目环境影响评价环境现状监测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YFHB-2026-XZ-020-01(2026.05.07)   废气  国能包头能源有限责任公司万利一矿商砼站项目环境影响评价环境现状监测_07"/>
                    <pic:cNvPicPr>
                      <a:picLocks noChangeAspect="1"/>
                    </pic:cNvPicPr>
                  </pic:nvPicPr>
                  <pic:blipFill>
                    <a:blip r:embed="rId28"/>
                    <a:stretch>
                      <a:fillRect/>
                    </a:stretch>
                  </pic:blipFill>
                  <pic:spPr>
                    <a:xfrm>
                      <a:off x="0" y="0"/>
                      <a:ext cx="5593080" cy="7910195"/>
                    </a:xfrm>
                    <a:prstGeom prst="rect">
                      <a:avLst/>
                    </a:prstGeom>
                  </pic:spPr>
                </pic:pic>
              </a:graphicData>
            </a:graphic>
          </wp:anchor>
        </w:drawing>
      </w:r>
    </w:p>
    <w:p w14:paraId="6EDDF439">
      <w:pPr>
        <w:bidi w:val="0"/>
        <w:ind w:left="0" w:leftChars="0" w:firstLine="0" w:firstLineChars="0"/>
        <w:jc w:val="both"/>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highlight w:val="none"/>
          <w:lang w:val="en-US" w:eastAsia="zh-CN"/>
        </w:rPr>
        <w:drawing>
          <wp:anchor distT="0" distB="0" distL="114300" distR="114300" simplePos="0" relativeHeight="251671552" behindDoc="1" locked="0" layoutInCell="1" allowOverlap="1">
            <wp:simplePos x="0" y="0"/>
            <wp:positionH relativeFrom="column">
              <wp:posOffset>-64135</wp:posOffset>
            </wp:positionH>
            <wp:positionV relativeFrom="paragraph">
              <wp:posOffset>633095</wp:posOffset>
            </wp:positionV>
            <wp:extent cx="5609590" cy="7630795"/>
            <wp:effectExtent l="0" t="0" r="13970" b="4445"/>
            <wp:wrapNone/>
            <wp:docPr id="4" name="图片 4" descr="土地使用证（鄂国用（2005）字第1480号）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土地使用证（鄂国用（2005）字第1480号）_01"/>
                    <pic:cNvPicPr>
                      <a:picLocks noChangeAspect="1"/>
                    </pic:cNvPicPr>
                  </pic:nvPicPr>
                  <pic:blipFill>
                    <a:blip r:embed="rId29"/>
                    <a:stretch>
                      <a:fillRect/>
                    </a:stretch>
                  </pic:blipFill>
                  <pic:spPr>
                    <a:xfrm>
                      <a:off x="0" y="0"/>
                      <a:ext cx="5609590" cy="7630795"/>
                    </a:xfrm>
                    <a:prstGeom prst="rect">
                      <a:avLst/>
                    </a:prstGeom>
                  </pic:spPr>
                </pic:pic>
              </a:graphicData>
            </a:graphic>
          </wp:anchor>
        </w:drawing>
      </w:r>
      <w:r>
        <w:rPr>
          <w:rFonts w:hint="eastAsia" w:ascii="宋体" w:hAnsi="宋体" w:eastAsia="宋体" w:cs="宋体"/>
          <w:highlight w:val="none"/>
          <w:lang w:val="en-US" w:eastAsia="zh-CN"/>
        </w:rPr>
        <w:t>附件</w:t>
      </w:r>
      <w:r>
        <w:rPr>
          <w:rFonts w:hint="eastAsia" w:ascii="宋体" w:hAnsi="宋体" w:cs="宋体"/>
          <w:highlight w:val="none"/>
          <w:lang w:val="en-US" w:eastAsia="zh-CN"/>
        </w:rPr>
        <w:t>3</w:t>
      </w:r>
      <w:r>
        <w:rPr>
          <w:rFonts w:hint="eastAsia" w:ascii="宋体" w:hAnsi="宋体" w:eastAsia="宋体" w:cs="宋体"/>
          <w:highlight w:val="none"/>
          <w:lang w:val="en-US" w:eastAsia="zh-CN"/>
        </w:rPr>
        <w:t>：</w:t>
      </w:r>
      <w:r>
        <w:rPr>
          <w:rFonts w:hint="eastAsia" w:ascii="宋体" w:hAnsi="宋体" w:cs="宋体"/>
          <w:highlight w:val="none"/>
          <w:lang w:val="en-US" w:eastAsia="zh-CN"/>
        </w:rPr>
        <w:t>土地使用证</w:t>
      </w:r>
    </w:p>
    <w:p w14:paraId="2AE49E96">
      <w:pPr>
        <w:bidi w:val="0"/>
        <w:ind w:left="0" w:leftChars="0" w:firstLine="0" w:firstLineChars="0"/>
        <w:jc w:val="both"/>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highlight w:val="none"/>
          <w:lang w:val="en-US" w:eastAsia="zh-CN"/>
        </w:rPr>
        <w:drawing>
          <wp:anchor distT="0" distB="0" distL="114300" distR="114300" simplePos="0" relativeHeight="251672576" behindDoc="1" locked="0" layoutInCell="1" allowOverlap="1">
            <wp:simplePos x="0" y="0"/>
            <wp:positionH relativeFrom="column">
              <wp:posOffset>37465</wp:posOffset>
            </wp:positionH>
            <wp:positionV relativeFrom="paragraph">
              <wp:posOffset>467360</wp:posOffset>
            </wp:positionV>
            <wp:extent cx="5612765" cy="7779385"/>
            <wp:effectExtent l="0" t="0" r="10795" b="8255"/>
            <wp:wrapNone/>
            <wp:docPr id="22" name="图片 22" descr="土地使用证（鄂国用（2005）字第1480号）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土地使用证（鄂国用（2005）字第1480号）_02"/>
                    <pic:cNvPicPr>
                      <a:picLocks noChangeAspect="1"/>
                    </pic:cNvPicPr>
                  </pic:nvPicPr>
                  <pic:blipFill>
                    <a:blip r:embed="rId30"/>
                    <a:stretch>
                      <a:fillRect/>
                    </a:stretch>
                  </pic:blipFill>
                  <pic:spPr>
                    <a:xfrm>
                      <a:off x="0" y="0"/>
                      <a:ext cx="5612765" cy="7779385"/>
                    </a:xfrm>
                    <a:prstGeom prst="rect">
                      <a:avLst/>
                    </a:prstGeom>
                  </pic:spPr>
                </pic:pic>
              </a:graphicData>
            </a:graphic>
          </wp:anchor>
        </w:drawing>
      </w:r>
    </w:p>
    <w:p w14:paraId="737E32BC">
      <w:pPr>
        <w:bidi w:val="0"/>
        <w:ind w:left="0" w:leftChars="0" w:firstLine="0" w:firstLineChars="0"/>
        <w:jc w:val="both"/>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highlight w:val="none"/>
          <w:lang w:val="en-US" w:eastAsia="zh-CN"/>
        </w:rPr>
        <w:drawing>
          <wp:anchor distT="0" distB="0" distL="114300" distR="114300" simplePos="0" relativeHeight="251673600" behindDoc="1" locked="0" layoutInCell="1" allowOverlap="1">
            <wp:simplePos x="0" y="0"/>
            <wp:positionH relativeFrom="column">
              <wp:posOffset>0</wp:posOffset>
            </wp:positionH>
            <wp:positionV relativeFrom="paragraph">
              <wp:posOffset>389255</wp:posOffset>
            </wp:positionV>
            <wp:extent cx="5609590" cy="7928610"/>
            <wp:effectExtent l="0" t="0" r="13970" b="11430"/>
            <wp:wrapNone/>
            <wp:docPr id="27" name="图片 27" descr="土地使用证（鄂国用（2005）字第1480号）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土地使用证（鄂国用（2005）字第1480号）_03"/>
                    <pic:cNvPicPr>
                      <a:picLocks noChangeAspect="1"/>
                    </pic:cNvPicPr>
                  </pic:nvPicPr>
                  <pic:blipFill>
                    <a:blip r:embed="rId31"/>
                    <a:stretch>
                      <a:fillRect/>
                    </a:stretch>
                  </pic:blipFill>
                  <pic:spPr>
                    <a:xfrm>
                      <a:off x="0" y="0"/>
                      <a:ext cx="5609590" cy="7928610"/>
                    </a:xfrm>
                    <a:prstGeom prst="rect">
                      <a:avLst/>
                    </a:prstGeom>
                  </pic:spPr>
                </pic:pic>
              </a:graphicData>
            </a:graphic>
          </wp:anchor>
        </w:drawing>
      </w:r>
    </w:p>
    <w:p w14:paraId="7C7A2429">
      <w:pPr>
        <w:bidi w:val="0"/>
        <w:ind w:left="0" w:leftChars="0" w:firstLine="0" w:firstLineChars="0"/>
        <w:jc w:val="both"/>
        <w:rPr>
          <w:rFonts w:hint="default"/>
          <w:highlight w:val="none"/>
          <w:lang w:val="en-US" w:eastAsia="zh-CN"/>
        </w:rPr>
        <w:sectPr>
          <w:pgSz w:w="16838" w:h="11906" w:orient="landscape"/>
          <w:pgMar w:top="1531" w:right="1701" w:bottom="1531" w:left="1701" w:header="851" w:footer="851" w:gutter="0"/>
          <w:pgNumType w:fmt="decimal"/>
          <w:cols w:space="720" w:num="1"/>
          <w:docGrid w:linePitch="312" w:charSpace="0"/>
        </w:sectPr>
      </w:pPr>
      <w:r>
        <w:rPr>
          <w:rFonts w:hint="default"/>
          <w:highlight w:val="none"/>
          <w:lang w:val="en-US" w:eastAsia="zh-CN"/>
        </w:rPr>
        <w:drawing>
          <wp:anchor distT="0" distB="0" distL="114300" distR="114300" simplePos="0" relativeHeight="251674624" behindDoc="1" locked="0" layoutInCell="1" allowOverlap="1">
            <wp:simplePos x="0" y="0"/>
            <wp:positionH relativeFrom="column">
              <wp:posOffset>342265</wp:posOffset>
            </wp:positionH>
            <wp:positionV relativeFrom="paragraph">
              <wp:posOffset>203200</wp:posOffset>
            </wp:positionV>
            <wp:extent cx="7561580" cy="5340985"/>
            <wp:effectExtent l="0" t="0" r="12700" b="8255"/>
            <wp:wrapNone/>
            <wp:docPr id="28" name="图片 28" descr="土地使用证（鄂国用（2005）字第1480号）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土地使用证（鄂国用（2005）字第1480号）_04(1)"/>
                    <pic:cNvPicPr>
                      <a:picLocks noChangeAspect="1"/>
                    </pic:cNvPicPr>
                  </pic:nvPicPr>
                  <pic:blipFill>
                    <a:blip r:embed="rId32"/>
                    <a:stretch>
                      <a:fillRect/>
                    </a:stretch>
                  </pic:blipFill>
                  <pic:spPr>
                    <a:xfrm>
                      <a:off x="0" y="0"/>
                      <a:ext cx="7561580" cy="5340985"/>
                    </a:xfrm>
                    <a:prstGeom prst="rect">
                      <a:avLst/>
                    </a:prstGeom>
                  </pic:spPr>
                </pic:pic>
              </a:graphicData>
            </a:graphic>
          </wp:anchor>
        </w:drawing>
      </w:r>
    </w:p>
    <w:p w14:paraId="57D05049">
      <w:pPr>
        <w:bidi w:val="0"/>
        <w:ind w:left="0" w:leftChars="0" w:firstLine="0" w:firstLineChars="0"/>
        <w:jc w:val="both"/>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highlight w:val="none"/>
          <w:lang w:val="en-US" w:eastAsia="zh-CN"/>
        </w:rPr>
        <w:drawing>
          <wp:anchor distT="0" distB="0" distL="114300" distR="114300" simplePos="0" relativeHeight="251675648" behindDoc="1" locked="0" layoutInCell="1" allowOverlap="1">
            <wp:simplePos x="0" y="0"/>
            <wp:positionH relativeFrom="column">
              <wp:posOffset>-20320</wp:posOffset>
            </wp:positionH>
            <wp:positionV relativeFrom="paragraph">
              <wp:posOffset>441325</wp:posOffset>
            </wp:positionV>
            <wp:extent cx="5601970" cy="7914005"/>
            <wp:effectExtent l="0" t="0" r="6350" b="10795"/>
            <wp:wrapNone/>
            <wp:docPr id="29" name="图片 29" descr="内蒙古自治区文物局关于对神华包头能源有限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内蒙古自治区文物局关于对神华包头能源有限_01"/>
                    <pic:cNvPicPr>
                      <a:picLocks noChangeAspect="1"/>
                    </pic:cNvPicPr>
                  </pic:nvPicPr>
                  <pic:blipFill>
                    <a:blip r:embed="rId33"/>
                    <a:stretch>
                      <a:fillRect/>
                    </a:stretch>
                  </pic:blipFill>
                  <pic:spPr>
                    <a:xfrm>
                      <a:off x="0" y="0"/>
                      <a:ext cx="5601970" cy="7914005"/>
                    </a:xfrm>
                    <a:prstGeom prst="rect">
                      <a:avLst/>
                    </a:prstGeom>
                  </pic:spPr>
                </pic:pic>
              </a:graphicData>
            </a:graphic>
          </wp:anchor>
        </w:drawing>
      </w:r>
      <w:r>
        <w:rPr>
          <w:rFonts w:hint="eastAsia" w:ascii="宋体" w:hAnsi="宋体" w:eastAsia="宋体" w:cs="宋体"/>
          <w:highlight w:val="none"/>
          <w:lang w:val="en-US" w:eastAsia="zh-CN"/>
        </w:rPr>
        <w:t>附件</w:t>
      </w:r>
      <w:r>
        <w:rPr>
          <w:rFonts w:hint="eastAsia" w:ascii="宋体" w:hAnsi="宋体" w:cs="宋体"/>
          <w:highlight w:val="none"/>
          <w:lang w:val="en-US" w:eastAsia="zh-CN"/>
        </w:rPr>
        <w:t>4</w:t>
      </w:r>
      <w:r>
        <w:rPr>
          <w:rFonts w:hint="eastAsia" w:ascii="宋体" w:hAnsi="宋体" w:eastAsia="宋体" w:cs="宋体"/>
          <w:highlight w:val="none"/>
          <w:lang w:val="en-US" w:eastAsia="zh-CN"/>
        </w:rPr>
        <w:t>：</w:t>
      </w:r>
      <w:r>
        <w:rPr>
          <w:rFonts w:hint="eastAsia" w:ascii="宋体" w:hAnsi="宋体" w:cs="宋体"/>
          <w:highlight w:val="none"/>
          <w:lang w:val="en-US" w:eastAsia="zh-CN"/>
        </w:rPr>
        <w:t>文物调查意见</w:t>
      </w:r>
    </w:p>
    <w:p w14:paraId="19512B09">
      <w:pPr>
        <w:bidi w:val="0"/>
        <w:ind w:left="0" w:leftChars="0" w:firstLine="0" w:firstLineChars="0"/>
        <w:jc w:val="both"/>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highlight w:val="none"/>
          <w:lang w:val="en-US" w:eastAsia="zh-CN"/>
        </w:rPr>
        <w:drawing>
          <wp:anchor distT="0" distB="0" distL="114300" distR="114300" simplePos="0" relativeHeight="251676672" behindDoc="1" locked="0" layoutInCell="1" allowOverlap="1">
            <wp:simplePos x="0" y="0"/>
            <wp:positionH relativeFrom="column">
              <wp:posOffset>27940</wp:posOffset>
            </wp:positionH>
            <wp:positionV relativeFrom="paragraph">
              <wp:posOffset>259080</wp:posOffset>
            </wp:positionV>
            <wp:extent cx="5601970" cy="7914005"/>
            <wp:effectExtent l="0" t="0" r="6350" b="10795"/>
            <wp:wrapNone/>
            <wp:docPr id="30" name="图片 30" descr="内蒙古自治区文物局关于对神华包头能源有限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内蒙古自治区文物局关于对神华包头能源有限_02"/>
                    <pic:cNvPicPr>
                      <a:picLocks noChangeAspect="1"/>
                    </pic:cNvPicPr>
                  </pic:nvPicPr>
                  <pic:blipFill>
                    <a:blip r:embed="rId34"/>
                    <a:stretch>
                      <a:fillRect/>
                    </a:stretch>
                  </pic:blipFill>
                  <pic:spPr>
                    <a:xfrm>
                      <a:off x="0" y="0"/>
                      <a:ext cx="5601970" cy="7914005"/>
                    </a:xfrm>
                    <a:prstGeom prst="rect">
                      <a:avLst/>
                    </a:prstGeom>
                  </pic:spPr>
                </pic:pic>
              </a:graphicData>
            </a:graphic>
          </wp:anchor>
        </w:drawing>
      </w:r>
    </w:p>
    <w:p w14:paraId="751CF54E">
      <w:pPr>
        <w:bidi w:val="0"/>
        <w:ind w:left="0" w:leftChars="0" w:firstLine="0" w:firstLineChars="0"/>
        <w:jc w:val="both"/>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highlight w:val="none"/>
          <w:lang w:val="en-US" w:eastAsia="zh-CN"/>
        </w:rPr>
        <w:drawing>
          <wp:anchor distT="0" distB="0" distL="114300" distR="114300" simplePos="0" relativeHeight="251677696" behindDoc="1" locked="0" layoutInCell="1" allowOverlap="1">
            <wp:simplePos x="0" y="0"/>
            <wp:positionH relativeFrom="column">
              <wp:posOffset>-8890</wp:posOffset>
            </wp:positionH>
            <wp:positionV relativeFrom="paragraph">
              <wp:posOffset>230505</wp:posOffset>
            </wp:positionV>
            <wp:extent cx="5601970" cy="7914005"/>
            <wp:effectExtent l="0" t="0" r="6350" b="10795"/>
            <wp:wrapNone/>
            <wp:docPr id="31" name="图片 31" descr="内蒙古自治区文物局关于对神华包头能源有限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内蒙古自治区文物局关于对神华包头能源有限_03"/>
                    <pic:cNvPicPr>
                      <a:picLocks noChangeAspect="1"/>
                    </pic:cNvPicPr>
                  </pic:nvPicPr>
                  <pic:blipFill>
                    <a:blip r:embed="rId35"/>
                    <a:stretch>
                      <a:fillRect/>
                    </a:stretch>
                  </pic:blipFill>
                  <pic:spPr>
                    <a:xfrm>
                      <a:off x="0" y="0"/>
                      <a:ext cx="5601970" cy="7914005"/>
                    </a:xfrm>
                    <a:prstGeom prst="rect">
                      <a:avLst/>
                    </a:prstGeom>
                  </pic:spPr>
                </pic:pic>
              </a:graphicData>
            </a:graphic>
          </wp:anchor>
        </w:drawing>
      </w:r>
    </w:p>
    <w:p w14:paraId="791FAA2F">
      <w:pPr>
        <w:bidi w:val="0"/>
        <w:ind w:left="0" w:leftChars="0" w:firstLine="0" w:firstLineChars="0"/>
        <w:jc w:val="both"/>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highlight w:val="none"/>
          <w:lang w:val="en-US" w:eastAsia="zh-CN"/>
        </w:rPr>
        <w:drawing>
          <wp:anchor distT="0" distB="0" distL="114300" distR="114300" simplePos="0" relativeHeight="251678720" behindDoc="1" locked="0" layoutInCell="1" allowOverlap="1">
            <wp:simplePos x="0" y="0"/>
            <wp:positionH relativeFrom="column">
              <wp:posOffset>55245</wp:posOffset>
            </wp:positionH>
            <wp:positionV relativeFrom="paragraph">
              <wp:posOffset>490220</wp:posOffset>
            </wp:positionV>
            <wp:extent cx="5485130" cy="7769860"/>
            <wp:effectExtent l="0" t="0" r="1270" b="2540"/>
            <wp:wrapNone/>
            <wp:docPr id="32" name="图片 32" descr="15.a'-国能包头能源有限责任公司万利一矿配套搅拌站建设项目环境形象报告表的批复(鄂环东审字﹝2022﹞46号)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5.a'-国能包头能源有限责任公司万利一矿配套搅拌站建设项目环境形象报告表的批复(鄂环东审字﹝2022﹞46号)_01"/>
                    <pic:cNvPicPr>
                      <a:picLocks noChangeAspect="1"/>
                    </pic:cNvPicPr>
                  </pic:nvPicPr>
                  <pic:blipFill>
                    <a:blip r:embed="rId36"/>
                    <a:stretch>
                      <a:fillRect/>
                    </a:stretch>
                  </pic:blipFill>
                  <pic:spPr>
                    <a:xfrm>
                      <a:off x="0" y="0"/>
                      <a:ext cx="5485130" cy="7769860"/>
                    </a:xfrm>
                    <a:prstGeom prst="rect">
                      <a:avLst/>
                    </a:prstGeom>
                  </pic:spPr>
                </pic:pic>
              </a:graphicData>
            </a:graphic>
          </wp:anchor>
        </w:drawing>
      </w:r>
      <w:r>
        <w:rPr>
          <w:rFonts w:hint="eastAsia" w:ascii="宋体" w:hAnsi="宋体" w:eastAsia="宋体" w:cs="宋体"/>
          <w:highlight w:val="none"/>
          <w:lang w:val="en-US" w:eastAsia="zh-CN"/>
        </w:rPr>
        <w:t>附件</w:t>
      </w:r>
      <w:r>
        <w:rPr>
          <w:rFonts w:hint="eastAsia" w:ascii="宋体" w:hAnsi="宋体" w:cs="宋体"/>
          <w:highlight w:val="none"/>
          <w:lang w:val="en-US" w:eastAsia="zh-CN"/>
        </w:rPr>
        <w:t>5</w:t>
      </w:r>
      <w:r>
        <w:rPr>
          <w:rFonts w:hint="eastAsia" w:ascii="宋体" w:hAnsi="宋体" w:eastAsia="宋体" w:cs="宋体"/>
          <w:highlight w:val="none"/>
          <w:lang w:val="en-US" w:eastAsia="zh-CN"/>
        </w:rPr>
        <w:t>：</w:t>
      </w:r>
      <w:r>
        <w:rPr>
          <w:rFonts w:hint="eastAsia" w:ascii="宋体" w:hAnsi="宋体" w:cs="宋体"/>
          <w:highlight w:val="none"/>
          <w:lang w:val="en-US" w:eastAsia="zh-CN"/>
        </w:rPr>
        <w:t>环境报告表批复</w:t>
      </w:r>
    </w:p>
    <w:p w14:paraId="7C38E7F4">
      <w:pPr>
        <w:bidi w:val="0"/>
        <w:ind w:left="0" w:leftChars="0" w:firstLine="0" w:firstLineChars="0"/>
        <w:jc w:val="both"/>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highlight w:val="none"/>
          <w:lang w:val="en-US" w:eastAsia="zh-CN"/>
        </w:rPr>
        <w:drawing>
          <wp:anchor distT="0" distB="0" distL="114300" distR="114300" simplePos="0" relativeHeight="251679744" behindDoc="1" locked="0" layoutInCell="1" allowOverlap="1">
            <wp:simplePos x="0" y="0"/>
            <wp:positionH relativeFrom="column">
              <wp:posOffset>203200</wp:posOffset>
            </wp:positionH>
            <wp:positionV relativeFrom="paragraph">
              <wp:posOffset>287020</wp:posOffset>
            </wp:positionV>
            <wp:extent cx="5092700" cy="7930515"/>
            <wp:effectExtent l="0" t="0" r="12700" b="9525"/>
            <wp:wrapNone/>
            <wp:docPr id="33" name="图片 33" descr="15.a'-国能包头能源有限责任公司万利一矿配套搅拌站建设项目环境形象报告表的批复(鄂环东审字﹝2022﹞46号)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5.a'-国能包头能源有限责任公司万利一矿配套搅拌站建设项目环境形象报告表的批复(鄂环东审字﹝2022﹞46号)_02"/>
                    <pic:cNvPicPr>
                      <a:picLocks noChangeAspect="1"/>
                    </pic:cNvPicPr>
                  </pic:nvPicPr>
                  <pic:blipFill>
                    <a:blip r:embed="rId37"/>
                    <a:stretch>
                      <a:fillRect/>
                    </a:stretch>
                  </pic:blipFill>
                  <pic:spPr>
                    <a:xfrm>
                      <a:off x="0" y="0"/>
                      <a:ext cx="5092700" cy="7930515"/>
                    </a:xfrm>
                    <a:prstGeom prst="rect">
                      <a:avLst/>
                    </a:prstGeom>
                  </pic:spPr>
                </pic:pic>
              </a:graphicData>
            </a:graphic>
          </wp:anchor>
        </w:drawing>
      </w:r>
    </w:p>
    <w:p w14:paraId="4E483BBC">
      <w:pPr>
        <w:bidi w:val="0"/>
        <w:ind w:left="0" w:leftChars="0" w:firstLine="0" w:firstLineChars="0"/>
        <w:jc w:val="both"/>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highlight w:val="none"/>
          <w:lang w:val="en-US" w:eastAsia="zh-CN"/>
        </w:rPr>
        <w:drawing>
          <wp:anchor distT="0" distB="0" distL="114300" distR="114300" simplePos="0" relativeHeight="251680768" behindDoc="1" locked="0" layoutInCell="1" allowOverlap="1">
            <wp:simplePos x="0" y="0"/>
            <wp:positionH relativeFrom="column">
              <wp:posOffset>138430</wp:posOffset>
            </wp:positionH>
            <wp:positionV relativeFrom="paragraph">
              <wp:posOffset>314325</wp:posOffset>
            </wp:positionV>
            <wp:extent cx="5441315" cy="8190865"/>
            <wp:effectExtent l="0" t="0" r="14605" b="8255"/>
            <wp:wrapNone/>
            <wp:docPr id="34" name="图片 34" descr="15.a'-国能包头能源有限责任公司万利一矿配套搅拌站建设项目环境形象报告表的批复(鄂环东审字﹝2022﹞46号)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15.a'-国能包头能源有限责任公司万利一矿配套搅拌站建设项目环境形象报告表的批复(鄂环东审字﹝2022﹞46号)_03"/>
                    <pic:cNvPicPr>
                      <a:picLocks noChangeAspect="1"/>
                    </pic:cNvPicPr>
                  </pic:nvPicPr>
                  <pic:blipFill>
                    <a:blip r:embed="rId38"/>
                    <a:stretch>
                      <a:fillRect/>
                    </a:stretch>
                  </pic:blipFill>
                  <pic:spPr>
                    <a:xfrm>
                      <a:off x="0" y="0"/>
                      <a:ext cx="5441315" cy="8190865"/>
                    </a:xfrm>
                    <a:prstGeom prst="rect">
                      <a:avLst/>
                    </a:prstGeom>
                  </pic:spPr>
                </pic:pic>
              </a:graphicData>
            </a:graphic>
          </wp:anchor>
        </w:drawing>
      </w:r>
    </w:p>
    <w:p w14:paraId="447AB263">
      <w:pPr>
        <w:bidi w:val="0"/>
        <w:ind w:left="0" w:leftChars="0" w:firstLine="0" w:firstLineChars="0"/>
        <w:jc w:val="both"/>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highlight w:val="none"/>
          <w:lang w:val="en-US" w:eastAsia="zh-CN"/>
        </w:rPr>
        <w:drawing>
          <wp:anchor distT="0" distB="0" distL="114300" distR="114300" simplePos="0" relativeHeight="251681792" behindDoc="1" locked="0" layoutInCell="1" allowOverlap="1">
            <wp:simplePos x="0" y="0"/>
            <wp:positionH relativeFrom="column">
              <wp:posOffset>148590</wp:posOffset>
            </wp:positionH>
            <wp:positionV relativeFrom="paragraph">
              <wp:posOffset>335280</wp:posOffset>
            </wp:positionV>
            <wp:extent cx="5297170" cy="8208010"/>
            <wp:effectExtent l="0" t="0" r="6350" b="6350"/>
            <wp:wrapNone/>
            <wp:docPr id="35" name="图片 35" descr="15.a'-国能包头能源有限责任公司万利一矿配套搅拌站建设项目环境形象报告表的批复(鄂环东审字﹝2022﹞46号)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15.a'-国能包头能源有限责任公司万利一矿配套搅拌站建设项目环境形象报告表的批复(鄂环东审字﹝2022﹞46号)_04"/>
                    <pic:cNvPicPr>
                      <a:picLocks noChangeAspect="1"/>
                    </pic:cNvPicPr>
                  </pic:nvPicPr>
                  <pic:blipFill>
                    <a:blip r:embed="rId39"/>
                    <a:stretch>
                      <a:fillRect/>
                    </a:stretch>
                  </pic:blipFill>
                  <pic:spPr>
                    <a:xfrm>
                      <a:off x="0" y="0"/>
                      <a:ext cx="5297170" cy="8208010"/>
                    </a:xfrm>
                    <a:prstGeom prst="rect">
                      <a:avLst/>
                    </a:prstGeom>
                  </pic:spPr>
                </pic:pic>
              </a:graphicData>
            </a:graphic>
          </wp:anchor>
        </w:drawing>
      </w:r>
    </w:p>
    <w:p w14:paraId="29EE492E">
      <w:pPr>
        <w:bidi w:val="0"/>
        <w:ind w:left="0" w:leftChars="0" w:firstLine="0" w:firstLineChars="0"/>
        <w:jc w:val="both"/>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r>
        <w:drawing>
          <wp:anchor distT="0" distB="0" distL="114300" distR="114300" simplePos="0" relativeHeight="251682816" behindDoc="1" locked="0" layoutInCell="1" allowOverlap="1">
            <wp:simplePos x="0" y="0"/>
            <wp:positionH relativeFrom="column">
              <wp:posOffset>635</wp:posOffset>
            </wp:positionH>
            <wp:positionV relativeFrom="paragraph">
              <wp:posOffset>730250</wp:posOffset>
            </wp:positionV>
            <wp:extent cx="5615305" cy="7259320"/>
            <wp:effectExtent l="0" t="0" r="8255" b="10160"/>
            <wp:wrapNone/>
            <wp:docPr id="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pic:cNvPicPr>
                      <a:picLocks noChangeAspect="1"/>
                    </pic:cNvPicPr>
                  </pic:nvPicPr>
                  <pic:blipFill>
                    <a:blip r:embed="rId40"/>
                    <a:stretch>
                      <a:fillRect/>
                    </a:stretch>
                  </pic:blipFill>
                  <pic:spPr>
                    <a:xfrm>
                      <a:off x="0" y="0"/>
                      <a:ext cx="5615305" cy="7259320"/>
                    </a:xfrm>
                    <a:prstGeom prst="rect">
                      <a:avLst/>
                    </a:prstGeom>
                    <a:noFill/>
                    <a:ln>
                      <a:noFill/>
                    </a:ln>
                  </pic:spPr>
                </pic:pic>
              </a:graphicData>
            </a:graphic>
          </wp:anchor>
        </w:drawing>
      </w:r>
      <w:r>
        <w:rPr>
          <w:rFonts w:hint="eastAsia" w:ascii="宋体" w:hAnsi="宋体" w:eastAsia="宋体" w:cs="宋体"/>
          <w:highlight w:val="none"/>
          <w:lang w:val="en-US" w:eastAsia="zh-CN"/>
        </w:rPr>
        <w:t>附件</w:t>
      </w:r>
      <w:r>
        <w:rPr>
          <w:rFonts w:hint="eastAsia" w:ascii="宋体" w:hAnsi="宋体" w:cs="宋体"/>
          <w:highlight w:val="none"/>
          <w:lang w:val="en-US" w:eastAsia="zh-CN"/>
        </w:rPr>
        <w:t>6</w:t>
      </w:r>
      <w:r>
        <w:rPr>
          <w:rFonts w:hint="eastAsia" w:ascii="宋体" w:hAnsi="宋体" w:eastAsia="宋体" w:cs="宋体"/>
          <w:highlight w:val="none"/>
          <w:lang w:val="en-US" w:eastAsia="zh-CN"/>
        </w:rPr>
        <w:t>：</w:t>
      </w:r>
      <w:r>
        <w:rPr>
          <w:rFonts w:hint="eastAsia" w:ascii="宋体" w:hAnsi="宋体" w:cs="宋体"/>
          <w:highlight w:val="none"/>
          <w:lang w:val="en-US" w:eastAsia="zh-CN"/>
        </w:rPr>
        <w:t>验收意见</w:t>
      </w:r>
    </w:p>
    <w:p w14:paraId="6E06A16C">
      <w:pPr>
        <w:bidi w:val="0"/>
        <w:ind w:left="0" w:leftChars="0" w:firstLine="0" w:firstLineChars="0"/>
        <w:jc w:val="both"/>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r>
        <w:drawing>
          <wp:anchor distT="0" distB="0" distL="114300" distR="114300" simplePos="0" relativeHeight="251683840" behindDoc="1" locked="0" layoutInCell="1" allowOverlap="1">
            <wp:simplePos x="0" y="0"/>
            <wp:positionH relativeFrom="column">
              <wp:posOffset>101600</wp:posOffset>
            </wp:positionH>
            <wp:positionV relativeFrom="paragraph">
              <wp:posOffset>1118870</wp:posOffset>
            </wp:positionV>
            <wp:extent cx="5248275" cy="6823075"/>
            <wp:effectExtent l="0" t="0" r="9525" b="4445"/>
            <wp:wrapNone/>
            <wp:docPr id="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
                    <pic:cNvPicPr>
                      <a:picLocks noChangeAspect="1"/>
                    </pic:cNvPicPr>
                  </pic:nvPicPr>
                  <pic:blipFill>
                    <a:blip r:embed="rId41"/>
                    <a:stretch>
                      <a:fillRect/>
                    </a:stretch>
                  </pic:blipFill>
                  <pic:spPr>
                    <a:xfrm>
                      <a:off x="0" y="0"/>
                      <a:ext cx="5248275" cy="6823075"/>
                    </a:xfrm>
                    <a:prstGeom prst="rect">
                      <a:avLst/>
                    </a:prstGeom>
                    <a:noFill/>
                    <a:ln>
                      <a:noFill/>
                    </a:ln>
                  </pic:spPr>
                </pic:pic>
              </a:graphicData>
            </a:graphic>
          </wp:anchor>
        </w:drawing>
      </w:r>
    </w:p>
    <w:p w14:paraId="7AE1AE39">
      <w:pPr>
        <w:bidi w:val="0"/>
        <w:ind w:left="0" w:leftChars="0" w:firstLine="0" w:firstLineChars="0"/>
        <w:jc w:val="both"/>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r>
        <w:drawing>
          <wp:anchor distT="0" distB="0" distL="114300" distR="114300" simplePos="0" relativeHeight="251684864" behindDoc="1" locked="0" layoutInCell="1" allowOverlap="1">
            <wp:simplePos x="0" y="0"/>
            <wp:positionH relativeFrom="column">
              <wp:posOffset>452755</wp:posOffset>
            </wp:positionH>
            <wp:positionV relativeFrom="paragraph">
              <wp:posOffset>730885</wp:posOffset>
            </wp:positionV>
            <wp:extent cx="4791075" cy="7710170"/>
            <wp:effectExtent l="0" t="0" r="9525" b="1270"/>
            <wp:wrapNone/>
            <wp:docPr id="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pic:cNvPicPr>
                      <a:picLocks noChangeAspect="1"/>
                    </pic:cNvPicPr>
                  </pic:nvPicPr>
                  <pic:blipFill>
                    <a:blip r:embed="rId42"/>
                    <a:stretch>
                      <a:fillRect/>
                    </a:stretch>
                  </pic:blipFill>
                  <pic:spPr>
                    <a:xfrm>
                      <a:off x="0" y="0"/>
                      <a:ext cx="4791075" cy="7710170"/>
                    </a:xfrm>
                    <a:prstGeom prst="rect">
                      <a:avLst/>
                    </a:prstGeom>
                    <a:noFill/>
                    <a:ln>
                      <a:noFill/>
                    </a:ln>
                  </pic:spPr>
                </pic:pic>
              </a:graphicData>
            </a:graphic>
          </wp:anchor>
        </w:drawing>
      </w:r>
    </w:p>
    <w:p w14:paraId="13D1A66A">
      <w:pPr>
        <w:bidi w:val="0"/>
        <w:ind w:left="0" w:leftChars="0" w:firstLine="0" w:firstLineChars="0"/>
        <w:jc w:val="both"/>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r>
        <w:drawing>
          <wp:anchor distT="0" distB="0" distL="114300" distR="114300" simplePos="0" relativeHeight="251685888" behindDoc="1" locked="0" layoutInCell="1" allowOverlap="1">
            <wp:simplePos x="0" y="0"/>
            <wp:positionH relativeFrom="column">
              <wp:posOffset>80645</wp:posOffset>
            </wp:positionH>
            <wp:positionV relativeFrom="paragraph">
              <wp:posOffset>561340</wp:posOffset>
            </wp:positionV>
            <wp:extent cx="5305425" cy="7706360"/>
            <wp:effectExtent l="0" t="0" r="13335" b="5080"/>
            <wp:wrapNone/>
            <wp:docPr id="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
                    <pic:cNvPicPr>
                      <a:picLocks noChangeAspect="1"/>
                    </pic:cNvPicPr>
                  </pic:nvPicPr>
                  <pic:blipFill>
                    <a:blip r:embed="rId43"/>
                    <a:stretch>
                      <a:fillRect/>
                    </a:stretch>
                  </pic:blipFill>
                  <pic:spPr>
                    <a:xfrm>
                      <a:off x="0" y="0"/>
                      <a:ext cx="5305425" cy="7706360"/>
                    </a:xfrm>
                    <a:prstGeom prst="rect">
                      <a:avLst/>
                    </a:prstGeom>
                    <a:noFill/>
                    <a:ln>
                      <a:noFill/>
                    </a:ln>
                  </pic:spPr>
                </pic:pic>
              </a:graphicData>
            </a:graphic>
          </wp:anchor>
        </w:drawing>
      </w:r>
    </w:p>
    <w:p w14:paraId="5B7DD355">
      <w:pPr>
        <w:bidi w:val="0"/>
        <w:ind w:left="0" w:leftChars="0" w:firstLine="0" w:firstLineChars="0"/>
        <w:jc w:val="both"/>
        <w:rPr>
          <w:rFonts w:hint="eastAsia" w:ascii="宋体" w:hAnsi="宋体" w:cs="宋体"/>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ascii="宋体" w:hAnsi="宋体" w:eastAsia="宋体" w:cs="宋体"/>
          <w:highlight w:val="none"/>
          <w:lang w:val="en-US" w:eastAsia="zh-CN"/>
        </w:rPr>
        <w:drawing>
          <wp:anchor distT="0" distB="0" distL="114300" distR="114300" simplePos="0" relativeHeight="251686912" behindDoc="1" locked="0" layoutInCell="1" allowOverlap="1">
            <wp:simplePos x="0" y="0"/>
            <wp:positionH relativeFrom="column">
              <wp:posOffset>-101600</wp:posOffset>
            </wp:positionH>
            <wp:positionV relativeFrom="paragraph">
              <wp:posOffset>252730</wp:posOffset>
            </wp:positionV>
            <wp:extent cx="5643880" cy="7981315"/>
            <wp:effectExtent l="0" t="0" r="10160" b="4445"/>
            <wp:wrapNone/>
            <wp:docPr id="44" name="图片 44" descr="关于内蒙古万利矿区总体规划(修编)的批复（发改能源〔2026〕430号）(5)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关于内蒙古万利矿区总体规划(修编)的批复（发改能源〔2026〕430号）(5)_01"/>
                    <pic:cNvPicPr>
                      <a:picLocks noChangeAspect="1"/>
                    </pic:cNvPicPr>
                  </pic:nvPicPr>
                  <pic:blipFill>
                    <a:blip r:embed="rId44"/>
                    <a:stretch>
                      <a:fillRect/>
                    </a:stretch>
                  </pic:blipFill>
                  <pic:spPr>
                    <a:xfrm>
                      <a:off x="0" y="0"/>
                      <a:ext cx="5643880" cy="7981315"/>
                    </a:xfrm>
                    <a:prstGeom prst="rect">
                      <a:avLst/>
                    </a:prstGeom>
                  </pic:spPr>
                </pic:pic>
              </a:graphicData>
            </a:graphic>
          </wp:anchor>
        </w:drawing>
      </w:r>
      <w:r>
        <w:rPr>
          <w:rFonts w:hint="eastAsia" w:ascii="宋体" w:hAnsi="宋体" w:eastAsia="宋体" w:cs="宋体"/>
          <w:highlight w:val="none"/>
          <w:lang w:val="en-US" w:eastAsia="zh-CN"/>
        </w:rPr>
        <w:t>附件</w:t>
      </w:r>
      <w:r>
        <w:rPr>
          <w:rFonts w:hint="eastAsia" w:ascii="宋体" w:hAnsi="宋体" w:cs="宋体"/>
          <w:highlight w:val="none"/>
          <w:lang w:val="en-US" w:eastAsia="zh-CN"/>
        </w:rPr>
        <w:t>7</w:t>
      </w:r>
      <w:r>
        <w:rPr>
          <w:rFonts w:hint="eastAsia" w:ascii="宋体" w:hAnsi="宋体" w:eastAsia="宋体" w:cs="宋体"/>
          <w:highlight w:val="none"/>
          <w:lang w:val="en-US" w:eastAsia="zh-CN"/>
        </w:rPr>
        <w:t>：</w:t>
      </w:r>
      <w:r>
        <w:rPr>
          <w:rFonts w:hint="eastAsia" w:ascii="宋体" w:hAnsi="宋体" w:cs="宋体"/>
          <w:highlight w:val="none"/>
          <w:lang w:val="en-US" w:eastAsia="zh-CN"/>
        </w:rPr>
        <w:t>规划批复</w:t>
      </w:r>
    </w:p>
    <w:p w14:paraId="232146C7">
      <w:pPr>
        <w:bidi w:val="0"/>
        <w:ind w:left="0" w:leftChars="0" w:firstLine="0" w:firstLineChars="0"/>
        <w:jc w:val="both"/>
        <w:rPr>
          <w:rFonts w:hint="eastAsia" w:ascii="宋体" w:hAnsi="宋体" w:cs="宋体"/>
          <w:highlight w:val="none"/>
          <w:lang w:val="en-US" w:eastAsia="zh-CN"/>
        </w:rPr>
        <w:sectPr>
          <w:pgSz w:w="11906" w:h="16838"/>
          <w:pgMar w:top="1701" w:right="1531" w:bottom="1701" w:left="1531" w:header="851" w:footer="851" w:gutter="0"/>
          <w:pgNumType w:fmt="decimal"/>
          <w:cols w:space="720" w:num="1"/>
          <w:docGrid w:linePitch="312" w:charSpace="0"/>
        </w:sectPr>
      </w:pPr>
      <w:r>
        <w:rPr>
          <w:rFonts w:hint="eastAsia" w:ascii="宋体" w:hAnsi="宋体" w:eastAsia="宋体" w:cs="宋体"/>
          <w:highlight w:val="none"/>
          <w:lang w:val="en-US" w:eastAsia="zh-CN"/>
        </w:rPr>
        <w:drawing>
          <wp:anchor distT="0" distB="0" distL="114300" distR="114300" simplePos="0" relativeHeight="251687936" behindDoc="1" locked="0" layoutInCell="1" allowOverlap="1">
            <wp:simplePos x="0" y="0"/>
            <wp:positionH relativeFrom="column">
              <wp:posOffset>-124460</wp:posOffset>
            </wp:positionH>
            <wp:positionV relativeFrom="paragraph">
              <wp:posOffset>748030</wp:posOffset>
            </wp:positionV>
            <wp:extent cx="5593715" cy="7909560"/>
            <wp:effectExtent l="0" t="0" r="14605" b="0"/>
            <wp:wrapNone/>
            <wp:docPr id="46" name="图片 46" descr="关于内蒙古万利矿区总体规划(修编)的批复（发改能源〔2026〕430号）(5)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关于内蒙古万利矿区总体规划(修编)的批复（发改能源〔2026〕430号）(5)_02"/>
                    <pic:cNvPicPr>
                      <a:picLocks noChangeAspect="1"/>
                    </pic:cNvPicPr>
                  </pic:nvPicPr>
                  <pic:blipFill>
                    <a:blip r:embed="rId45"/>
                    <a:stretch>
                      <a:fillRect/>
                    </a:stretch>
                  </pic:blipFill>
                  <pic:spPr>
                    <a:xfrm>
                      <a:off x="0" y="0"/>
                      <a:ext cx="5593715" cy="7909560"/>
                    </a:xfrm>
                    <a:prstGeom prst="rect">
                      <a:avLst/>
                    </a:prstGeom>
                  </pic:spPr>
                </pic:pic>
              </a:graphicData>
            </a:graphic>
          </wp:anchor>
        </w:drawing>
      </w:r>
    </w:p>
    <w:p w14:paraId="1718D515">
      <w:pPr>
        <w:bidi w:val="0"/>
        <w:ind w:left="0" w:leftChars="0" w:firstLine="0" w:firstLineChars="0"/>
        <w:jc w:val="both"/>
        <w:rPr>
          <w:rFonts w:hint="eastAsia" w:ascii="宋体" w:hAnsi="宋体" w:cs="宋体"/>
          <w:highlight w:val="none"/>
          <w:lang w:val="en-US" w:eastAsia="zh-CN"/>
        </w:rPr>
        <w:sectPr>
          <w:pgSz w:w="11906" w:h="16838"/>
          <w:pgMar w:top="1701" w:right="1531" w:bottom="1701" w:left="1531" w:header="851" w:footer="851" w:gutter="0"/>
          <w:pgNumType w:fmt="decimal"/>
          <w:cols w:space="720" w:num="1"/>
          <w:docGrid w:linePitch="312" w:charSpace="0"/>
        </w:sectPr>
      </w:pPr>
      <w:r>
        <w:rPr>
          <w:rFonts w:hint="eastAsia" w:ascii="宋体" w:hAnsi="宋体" w:eastAsia="宋体" w:cs="宋体"/>
          <w:highlight w:val="none"/>
          <w:lang w:val="en-US" w:eastAsia="zh-CN"/>
        </w:rPr>
        <w:drawing>
          <wp:anchor distT="0" distB="0" distL="114300" distR="114300" simplePos="0" relativeHeight="251688960" behindDoc="1" locked="0" layoutInCell="1" allowOverlap="1">
            <wp:simplePos x="0" y="0"/>
            <wp:positionH relativeFrom="column">
              <wp:posOffset>7620</wp:posOffset>
            </wp:positionH>
            <wp:positionV relativeFrom="paragraph">
              <wp:posOffset>309880</wp:posOffset>
            </wp:positionV>
            <wp:extent cx="5593715" cy="7909560"/>
            <wp:effectExtent l="0" t="0" r="14605" b="0"/>
            <wp:wrapNone/>
            <wp:docPr id="47" name="图片 47" descr="关于内蒙古万利矿区总体规划(修编)的批复（发改能源〔2026〕430号）(5)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关于内蒙古万利矿区总体规划(修编)的批复（发改能源〔2026〕430号）(5)_03"/>
                    <pic:cNvPicPr>
                      <a:picLocks noChangeAspect="1"/>
                    </pic:cNvPicPr>
                  </pic:nvPicPr>
                  <pic:blipFill>
                    <a:blip r:embed="rId46"/>
                    <a:stretch>
                      <a:fillRect/>
                    </a:stretch>
                  </pic:blipFill>
                  <pic:spPr>
                    <a:xfrm>
                      <a:off x="0" y="0"/>
                      <a:ext cx="5593715" cy="7909560"/>
                    </a:xfrm>
                    <a:prstGeom prst="rect">
                      <a:avLst/>
                    </a:prstGeom>
                  </pic:spPr>
                </pic:pic>
              </a:graphicData>
            </a:graphic>
          </wp:anchor>
        </w:drawing>
      </w:r>
    </w:p>
    <w:p w14:paraId="35E276BD">
      <w:pPr>
        <w:bidi w:val="0"/>
        <w:ind w:left="0" w:leftChars="0" w:firstLine="0" w:firstLineChars="0"/>
        <w:jc w:val="both"/>
        <w:rPr>
          <w:rFonts w:hint="eastAsia" w:ascii="宋体" w:hAnsi="宋体" w:eastAsia="宋体" w:cs="宋体"/>
          <w:highlight w:val="none"/>
          <w:lang w:val="en-US" w:eastAsia="zh-CN"/>
        </w:rPr>
        <w:sectPr>
          <w:pgSz w:w="11906" w:h="16838"/>
          <w:pgMar w:top="1701" w:right="1531" w:bottom="1701" w:left="1531" w:header="851" w:footer="851" w:gutter="0"/>
          <w:pgNumType w:fmt="decimal"/>
          <w:cols w:space="720" w:num="1"/>
          <w:docGrid w:linePitch="312" w:charSpace="0"/>
        </w:sectPr>
      </w:pPr>
      <w:r>
        <w:rPr>
          <w:rFonts w:hint="eastAsia" w:ascii="宋体" w:hAnsi="宋体" w:eastAsia="宋体" w:cs="宋体"/>
          <w:highlight w:val="none"/>
          <w:lang w:val="en-US" w:eastAsia="zh-CN"/>
        </w:rPr>
        <w:drawing>
          <wp:anchor distT="0" distB="0" distL="114300" distR="114300" simplePos="0" relativeHeight="251689984" behindDoc="1" locked="0" layoutInCell="1" allowOverlap="1">
            <wp:simplePos x="0" y="0"/>
            <wp:positionH relativeFrom="column">
              <wp:posOffset>34925</wp:posOffset>
            </wp:positionH>
            <wp:positionV relativeFrom="paragraph">
              <wp:posOffset>671830</wp:posOffset>
            </wp:positionV>
            <wp:extent cx="5593715" cy="7909560"/>
            <wp:effectExtent l="0" t="0" r="14605" b="0"/>
            <wp:wrapNone/>
            <wp:docPr id="48" name="图片 48" descr="关于内蒙古万利矿区总体规划(修编)的批复（发改能源〔2026〕430号）(5)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关于内蒙古万利矿区总体规划(修编)的批复（发改能源〔2026〕430号）(5)_04"/>
                    <pic:cNvPicPr>
                      <a:picLocks noChangeAspect="1"/>
                    </pic:cNvPicPr>
                  </pic:nvPicPr>
                  <pic:blipFill>
                    <a:blip r:embed="rId47"/>
                    <a:stretch>
                      <a:fillRect/>
                    </a:stretch>
                  </pic:blipFill>
                  <pic:spPr>
                    <a:xfrm>
                      <a:off x="0" y="0"/>
                      <a:ext cx="5593715" cy="7909560"/>
                    </a:xfrm>
                    <a:prstGeom prst="rect">
                      <a:avLst/>
                    </a:prstGeom>
                  </pic:spPr>
                </pic:pic>
              </a:graphicData>
            </a:graphic>
          </wp:anchor>
        </w:drawing>
      </w:r>
    </w:p>
    <w:p w14:paraId="3E9C4714">
      <w:pPr>
        <w:bidi w:val="0"/>
        <w:ind w:left="0" w:leftChars="0" w:firstLine="0" w:firstLineChars="0"/>
        <w:jc w:val="both"/>
        <w:rPr>
          <w:rFonts w:hint="default" w:ascii="宋体" w:hAnsi="宋体" w:eastAsia="宋体" w:cs="宋体"/>
          <w:highlight w:val="none"/>
          <w:lang w:val="en-US" w:eastAsia="zh-CN"/>
        </w:rPr>
        <w:sectPr>
          <w:pgSz w:w="16838" w:h="11906" w:orient="landscape"/>
          <w:pgMar w:top="1531" w:right="1701" w:bottom="1531" w:left="1701" w:header="851" w:footer="851" w:gutter="0"/>
          <w:pgNumType w:fmt="decimal"/>
          <w:cols w:space="720" w:num="1"/>
          <w:docGrid w:linePitch="312" w:charSpace="0"/>
        </w:sectPr>
      </w:pPr>
      <w:r>
        <w:drawing>
          <wp:anchor distT="0" distB="0" distL="114300" distR="114300" simplePos="0" relativeHeight="251691008" behindDoc="1" locked="0" layoutInCell="1" allowOverlap="1">
            <wp:simplePos x="0" y="0"/>
            <wp:positionH relativeFrom="column">
              <wp:posOffset>26035</wp:posOffset>
            </wp:positionH>
            <wp:positionV relativeFrom="paragraph">
              <wp:posOffset>262890</wp:posOffset>
            </wp:positionV>
            <wp:extent cx="8540750" cy="5276215"/>
            <wp:effectExtent l="0" t="0" r="8890" b="12065"/>
            <wp:wrapNone/>
            <wp:docPr id="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
                    <pic:cNvPicPr>
                      <a:picLocks noChangeAspect="1"/>
                    </pic:cNvPicPr>
                  </pic:nvPicPr>
                  <pic:blipFill>
                    <a:blip r:embed="rId48"/>
                    <a:stretch>
                      <a:fillRect/>
                    </a:stretch>
                  </pic:blipFill>
                  <pic:spPr>
                    <a:xfrm>
                      <a:off x="0" y="0"/>
                      <a:ext cx="8540750" cy="5276215"/>
                    </a:xfrm>
                    <a:prstGeom prst="rect">
                      <a:avLst/>
                    </a:prstGeom>
                    <a:noFill/>
                    <a:ln>
                      <a:noFill/>
                    </a:ln>
                  </pic:spPr>
                </pic:pic>
              </a:graphicData>
            </a:graphic>
          </wp:anchor>
        </w:drawing>
      </w:r>
      <w:r>
        <w:rPr>
          <w:rFonts w:hint="eastAsia" w:ascii="宋体" w:hAnsi="宋体" w:eastAsia="宋体" w:cs="宋体"/>
          <w:highlight w:val="none"/>
          <w:lang w:val="en-US" w:eastAsia="zh-CN"/>
        </w:rPr>
        <w:t>附</w:t>
      </w:r>
      <w:r>
        <w:rPr>
          <w:rFonts w:hint="eastAsia" w:ascii="宋体" w:hAnsi="宋体" w:cs="宋体"/>
          <w:highlight w:val="none"/>
          <w:lang w:val="en-US" w:eastAsia="zh-CN"/>
        </w:rPr>
        <w:t>图1</w:t>
      </w:r>
      <w:r>
        <w:rPr>
          <w:rFonts w:hint="eastAsia" w:ascii="宋体" w:hAnsi="宋体" w:eastAsia="宋体" w:cs="宋体"/>
          <w:highlight w:val="none"/>
          <w:lang w:val="en-US" w:eastAsia="zh-CN"/>
        </w:rPr>
        <w:t>：</w:t>
      </w:r>
      <w:r>
        <w:rPr>
          <w:rFonts w:hint="eastAsia"/>
          <w:highlight w:val="none"/>
          <w:lang w:val="en-US" w:eastAsia="zh-CN"/>
        </w:rPr>
        <w:t>项目地理位置图</w:t>
      </w:r>
    </w:p>
    <w:p w14:paraId="54FEB583">
      <w:pPr>
        <w:bidi w:val="0"/>
        <w:ind w:left="0" w:leftChars="0" w:firstLine="0" w:firstLineChars="0"/>
        <w:jc w:val="both"/>
        <w:rPr>
          <w:rFonts w:hint="eastAsia"/>
          <w:highlight w:val="none"/>
          <w:lang w:val="en-US" w:eastAsia="zh-CN"/>
        </w:rPr>
      </w:pPr>
      <w:r>
        <w:drawing>
          <wp:anchor distT="0" distB="0" distL="114300" distR="114300" simplePos="0" relativeHeight="251692032" behindDoc="1" locked="0" layoutInCell="1" allowOverlap="1">
            <wp:simplePos x="0" y="0"/>
            <wp:positionH relativeFrom="column">
              <wp:posOffset>-287655</wp:posOffset>
            </wp:positionH>
            <wp:positionV relativeFrom="paragraph">
              <wp:posOffset>959485</wp:posOffset>
            </wp:positionV>
            <wp:extent cx="6139815" cy="5102225"/>
            <wp:effectExtent l="0" t="0" r="1905" b="3175"/>
            <wp:wrapNone/>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49"/>
                    <a:stretch>
                      <a:fillRect/>
                    </a:stretch>
                  </pic:blipFill>
                  <pic:spPr>
                    <a:xfrm>
                      <a:off x="0" y="0"/>
                      <a:ext cx="6139815" cy="5102225"/>
                    </a:xfrm>
                    <a:prstGeom prst="rect">
                      <a:avLst/>
                    </a:prstGeom>
                    <a:noFill/>
                    <a:ln>
                      <a:noFill/>
                    </a:ln>
                  </pic:spPr>
                </pic:pic>
              </a:graphicData>
            </a:graphic>
          </wp:anchor>
        </w:drawing>
      </w:r>
      <w:r>
        <w:rPr>
          <w:rFonts w:hint="eastAsia" w:ascii="宋体" w:hAnsi="宋体" w:eastAsia="宋体" w:cs="宋体"/>
          <w:highlight w:val="none"/>
          <w:lang w:val="en-US" w:eastAsia="zh-CN"/>
        </w:rPr>
        <w:t>附</w:t>
      </w:r>
      <w:r>
        <w:rPr>
          <w:rFonts w:hint="eastAsia" w:ascii="宋体" w:hAnsi="宋体" w:cs="宋体"/>
          <w:highlight w:val="none"/>
          <w:lang w:val="en-US" w:eastAsia="zh-CN"/>
        </w:rPr>
        <w:t>图2</w:t>
      </w:r>
      <w:r>
        <w:rPr>
          <w:rFonts w:hint="eastAsia" w:ascii="宋体" w:hAnsi="宋体" w:eastAsia="宋体" w:cs="宋体"/>
          <w:highlight w:val="none"/>
          <w:lang w:val="en-US" w:eastAsia="zh-CN"/>
        </w:rPr>
        <w:t>：</w:t>
      </w:r>
      <w:r>
        <w:rPr>
          <w:rFonts w:hint="eastAsia"/>
          <w:highlight w:val="none"/>
          <w:lang w:val="en-US" w:eastAsia="zh-CN"/>
        </w:rPr>
        <w:t>现状检测布点图</w:t>
      </w:r>
    </w:p>
    <w:p w14:paraId="7D3F64FC">
      <w:pPr>
        <w:bidi w:val="0"/>
        <w:ind w:left="0" w:leftChars="0" w:firstLine="0" w:firstLineChars="0"/>
        <w:jc w:val="both"/>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p>
    <w:p w14:paraId="62508195">
      <w:pPr>
        <w:bidi w:val="0"/>
        <w:ind w:left="0" w:leftChars="0" w:firstLine="0" w:firstLineChars="0"/>
        <w:jc w:val="both"/>
        <w:rPr>
          <w:rFonts w:hint="default" w:eastAsia="宋体"/>
          <w:highlight w:val="none"/>
          <w:lang w:val="en-US" w:eastAsia="zh-CN"/>
        </w:rPr>
      </w:pPr>
      <w:r>
        <w:rPr>
          <w:rFonts w:hint="eastAsia" w:ascii="宋体" w:hAnsi="宋体" w:eastAsia="宋体" w:cs="宋体"/>
          <w:highlight w:val="none"/>
          <w:lang w:val="en-US" w:eastAsia="zh-CN"/>
        </w:rPr>
        <w:drawing>
          <wp:anchor distT="0" distB="0" distL="114300" distR="114300" simplePos="0" relativeHeight="251697152" behindDoc="1" locked="0" layoutInCell="1" allowOverlap="1">
            <wp:simplePos x="0" y="0"/>
            <wp:positionH relativeFrom="column">
              <wp:posOffset>-66675</wp:posOffset>
            </wp:positionH>
            <wp:positionV relativeFrom="paragraph">
              <wp:posOffset>752475</wp:posOffset>
            </wp:positionV>
            <wp:extent cx="8517890" cy="4290060"/>
            <wp:effectExtent l="0" t="0" r="1270" b="7620"/>
            <wp:wrapNone/>
            <wp:docPr id="50" name="图片 50" descr="cccba22157086adbe46408e7a7b907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cccba22157086adbe46408e7a7b907d7"/>
                    <pic:cNvPicPr>
                      <a:picLocks noChangeAspect="1"/>
                    </pic:cNvPicPr>
                  </pic:nvPicPr>
                  <pic:blipFill>
                    <a:blip r:embed="rId50"/>
                    <a:stretch>
                      <a:fillRect/>
                    </a:stretch>
                  </pic:blipFill>
                  <pic:spPr>
                    <a:xfrm>
                      <a:off x="0" y="0"/>
                      <a:ext cx="8517890" cy="4290060"/>
                    </a:xfrm>
                    <a:prstGeom prst="rect">
                      <a:avLst/>
                    </a:prstGeom>
                  </pic:spPr>
                </pic:pic>
              </a:graphicData>
            </a:graphic>
          </wp:anchor>
        </w:drawing>
      </w:r>
      <w:r>
        <w:rPr>
          <w:rFonts w:hint="eastAsia" w:ascii="宋体" w:hAnsi="宋体" w:eastAsia="宋体" w:cs="宋体"/>
          <w:highlight w:val="none"/>
          <w:lang w:val="en-US" w:eastAsia="zh-CN"/>
        </w:rPr>
        <w:t>附</w:t>
      </w:r>
      <w:r>
        <w:rPr>
          <w:rFonts w:hint="eastAsia" w:ascii="宋体" w:hAnsi="宋体" w:cs="宋体"/>
          <w:highlight w:val="none"/>
          <w:lang w:val="en-US" w:eastAsia="zh-CN"/>
        </w:rPr>
        <w:t>图3</w:t>
      </w:r>
      <w:r>
        <w:rPr>
          <w:rFonts w:hint="eastAsia" w:ascii="宋体" w:hAnsi="宋体" w:eastAsia="宋体" w:cs="宋体"/>
          <w:highlight w:val="none"/>
          <w:lang w:val="en-US" w:eastAsia="zh-CN"/>
        </w:rPr>
        <w:t>：</w:t>
      </w:r>
      <w:r>
        <w:rPr>
          <w:rFonts w:hint="eastAsia"/>
          <w:lang w:val="en-US" w:eastAsia="zh-CN"/>
        </w:rPr>
        <w:t>平面布局示意图</w:t>
      </w:r>
    </w:p>
    <w:p w14:paraId="25C9C827">
      <w:pPr>
        <w:bidi w:val="0"/>
        <w:ind w:left="0" w:leftChars="0" w:firstLine="0" w:firstLineChars="0"/>
        <w:jc w:val="both"/>
        <w:rPr>
          <w:rFonts w:hint="default"/>
          <w:highlight w:val="none"/>
          <w:lang w:val="en-US" w:eastAsia="zh-CN"/>
        </w:rPr>
        <w:sectPr>
          <w:pgSz w:w="16838" w:h="11906" w:orient="landscape"/>
          <w:pgMar w:top="1531" w:right="1701" w:bottom="1531" w:left="1701" w:header="851" w:footer="851" w:gutter="0"/>
          <w:pgNumType w:fmt="decimal"/>
          <w:cols w:space="720" w:num="1"/>
          <w:docGrid w:linePitch="312" w:charSpace="0"/>
        </w:sectPr>
      </w:pPr>
    </w:p>
    <w:p w14:paraId="2E69EC96">
      <w:pPr>
        <w:bidi w:val="0"/>
        <w:ind w:left="0" w:leftChars="0" w:firstLine="0" w:firstLineChars="0"/>
        <w:jc w:val="both"/>
        <w:rPr>
          <w:rFonts w:hint="default" w:ascii="宋体" w:hAnsi="宋体" w:eastAsia="宋体" w:cs="宋体"/>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ascii="宋体" w:hAnsi="宋体" w:eastAsia="宋体" w:cs="宋体"/>
          <w:highlight w:val="none"/>
          <w:lang w:val="en-US" w:eastAsia="zh-CN"/>
        </w:rPr>
        <w:drawing>
          <wp:anchor distT="0" distB="0" distL="114300" distR="114300" simplePos="0" relativeHeight="251698176" behindDoc="1" locked="0" layoutInCell="1" allowOverlap="1">
            <wp:simplePos x="0" y="0"/>
            <wp:positionH relativeFrom="column">
              <wp:posOffset>-139065</wp:posOffset>
            </wp:positionH>
            <wp:positionV relativeFrom="paragraph">
              <wp:posOffset>2240280</wp:posOffset>
            </wp:positionV>
            <wp:extent cx="5607685" cy="4091940"/>
            <wp:effectExtent l="0" t="0" r="635" b="7620"/>
            <wp:wrapNone/>
            <wp:docPr id="53" name="图片 53" descr="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
                    <pic:cNvPicPr>
                      <a:picLocks noChangeAspect="1"/>
                    </pic:cNvPicPr>
                  </pic:nvPicPr>
                  <pic:blipFill>
                    <a:blip r:embed="rId51"/>
                    <a:stretch>
                      <a:fillRect/>
                    </a:stretch>
                  </pic:blipFill>
                  <pic:spPr>
                    <a:xfrm>
                      <a:off x="0" y="0"/>
                      <a:ext cx="5607685" cy="4091940"/>
                    </a:xfrm>
                    <a:prstGeom prst="rect">
                      <a:avLst/>
                    </a:prstGeom>
                  </pic:spPr>
                </pic:pic>
              </a:graphicData>
            </a:graphic>
          </wp:anchor>
        </w:drawing>
      </w:r>
      <w:r>
        <w:rPr>
          <w:rFonts w:hint="eastAsia" w:ascii="宋体" w:hAnsi="宋体" w:eastAsia="宋体" w:cs="宋体"/>
          <w:highlight w:val="none"/>
          <w:lang w:val="en-US" w:eastAsia="zh-CN"/>
        </w:rPr>
        <w:t>附</w:t>
      </w:r>
      <w:r>
        <w:rPr>
          <w:rFonts w:hint="eastAsia" w:ascii="宋体" w:hAnsi="宋体" w:cs="宋体"/>
          <w:highlight w:val="none"/>
          <w:lang w:val="en-US" w:eastAsia="zh-CN"/>
        </w:rPr>
        <w:t>图4</w:t>
      </w:r>
      <w:r>
        <w:rPr>
          <w:rFonts w:hint="eastAsia" w:ascii="宋体" w:hAnsi="宋体" w:eastAsia="宋体" w:cs="宋体"/>
          <w:highlight w:val="none"/>
          <w:lang w:val="en-US" w:eastAsia="zh-CN"/>
        </w:rPr>
        <w:t>：</w:t>
      </w:r>
      <w:r>
        <w:rPr>
          <w:rFonts w:hint="eastAsia" w:ascii="宋体" w:hAnsi="宋体" w:cs="宋体"/>
          <w:highlight w:val="none"/>
          <w:lang w:val="en-US" w:eastAsia="zh-CN"/>
        </w:rPr>
        <w:t>扩建</w:t>
      </w:r>
      <w:r>
        <w:rPr>
          <w:rFonts w:hint="eastAsia" w:ascii="宋体" w:hAnsi="宋体" w:eastAsia="宋体" w:cs="宋体"/>
          <w:highlight w:val="none"/>
          <w:lang w:val="en-US" w:eastAsia="zh-CN"/>
        </w:rPr>
        <w:t>工程</w:t>
      </w:r>
      <w:r>
        <w:rPr>
          <w:rFonts w:hint="eastAsia" w:ascii="宋体" w:hAnsi="宋体" w:cs="宋体"/>
          <w:highlight w:val="none"/>
          <w:lang w:val="en-US" w:eastAsia="zh-CN"/>
        </w:rPr>
        <w:t>平面图</w:t>
      </w:r>
    </w:p>
    <w:p w14:paraId="0975E8AC">
      <w:pPr>
        <w:bidi w:val="0"/>
        <w:ind w:left="0" w:leftChars="0" w:firstLine="0" w:firstLineChars="0"/>
        <w:jc w:val="both"/>
        <w:rPr>
          <w:rFonts w:hint="eastAsia" w:ascii="宋体" w:hAnsi="宋体" w:eastAsia="宋体" w:cs="宋体"/>
          <w:highlight w:val="yellow"/>
          <w:lang w:val="en-US" w:eastAsia="zh-CN"/>
        </w:rPr>
        <w:sectPr>
          <w:pgSz w:w="11906" w:h="16838"/>
          <w:pgMar w:top="1701" w:right="1531" w:bottom="1701" w:left="1531" w:header="851" w:footer="851" w:gutter="0"/>
          <w:pgNumType w:fmt="decimal"/>
          <w:cols w:space="720" w:num="1"/>
          <w:docGrid w:linePitch="312" w:charSpace="0"/>
        </w:sectPr>
      </w:pPr>
      <w:r>
        <w:rPr>
          <w:rFonts w:hint="default"/>
          <w:highlight w:val="none"/>
          <w:lang w:val="en-US" w:eastAsia="zh-CN"/>
        </w:rPr>
        <w:drawing>
          <wp:anchor distT="0" distB="0" distL="114300" distR="114300" simplePos="0" relativeHeight="251670528" behindDoc="1" locked="0" layoutInCell="1" allowOverlap="1">
            <wp:simplePos x="0" y="0"/>
            <wp:positionH relativeFrom="column">
              <wp:posOffset>-805815</wp:posOffset>
            </wp:positionH>
            <wp:positionV relativeFrom="paragraph">
              <wp:posOffset>1952625</wp:posOffset>
            </wp:positionV>
            <wp:extent cx="7183120" cy="5079365"/>
            <wp:effectExtent l="0" t="0" r="10795" b="10160"/>
            <wp:wrapNone/>
            <wp:docPr id="10" name="图片 10" descr="15.a-报批版-国能包头能源有限责任公司万利一矿配套搅拌站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5.a-报批版-国能包头能源有限责任公司万利一矿配套搅拌站_45"/>
                    <pic:cNvPicPr>
                      <a:picLocks noChangeAspect="1"/>
                    </pic:cNvPicPr>
                  </pic:nvPicPr>
                  <pic:blipFill>
                    <a:blip r:embed="rId52"/>
                    <a:stretch>
                      <a:fillRect/>
                    </a:stretch>
                  </pic:blipFill>
                  <pic:spPr>
                    <a:xfrm rot="16200000">
                      <a:off x="0" y="0"/>
                      <a:ext cx="7183120" cy="5079365"/>
                    </a:xfrm>
                    <a:prstGeom prst="rect">
                      <a:avLst/>
                    </a:prstGeom>
                  </pic:spPr>
                </pic:pic>
              </a:graphicData>
            </a:graphic>
          </wp:anchor>
        </w:drawing>
      </w:r>
      <w:r>
        <w:rPr>
          <w:rFonts w:hint="eastAsia" w:ascii="宋体" w:hAnsi="宋体" w:eastAsia="宋体" w:cs="宋体"/>
          <w:highlight w:val="none"/>
          <w:lang w:val="en-US" w:eastAsia="zh-CN"/>
        </w:rPr>
        <w:t>附</w:t>
      </w:r>
      <w:r>
        <w:rPr>
          <w:rFonts w:hint="eastAsia" w:ascii="宋体" w:hAnsi="宋体" w:cs="宋体"/>
          <w:highlight w:val="none"/>
          <w:lang w:val="en-US" w:eastAsia="zh-CN"/>
        </w:rPr>
        <w:t>图5</w:t>
      </w:r>
      <w:r>
        <w:rPr>
          <w:rFonts w:hint="eastAsia" w:ascii="宋体" w:hAnsi="宋体" w:eastAsia="宋体" w:cs="宋体"/>
          <w:highlight w:val="none"/>
          <w:lang w:val="en-US" w:eastAsia="zh-CN"/>
        </w:rPr>
        <w:t>：现有工程位置图</w:t>
      </w:r>
    </w:p>
    <w:p w14:paraId="38A8C43D">
      <w:pPr>
        <w:bidi w:val="0"/>
        <w:ind w:left="0" w:leftChars="0" w:firstLine="0" w:firstLineChars="0"/>
        <w:jc w:val="both"/>
        <w:rPr>
          <w:rFonts w:hint="default"/>
          <w:highlight w:val="none"/>
          <w:vertAlign w:val="baseline"/>
          <w:lang w:val="en-US" w:eastAsia="zh-CN"/>
        </w:rPr>
      </w:pPr>
      <w:r>
        <w:rPr>
          <w:rFonts w:hint="eastAsia"/>
          <w:highlight w:val="none"/>
          <w:lang w:val="en-US" w:eastAsia="zh-CN"/>
        </w:rPr>
        <w:t>附图6：现有工程照片</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0"/>
        <w:gridCol w:w="4530"/>
      </w:tblGrid>
      <w:tr w14:paraId="27D20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8" w:hRule="atLeast"/>
        </w:trPr>
        <w:tc>
          <w:tcPr>
            <w:tcW w:w="4530" w:type="dxa"/>
          </w:tcPr>
          <w:p w14:paraId="35E24BCB">
            <w:pPr>
              <w:bidi w:val="0"/>
              <w:jc w:val="both"/>
              <w:rPr>
                <w:rFonts w:hint="default"/>
                <w:highlight w:val="none"/>
                <w:vertAlign w:val="baseline"/>
                <w:lang w:val="en-US" w:eastAsia="zh-CN"/>
              </w:rPr>
            </w:pPr>
            <w:r>
              <w:rPr>
                <w:rFonts w:hint="default"/>
                <w:highlight w:val="none"/>
                <w:vertAlign w:val="baseline"/>
                <w:lang w:val="en-US" w:eastAsia="zh-CN"/>
              </w:rPr>
              <w:drawing>
                <wp:anchor distT="0" distB="0" distL="114300" distR="114300" simplePos="0" relativeHeight="251693056" behindDoc="1" locked="0" layoutInCell="1" allowOverlap="1">
                  <wp:simplePos x="0" y="0"/>
                  <wp:positionH relativeFrom="column">
                    <wp:posOffset>78105</wp:posOffset>
                  </wp:positionH>
                  <wp:positionV relativeFrom="paragraph">
                    <wp:posOffset>127635</wp:posOffset>
                  </wp:positionV>
                  <wp:extent cx="2657475" cy="3923665"/>
                  <wp:effectExtent l="0" t="0" r="9525" b="8255"/>
                  <wp:wrapNone/>
                  <wp:docPr id="13" name="图片 13" descr="f51adf0709e0dde84a6536c0c3c96b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51adf0709e0dde84a6536c0c3c96b12"/>
                          <pic:cNvPicPr>
                            <a:picLocks noChangeAspect="1"/>
                          </pic:cNvPicPr>
                        </pic:nvPicPr>
                        <pic:blipFill>
                          <a:blip r:embed="rId53"/>
                          <a:stretch>
                            <a:fillRect/>
                          </a:stretch>
                        </pic:blipFill>
                        <pic:spPr>
                          <a:xfrm>
                            <a:off x="0" y="0"/>
                            <a:ext cx="2657475" cy="3923665"/>
                          </a:xfrm>
                          <a:prstGeom prst="rect">
                            <a:avLst/>
                          </a:prstGeom>
                        </pic:spPr>
                      </pic:pic>
                    </a:graphicData>
                  </a:graphic>
                </wp:anchor>
              </w:drawing>
            </w:r>
          </w:p>
        </w:tc>
        <w:tc>
          <w:tcPr>
            <w:tcW w:w="4530" w:type="dxa"/>
          </w:tcPr>
          <w:p w14:paraId="5C21AB5C">
            <w:pPr>
              <w:bidi w:val="0"/>
              <w:jc w:val="both"/>
              <w:rPr>
                <w:rFonts w:hint="default"/>
                <w:highlight w:val="none"/>
                <w:vertAlign w:val="baseline"/>
                <w:lang w:val="en-US" w:eastAsia="zh-CN"/>
              </w:rPr>
            </w:pPr>
            <w:r>
              <w:rPr>
                <w:rFonts w:hint="default"/>
                <w:highlight w:val="none"/>
                <w:vertAlign w:val="baseline"/>
                <w:lang w:val="en-US" w:eastAsia="zh-CN"/>
              </w:rPr>
              <w:drawing>
                <wp:anchor distT="0" distB="0" distL="114300" distR="114300" simplePos="0" relativeHeight="251694080" behindDoc="1" locked="0" layoutInCell="1" allowOverlap="1">
                  <wp:simplePos x="0" y="0"/>
                  <wp:positionH relativeFrom="column">
                    <wp:posOffset>5080</wp:posOffset>
                  </wp:positionH>
                  <wp:positionV relativeFrom="paragraph">
                    <wp:posOffset>127000</wp:posOffset>
                  </wp:positionV>
                  <wp:extent cx="2738755" cy="3887470"/>
                  <wp:effectExtent l="0" t="0" r="4445" b="13970"/>
                  <wp:wrapNone/>
                  <wp:docPr id="23" name="图片 23" descr="c05dcabc38b0eb3341b87df1597b24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05dcabc38b0eb3341b87df1597b241c"/>
                          <pic:cNvPicPr>
                            <a:picLocks noChangeAspect="1"/>
                          </pic:cNvPicPr>
                        </pic:nvPicPr>
                        <pic:blipFill>
                          <a:blip r:embed="rId54"/>
                          <a:stretch>
                            <a:fillRect/>
                          </a:stretch>
                        </pic:blipFill>
                        <pic:spPr>
                          <a:xfrm>
                            <a:off x="0" y="0"/>
                            <a:ext cx="2738755" cy="3887470"/>
                          </a:xfrm>
                          <a:prstGeom prst="rect">
                            <a:avLst/>
                          </a:prstGeom>
                        </pic:spPr>
                      </pic:pic>
                    </a:graphicData>
                  </a:graphic>
                </wp:anchor>
              </w:drawing>
            </w:r>
          </w:p>
        </w:tc>
      </w:tr>
      <w:tr w14:paraId="0EAB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8" w:hRule="atLeast"/>
        </w:trPr>
        <w:tc>
          <w:tcPr>
            <w:tcW w:w="4530" w:type="dxa"/>
          </w:tcPr>
          <w:p w14:paraId="3A3636BD">
            <w:pPr>
              <w:bidi w:val="0"/>
              <w:jc w:val="both"/>
              <w:rPr>
                <w:rFonts w:hint="default"/>
                <w:highlight w:val="none"/>
                <w:vertAlign w:val="baseline"/>
                <w:lang w:val="en-US" w:eastAsia="zh-CN"/>
              </w:rPr>
            </w:pPr>
            <w:r>
              <w:rPr>
                <w:rFonts w:hint="default"/>
                <w:highlight w:val="none"/>
                <w:vertAlign w:val="baseline"/>
                <w:lang w:val="en-US" w:eastAsia="zh-CN"/>
              </w:rPr>
              <w:drawing>
                <wp:anchor distT="0" distB="0" distL="114300" distR="114300" simplePos="0" relativeHeight="251695104" behindDoc="1" locked="0" layoutInCell="1" allowOverlap="1">
                  <wp:simplePos x="0" y="0"/>
                  <wp:positionH relativeFrom="column">
                    <wp:posOffset>42545</wp:posOffset>
                  </wp:positionH>
                  <wp:positionV relativeFrom="paragraph">
                    <wp:posOffset>36830</wp:posOffset>
                  </wp:positionV>
                  <wp:extent cx="2729865" cy="3253105"/>
                  <wp:effectExtent l="0" t="0" r="13335" b="8255"/>
                  <wp:wrapNone/>
                  <wp:docPr id="51" name="图片 51" descr="3e9facd49cc0af1f9571718ad9cfd8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3e9facd49cc0af1f9571718ad9cfd8b4"/>
                          <pic:cNvPicPr>
                            <a:picLocks noChangeAspect="1"/>
                          </pic:cNvPicPr>
                        </pic:nvPicPr>
                        <pic:blipFill>
                          <a:blip r:embed="rId55"/>
                          <a:stretch>
                            <a:fillRect/>
                          </a:stretch>
                        </pic:blipFill>
                        <pic:spPr>
                          <a:xfrm>
                            <a:off x="0" y="0"/>
                            <a:ext cx="2729865" cy="3253105"/>
                          </a:xfrm>
                          <a:prstGeom prst="rect">
                            <a:avLst/>
                          </a:prstGeom>
                        </pic:spPr>
                      </pic:pic>
                    </a:graphicData>
                  </a:graphic>
                </wp:anchor>
              </w:drawing>
            </w:r>
          </w:p>
        </w:tc>
        <w:tc>
          <w:tcPr>
            <w:tcW w:w="4530" w:type="dxa"/>
          </w:tcPr>
          <w:p w14:paraId="64CDE695">
            <w:pPr>
              <w:bidi w:val="0"/>
              <w:jc w:val="both"/>
              <w:rPr>
                <w:rFonts w:hint="default"/>
                <w:highlight w:val="none"/>
                <w:vertAlign w:val="baseline"/>
                <w:lang w:val="en-US" w:eastAsia="zh-CN"/>
              </w:rPr>
            </w:pPr>
            <w:r>
              <w:rPr>
                <w:rFonts w:hint="default"/>
                <w:highlight w:val="none"/>
                <w:vertAlign w:val="baseline"/>
                <w:lang w:val="en-US" w:eastAsia="zh-CN"/>
              </w:rPr>
              <w:drawing>
                <wp:anchor distT="0" distB="0" distL="114300" distR="114300" simplePos="0" relativeHeight="251696128" behindDoc="1" locked="0" layoutInCell="1" allowOverlap="1">
                  <wp:simplePos x="0" y="0"/>
                  <wp:positionH relativeFrom="column">
                    <wp:posOffset>13970</wp:posOffset>
                  </wp:positionH>
                  <wp:positionV relativeFrom="paragraph">
                    <wp:posOffset>73025</wp:posOffset>
                  </wp:positionV>
                  <wp:extent cx="2729865" cy="3188970"/>
                  <wp:effectExtent l="0" t="0" r="13335" b="11430"/>
                  <wp:wrapNone/>
                  <wp:docPr id="52" name="图片 52" descr="f839ce785924a1adcf6e9accc5da5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f839ce785924a1adcf6e9accc5da5339"/>
                          <pic:cNvPicPr>
                            <a:picLocks noChangeAspect="1"/>
                          </pic:cNvPicPr>
                        </pic:nvPicPr>
                        <pic:blipFill>
                          <a:blip r:embed="rId56"/>
                          <a:stretch>
                            <a:fillRect/>
                          </a:stretch>
                        </pic:blipFill>
                        <pic:spPr>
                          <a:xfrm>
                            <a:off x="0" y="0"/>
                            <a:ext cx="2729865" cy="3188970"/>
                          </a:xfrm>
                          <a:prstGeom prst="rect">
                            <a:avLst/>
                          </a:prstGeom>
                        </pic:spPr>
                      </pic:pic>
                    </a:graphicData>
                  </a:graphic>
                </wp:anchor>
              </w:drawing>
            </w:r>
          </w:p>
        </w:tc>
      </w:tr>
    </w:tbl>
    <w:p w14:paraId="1B1F65CC">
      <w:pPr>
        <w:bidi w:val="0"/>
        <w:ind w:left="0" w:leftChars="0" w:firstLine="0" w:firstLineChars="0"/>
        <w:jc w:val="both"/>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p>
    <w:p w14:paraId="41E07379">
      <w:pPr>
        <w:bidi w:val="0"/>
        <w:ind w:left="0" w:leftChars="0" w:firstLine="0" w:firstLineChars="0"/>
        <w:jc w:val="both"/>
        <w:rPr>
          <w:rFonts w:hint="default"/>
          <w:highlight w:val="yellow"/>
          <w:vertAlign w:val="baseline"/>
          <w:lang w:val="en-US" w:eastAsia="zh-CN"/>
        </w:rPr>
      </w:pPr>
      <w:r>
        <w:rPr>
          <w:rFonts w:hint="eastAsia"/>
          <w:highlight w:val="none"/>
          <w:lang w:val="en-US" w:eastAsia="zh-CN"/>
        </w:rPr>
        <w:t>附图7：声环境功能区划图</w:t>
      </w:r>
    </w:p>
    <w:p w14:paraId="56AC6F0E">
      <w:pPr>
        <w:bidi w:val="0"/>
        <w:ind w:left="0" w:leftChars="0" w:firstLine="0" w:firstLineChars="0"/>
        <w:jc w:val="both"/>
        <w:rPr>
          <w:rFonts w:hint="default"/>
          <w:highlight w:val="none"/>
          <w:lang w:val="en-US" w:eastAsia="zh-CN"/>
        </w:rPr>
      </w:pPr>
      <w:r>
        <w:rPr>
          <w:sz w:val="24"/>
        </w:rPr>
        <mc:AlternateContent>
          <mc:Choice Requires="wps">
            <w:drawing>
              <wp:anchor distT="0" distB="0" distL="114300" distR="114300" simplePos="0" relativeHeight="251699200" behindDoc="0" locked="0" layoutInCell="1" allowOverlap="1">
                <wp:simplePos x="0" y="0"/>
                <wp:positionH relativeFrom="column">
                  <wp:posOffset>4505325</wp:posOffset>
                </wp:positionH>
                <wp:positionV relativeFrom="paragraph">
                  <wp:posOffset>771525</wp:posOffset>
                </wp:positionV>
                <wp:extent cx="568960" cy="203200"/>
                <wp:effectExtent l="99695" t="12700" r="17145" b="287020"/>
                <wp:wrapNone/>
                <wp:docPr id="55" name="圆角矩形标注 55"/>
                <wp:cNvGraphicFramePr/>
                <a:graphic xmlns:a="http://schemas.openxmlformats.org/drawingml/2006/main">
                  <a:graphicData uri="http://schemas.microsoft.com/office/word/2010/wordprocessingShape">
                    <wps:wsp>
                      <wps:cNvSpPr/>
                      <wps:spPr>
                        <a:xfrm>
                          <a:off x="0" y="0"/>
                          <a:ext cx="568960" cy="203200"/>
                        </a:xfrm>
                        <a:prstGeom prst="wedgeRoundRectCallout">
                          <a:avLst>
                            <a:gd name="adj1" fmla="val -65290"/>
                            <a:gd name="adj2" fmla="val 180000"/>
                            <a:gd name="adj3" fmla="val 16667"/>
                          </a:avLst>
                        </a:prstGeom>
                        <a:solidFill>
                          <a:schemeClr val="tx1">
                            <a:lumMod val="95000"/>
                            <a:lumOff val="5000"/>
                          </a:schemeClr>
                        </a:solidFill>
                        <a:ln>
                          <a:gradFill>
                            <a:gsLst>
                              <a:gs pos="50000">
                                <a:schemeClr val="tx1"/>
                              </a:gs>
                              <a:gs pos="0">
                                <a:schemeClr val="tx1">
                                  <a:lumMod val="25000"/>
                                  <a:lumOff val="75000"/>
                                </a:schemeClr>
                              </a:gs>
                              <a:gs pos="100000">
                                <a:schemeClr val="tx1">
                                  <a:lumMod val="85000"/>
                                </a:schemeClr>
                              </a:gs>
                            </a:gsLst>
                            <a:lin ang="5400000" scaled="0"/>
                          </a:gradFill>
                        </a:ln>
                      </wps:spPr>
                      <wps:style>
                        <a:lnRef idx="2">
                          <a:schemeClr val="accent1">
                            <a:lumMod val="75000"/>
                          </a:schemeClr>
                        </a:lnRef>
                        <a:fillRef idx="1">
                          <a:schemeClr val="accent1"/>
                        </a:fillRef>
                        <a:effectRef idx="0">
                          <a:srgbClr val="FFFFFF"/>
                        </a:effectRef>
                        <a:fontRef idx="minor">
                          <a:schemeClr val="lt1"/>
                        </a:fontRef>
                      </wps:style>
                      <wps:txbx>
                        <w:txbxContent>
                          <w:p w14:paraId="3297FF6E">
                            <w:pPr>
                              <w:ind w:left="0" w:leftChars="0" w:firstLine="0" w:firstLineChars="0"/>
                              <w:jc w:val="both"/>
                              <w:rPr>
                                <w:rFonts w:hint="default" w:eastAsia="宋体"/>
                                <w:sz w:val="10"/>
                                <w:szCs w:val="10"/>
                                <w:lang w:val="en-US" w:eastAsia="zh-CN"/>
                              </w:rPr>
                            </w:pPr>
                            <w:r>
                              <w:rPr>
                                <w:rFonts w:hint="eastAsia"/>
                                <w:sz w:val="10"/>
                                <w:szCs w:val="10"/>
                                <w:lang w:val="en-US" w:eastAsia="zh-CN"/>
                              </w:rPr>
                              <w:t>本项目所在地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354.75pt;margin-top:60.75pt;height:16pt;width:44.8pt;z-index:251699200;v-text-anchor:middle;mso-width-relative:page;mso-height-relative:page;" fillcolor="#0D0D0D [3069]" filled="t" stroked="t" coordsize="21600,21600" o:gfxdata="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MaCwCjYAAAACwEAAA8AAAAAAAAAAQAgAAAAIgAAAGRy&#10;cy9kb3ducmV2LnhtbFBLAQIUABQAAAAIAIdO4kAe/5tsIgMAALwGAAAOAAAAAAAAAAEAIAAAACcB&#10;AABkcnMvZTJvRG9jLnhtbFBLBQYAAAAABgAGAFkBAAC7BgAAAAA=&#10;" adj="-3303,49680,14400">
                <v:fill on="t" focussize="0,0"/>
                <v:stroke weight="2pt" color="#000000" joinstyle="round"/>
                <v:imagedata o:title=""/>
                <o:lock v:ext="edit" aspectratio="f"/>
                <v:textbox>
                  <w:txbxContent>
                    <w:p w14:paraId="3297FF6E">
                      <w:pPr>
                        <w:ind w:left="0" w:leftChars="0" w:firstLine="0" w:firstLineChars="0"/>
                        <w:jc w:val="both"/>
                        <w:rPr>
                          <w:rFonts w:hint="default" w:eastAsia="宋体"/>
                          <w:sz w:val="10"/>
                          <w:szCs w:val="10"/>
                          <w:lang w:val="en-US" w:eastAsia="zh-CN"/>
                        </w:rPr>
                      </w:pPr>
                      <w:r>
                        <w:rPr>
                          <w:rFonts w:hint="eastAsia"/>
                          <w:sz w:val="10"/>
                          <w:szCs w:val="10"/>
                          <w:lang w:val="en-US" w:eastAsia="zh-CN"/>
                        </w:rPr>
                        <w:t>本项目所在地</w:t>
                      </w:r>
                    </w:p>
                  </w:txbxContent>
                </v:textbox>
              </v:shape>
            </w:pict>
          </mc:Fallback>
        </mc:AlternateContent>
      </w:r>
      <w:r>
        <w:rPr>
          <w:sz w:val="24"/>
        </w:rPr>
        <mc:AlternateContent>
          <mc:Choice Requires="wps">
            <w:drawing>
              <wp:anchor distT="0" distB="0" distL="114300" distR="114300" simplePos="0" relativeHeight="251700224" behindDoc="0" locked="0" layoutInCell="1" allowOverlap="1">
                <wp:simplePos x="0" y="0"/>
                <wp:positionH relativeFrom="column">
                  <wp:posOffset>4323715</wp:posOffset>
                </wp:positionH>
                <wp:positionV relativeFrom="paragraph">
                  <wp:posOffset>1192530</wp:posOffset>
                </wp:positionV>
                <wp:extent cx="104775" cy="76835"/>
                <wp:effectExtent l="12700" t="12700" r="19685" b="17145"/>
                <wp:wrapNone/>
                <wp:docPr id="56" name="五角星 56"/>
                <wp:cNvGraphicFramePr/>
                <a:graphic xmlns:a="http://schemas.openxmlformats.org/drawingml/2006/main">
                  <a:graphicData uri="http://schemas.microsoft.com/office/word/2010/wordprocessingShape">
                    <wps:wsp>
                      <wps:cNvSpPr/>
                      <wps:spPr>
                        <a:xfrm>
                          <a:off x="0" y="0"/>
                          <a:ext cx="104775" cy="76835"/>
                        </a:xfrm>
                        <a:prstGeom prst="star5">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40.45pt;margin-top:93.9pt;height:6.05pt;width:8.25pt;z-index:251700224;v-text-anchor:middle;mso-width-relative:page;mso-height-relative:page;" fillcolor="#000000 [3213]" filled="t" stroked="t" coordsize="104775,76835" o:gfxdata="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gdu2g1gAAAAsBAAAPAAAAAAAAAAEAIAAAACIAAABkcnMvZG93bnJldi54bWxQSwECFAAU&#10;AAAACACHTuJAhC6YHWUCAADhBAAADgAAAAAAAAABACAAAAAlAQAAZHJzL2Uyb0RvYy54bWxQSwUG&#10;AAAAAAYABgBZAQAA/AUAAAAA&#10;" path="m0,29348l40020,29348,52387,0,64754,29348,104774,29348,72397,47486,84764,76834,52387,58696,20010,76834,32377,47486xe">
                <v:path o:connectlocs="52387,0;0,29348;20010,76834;84764,76834;104774,29348" o:connectangles="247,164,82,82,0"/>
                <v:fill on="t" focussize="0,0"/>
                <v:stroke weight="2pt" color="#000000 [3213]" joinstyle="round"/>
                <v:imagedata o:title=""/>
                <o:lock v:ext="edit" aspectratio="f"/>
              </v:shape>
            </w:pict>
          </mc:Fallback>
        </mc:AlternateContent>
      </w:r>
      <w:r>
        <w:rPr>
          <w:rFonts w:hint="eastAsia" w:eastAsia="宋体"/>
          <w:lang w:eastAsia="zh-CN"/>
        </w:rPr>
        <w:drawing>
          <wp:inline distT="0" distB="0" distL="114300" distR="114300">
            <wp:extent cx="7447915" cy="5268595"/>
            <wp:effectExtent l="0" t="0" r="4445" b="4445"/>
            <wp:docPr id="54" name="图片 54" descr="4e2916406527570418b44ed8604157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4e2916406527570418b44ed86041575b"/>
                    <pic:cNvPicPr>
                      <a:picLocks noChangeAspect="1"/>
                    </pic:cNvPicPr>
                  </pic:nvPicPr>
                  <pic:blipFill>
                    <a:blip r:embed="rId57"/>
                    <a:stretch>
                      <a:fillRect/>
                    </a:stretch>
                  </pic:blipFill>
                  <pic:spPr>
                    <a:xfrm>
                      <a:off x="0" y="0"/>
                      <a:ext cx="7447915" cy="5268595"/>
                    </a:xfrm>
                    <a:prstGeom prst="rect">
                      <a:avLst/>
                    </a:prstGeom>
                  </pic:spPr>
                </pic:pic>
              </a:graphicData>
            </a:graphic>
          </wp:inline>
        </w:drawing>
      </w:r>
    </w:p>
    <w:sectPr>
      <w:pgSz w:w="16838" w:h="11906" w:orient="landscape"/>
      <w:pgMar w:top="1531" w:right="1701" w:bottom="1531" w:left="1701" w:header="851" w:footer="851" w:gutter="0"/>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Math">
    <w:panose1 w:val="02040503050406030204"/>
    <w:charset w:val="00"/>
    <w:family w:val="auto"/>
    <w:pitch w:val="default"/>
    <w:sig w:usb0="E00006FF" w:usb1="420024FF" w:usb2="02000000" w:usb3="00000000" w:csb0="2000019F"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A676E">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83BF2">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0428BC">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60428BC">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B3F2C">
    <w:pPr>
      <w:widowControl w:val="0"/>
      <w:snapToGrid w:val="0"/>
      <w:ind w:right="360" w:firstLine="360"/>
      <w:jc w:val="left"/>
      <w:rPr>
        <w:rFonts w:ascii="Times New Roman" w:hAnsi="Times New Roman" w:eastAsia="宋体" w:cs="Times New Roman"/>
        <w:kern w:val="0"/>
        <w:sz w:val="18"/>
        <w:szCs w:val="20"/>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59A3E0">
                          <w:pPr>
                            <w:pStyle w:val="10"/>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059A3E0">
                    <w:pPr>
                      <w:pStyle w:val="10"/>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CF8E9">
    <w:pPr>
      <w:pStyle w:val="10"/>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1A1349">
                          <w:pPr>
                            <w:pStyle w:val="10"/>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5F1A1349">
                    <w:pPr>
                      <w:pStyle w:val="10"/>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30EC99"/>
    <w:multiLevelType w:val="multilevel"/>
    <w:tmpl w:val="8A30EC99"/>
    <w:lvl w:ilvl="0" w:tentative="0">
      <w:start w:val="1"/>
      <w:numFmt w:val="decimal"/>
      <w:suff w:val="space"/>
      <w:lvlText w:val="  %1"/>
      <w:lvlJc w:val="center"/>
      <w:pPr>
        <w:tabs>
          <w:tab w:val="left" w:pos="0"/>
        </w:tabs>
        <w:ind w:left="0" w:firstLine="0"/>
      </w:pPr>
      <w:rPr>
        <w:rFonts w:hint="default" w:ascii="Times New Roman" w:hAnsi="Times New Roman" w:eastAsia="宋体" w:cs="宋体"/>
        <w:b/>
        <w:bCs/>
        <w:sz w:val="32"/>
        <w:szCs w:val="30"/>
      </w:rPr>
    </w:lvl>
    <w:lvl w:ilvl="1" w:tentative="0">
      <w:start w:val="1"/>
      <w:numFmt w:val="decimal"/>
      <w:suff w:val="nothing"/>
      <w:lvlText w:val="%1.%2 "/>
      <w:lvlJc w:val="left"/>
      <w:pPr>
        <w:tabs>
          <w:tab w:val="left" w:pos="0"/>
        </w:tabs>
        <w:ind w:left="575" w:hanging="575"/>
      </w:pPr>
      <w:rPr>
        <w:rFonts w:hint="default" w:ascii="Times New Roman" w:hAnsi="Times New Roman" w:eastAsia="黑体" w:cs="Times New Roman"/>
        <w:b/>
        <w:bCs/>
        <w:sz w:val="28"/>
        <w:szCs w:val="28"/>
      </w:rPr>
    </w:lvl>
    <w:lvl w:ilvl="2" w:tentative="0">
      <w:start w:val="1"/>
      <w:numFmt w:val="decimal"/>
      <w:pStyle w:val="4"/>
      <w:suff w:val="nothing"/>
      <w:lvlText w:val="%1.%2.%3 "/>
      <w:lvlJc w:val="left"/>
      <w:pPr>
        <w:tabs>
          <w:tab w:val="left" w:pos="0"/>
        </w:tabs>
        <w:ind w:left="720" w:hanging="720"/>
      </w:pPr>
      <w:rPr>
        <w:rFonts w:hint="default" w:ascii="Times New Roman" w:hAnsi="Times New Roman" w:eastAsia="宋体" w:cs="Times New Roman"/>
        <w:b/>
        <w:bCs/>
        <w:sz w:val="24"/>
        <w:szCs w:val="24"/>
      </w:rPr>
    </w:lvl>
    <w:lvl w:ilvl="3" w:tentative="0">
      <w:start w:val="1"/>
      <w:numFmt w:val="decimal"/>
      <w:suff w:val="nothing"/>
      <w:lvlText w:val="%1.%2.%3.%4 "/>
      <w:lvlJc w:val="left"/>
      <w:pPr>
        <w:tabs>
          <w:tab w:val="left" w:pos="0"/>
        </w:tabs>
        <w:ind w:left="864" w:hanging="864"/>
      </w:pPr>
      <w:rPr>
        <w:rFonts w:hint="default" w:ascii="Times New Roman" w:hAnsi="Times New Roman" w:eastAsia="宋体" w:cs="Times New Roman"/>
        <w:b/>
        <w:bCs/>
        <w:sz w:val="24"/>
        <w:szCs w:val="24"/>
      </w:rPr>
    </w:lvl>
    <w:lvl w:ilvl="4" w:tentative="0">
      <w:start w:val="1"/>
      <w:numFmt w:val="decimal"/>
      <w:lvlRestart w:val="2"/>
      <w:suff w:val="nothing"/>
      <w:lvlText w:val="表%1.%2-%5  "/>
      <w:lvlJc w:val="left"/>
      <w:pPr>
        <w:tabs>
          <w:tab w:val="left" w:pos="5812"/>
        </w:tabs>
        <w:ind w:left="6820" w:hanging="1008"/>
      </w:pPr>
      <w:rPr>
        <w:rFonts w:hint="default" w:ascii="Times New Roman" w:hAnsi="Times New Roman" w:eastAsia="宋体" w:cs="Times New Roman"/>
        <w:b/>
        <w:bCs/>
        <w:sz w:val="24"/>
        <w:szCs w:val="24"/>
      </w:rPr>
    </w:lvl>
    <w:lvl w:ilvl="5" w:tentative="0">
      <w:start w:val="1"/>
      <w:numFmt w:val="decimal"/>
      <w:lvlText w:val="%1.%2.%3.%4.%5.%6."/>
      <w:lvlJc w:val="left"/>
      <w:pPr>
        <w:ind w:left="1151" w:hanging="1151"/>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3" w:hanging="1583"/>
      </w:pPr>
      <w:rPr>
        <w:rFonts w:hint="eastAsia"/>
      </w:rPr>
    </w:lvl>
  </w:abstractNum>
  <w:abstractNum w:abstractNumId="1">
    <w:nsid w:val="A8919843"/>
    <w:multiLevelType w:val="singleLevel"/>
    <w:tmpl w:val="A8919843"/>
    <w:lvl w:ilvl="0" w:tentative="0">
      <w:start w:val="9"/>
      <w:numFmt w:val="decimal"/>
      <w:suff w:val="nothing"/>
      <w:lvlText w:val="%1、"/>
      <w:lvlJc w:val="left"/>
    </w:lvl>
  </w:abstractNum>
  <w:abstractNum w:abstractNumId="2">
    <w:nsid w:val="C75B2C35"/>
    <w:multiLevelType w:val="singleLevel"/>
    <w:tmpl w:val="C75B2C35"/>
    <w:lvl w:ilvl="0" w:tentative="0">
      <w:start w:val="2"/>
      <w:numFmt w:val="decimal"/>
      <w:suff w:val="nothing"/>
      <w:lvlText w:val="（%1）"/>
      <w:lvlJc w:val="left"/>
      <w:rPr>
        <w:rFonts w:hint="default"/>
        <w:sz w:val="24"/>
        <w:szCs w:val="24"/>
      </w:rPr>
    </w:lvl>
  </w:abstractNum>
  <w:abstractNum w:abstractNumId="3">
    <w:nsid w:val="1387744E"/>
    <w:multiLevelType w:val="singleLevel"/>
    <w:tmpl w:val="1387744E"/>
    <w:lvl w:ilvl="0" w:tentative="0">
      <w:start w:val="4"/>
      <w:numFmt w:val="decimal"/>
      <w:suff w:val="nothing"/>
      <w:lvlText w:val="%1、"/>
      <w:lvlJc w:val="left"/>
    </w:lvl>
  </w:abstractNum>
  <w:abstractNum w:abstractNumId="4">
    <w:nsid w:val="307AF242"/>
    <w:multiLevelType w:val="singleLevel"/>
    <w:tmpl w:val="307AF242"/>
    <w:lvl w:ilvl="0" w:tentative="0">
      <w:start w:val="2"/>
      <w:numFmt w:val="decimal"/>
      <w:suff w:val="nothing"/>
      <w:lvlText w:val="（%1）"/>
      <w:lvlJc w:val="left"/>
    </w:lvl>
  </w:abstractNum>
  <w:abstractNum w:abstractNumId="5">
    <w:nsid w:val="36B0D5E6"/>
    <w:multiLevelType w:val="singleLevel"/>
    <w:tmpl w:val="36B0D5E6"/>
    <w:lvl w:ilvl="0" w:tentative="0">
      <w:start w:val="1"/>
      <w:numFmt w:val="decimal"/>
      <w:suff w:val="nothing"/>
      <w:lvlText w:val="（%1）"/>
      <w:lvlJc w:val="left"/>
    </w:lvl>
  </w:abstractNum>
  <w:abstractNum w:abstractNumId="6">
    <w:nsid w:val="3CDE1E37"/>
    <w:multiLevelType w:val="singleLevel"/>
    <w:tmpl w:val="3CDE1E37"/>
    <w:lvl w:ilvl="0" w:tentative="0">
      <w:start w:val="5"/>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2ZjI5NzA3OWVjZmQyNjIxZWI0NDBhYjFmMDk0YTMifQ=="/>
  </w:docVars>
  <w:rsids>
    <w:rsidRoot w:val="00172A2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95914"/>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90F7E"/>
    <w:rsid w:val="015D1E09"/>
    <w:rsid w:val="01810620"/>
    <w:rsid w:val="02697903"/>
    <w:rsid w:val="02F96569"/>
    <w:rsid w:val="030E4812"/>
    <w:rsid w:val="03532809"/>
    <w:rsid w:val="039D386B"/>
    <w:rsid w:val="03EA7B21"/>
    <w:rsid w:val="04387860"/>
    <w:rsid w:val="04692CD0"/>
    <w:rsid w:val="046E5FD6"/>
    <w:rsid w:val="04775AF5"/>
    <w:rsid w:val="049F0281"/>
    <w:rsid w:val="04F70DFE"/>
    <w:rsid w:val="05D70CFD"/>
    <w:rsid w:val="05F83EAE"/>
    <w:rsid w:val="063E7D85"/>
    <w:rsid w:val="06BB0F47"/>
    <w:rsid w:val="06BE7F2B"/>
    <w:rsid w:val="06C15478"/>
    <w:rsid w:val="06E33B24"/>
    <w:rsid w:val="07293586"/>
    <w:rsid w:val="07295285"/>
    <w:rsid w:val="07636392"/>
    <w:rsid w:val="07683FB9"/>
    <w:rsid w:val="07770C56"/>
    <w:rsid w:val="092217DD"/>
    <w:rsid w:val="093A7294"/>
    <w:rsid w:val="09BA698E"/>
    <w:rsid w:val="0A263993"/>
    <w:rsid w:val="0A2D3AC2"/>
    <w:rsid w:val="0AA755DF"/>
    <w:rsid w:val="0B120D44"/>
    <w:rsid w:val="0B545780"/>
    <w:rsid w:val="0B8F5C8E"/>
    <w:rsid w:val="0BA05742"/>
    <w:rsid w:val="0BBC7BD9"/>
    <w:rsid w:val="0BD27BF6"/>
    <w:rsid w:val="0BF73462"/>
    <w:rsid w:val="0C3B3C7D"/>
    <w:rsid w:val="0C7215C0"/>
    <w:rsid w:val="0CAB2EAE"/>
    <w:rsid w:val="0CC960AC"/>
    <w:rsid w:val="0CEE4F60"/>
    <w:rsid w:val="0D196739"/>
    <w:rsid w:val="0D621C7D"/>
    <w:rsid w:val="0D726DE4"/>
    <w:rsid w:val="0D7905E5"/>
    <w:rsid w:val="0DD979BE"/>
    <w:rsid w:val="0E522245"/>
    <w:rsid w:val="0E73034D"/>
    <w:rsid w:val="0F13775A"/>
    <w:rsid w:val="0F5F45FE"/>
    <w:rsid w:val="0F9A112B"/>
    <w:rsid w:val="0FB85CEB"/>
    <w:rsid w:val="10110BCD"/>
    <w:rsid w:val="106D2F64"/>
    <w:rsid w:val="1092650A"/>
    <w:rsid w:val="10B63710"/>
    <w:rsid w:val="10F10820"/>
    <w:rsid w:val="110D5F06"/>
    <w:rsid w:val="111C2F7A"/>
    <w:rsid w:val="114A12E5"/>
    <w:rsid w:val="11665CA1"/>
    <w:rsid w:val="121D2636"/>
    <w:rsid w:val="127A5769"/>
    <w:rsid w:val="12AD7245"/>
    <w:rsid w:val="12F26391"/>
    <w:rsid w:val="131F55C7"/>
    <w:rsid w:val="13951726"/>
    <w:rsid w:val="13FF29E4"/>
    <w:rsid w:val="1417603A"/>
    <w:rsid w:val="14396509"/>
    <w:rsid w:val="143D7907"/>
    <w:rsid w:val="14B4083D"/>
    <w:rsid w:val="14DD2C3C"/>
    <w:rsid w:val="15065D8D"/>
    <w:rsid w:val="15072664"/>
    <w:rsid w:val="15363948"/>
    <w:rsid w:val="155411D4"/>
    <w:rsid w:val="16087E1D"/>
    <w:rsid w:val="16476399"/>
    <w:rsid w:val="167504A0"/>
    <w:rsid w:val="16E166F8"/>
    <w:rsid w:val="17075D31"/>
    <w:rsid w:val="17701D14"/>
    <w:rsid w:val="17735226"/>
    <w:rsid w:val="17EE22B8"/>
    <w:rsid w:val="189A7D50"/>
    <w:rsid w:val="189F624C"/>
    <w:rsid w:val="18DC22EC"/>
    <w:rsid w:val="195E7E77"/>
    <w:rsid w:val="1A1C66C0"/>
    <w:rsid w:val="1A42393B"/>
    <w:rsid w:val="1A9F05BC"/>
    <w:rsid w:val="1AAD45DE"/>
    <w:rsid w:val="1B046F80"/>
    <w:rsid w:val="1B3267B5"/>
    <w:rsid w:val="1B40161D"/>
    <w:rsid w:val="1B441859"/>
    <w:rsid w:val="1B6606B1"/>
    <w:rsid w:val="1B787DD1"/>
    <w:rsid w:val="1C5E7925"/>
    <w:rsid w:val="1CD972D0"/>
    <w:rsid w:val="1CEA2A7E"/>
    <w:rsid w:val="1CF8698E"/>
    <w:rsid w:val="1CFD070F"/>
    <w:rsid w:val="1D5F6196"/>
    <w:rsid w:val="1D6132A5"/>
    <w:rsid w:val="1D8E56D5"/>
    <w:rsid w:val="1E1E3627"/>
    <w:rsid w:val="1E323647"/>
    <w:rsid w:val="1E7A43DA"/>
    <w:rsid w:val="1EE12B77"/>
    <w:rsid w:val="1F124036"/>
    <w:rsid w:val="1F25170C"/>
    <w:rsid w:val="1F264229"/>
    <w:rsid w:val="1F71428D"/>
    <w:rsid w:val="1F8230E7"/>
    <w:rsid w:val="1F941821"/>
    <w:rsid w:val="1FE7539E"/>
    <w:rsid w:val="20671BE0"/>
    <w:rsid w:val="20963CB8"/>
    <w:rsid w:val="20A81A1B"/>
    <w:rsid w:val="20B07FB6"/>
    <w:rsid w:val="20B646FB"/>
    <w:rsid w:val="213B74B1"/>
    <w:rsid w:val="215A2310"/>
    <w:rsid w:val="21DE318A"/>
    <w:rsid w:val="21EF5B80"/>
    <w:rsid w:val="22576990"/>
    <w:rsid w:val="22F47480"/>
    <w:rsid w:val="23166AD4"/>
    <w:rsid w:val="237C10C0"/>
    <w:rsid w:val="23DE1C48"/>
    <w:rsid w:val="240210CD"/>
    <w:rsid w:val="24B959FC"/>
    <w:rsid w:val="24BF09F7"/>
    <w:rsid w:val="24D4644E"/>
    <w:rsid w:val="252D53FE"/>
    <w:rsid w:val="253015E1"/>
    <w:rsid w:val="25477E84"/>
    <w:rsid w:val="2581737A"/>
    <w:rsid w:val="25EC2D81"/>
    <w:rsid w:val="26B91CE3"/>
    <w:rsid w:val="26E50D2A"/>
    <w:rsid w:val="27326925"/>
    <w:rsid w:val="277057A2"/>
    <w:rsid w:val="28610884"/>
    <w:rsid w:val="29206EB8"/>
    <w:rsid w:val="29595666"/>
    <w:rsid w:val="29874881"/>
    <w:rsid w:val="29E325E0"/>
    <w:rsid w:val="2A2318A5"/>
    <w:rsid w:val="2A452503"/>
    <w:rsid w:val="2AE51D07"/>
    <w:rsid w:val="2BA936A8"/>
    <w:rsid w:val="2C315A5A"/>
    <w:rsid w:val="2C4B1C25"/>
    <w:rsid w:val="2CC05A21"/>
    <w:rsid w:val="2CD7199B"/>
    <w:rsid w:val="2D727367"/>
    <w:rsid w:val="2D9E56F5"/>
    <w:rsid w:val="2DB65A25"/>
    <w:rsid w:val="2E667F96"/>
    <w:rsid w:val="2E8226AB"/>
    <w:rsid w:val="2F25260C"/>
    <w:rsid w:val="2FD065E6"/>
    <w:rsid w:val="2FD96870"/>
    <w:rsid w:val="30352452"/>
    <w:rsid w:val="304963A5"/>
    <w:rsid w:val="30580BC9"/>
    <w:rsid w:val="30E67B79"/>
    <w:rsid w:val="31116946"/>
    <w:rsid w:val="311E2ED7"/>
    <w:rsid w:val="315619EE"/>
    <w:rsid w:val="315C449C"/>
    <w:rsid w:val="31B82709"/>
    <w:rsid w:val="31C85CEC"/>
    <w:rsid w:val="31CC4E5C"/>
    <w:rsid w:val="31D05482"/>
    <w:rsid w:val="32400B34"/>
    <w:rsid w:val="329B2BE5"/>
    <w:rsid w:val="329E6876"/>
    <w:rsid w:val="333015F2"/>
    <w:rsid w:val="334B6320"/>
    <w:rsid w:val="33A1606D"/>
    <w:rsid w:val="33D934D4"/>
    <w:rsid w:val="33FE2F6A"/>
    <w:rsid w:val="340E07E5"/>
    <w:rsid w:val="34235BF7"/>
    <w:rsid w:val="358C5FA8"/>
    <w:rsid w:val="35C15DF1"/>
    <w:rsid w:val="36074A7F"/>
    <w:rsid w:val="366812A0"/>
    <w:rsid w:val="36923549"/>
    <w:rsid w:val="36A90D3F"/>
    <w:rsid w:val="36AD31C9"/>
    <w:rsid w:val="36B75FBF"/>
    <w:rsid w:val="36BD0C45"/>
    <w:rsid w:val="37875611"/>
    <w:rsid w:val="37E00298"/>
    <w:rsid w:val="37F93E62"/>
    <w:rsid w:val="380C36BB"/>
    <w:rsid w:val="38B302F9"/>
    <w:rsid w:val="38D16E2E"/>
    <w:rsid w:val="38F12CD3"/>
    <w:rsid w:val="38F94775"/>
    <w:rsid w:val="392971ED"/>
    <w:rsid w:val="393071D0"/>
    <w:rsid w:val="39325651"/>
    <w:rsid w:val="39C26CA9"/>
    <w:rsid w:val="3A526DC5"/>
    <w:rsid w:val="3A5C1A76"/>
    <w:rsid w:val="3A773F37"/>
    <w:rsid w:val="3A872856"/>
    <w:rsid w:val="3B2D49E0"/>
    <w:rsid w:val="3B3763D1"/>
    <w:rsid w:val="3B440895"/>
    <w:rsid w:val="3C2F6E1E"/>
    <w:rsid w:val="3C4F64BA"/>
    <w:rsid w:val="3CDA245A"/>
    <w:rsid w:val="3D1E06B7"/>
    <w:rsid w:val="3D2E4D81"/>
    <w:rsid w:val="3DCF0603"/>
    <w:rsid w:val="3E875492"/>
    <w:rsid w:val="3EDA0523"/>
    <w:rsid w:val="3EE91AE3"/>
    <w:rsid w:val="407A6407"/>
    <w:rsid w:val="408B6047"/>
    <w:rsid w:val="408E7AB1"/>
    <w:rsid w:val="4200449D"/>
    <w:rsid w:val="423821FE"/>
    <w:rsid w:val="423A3BCC"/>
    <w:rsid w:val="424E57D2"/>
    <w:rsid w:val="42542553"/>
    <w:rsid w:val="42B26C49"/>
    <w:rsid w:val="433A6FE6"/>
    <w:rsid w:val="43480868"/>
    <w:rsid w:val="4350713C"/>
    <w:rsid w:val="436653E0"/>
    <w:rsid w:val="437B23A2"/>
    <w:rsid w:val="43B60E25"/>
    <w:rsid w:val="43C4431A"/>
    <w:rsid w:val="442A2738"/>
    <w:rsid w:val="44B951CC"/>
    <w:rsid w:val="44CD14E0"/>
    <w:rsid w:val="44F20B0B"/>
    <w:rsid w:val="452E5F4C"/>
    <w:rsid w:val="455E3D2A"/>
    <w:rsid w:val="45612018"/>
    <w:rsid w:val="458946E9"/>
    <w:rsid w:val="45A47C0E"/>
    <w:rsid w:val="46577FD6"/>
    <w:rsid w:val="46901D85"/>
    <w:rsid w:val="46B1266F"/>
    <w:rsid w:val="46D955A7"/>
    <w:rsid w:val="470D79CF"/>
    <w:rsid w:val="47133957"/>
    <w:rsid w:val="47A07E0C"/>
    <w:rsid w:val="47DA13C3"/>
    <w:rsid w:val="47E33A0D"/>
    <w:rsid w:val="4870272E"/>
    <w:rsid w:val="488A1CC1"/>
    <w:rsid w:val="489307A4"/>
    <w:rsid w:val="4941408E"/>
    <w:rsid w:val="49BE4591"/>
    <w:rsid w:val="49DC7715"/>
    <w:rsid w:val="4A023139"/>
    <w:rsid w:val="4A7B576F"/>
    <w:rsid w:val="4AF561A9"/>
    <w:rsid w:val="4B8A1EEB"/>
    <w:rsid w:val="4BD823F5"/>
    <w:rsid w:val="4BEA40AD"/>
    <w:rsid w:val="4C3F25F8"/>
    <w:rsid w:val="4C4A0649"/>
    <w:rsid w:val="4C563AC8"/>
    <w:rsid w:val="4C7E5ECA"/>
    <w:rsid w:val="4C876AA5"/>
    <w:rsid w:val="4CD62F8C"/>
    <w:rsid w:val="4D0E00FB"/>
    <w:rsid w:val="4D176606"/>
    <w:rsid w:val="4D3C594D"/>
    <w:rsid w:val="4DC43221"/>
    <w:rsid w:val="4DEB7661"/>
    <w:rsid w:val="4DEC4FB0"/>
    <w:rsid w:val="4E04490D"/>
    <w:rsid w:val="4E075D8A"/>
    <w:rsid w:val="4E6A373F"/>
    <w:rsid w:val="4E915170"/>
    <w:rsid w:val="4EAD471B"/>
    <w:rsid w:val="4EC00FAD"/>
    <w:rsid w:val="4F4D5BA9"/>
    <w:rsid w:val="4F6939F7"/>
    <w:rsid w:val="4F9843DC"/>
    <w:rsid w:val="4FC62A8C"/>
    <w:rsid w:val="4FE20F0D"/>
    <w:rsid w:val="4FE51552"/>
    <w:rsid w:val="501105C9"/>
    <w:rsid w:val="502A587C"/>
    <w:rsid w:val="50504C4B"/>
    <w:rsid w:val="50546455"/>
    <w:rsid w:val="507969F5"/>
    <w:rsid w:val="509C6E7C"/>
    <w:rsid w:val="509F0799"/>
    <w:rsid w:val="50A415F4"/>
    <w:rsid w:val="511958BF"/>
    <w:rsid w:val="5162104E"/>
    <w:rsid w:val="53A039CC"/>
    <w:rsid w:val="53A1505A"/>
    <w:rsid w:val="53B768FC"/>
    <w:rsid w:val="53D94A0C"/>
    <w:rsid w:val="54063E08"/>
    <w:rsid w:val="543437E8"/>
    <w:rsid w:val="54F73313"/>
    <w:rsid w:val="54F80955"/>
    <w:rsid w:val="54FF095A"/>
    <w:rsid w:val="554534E3"/>
    <w:rsid w:val="555170A7"/>
    <w:rsid w:val="5587536D"/>
    <w:rsid w:val="559B174B"/>
    <w:rsid w:val="55A5791E"/>
    <w:rsid w:val="55B47A2E"/>
    <w:rsid w:val="55CE0CF4"/>
    <w:rsid w:val="55D86B78"/>
    <w:rsid w:val="56037D56"/>
    <w:rsid w:val="561D19DF"/>
    <w:rsid w:val="56821D95"/>
    <w:rsid w:val="56B22A9C"/>
    <w:rsid w:val="56D71977"/>
    <w:rsid w:val="576B7333"/>
    <w:rsid w:val="57B72A76"/>
    <w:rsid w:val="57C3426C"/>
    <w:rsid w:val="57CE1F93"/>
    <w:rsid w:val="58690F0C"/>
    <w:rsid w:val="588743D1"/>
    <w:rsid w:val="5887701A"/>
    <w:rsid w:val="597F6CEF"/>
    <w:rsid w:val="59C0439F"/>
    <w:rsid w:val="59D55B51"/>
    <w:rsid w:val="5A474F17"/>
    <w:rsid w:val="5AA61FA3"/>
    <w:rsid w:val="5ABE2233"/>
    <w:rsid w:val="5BDF5D95"/>
    <w:rsid w:val="5BFE7528"/>
    <w:rsid w:val="5CD37BDA"/>
    <w:rsid w:val="5D443BDE"/>
    <w:rsid w:val="5D702857"/>
    <w:rsid w:val="5DAA3B58"/>
    <w:rsid w:val="5E0F7E5F"/>
    <w:rsid w:val="5E2467F1"/>
    <w:rsid w:val="5EE44E48"/>
    <w:rsid w:val="5F1A2B43"/>
    <w:rsid w:val="5F317DA1"/>
    <w:rsid w:val="5F49114F"/>
    <w:rsid w:val="5F6D241A"/>
    <w:rsid w:val="5FA831C8"/>
    <w:rsid w:val="5FB837BB"/>
    <w:rsid w:val="60B17204"/>
    <w:rsid w:val="60CC405A"/>
    <w:rsid w:val="60F92F16"/>
    <w:rsid w:val="61E215D8"/>
    <w:rsid w:val="621B3775"/>
    <w:rsid w:val="62364782"/>
    <w:rsid w:val="63185ADE"/>
    <w:rsid w:val="6333360B"/>
    <w:rsid w:val="63376A52"/>
    <w:rsid w:val="63673B3C"/>
    <w:rsid w:val="6394356A"/>
    <w:rsid w:val="63C61B2C"/>
    <w:rsid w:val="63D40BE9"/>
    <w:rsid w:val="64102431"/>
    <w:rsid w:val="64A5243A"/>
    <w:rsid w:val="64D4313F"/>
    <w:rsid w:val="64ED42F3"/>
    <w:rsid w:val="64F531DE"/>
    <w:rsid w:val="65373578"/>
    <w:rsid w:val="65B111EB"/>
    <w:rsid w:val="66AD290B"/>
    <w:rsid w:val="66F430D5"/>
    <w:rsid w:val="671F124A"/>
    <w:rsid w:val="677733AE"/>
    <w:rsid w:val="677A33C6"/>
    <w:rsid w:val="6816471D"/>
    <w:rsid w:val="681F6961"/>
    <w:rsid w:val="68407038"/>
    <w:rsid w:val="68610A2F"/>
    <w:rsid w:val="687075D5"/>
    <w:rsid w:val="68805514"/>
    <w:rsid w:val="688421AD"/>
    <w:rsid w:val="68A1024E"/>
    <w:rsid w:val="68C819E0"/>
    <w:rsid w:val="68D40A32"/>
    <w:rsid w:val="691C0678"/>
    <w:rsid w:val="69316E2F"/>
    <w:rsid w:val="694E2071"/>
    <w:rsid w:val="69766163"/>
    <w:rsid w:val="697A3B33"/>
    <w:rsid w:val="69B33D95"/>
    <w:rsid w:val="69CC20AA"/>
    <w:rsid w:val="69D44760"/>
    <w:rsid w:val="69E6402C"/>
    <w:rsid w:val="6A520EC7"/>
    <w:rsid w:val="6AF87E20"/>
    <w:rsid w:val="6B100205"/>
    <w:rsid w:val="6B322639"/>
    <w:rsid w:val="6B700CAD"/>
    <w:rsid w:val="6B9333F6"/>
    <w:rsid w:val="6C1C7716"/>
    <w:rsid w:val="6C636C38"/>
    <w:rsid w:val="6CCE0EE6"/>
    <w:rsid w:val="6DB34098"/>
    <w:rsid w:val="6DB545B6"/>
    <w:rsid w:val="6DE02FB4"/>
    <w:rsid w:val="6E514CED"/>
    <w:rsid w:val="6EB563D5"/>
    <w:rsid w:val="6ED92677"/>
    <w:rsid w:val="6F225983"/>
    <w:rsid w:val="6F812144"/>
    <w:rsid w:val="6F911E17"/>
    <w:rsid w:val="6FFC5590"/>
    <w:rsid w:val="70441BEA"/>
    <w:rsid w:val="706D1628"/>
    <w:rsid w:val="706D1DD0"/>
    <w:rsid w:val="70856B87"/>
    <w:rsid w:val="70A1528F"/>
    <w:rsid w:val="70D527EE"/>
    <w:rsid w:val="711E29C3"/>
    <w:rsid w:val="715B5300"/>
    <w:rsid w:val="71956281"/>
    <w:rsid w:val="71D27F8A"/>
    <w:rsid w:val="71F367AB"/>
    <w:rsid w:val="721169B3"/>
    <w:rsid w:val="72553024"/>
    <w:rsid w:val="73122968"/>
    <w:rsid w:val="731F5D5E"/>
    <w:rsid w:val="73530396"/>
    <w:rsid w:val="739071BA"/>
    <w:rsid w:val="73996EE4"/>
    <w:rsid w:val="73C51AD5"/>
    <w:rsid w:val="74027161"/>
    <w:rsid w:val="741E793C"/>
    <w:rsid w:val="745D3268"/>
    <w:rsid w:val="745E3944"/>
    <w:rsid w:val="7482588A"/>
    <w:rsid w:val="749E7B24"/>
    <w:rsid w:val="75807F36"/>
    <w:rsid w:val="75AE7B06"/>
    <w:rsid w:val="75C95E77"/>
    <w:rsid w:val="7635099D"/>
    <w:rsid w:val="7667739A"/>
    <w:rsid w:val="76E539FB"/>
    <w:rsid w:val="77762421"/>
    <w:rsid w:val="77783942"/>
    <w:rsid w:val="77B56B1F"/>
    <w:rsid w:val="77FC724F"/>
    <w:rsid w:val="780F09F4"/>
    <w:rsid w:val="78675820"/>
    <w:rsid w:val="78A90480"/>
    <w:rsid w:val="78F8667D"/>
    <w:rsid w:val="7A364017"/>
    <w:rsid w:val="7A8265E1"/>
    <w:rsid w:val="7A941637"/>
    <w:rsid w:val="7AED73D7"/>
    <w:rsid w:val="7AFA772C"/>
    <w:rsid w:val="7B686D42"/>
    <w:rsid w:val="7B841746"/>
    <w:rsid w:val="7BF83B97"/>
    <w:rsid w:val="7BF90816"/>
    <w:rsid w:val="7C1F175E"/>
    <w:rsid w:val="7C3F35AD"/>
    <w:rsid w:val="7C6C5AC7"/>
    <w:rsid w:val="7CC6544B"/>
    <w:rsid w:val="7D0239FF"/>
    <w:rsid w:val="7D5E40CD"/>
    <w:rsid w:val="7DCD56F2"/>
    <w:rsid w:val="7DE92EB7"/>
    <w:rsid w:val="7F001CE7"/>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7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42"/>
    <w:qFormat/>
    <w:locked/>
    <w:uiPriority w:val="99"/>
    <w:pPr>
      <w:keepNext/>
      <w:overflowPunct w:val="0"/>
      <w:snapToGrid w:val="0"/>
      <w:spacing w:line="360" w:lineRule="auto"/>
      <w:ind w:left="0" w:firstLine="0"/>
      <w:outlineLvl w:val="0"/>
    </w:pPr>
    <w:rPr>
      <w:b/>
      <w:bCs/>
      <w:color w:val="000000"/>
      <w:kern w:val="44"/>
      <w:sz w:val="24"/>
      <w:szCs w:val="30"/>
    </w:rPr>
  </w:style>
  <w:style w:type="paragraph" w:styleId="3">
    <w:name w:val="heading 2"/>
    <w:basedOn w:val="1"/>
    <w:next w:val="1"/>
    <w:unhideWhenUsed/>
    <w:qFormat/>
    <w:locked/>
    <w:uiPriority w:val="0"/>
    <w:pPr>
      <w:keepNext/>
      <w:keepLines/>
      <w:spacing w:before="100" w:beforeLines="100" w:after="100" w:afterLines="100" w:line="360" w:lineRule="auto"/>
      <w:ind w:firstLine="0" w:firstLineChars="0"/>
      <w:outlineLvl w:val="1"/>
    </w:pPr>
    <w:rPr>
      <w:rFonts w:ascii="Times New Roman" w:hAnsi="Times New Roman" w:cs="Times New Roman"/>
      <w:szCs w:val="21"/>
    </w:rPr>
  </w:style>
  <w:style w:type="paragraph" w:styleId="4">
    <w:name w:val="heading 3"/>
    <w:basedOn w:val="1"/>
    <w:next w:val="1"/>
    <w:qFormat/>
    <w:locked/>
    <w:uiPriority w:val="0"/>
    <w:pPr>
      <w:keepNext/>
      <w:keepLines/>
      <w:numPr>
        <w:ilvl w:val="2"/>
        <w:numId w:val="1"/>
      </w:numPr>
      <w:tabs>
        <w:tab w:val="left" w:pos="420"/>
        <w:tab w:val="clear" w:pos="0"/>
      </w:tabs>
      <w:spacing w:beforeLines="0" w:beforeAutospacing="0" w:afterLines="0" w:afterAutospacing="0" w:line="360" w:lineRule="auto"/>
      <w:ind w:left="720" w:hanging="720" w:firstLineChars="0"/>
      <w:outlineLvl w:val="2"/>
    </w:pPr>
    <w:rPr>
      <w:rFonts w:ascii="Times New Roman" w:hAnsi="Times New Roman" w:eastAsia="黑体"/>
      <w:b/>
      <w:bCs/>
      <w:sz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annotation text"/>
    <w:basedOn w:val="1"/>
    <w:link w:val="24"/>
    <w:semiHidden/>
    <w:qFormat/>
    <w:uiPriority w:val="0"/>
    <w:pPr>
      <w:jc w:val="left"/>
    </w:pPr>
    <w:rPr>
      <w:kern w:val="0"/>
      <w:sz w:val="24"/>
      <w:szCs w:val="20"/>
    </w:rPr>
  </w:style>
  <w:style w:type="paragraph" w:styleId="6">
    <w:name w:val="Body Text"/>
    <w:basedOn w:val="1"/>
    <w:link w:val="25"/>
    <w:qFormat/>
    <w:uiPriority w:val="0"/>
    <w:pPr>
      <w:widowControl/>
      <w:snapToGrid w:val="0"/>
      <w:spacing w:line="360" w:lineRule="auto"/>
      <w:ind w:right="0" w:firstLine="720" w:firstLineChars="200"/>
    </w:pPr>
    <w:rPr>
      <w:kern w:val="0"/>
      <w:sz w:val="24"/>
      <w:szCs w:val="20"/>
    </w:rPr>
  </w:style>
  <w:style w:type="paragraph" w:styleId="7">
    <w:name w:val="Body Text Indent"/>
    <w:basedOn w:val="1"/>
    <w:link w:val="26"/>
    <w:qFormat/>
    <w:uiPriority w:val="0"/>
    <w:pPr>
      <w:spacing w:after="120"/>
      <w:ind w:left="420" w:leftChars="200"/>
    </w:pPr>
    <w:rPr>
      <w:kern w:val="0"/>
      <w:sz w:val="24"/>
      <w:szCs w:val="20"/>
    </w:rPr>
  </w:style>
  <w:style w:type="paragraph" w:styleId="8">
    <w:name w:val="Date"/>
    <w:basedOn w:val="1"/>
    <w:next w:val="1"/>
    <w:link w:val="27"/>
    <w:qFormat/>
    <w:uiPriority w:val="0"/>
    <w:pPr>
      <w:ind w:left="100" w:leftChars="2500"/>
    </w:pPr>
    <w:rPr>
      <w:kern w:val="0"/>
      <w:sz w:val="24"/>
      <w:szCs w:val="20"/>
    </w:rPr>
  </w:style>
  <w:style w:type="paragraph" w:styleId="9">
    <w:name w:val="Balloon Text"/>
    <w:basedOn w:val="1"/>
    <w:link w:val="28"/>
    <w:semiHidden/>
    <w:qFormat/>
    <w:uiPriority w:val="0"/>
    <w:rPr>
      <w:kern w:val="0"/>
      <w:sz w:val="18"/>
      <w:szCs w:val="20"/>
    </w:rPr>
  </w:style>
  <w:style w:type="paragraph" w:styleId="10">
    <w:name w:val="footer"/>
    <w:basedOn w:val="1"/>
    <w:link w:val="29"/>
    <w:qFormat/>
    <w:uiPriority w:val="99"/>
    <w:pPr>
      <w:tabs>
        <w:tab w:val="center" w:pos="4153"/>
        <w:tab w:val="right" w:pos="8306"/>
      </w:tabs>
      <w:snapToGrid w:val="0"/>
      <w:jc w:val="left"/>
    </w:pPr>
    <w:rPr>
      <w:kern w:val="0"/>
      <w:sz w:val="18"/>
      <w:szCs w:val="20"/>
    </w:rPr>
  </w:style>
  <w:style w:type="paragraph" w:styleId="11">
    <w:name w:val="header"/>
    <w:basedOn w:val="1"/>
    <w:link w:val="30"/>
    <w:qFormat/>
    <w:uiPriority w:val="0"/>
    <w:pPr>
      <w:pBdr>
        <w:bottom w:val="single" w:color="auto" w:sz="6" w:space="1"/>
      </w:pBdr>
      <w:tabs>
        <w:tab w:val="center" w:pos="4153"/>
        <w:tab w:val="right" w:pos="8306"/>
      </w:tabs>
      <w:snapToGrid w:val="0"/>
      <w:jc w:val="center"/>
    </w:pPr>
    <w:rPr>
      <w:kern w:val="0"/>
      <w:sz w:val="18"/>
      <w:szCs w:val="20"/>
    </w:rPr>
  </w:style>
  <w:style w:type="paragraph" w:styleId="12">
    <w:name w:val="Normal (Web)"/>
    <w:basedOn w:val="1"/>
    <w:link w:val="31"/>
    <w:qFormat/>
    <w:uiPriority w:val="0"/>
    <w:pPr>
      <w:widowControl/>
      <w:spacing w:before="100" w:beforeAutospacing="1" w:after="100" w:afterAutospacing="1"/>
      <w:jc w:val="left"/>
    </w:pPr>
    <w:rPr>
      <w:rFonts w:ascii="宋体" w:hAnsi="宋体"/>
      <w:kern w:val="0"/>
      <w:sz w:val="24"/>
      <w:szCs w:val="20"/>
    </w:rPr>
  </w:style>
  <w:style w:type="paragraph" w:styleId="13">
    <w:name w:val="annotation subject"/>
    <w:basedOn w:val="5"/>
    <w:next w:val="5"/>
    <w:link w:val="32"/>
    <w:semiHidden/>
    <w:qFormat/>
    <w:uiPriority w:val="0"/>
    <w:rPr>
      <w:b/>
      <w:sz w:val="24"/>
      <w:szCs w:val="20"/>
    </w:rPr>
  </w:style>
  <w:style w:type="table" w:styleId="15">
    <w:name w:val="Table Grid"/>
    <w:basedOn w:val="14"/>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locked/>
    <w:uiPriority w:val="0"/>
    <w:rPr>
      <w:b/>
    </w:rPr>
  </w:style>
  <w:style w:type="character" w:styleId="18">
    <w:name w:val="page number"/>
    <w:basedOn w:val="16"/>
    <w:qFormat/>
    <w:locked/>
    <w:uiPriority w:val="0"/>
  </w:style>
  <w:style w:type="character" w:styleId="19">
    <w:name w:val="annotation reference"/>
    <w:semiHidden/>
    <w:qFormat/>
    <w:uiPriority w:val="0"/>
    <w:rPr>
      <w:sz w:val="21"/>
    </w:rPr>
  </w:style>
  <w:style w:type="paragraph" w:customStyle="1" w:styleId="20">
    <w:name w:val="[1]正文"/>
    <w:basedOn w:val="1"/>
    <w:autoRedefine/>
    <w:qFormat/>
    <w:uiPriority w:val="0"/>
    <w:pPr>
      <w:widowControl/>
      <w:snapToGrid w:val="0"/>
      <w:spacing w:line="360" w:lineRule="auto"/>
      <w:ind w:firstLine="200" w:firstLineChars="200"/>
      <w:jc w:val="left"/>
    </w:pPr>
    <w:rPr>
      <w:rFonts w:ascii="Calibri" w:hAnsi="Calibri"/>
      <w:kern w:val="0"/>
      <w:sz w:val="24"/>
      <w:szCs w:val="28"/>
    </w:rPr>
  </w:style>
  <w:style w:type="paragraph" w:customStyle="1" w:styleId="21">
    <w:name w:val="样式 样式 样式 四号 左侧:  1.53 厘米 + 首行缩进:  2 字符 + 居中 左侧:  2 字符 首行缩进:  2..."/>
    <w:basedOn w:val="22"/>
    <w:autoRedefine/>
    <w:qFormat/>
    <w:uiPriority w:val="0"/>
    <w:pPr>
      <w:jc w:val="center"/>
    </w:pPr>
  </w:style>
  <w:style w:type="paragraph" w:customStyle="1" w:styleId="22">
    <w:name w:val="样式 样式 四号 左侧:  1.53 厘米 + 首行缩进:  2 字符"/>
    <w:basedOn w:val="23"/>
    <w:autoRedefine/>
    <w:qFormat/>
    <w:uiPriority w:val="0"/>
    <w:pPr>
      <w:ind w:left="200" w:leftChars="200"/>
    </w:pPr>
    <w:rPr>
      <w:szCs w:val="20"/>
    </w:rPr>
  </w:style>
  <w:style w:type="paragraph" w:customStyle="1" w:styleId="23">
    <w:name w:val="样式 四号 左侧:  1.53 厘米"/>
    <w:basedOn w:val="1"/>
    <w:autoRedefine/>
    <w:qFormat/>
    <w:uiPriority w:val="0"/>
    <w:pPr>
      <w:adjustRightInd w:val="0"/>
    </w:pPr>
    <w:rPr>
      <w:w w:val="90"/>
      <w:sz w:val="28"/>
      <w:szCs w:val="28"/>
    </w:rPr>
  </w:style>
  <w:style w:type="character" w:customStyle="1" w:styleId="24">
    <w:name w:val="批注文字 Char"/>
    <w:link w:val="5"/>
    <w:qFormat/>
    <w:locked/>
    <w:uiPriority w:val="0"/>
    <w:rPr>
      <w:rFonts w:ascii="Times New Roman" w:hAnsi="Times New Roman" w:eastAsia="宋体"/>
      <w:sz w:val="24"/>
    </w:rPr>
  </w:style>
  <w:style w:type="character" w:customStyle="1" w:styleId="25">
    <w:name w:val="正文文本 Char"/>
    <w:link w:val="6"/>
    <w:qFormat/>
    <w:locked/>
    <w:uiPriority w:val="0"/>
    <w:rPr>
      <w:rFonts w:ascii="Times New Roman" w:hAnsi="Times New Roman" w:eastAsia="宋体"/>
      <w:sz w:val="24"/>
    </w:rPr>
  </w:style>
  <w:style w:type="character" w:customStyle="1" w:styleId="26">
    <w:name w:val="正文文本缩进 Char"/>
    <w:link w:val="7"/>
    <w:semiHidden/>
    <w:qFormat/>
    <w:locked/>
    <w:uiPriority w:val="0"/>
    <w:rPr>
      <w:rFonts w:ascii="Times New Roman" w:hAnsi="Times New Roman" w:eastAsia="宋体"/>
      <w:sz w:val="24"/>
    </w:rPr>
  </w:style>
  <w:style w:type="character" w:customStyle="1" w:styleId="27">
    <w:name w:val="日期 Char"/>
    <w:link w:val="8"/>
    <w:qFormat/>
    <w:locked/>
    <w:uiPriority w:val="0"/>
    <w:rPr>
      <w:rFonts w:ascii="Times New Roman" w:hAnsi="Times New Roman" w:eastAsia="宋体"/>
      <w:sz w:val="24"/>
    </w:rPr>
  </w:style>
  <w:style w:type="character" w:customStyle="1" w:styleId="28">
    <w:name w:val="批注框文本 Char"/>
    <w:link w:val="9"/>
    <w:semiHidden/>
    <w:qFormat/>
    <w:locked/>
    <w:uiPriority w:val="0"/>
    <w:rPr>
      <w:rFonts w:ascii="Times New Roman" w:hAnsi="Times New Roman" w:eastAsia="宋体"/>
      <w:sz w:val="18"/>
    </w:rPr>
  </w:style>
  <w:style w:type="character" w:customStyle="1" w:styleId="29">
    <w:name w:val="页脚 Char"/>
    <w:link w:val="10"/>
    <w:qFormat/>
    <w:locked/>
    <w:uiPriority w:val="99"/>
    <w:rPr>
      <w:sz w:val="18"/>
    </w:rPr>
  </w:style>
  <w:style w:type="character" w:customStyle="1" w:styleId="30">
    <w:name w:val="页眉 Char"/>
    <w:link w:val="11"/>
    <w:qFormat/>
    <w:locked/>
    <w:uiPriority w:val="0"/>
    <w:rPr>
      <w:sz w:val="18"/>
    </w:rPr>
  </w:style>
  <w:style w:type="character" w:customStyle="1" w:styleId="31">
    <w:name w:val="普通(网站) Char"/>
    <w:link w:val="12"/>
    <w:qFormat/>
    <w:locked/>
    <w:uiPriority w:val="0"/>
    <w:rPr>
      <w:rFonts w:ascii="宋体" w:hAnsi="宋体" w:eastAsia="宋体"/>
      <w:sz w:val="24"/>
    </w:rPr>
  </w:style>
  <w:style w:type="character" w:customStyle="1" w:styleId="32">
    <w:name w:val="批注主题 Char"/>
    <w:link w:val="13"/>
    <w:semiHidden/>
    <w:qFormat/>
    <w:locked/>
    <w:uiPriority w:val="0"/>
    <w:rPr>
      <w:rFonts w:ascii="Times New Roman" w:hAnsi="Times New Roman" w:eastAsia="宋体"/>
      <w:b/>
      <w:kern w:val="2"/>
      <w:sz w:val="24"/>
    </w:rPr>
  </w:style>
  <w:style w:type="character" w:customStyle="1" w:styleId="33">
    <w:name w:val="页脚 字符"/>
    <w:basedOn w:val="16"/>
    <w:qFormat/>
    <w:uiPriority w:val="99"/>
  </w:style>
  <w:style w:type="character" w:customStyle="1" w:styleId="34">
    <w:name w:val="正文文本 字符1"/>
    <w:semiHidden/>
    <w:qFormat/>
    <w:uiPriority w:val="0"/>
    <w:rPr>
      <w:rFonts w:ascii="Times New Roman" w:hAnsi="Times New Roman" w:eastAsia="宋体"/>
      <w:sz w:val="24"/>
    </w:rPr>
  </w:style>
  <w:style w:type="character" w:customStyle="1" w:styleId="35">
    <w:name w:val="表格 Char"/>
    <w:link w:val="36"/>
    <w:qFormat/>
    <w:locked/>
    <w:uiPriority w:val="0"/>
    <w:rPr>
      <w:rFonts w:ascii="宋体"/>
      <w:sz w:val="21"/>
    </w:rPr>
  </w:style>
  <w:style w:type="paragraph" w:customStyle="1" w:styleId="36">
    <w:name w:val="表格"/>
    <w:basedOn w:val="1"/>
    <w:next w:val="1"/>
    <w:link w:val="35"/>
    <w:qFormat/>
    <w:uiPriority w:val="0"/>
    <w:pPr>
      <w:adjustRightInd w:val="0"/>
      <w:snapToGrid w:val="0"/>
      <w:spacing w:beforeLines="10" w:afterLines="10" w:line="259" w:lineRule="auto"/>
      <w:jc w:val="center"/>
    </w:pPr>
    <w:rPr>
      <w:rFonts w:ascii="宋体"/>
      <w:kern w:val="0"/>
      <w:szCs w:val="20"/>
    </w:rPr>
  </w:style>
  <w:style w:type="character" w:customStyle="1" w:styleId="37">
    <w:name w:val="日期 字符"/>
    <w:semiHidden/>
    <w:qFormat/>
    <w:uiPriority w:val="0"/>
    <w:rPr>
      <w:rFonts w:ascii="Times New Roman" w:hAnsi="Times New Roman" w:eastAsia="宋体"/>
      <w:sz w:val="24"/>
    </w:rPr>
  </w:style>
  <w:style w:type="character" w:customStyle="1" w:styleId="38">
    <w:name w:val="批注文字 字符1"/>
    <w:semiHidden/>
    <w:qFormat/>
    <w:uiPriority w:val="0"/>
    <w:rPr>
      <w:rFonts w:ascii="Times New Roman" w:hAnsi="Times New Roman" w:eastAsia="宋体"/>
      <w:sz w:val="24"/>
    </w:rPr>
  </w:style>
  <w:style w:type="paragraph" w:customStyle="1" w:styleId="39">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0">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41">
    <w:name w:val="p0"/>
    <w:basedOn w:val="1"/>
    <w:autoRedefine/>
    <w:qFormat/>
    <w:uiPriority w:val="0"/>
    <w:pPr>
      <w:widowControl/>
    </w:pPr>
    <w:rPr>
      <w:kern w:val="0"/>
      <w:szCs w:val="21"/>
    </w:rPr>
  </w:style>
  <w:style w:type="character" w:customStyle="1" w:styleId="42">
    <w:name w:val="标题 1 Char"/>
    <w:link w:val="2"/>
    <w:qFormat/>
    <w:uiPriority w:val="99"/>
    <w:rPr>
      <w:b/>
      <w:bCs/>
      <w:color w:val="000000"/>
      <w:kern w:val="44"/>
      <w:sz w:val="24"/>
      <w:szCs w:val="30"/>
    </w:rPr>
  </w:style>
  <w:style w:type="paragraph" w:customStyle="1" w:styleId="43">
    <w:name w:val="高-正文"/>
    <w:basedOn w:val="1"/>
    <w:qFormat/>
    <w:uiPriority w:val="0"/>
    <w:pPr>
      <w:topLinePunct/>
      <w:adjustRightInd w:val="0"/>
      <w:snapToGrid w:val="0"/>
      <w:spacing w:line="480" w:lineRule="exact"/>
      <w:ind w:firstLine="600" w:firstLineChars="200"/>
    </w:pPr>
    <w:rPr>
      <w:snapToGrid w:val="0"/>
      <w:kern w:val="0"/>
      <w:sz w:val="24"/>
    </w:rPr>
  </w:style>
  <w:style w:type="paragraph" w:customStyle="1" w:styleId="44">
    <w:name w:val="高-表格"/>
    <w:basedOn w:val="1"/>
    <w:qFormat/>
    <w:uiPriority w:val="0"/>
    <w:pPr>
      <w:spacing w:line="360" w:lineRule="exact"/>
      <w:jc w:val="center"/>
    </w:pPr>
  </w:style>
  <w:style w:type="paragraph" w:customStyle="1" w:styleId="45">
    <w:name w:val="表格—高"/>
    <w:basedOn w:val="1"/>
    <w:qFormat/>
    <w:uiPriority w:val="0"/>
    <w:pPr>
      <w:adjustRightInd w:val="0"/>
      <w:snapToGrid w:val="0"/>
      <w:spacing w:line="340" w:lineRule="exact"/>
      <w:jc w:val="center"/>
    </w:pPr>
  </w:style>
  <w:style w:type="paragraph" w:customStyle="1" w:styleId="46">
    <w:name w:val="Table Text"/>
    <w:basedOn w:val="1"/>
    <w:semiHidden/>
    <w:qFormat/>
    <w:uiPriority w:val="0"/>
    <w:rPr>
      <w:rFonts w:ascii="仿宋" w:hAnsi="仿宋" w:eastAsia="仿宋" w:cs="仿宋"/>
      <w:sz w:val="28"/>
      <w:szCs w:val="28"/>
      <w:lang w:val="en-US" w:eastAsia="en-US" w:bidi="ar-SA"/>
    </w:rPr>
  </w:style>
  <w:style w:type="table" w:customStyle="1" w:styleId="47">
    <w:name w:val="Table Normal"/>
    <w:semiHidden/>
    <w:unhideWhenUsed/>
    <w:qFormat/>
    <w:uiPriority w:val="0"/>
    <w:tblPr>
      <w:tblCellMar>
        <w:top w:w="0" w:type="dxa"/>
        <w:left w:w="0" w:type="dxa"/>
        <w:bottom w:w="0" w:type="dxa"/>
        <w:right w:w="0" w:type="dxa"/>
      </w:tblCellMar>
    </w:tblPr>
  </w:style>
  <w:style w:type="paragraph" w:customStyle="1" w:styleId="48">
    <w:name w:val="Table Paragraph"/>
    <w:basedOn w:val="1"/>
    <w:qFormat/>
    <w:uiPriority w:val="1"/>
    <w:pPr>
      <w:autoSpaceDE w:val="0"/>
      <w:autoSpaceDN w:val="0"/>
      <w:jc w:val="center"/>
    </w:pPr>
    <w:rPr>
      <w:rFonts w:ascii="宋体" w:hAnsi="宋体" w:cs="宋体"/>
      <w:kern w:val="0"/>
      <w:sz w:val="22"/>
      <w:lang w:val="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1" Type="http://schemas.openxmlformats.org/officeDocument/2006/relationships/fontTable" Target="fontTable.xml"/><Relationship Id="rId60" Type="http://schemas.openxmlformats.org/officeDocument/2006/relationships/customXml" Target="../customXml/item2.xml"/><Relationship Id="rId6" Type="http://schemas.openxmlformats.org/officeDocument/2006/relationships/footer" Target="footer2.xml"/><Relationship Id="rId59" Type="http://schemas.openxmlformats.org/officeDocument/2006/relationships/numbering" Target="numbering.xml"/><Relationship Id="rId58" Type="http://schemas.openxmlformats.org/officeDocument/2006/relationships/customXml" Target="../customXml/item1.xml"/><Relationship Id="rId57" Type="http://schemas.openxmlformats.org/officeDocument/2006/relationships/image" Target="media/image46.jpeg"/><Relationship Id="rId56" Type="http://schemas.openxmlformats.org/officeDocument/2006/relationships/image" Target="media/image45.jpeg"/><Relationship Id="rId55" Type="http://schemas.openxmlformats.org/officeDocument/2006/relationships/image" Target="media/image44.jpeg"/><Relationship Id="rId54" Type="http://schemas.openxmlformats.org/officeDocument/2006/relationships/image" Target="media/image43.jpeg"/><Relationship Id="rId53" Type="http://schemas.openxmlformats.org/officeDocument/2006/relationships/image" Target="media/image42.jpeg"/><Relationship Id="rId52" Type="http://schemas.openxmlformats.org/officeDocument/2006/relationships/image" Target="media/image41.jpeg"/><Relationship Id="rId51" Type="http://schemas.openxmlformats.org/officeDocument/2006/relationships/image" Target="media/image40.jpeg"/><Relationship Id="rId50" Type="http://schemas.openxmlformats.org/officeDocument/2006/relationships/image" Target="media/image39.jpeg"/><Relationship Id="rId5" Type="http://schemas.openxmlformats.org/officeDocument/2006/relationships/footer" Target="footer1.xml"/><Relationship Id="rId49" Type="http://schemas.openxmlformats.org/officeDocument/2006/relationships/image" Target="media/image38.jpe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jpeg"/><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image" Target="media/image7.wmf"/><Relationship Id="rId17" Type="http://schemas.openxmlformats.org/officeDocument/2006/relationships/image" Target="media/image6.wmf"/><Relationship Id="rId16" Type="http://schemas.openxmlformats.org/officeDocument/2006/relationships/oleObject" Target="embeddings/oleObject2.bin"/><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emf"/><Relationship Id="rId12" Type="http://schemas.openxmlformats.org/officeDocument/2006/relationships/oleObject" Target="embeddings/oleObject1.bin"/><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07be30f9-173d-4ef5-9b41-c90157379bb0</errorID>
      <errorWord>度</errorWord>
      <group>L1_Word</group>
      <groupName>字词问题</groupName>
      <ability>L2_Typo</ability>
      <abilityName>字词错误</abilityName>
      <candidateList>
        <item>°</item>
      </candidateList>
      <explain/>
      <paraID>423CCA4A</paraID>
      <start>4</start>
      <end>5</end>
      <status>unmodified</status>
      <modifiedWord/>
      <trackRevisions>false</trackRevisions>
    </reviewItem>
    <reviewItem>
      <errorID>eb9c098a-7319-484e-b057-cad05e796af0</errorID>
      <errorWord>分</errorWord>
      <group>L1_Word</group>
      <groupName>字词问题</groupName>
      <ability>L2_Typo</ability>
      <abilityName>字词错误</abilityName>
      <candidateList>
        <item>′</item>
      </candidateList>
      <explain/>
      <paraID>423CCA4A</paraID>
      <start>6</start>
      <end>7</end>
      <status>unmodified</status>
      <modifiedWord/>
      <trackRevisions>false</trackRevisions>
    </reviewItem>
    <reviewItem>
      <errorID>9011d847-c2e4-4fe3-985f-f8b36b49ea87</errorID>
      <errorWord>秒</errorWord>
      <group>L1_Word</group>
      <groupName>字词问题</groupName>
      <ability>L2_Typo</ability>
      <abilityName>字词错误</abilityName>
      <candidateList>
        <item>″</item>
      </candidateList>
      <explain/>
      <paraID>423CCA4A</paraID>
      <start>13</start>
      <end>14</end>
      <status>unmodified</status>
      <modifiedWord/>
      <trackRevisions>false</trackRevisions>
    </reviewItem>
    <reviewItem>
      <errorID>d99b39e4-8969-4139-abe3-d06b67a92604</errorID>
      <errorWord>度</errorWord>
      <group>L1_Word</group>
      <groupName>字词问题</groupName>
      <ability>L2_Typo</ability>
      <abilityName>字词错误</abilityName>
      <candidateList>
        <item>°</item>
      </candidateList>
      <explain/>
      <paraID>423CCA4A</paraID>
      <start>17</start>
      <end>18</end>
      <status>unmodified</status>
      <modifiedWord/>
      <trackRevisions>false</trackRevisions>
    </reviewItem>
    <reviewItem>
      <errorID>47f0542b-da70-495c-8b9a-3a729f0d36a9</errorID>
      <errorWord>分</errorWord>
      <group>L1_Word</group>
      <groupName>字词问题</groupName>
      <ability>L2_Typo</ability>
      <abilityName>字词错误</abilityName>
      <candidateList>
        <item>′</item>
      </candidateList>
      <explain/>
      <paraID>423CCA4A</paraID>
      <start>20</start>
      <end>21</end>
      <status>unmodified</status>
      <modifiedWord/>
      <trackRevisions>false</trackRevisions>
    </reviewItem>
    <reviewItem>
      <errorID>2252a602-e014-434c-a45b-dd07d53b6e68</errorID>
      <errorWord>秒</errorWord>
      <group>L1_Word</group>
      <groupName>字词问题</groupName>
      <ability>L2_Typo</ability>
      <abilityName>字词错误</abilityName>
      <candidateList>
        <item>″</item>
      </candidateList>
      <explain/>
      <paraID>423CCA4A</paraID>
      <start>27</start>
      <end>28</end>
      <status>unmodified</status>
      <modifiedWord/>
      <trackRevisions>false</trackRevisions>
    </reviewItem>
    <reviewItem>
      <errorID>fdf27576-eb16-4af8-9afe-06935e243a7b</errorID>
      <errorWord>风险环境</errorWord>
      <group>L1_Other</group>
      <groupName>其他问题</groupName>
      <ability>L2_Consistency</ability>
      <abilityName>一致性检查</abilityName>
      <candidateList>
        <item>风险</item>
      </candidateList>
      <explain>术语一致性，专项评价类别中此处表述应与表格其他类别表述统一，其余专项评价类别均为两个字，此处应修改为“风险”</explain>
      <paraID> A8A1BCE</paraID>
      <start>0</start>
      <end>4</end>
      <status>unmodified</status>
      <modifiedWord/>
      <trackRevisions>false</trackRevisions>
    </reviewItem>
    <reviewItem>
      <errorID>f04d69a3-1a7b-441f-ac62-c0de40383d0d</errorID>
      <errorWord>矿区生态修复</errorWord>
      <group>L1_Political</group>
      <groupName>政治性问题</groupName>
      <ability>L2_Keyword</ability>
      <abilityName>固定表述</abilityName>
      <candidateList>
        <item>矿山生态修复</item>
      </candidateList>
      <explain>词汇“矿山生态修复”在特定场景下为固定表述形式，请确认此处的“矿区生态修复”是否存在不当。</explain>
      <paraID>7860F973</paraID>
      <start>5</start>
      <end>11</end>
      <status>unmodified</status>
      <modifiedWord/>
      <trackRevisions>false</trackRevisions>
    </reviewItem>
    <reviewItem>
      <errorID>b83ca414-5776-4a9a-95d3-63a07bdaf8f8</errorID>
      <errorWord>拌合</errorWord>
      <group>L1_Word</group>
      <groupName>字词问题</groupName>
      <ability>L2_Typo</ability>
      <abilityName>字词错误</abilityName>
      <candidateList>
        <item>拌和</item>
      </candidateList>
      <explain>存在发音相同字词的误用。</explain>
      <paraID> CD0E3F7</paraID>
      <start>13</start>
      <end>15</end>
      <status>unmodified</status>
      <modifiedWord/>
      <trackRevisions>false</trackRevisions>
    </reviewItem>
    <reviewItem>
      <errorID>98365d9c-b7c1-43d4-8ed3-cf4414fb00cf</errorID>
      <errorWord>拌合站</errorWord>
      <group>L1_Word</group>
      <groupName>字词问题</groupName>
      <ability>L2_Typo</ability>
      <abilityName>字词错误</abilityName>
      <candidateList>
        <item>拌和站</item>
      </candidateList>
      <explain>存在发音相同字词的误用。</explain>
      <paraID>45814232</paraID>
      <start>8</start>
      <end>11</end>
      <status>unmodified</status>
      <modifiedWord/>
      <trackRevisions>false</trackRevisions>
    </reviewItem>
    <reviewItem>
      <errorID>e6e43249-660c-4ca4-8d99-f84e83b566e1</errorID>
      <errorWord>拌合站</errorWord>
      <group>L1_Word</group>
      <groupName>字词问题</groupName>
      <ability>L2_Typo</ability>
      <abilityName>字词错误</abilityName>
      <candidateList>
        <item>拌和站</item>
      </candidateList>
      <explain>存在发音相同字词的误用。</explain>
      <paraID>12F7C0A5</paraID>
      <start>4</start>
      <end>7</end>
      <status>unmodified</status>
      <modifiedWord/>
      <trackRevisions>false</trackRevisions>
    </reviewItem>
    <reviewItem>
      <errorID>6aedc6a1-0d20-4bb5-af52-6c0ff22eb213</errorID>
      <errorWord>拌合站</errorWord>
      <group>L1_Word</group>
      <groupName>字词问题</groupName>
      <ability>L2_Typo</ability>
      <abilityName>字词错误</abilityName>
      <candidateList>
        <item>拌和站</item>
      </candidateList>
      <explain>存在发音相同字词的误用。</explain>
      <paraID>7DA8DDE8</paraID>
      <start>29</start>
      <end>32</end>
      <status>unmodified</status>
      <modifiedWord/>
      <trackRevisions>false</trackRevisions>
    </reviewItem>
    <reviewItem>
      <errorID>6ab860bf-e8db-4fdc-9e3f-76314b7d7953</errorID>
      <errorWord>拌合站</errorWord>
      <group>L1_Word</group>
      <groupName>字词问题</groupName>
      <ability>L2_Typo</ability>
      <abilityName>字词错误</abilityName>
      <candidateList>
        <item>拌和站</item>
      </candidateList>
      <explain>存在发音相同字词的误用。</explain>
      <paraID>77D4AD03</paraID>
      <start>73</start>
      <end>76</end>
      <status>unmodified</status>
      <modifiedWord/>
      <trackRevisions>false</trackRevisions>
    </reviewItem>
    <reviewItem>
      <errorID>418676cc-e20c-460f-9b9e-2dc7c0958ff9</errorID>
      <errorWord>拌合站</errorWord>
      <group>L1_Word</group>
      <groupName>字词问题</groupName>
      <ability>L2_Typo</ability>
      <abilityName>字词错误</abilityName>
      <candidateList>
        <item>拌和站</item>
      </candidateList>
      <explain>存在发音相同字词的误用。</explain>
      <paraID>295DF51F</paraID>
      <start>128</start>
      <end>131</end>
      <status>unmodified</status>
      <modifiedWord/>
      <trackRevisions>false</trackRevisions>
    </reviewItem>
    <reviewItem>
      <errorID>feb48e43-35d1-4cf1-a236-0b3aadee8efa</errorID>
      <errorWord>拌合站</errorWord>
      <group>L1_Word</group>
      <groupName>字词问题</groupName>
      <ability>L2_Typo</ability>
      <abilityName>字词错误</abilityName>
      <candidateList>
        <item>拌和站</item>
      </candidateList>
      <explain>存在发音相同字词的误用。</explain>
      <paraID> E178C95</paraID>
      <start>23</start>
      <end>26</end>
      <status>unmodified</status>
      <modifiedWord/>
      <trackRevisions>false</trackRevisions>
    </reviewItem>
    <reviewItem>
      <errorID>4dbbe667-fe2d-48b9-b4cf-087be611ee5d</errorID>
      <errorWord>砂子</errorWord>
      <group>L1_Word</group>
      <groupName>字词问题</groupName>
      <ability>L2_Typo</ability>
      <abilityName>字词错误</abilityName>
      <candidateList>
        <item>沙子</item>
      </candidateList>
      <explain>存在发音相同字词的误用。</explain>
      <paraID> 171F1BF</paraID>
      <start>0</start>
      <end>2</end>
      <status>unmodified</status>
      <modifiedWord/>
      <trackRevisions>false</trackRevisions>
    </reviewItem>
    <reviewItem>
      <errorID>9365e46c-09a5-4a95-9e62-4e9916a2ac3a</errorID>
      <errorWord>拌合站</errorWord>
      <group>L1_Word</group>
      <groupName>字词问题</groupName>
      <ability>L2_Typo</ability>
      <abilityName>字词错误</abilityName>
      <candidateList>
        <item>拌和站</item>
      </candidateList>
      <explain>存在发音相同字词的误用。</explain>
      <paraID> 9BC4977</paraID>
      <start>58</start>
      <end>61</end>
      <status>unmodified</status>
      <modifiedWord/>
      <trackRevisions>false</trackRevisions>
    </reviewItem>
    <reviewItem>
      <errorID>7f83daf0-9674-496d-9650-e1bbebd52621</errorID>
      <errorWord>混凝土年产</errorWord>
      <group>L1_Word</group>
      <groupName>字词问题</groupName>
      <ability>L2_Typo</ability>
      <abilityName>字词错误</abilityName>
      <candidateList>
        <item>年产混凝土</item>
      </candidateList>
      <explain/>
      <paraID>73ABA0AF</paraID>
      <start>61</start>
      <end>66</end>
      <status>unmodified</status>
      <modifiedWord/>
      <trackRevisions>false</trackRevisions>
    </reviewItem>
    <reviewItem>
      <errorID>1debf5a9-df78-4686-88c5-4a2a3117eeb7</errorID>
      <errorWord>拌合</errorWord>
      <group>L1_Word</group>
      <groupName>字词问题</groupName>
      <ability>L2_Typo</ability>
      <abilityName>字词错误</abilityName>
      <candidateList>
        <item>拌和</item>
      </candidateList>
      <explain>存在发音相同字词的误用。</explain>
      <paraID>7DF6A058</paraID>
      <start>38</start>
      <end>40</end>
      <status>unmodified</status>
      <modifiedWord/>
      <trackRevisions>false</trackRevisions>
    </reviewItem>
    <reviewItem>
      <errorID>c67de6bd-915c-4c0b-9427-e3dc7d08e858</errorID>
      <errorWord>本</errorWord>
      <group>L1_Punc</group>
      <groupName>标点问题</groupName>
      <ability>L2_Punc_CN</ability>
      <abilityName>标点符号问题</abilityName>
      <candidateList>
        <item>：本</item>
      </candidateList>
      <explain/>
      <paraID>427F4F5C</paraID>
      <start>4</start>
      <end>6</end>
      <status>modified</status>
      <modifiedWord>：本</modifiedWord>
      <trackRevisions>false</trackRevisions>
    </reviewItem>
    <reviewItem>
      <errorID>be9f8e0d-2981-4c40-aeb8-514de37a2f0d</errorID>
      <errorWord>拌合站</errorWord>
      <group>L1_Word</group>
      <groupName>字词问题</groupName>
      <ability>L2_Typo</ability>
      <abilityName>字词错误</abilityName>
      <candidateList>
        <item>拌和站</item>
      </candidateList>
      <explain>存在发音相同字词的误用。</explain>
      <paraID>427F4F5C</paraID>
      <start>14</start>
      <end>17</end>
      <status>unmodified</status>
      <modifiedWord/>
      <trackRevisions>false</trackRevisions>
    </reviewItem>
    <reviewItem>
      <errorID>00cd514e-6dfa-4188-b24d-22bd30d1d8a9</errorID>
      <errorWord>砂子</errorWord>
      <group>L1_Word</group>
      <groupName>字词问题</groupName>
      <ability>L2_Typo</ability>
      <abilityName>字词错误</abilityName>
      <candidateList>
        <item>沙子</item>
      </candidateList>
      <explain>存在发音相同字词的误用。</explain>
      <paraID>5638B250</paraID>
      <start>0</start>
      <end>2</end>
      <status>unmodified</status>
      <modifiedWord/>
      <trackRevisions>false</trackRevisions>
    </reviewItem>
    <reviewItem>
      <errorID>23c069db-759d-4671-8b96-8edd3a650a53</errorID>
      <errorWord>砂子</errorWord>
      <group>L1_Word</group>
      <groupName>字词问题</groupName>
      <ability>L2_Typo</ability>
      <abilityName>字词错误</abilityName>
      <candidateList>
        <item>沙子</item>
      </candidateList>
      <explain>存在发音相同字词的误用。</explain>
      <paraID>45BB3CB9</paraID>
      <start>0</start>
      <end>2</end>
      <status>unmodified</status>
      <modifiedWord/>
      <trackRevisions>false</trackRevisions>
    </reviewItem>
    <reviewItem>
      <errorID>0382bc15-c46f-4048-92f1-a96ffa2240cd</errorID>
      <errorWord>砂子</errorWord>
      <group>L1_Word</group>
      <groupName>字词问题</groupName>
      <ability>L2_Typo</ability>
      <abilityName>字词错误</abilityName>
      <candidateList>
        <item>沙子</item>
      </candidateList>
      <explain>存在发音相同字词的误用。</explain>
      <paraID>262B8A97</paraID>
      <start>0</start>
      <end>2</end>
      <status>unmodified</status>
      <modifiedWord/>
      <trackRevisions>false</trackRevisions>
    </reviewItem>
    <reviewItem>
      <errorID>653f44d1-b444-4066-98bb-092067f4de21</errorID>
      <errorWord>运营</errorWord>
      <group>L1_Word</group>
      <groupName>字词问题</groupName>
      <ability>L2_Typo</ability>
      <abilityName>字词错误</abilityName>
      <candidateList>
        <item> 运营</item>
      </candidateList>
      <explain/>
      <paraID>4041818F</paraID>
      <start>4</start>
      <end>7</end>
      <status>modified</status>
      <modifiedWord> 运营</modifiedWord>
      <trackRevisions>false</trackRevisions>
    </reviewItem>
    <reviewItem>
      <errorID>25153401-3bd7-4672-9f49-59e3eb296039</errorID>
      <errorWord>）</errorWord>
      <group>L1_Punc</group>
      <groupName>标点问题</groupName>
      <ability>L2_Punc_CN</ability>
      <abilityName>标点符号问题</abilityName>
      <candidateList>
        <item>）。</item>
      </candidateList>
      <explain/>
      <paraID>1EB4091D</paraID>
      <start>44</start>
      <end>46</end>
      <status>modified</status>
      <modifiedWord>）。</modifiedWord>
      <trackRevisions>false</trackRevisions>
    </reviewItem>
    <reviewItem>
      <errorID>dcd0c37a-a20a-4e96-b15c-3c5e081a403b</errorID>
      <errorWord>）中</errorWord>
      <group>L1_Word</group>
      <groupName>字词问题</groupName>
      <ability>L2_Typo</ability>
      <abilityName>字词错误</abilityName>
      <candidateList>
        <item>）</item>
      </candidateList>
      <explain/>
      <paraID>5C1D3120</paraID>
      <start>38</start>
      <end>39</end>
      <status>modified</status>
      <modifiedWord>）</modifiedWord>
      <trackRevisions>false</trackRevisions>
    </reviewItem>
    <reviewItem>
      <errorID>37af9b73-14cc-4c2e-8ce0-9aa90f175fb9</errorID>
      <errorWord>拌合站</errorWord>
      <group>L1_Word</group>
      <groupName>字词问题</groupName>
      <ability>L2_Typo</ability>
      <abilityName>字词错误</abilityName>
      <candidateList>
        <item>拌和站</item>
      </candidateList>
      <explain>存在发音相同字词的误用。</explain>
      <paraID>7F2488B2</paraID>
      <start>0</start>
      <end>3</end>
      <status>unmodified</status>
      <modifiedWord/>
      <trackRevisions>false</trackRevisions>
    </reviewItem>
    <reviewItem>
      <errorID>84f52ff5-a00c-49f7-a82f-b74aa81e8d7a</errorID>
      <errorWord>、</errorWord>
      <group>L1_Punc</group>
      <groupName>标点问题</groupName>
      <ability>L2_Punc_CN</ability>
      <abilityName>标点符号问题</abilityName>
      <candidateList>
        <item>. </item>
      </candidateList>
      <explain/>
      <paraID>170CA348</paraID>
      <start>1</start>
      <end>3</end>
      <status>modified</status>
      <modifiedWord>. </modifiedWord>
      <trackRevisions>false</trackRevisions>
    </reviewItem>
    <reviewItem>
      <errorID>bff375a5-4f14-4745-9897-5369258930b1</errorID>
      <errorWord>拌合站</errorWord>
      <group>L1_Word</group>
      <groupName>字词问题</groupName>
      <ability>L2_Typo</ability>
      <abilityName>字词错误</abilityName>
      <candidateList>
        <item>拌和站</item>
      </candidateList>
      <explain>存在发音相同字词的误用。</explain>
      <paraID>3798E55A</paraID>
      <start>60</start>
      <end>63</end>
      <status>unmodified</status>
      <modifiedWord/>
      <trackRevisions>false</trackRevisions>
    </reviewItem>
    <reviewItem>
      <errorID>8819953b-a38e-41b5-a043-ec69fb4c548f</errorID>
      <errorWord>)</errorWord>
      <group>L1_Format</group>
      <groupName>格式问题</groupName>
      <ability>L2_HalfPunc_CN</ability>
      <abilityName>全半角问题</abilityName>
      <candidateList>
        <item>）</item>
      </candidateList>
      <explain>文本全半角错误。</explain>
      <paraID>6ACF12FC</paraID>
      <start>36</start>
      <end>37</end>
      <status>modified</status>
      <modifiedWord>）</modifiedWord>
      <trackRevisions>false</trackRevisions>
    </reviewItem>
    <reviewItem>
      <errorID>e723c456-f853-400c-9863-4f89c5f05381</errorID>
      <errorWord>外排</errorWord>
      <group>L1_Punc</group>
      <groupName>标点问题</groupName>
      <ability>L2_Punc_CN</ability>
      <abilityName>标点符号问题</abilityName>
      <candidateList>
        <item>外排。</item>
      </candidateList>
      <explain/>
      <paraID> A02ED90</paraID>
      <start>56</start>
      <end>59</end>
      <status>modified</status>
      <modifiedWord>外排。</modifiedWord>
      <trackRevisions>false</trackRevisions>
    </reviewItem>
    <reviewItem>
      <errorID>f8a94055-e458-4564-8fca-53e191a05443</errorID>
      <errorWord>、</errorWord>
      <group>L1_Punc</group>
      <groupName>标点问题</groupName>
      <ability>L2_Punc_CN</ability>
      <abilityName>标点符号问题</abilityName>
      <candidateList>
        <item>. </item>
      </candidateList>
      <explain/>
      <paraID>6601AD07</paraID>
      <start>1</start>
      <end>3</end>
      <status>modified</status>
      <modifiedWord>. </modifiedWord>
      <trackRevisions>false</trackRevisions>
    </reviewItem>
    <reviewItem>
      <errorID>124e0c6e-56d6-43bc-b3d2-efac203a74c7</errorID>
      <errorWord>r、</errorWord>
      <group>L1_Format</group>
      <groupName>格式问题</groupName>
      <ability>L2_Ordinal</ability>
      <abilityName>序号格式</abilityName>
      <candidateList>
        <item>r.</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2C3BD946</paraID>
      <start>0</start>
      <end>2</end>
      <status>modified</status>
      <modifiedWord>r.</modifiedWord>
      <trackRevisions>false</trackRevisions>
    </reviewItem>
    <reviewItem>
      <errorID>d8a89a6b-7735-4de2-8bdb-28c486fc1860</errorID>
      <errorWord>：：</errorWord>
      <group>L1_Punc</group>
      <groupName>标点问题</groupName>
      <ability>L2_Punc_CN</ability>
      <abilityName>标点符号问题</abilityName>
      <candidateList>
        <item>：</item>
      </candidateList>
      <explain/>
      <paraID>1370F015</paraID>
      <start>2</start>
      <end>3</end>
      <status>modified</status>
      <modifiedWord>：</modifiedWord>
      <trackRevisions>false</trackRevisions>
    </reviewItem>
    <reviewItem>
      <errorID>e5e64288-2c1c-4da2-a654-50a913275e65</errorID>
      <errorWord>)</errorWord>
      <group>L1_Format</group>
      <groupName>格式问题</groupName>
      <ability>L2_HalfPunc_CN</ability>
      <abilityName>全半角问题</abilityName>
      <candidateList>
        <item>）</item>
      </candidateList>
      <explain>文本全半角错误。</explain>
      <paraID>1370F015</paraID>
      <start>13</start>
      <end>14</end>
      <status>modified</status>
      <modifiedWord>）</modifiedWord>
      <trackRevisions>false</trackRevisions>
    </reviewItem>
    <reviewItem>
      <errorID>af66e9cb-ac25-49cd-91cb-cfe0fe9ac867</errorID>
      <errorWord>)</errorWord>
      <group>L1_Format</group>
      <groupName>格式问题</groupName>
      <ability>L2_HalfPunc_CN</ability>
      <abilityName>全半角问题</abilityName>
      <candidateList>
        <item>）</item>
      </candidateList>
      <explain>文本全半角错误。</explain>
      <paraID>672F24DE</paraID>
      <start>29</start>
      <end>30</end>
      <status>modified</status>
      <modifiedWord>）</modifiedWord>
      <trackRevisions>false</trackRevisions>
    </reviewItem>
    <reviewItem>
      <errorID>43aaaeb4-04ad-46b8-be14-ecf3c9cb9a25</errorID>
      <errorWord>表所示</errorWord>
      <group>L1_Grammar</group>
      <groupName>语法问题</groupName>
      <ability>L2_Grammar</ability>
      <abilityName>语法错误</abilityName>
      <candidateList>
        <item>表</item>
      </candidateList>
      <explain/>
      <paraID>4F6B6924</paraID>
      <start>11</start>
      <end>12</end>
      <status>modified</status>
      <modifiedWord>表</modifiedWord>
      <trackRevisions>false</trackRevisions>
    </reviewItem>
    <reviewItem>
      <errorID>2556594b-e030-4cfb-9da5-b98fedc206b0</errorID>
      <errorWord>)</errorWord>
      <group>L1_Format</group>
      <groupName>格式问题</groupName>
      <ability>L2_HalfPunc_CN</ability>
      <abilityName>全半角问题</abilityName>
      <candidateList>
        <item>）</item>
      </candidateList>
      <explain>文本全半角错误。</explain>
      <paraID> DB18D9B</paraID>
      <start>44</start>
      <end>45</end>
      <status>modified</status>
      <modifiedWord>）</modifiedWord>
      <trackRevisions>false</trackRevisions>
    </reviewItem>
    <reviewItem>
      <errorID>5ddb8c72-1dda-4e4e-b83a-0f022f90743b</errorID>
      <errorWord>)</errorWord>
      <group>L1_Format</group>
      <groupName>格式问题</groupName>
      <ability>L2_HalfPunc_CN</ability>
      <abilityName>全半角问题</abilityName>
      <candidateList>
        <item>）</item>
      </candidateList>
      <explain>文本全半角错误。</explain>
      <paraID> DB18D9B</paraID>
      <start>62</start>
      <end>63</end>
      <status>modified</status>
      <modifiedWord>）</modifiedWord>
      <trackRevisions>false</trackRevisions>
    </reviewItem>
    <reviewItem>
      <errorID>0e27af2f-2604-4d15-839d-d4b8a6d38c96</errorID>
      <errorWord>)</errorWord>
      <group>L1_Format</group>
      <groupName>格式问题</groupName>
      <ability>L2_HalfPunc_CN</ability>
      <abilityName>全半角问题</abilityName>
      <candidateList>
        <item>）</item>
      </candidateList>
      <explain>文本全半角错误。</explain>
      <paraID> DB18D9B</paraID>
      <start>80</start>
      <end>81</end>
      <status>modified</status>
      <modifiedWord>）</modifiedWord>
      <trackRevisions>false</trackRevisions>
    </reviewItem>
    <reviewItem>
      <errorID>c72e3174-fde2-4f5a-83cc-6626ae9c68f0</errorID>
      <errorWord>)</errorWord>
      <group>L1_Format</group>
      <groupName>格式问题</groupName>
      <ability>L2_HalfPunc_CN</ability>
      <abilityName>全半角问题</abilityName>
      <candidateList>
        <item>）</item>
      </candidateList>
      <explain>文本全半角错误。</explain>
      <paraID> DB18D9B</paraID>
      <start>98</start>
      <end>99</end>
      <status>modified</status>
      <modifiedWord>）</modifiedWord>
      <trackRevisions>false</trackRevisions>
    </reviewItem>
    <reviewItem>
      <errorID>1ec69335-ffc3-4a2a-8cb5-bfc8ef8421bb</errorID>
      <errorWord>（</errorWord>
      <group>L1_Punc</group>
      <groupName>标点问题</groupName>
      <ability>L2_Punc_CN</ability>
      <abilityName>标点符号问题</abilityName>
      <candidateList>
        <item>(</item>
      </candidateList>
      <explain/>
      <paraID> ECE71EC</paraID>
      <start>49</start>
      <end>50</end>
      <status>modified</status>
      <modifiedWord>(</modifiedWord>
      <trackRevisions>false</trackRevisions>
    </reviewItem>
    <reviewItem>
      <errorID>ce51b61c-eaff-49e2-a4f3-544f36355733</errorID>
      <errorWord>)</errorWord>
      <group>L1_Format</group>
      <groupName>格式问题</groupName>
      <ability>L2_HalfPunc_CN</ability>
      <abilityName>全半角问题</abilityName>
      <candidateList>
        <item>）</item>
      </candidateList>
      <explain>文本全半角错误。</explain>
      <paraID> ECE71EC</paraID>
      <start>51</start>
      <end>52</end>
      <status>modified</status>
      <modifiedWord>）</modifiedWord>
      <trackRevisions>false</trackRevisions>
    </reviewItem>
    <reviewItem>
      <errorID>f1c1a2c8-68bc-48ce-a093-11ae4569b022</errorID>
      <errorWord>（</errorWord>
      <group>L1_Punc</group>
      <groupName>标点问题</groupName>
      <ability>L2_Punc_CN</ability>
      <abilityName>标点符号问题</abilityName>
      <candidateList>
        <item>(</item>
      </candidateList>
      <explain/>
      <paraID> ECE71EC</paraID>
      <start>66</start>
      <end>67</end>
      <status>modified</status>
      <modifiedWord>(</modifiedWord>
      <trackRevisions>false</trackRevisions>
    </reviewItem>
    <reviewItem>
      <errorID>3c535745-cae9-43c4-a8e0-2c69b7f04d16</errorID>
      <errorWord>)</errorWord>
      <group>L1_Format</group>
      <groupName>格式问题</groupName>
      <ability>L2_HalfPunc_CN</ability>
      <abilityName>全半角问题</abilityName>
      <candidateList>
        <item>）</item>
      </candidateList>
      <explain>文本全半角错误。</explain>
      <paraID> ECE71EC</paraID>
      <start>68</start>
      <end>69</end>
      <status>modified</status>
      <modifiedWord>）</modifiedWord>
      <trackRevisions>false</trackRevisions>
    </reviewItem>
    <reviewItem>
      <errorID>febcb1ed-eab5-4e33-a25c-8b615a397529</errorID>
      <errorWord>)</errorWord>
      <group>L1_Format</group>
      <groupName>格式问题</groupName>
      <ability>L2_HalfPunc_CN</ability>
      <abilityName>全半角问题</abilityName>
      <candidateList>
        <item>）</item>
      </candidateList>
      <explain>文本全半角错误。</explain>
      <paraID> ECE71EC</paraID>
      <start>95</start>
      <end>96</end>
      <status>modified</status>
      <modifiedWord>）</modifiedWord>
      <trackRevisions>false</trackRevisions>
    </reviewItem>
    <reviewItem>
      <errorID>101b0a9f-9275-46aa-83f1-8791fd52c3dd</errorID>
      <errorWord>)</errorWord>
      <group>L1_Format</group>
      <groupName>格式问题</groupName>
      <ability>L2_HalfPunc_CN</ability>
      <abilityName>全半角问题</abilityName>
      <candidateList>
        <item>）</item>
      </candidateList>
      <explain>文本全半角错误。</explain>
      <paraID> ECE71EC</paraID>
      <start>127</start>
      <end>128</end>
      <status>modified</status>
      <modifiedWord>）</modifiedWord>
      <trackRevisions>false</trackRevisions>
    </reviewItem>
    <reviewItem>
      <errorID>e5ccf2fe-a00f-4029-9504-b7139eb274e5</errorID>
      <errorWord>)</errorWord>
      <group>L1_Format</group>
      <groupName>格式问题</groupName>
      <ability>L2_HalfPunc_CN</ability>
      <abilityName>全半角问题</abilityName>
      <candidateList>
        <item>）</item>
      </candidateList>
      <explain>文本全半角错误。</explain>
      <paraID> ECE71EC</paraID>
      <start>152</start>
      <end>153</end>
      <status>modified</status>
      <modifiedWord>）</modifiedWord>
      <trackRevisions>false</trackRevisions>
    </reviewItem>
    <reviewItem>
      <errorID>348089b7-13ab-460b-8f03-b7b22a471e1f</errorID>
      <errorWord>700800t/a</errorWord>
      <group>L1_Grammar</group>
      <groupName>语法问题</groupName>
      <ability>L2_Grammar</ability>
      <abilityName>语法错误</abilityName>
      <candidateList>
        <item>700800t</item>
      </candidateList>
      <explain/>
      <paraID> 74F8FCE</paraID>
      <start>38</start>
      <end>47</end>
      <status>unmodified</status>
      <modifiedWord/>
      <trackRevisions>false</trackRevisions>
    </reviewItem>
    <reviewItem>
      <errorID>34672fc4-791f-4bf5-a06a-d7b0ba4e8b0a</errorID>
      <errorWord>、</errorWord>
      <group>L1_Punc</group>
      <groupName>标点问题</groupName>
      <ability>L2_Punc_CN</ability>
      <abilityName>标点符号问题</abilityName>
      <candidateList>
        <item>. </item>
      </candidateList>
      <explain/>
      <paraID>51194F14</paraID>
      <start>1</start>
      <end>3</end>
      <status>modified</status>
      <modifiedWord>. </modifiedWord>
      <trackRevisions>false</trackRevisions>
    </reviewItem>
    <reviewItem>
      <errorID>0064d55e-180e-401f-9c0e-68836a397642</errorID>
      <errorWord> </errorWord>
      <group>L1_Punc</group>
      <groupName>标点问题</groupName>
      <ability>L2_Punc_CN</ability>
      <abilityName>标点符号问题</abilityName>
      <candidateList>
        <item>-</item>
      </candidateList>
      <explain/>
      <paraID>15213B70</paraID>
      <start>22</start>
      <end>23</end>
      <status>modified</status>
      <modifiedWord>-</modifiedWord>
      <trackRevisions>false</trackRevisions>
    </reviewItem>
    <reviewItem>
      <errorID>344ade7e-7f17-4e0b-ac67-b3c28f467c83</errorID>
      <errorWord>生产</errorWord>
      <group>L1_Word</group>
      <groupName>字词问题</groupName>
      <ability>L2_Typo</ability>
      <abilityName>字词错误</abilityName>
      <candidateList>
        <item>投产</item>
      </candidateList>
      <explain/>
      <paraID>6E3DC307</paraID>
      <start>89</start>
      <end>91</end>
      <status>modified</status>
      <modifiedWord>投产</modifiedWord>
      <trackRevisions>false</trackRevisions>
    </reviewItem>
    <reviewItem>
      <errorID>ec74725e-56db-4ac7-bb81-294c28770769</errorID>
      <errorWord>污染物必须</errorWord>
      <group>L1_Grammar</group>
      <groupName>语法问题</groupName>
      <ability>L2_Grammar</ability>
      <abilityName>语法错误</abilityName>
      <candidateList>
        <item>污染物</item>
      </candidateList>
      <explain/>
      <paraID>6E3DC307</paraID>
      <start>121</start>
      <end>124</end>
      <status>modified</status>
      <modifiedWord>污染物</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3db1d5-d04b-4fef-ac48-79c28b7fbfc2}">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92</Pages>
  <Words>15228</Words>
  <Characters>16934</Characters>
  <Lines>1</Lines>
  <Paragraphs>1</Paragraphs>
  <TotalTime>14</TotalTime>
  <ScaleCrop>false</ScaleCrop>
  <LinksUpToDate>false</LinksUpToDate>
  <CharactersWithSpaces>16939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Coco</cp:lastModifiedBy>
  <cp:lastPrinted>2026-08-20T04:02:00Z</cp:lastPrinted>
  <dcterms:modified xsi:type="dcterms:W3CDTF">2026-08-28T02:04:32Z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F0991A93B8BA4C088F0163003AE1DB61_13</vt:lpwstr>
  </property>
  <property fmtid="{D5CDD505-2E9C-101B-9397-08002B2CF9AE}" pid="4" name="KSOTemplateDocerSaveRecord">
    <vt:lpwstr>eyJoZGlkIjoiZGMyN2E2MTRmYjM2NzM2N2YwMzQyOWU3MDQxMjhiZDciLCJ1c2VySWQiOiIyNDY1NDUzNzIifQ==</vt:lpwstr>
  </property>
</Properties>
</file>