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内蒙古鄂尔多斯热电有限责任公司燃煤自备电厂可再生能源替代工程项目（风电部分）</w:t>
            </w:r>
          </w:p>
        </w:tc>
        <w:tc>
          <w:tcPr>
            <w:tcW w:w="397" w:type="dxa"/>
            <w:vAlign w:val="center"/>
          </w:tcPr>
          <w:p w14:paraId="677BD658">
            <w:pPr>
              <w:spacing w:line="600" w:lineRule="exact"/>
              <w:jc w:val="center"/>
              <w:rPr>
                <w:color w:val="000000"/>
                <w:szCs w:val="21"/>
              </w:rPr>
            </w:pPr>
            <w:r>
              <w:rPr>
                <w:rFonts w:hint="default"/>
                <w:color w:val="000000"/>
                <w:szCs w:val="21"/>
                <w:lang w:val="en-US" w:eastAsia="zh-CN"/>
              </w:rPr>
              <w:t>鄂尔多斯市东胜区罕台镇九成功村和永胜村境内</w:t>
            </w:r>
          </w:p>
        </w:tc>
        <w:tc>
          <w:tcPr>
            <w:tcW w:w="465" w:type="dxa"/>
            <w:vAlign w:val="center"/>
          </w:tcPr>
          <w:p w14:paraId="25BCC080">
            <w:pPr>
              <w:spacing w:line="600" w:lineRule="exact"/>
              <w:jc w:val="center"/>
              <w:rPr>
                <w:color w:val="000000"/>
                <w:szCs w:val="21"/>
              </w:rPr>
            </w:pPr>
            <w:r>
              <w:rPr>
                <w:rFonts w:hint="eastAsia"/>
                <w:color w:val="000000"/>
                <w:szCs w:val="21"/>
                <w:lang w:eastAsia="zh-CN"/>
              </w:rPr>
              <w:t>内蒙古鄂尔多斯热电有限责任公司</w:t>
            </w:r>
          </w:p>
        </w:tc>
        <w:tc>
          <w:tcPr>
            <w:tcW w:w="675" w:type="dxa"/>
            <w:vAlign w:val="center"/>
          </w:tcPr>
          <w:p w14:paraId="5D04F640">
            <w:pPr>
              <w:spacing w:line="600" w:lineRule="exact"/>
              <w:jc w:val="center"/>
              <w:rPr>
                <w:color w:val="000000"/>
                <w:szCs w:val="21"/>
              </w:rPr>
            </w:pPr>
            <w:r>
              <w:rPr>
                <w:rFonts w:hint="eastAsia"/>
                <w:color w:val="000000"/>
                <w:szCs w:val="21"/>
              </w:rPr>
              <w:t>内蒙古首环环保技术有限公司</w:t>
            </w:r>
          </w:p>
        </w:tc>
        <w:tc>
          <w:tcPr>
            <w:tcW w:w="2555" w:type="dxa"/>
            <w:vAlign w:val="center"/>
          </w:tcPr>
          <w:p w14:paraId="32CEF31C">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该项目属于新建项目，位于东胜区罕台镇九成功村和永胜村境内</w:t>
            </w:r>
            <w:r>
              <w:rPr>
                <w:rFonts w:hint="eastAsia"/>
                <w:color w:val="000000"/>
                <w:szCs w:val="21"/>
                <w:lang w:eastAsia="zh-CN"/>
              </w:rPr>
              <w:t>，</w:t>
            </w:r>
            <w:r>
              <w:rPr>
                <w:rFonts w:hint="eastAsia"/>
                <w:color w:val="000000"/>
                <w:szCs w:val="21"/>
              </w:rPr>
              <w:t>总用地面积54233.33m2，其中永久占地</w:t>
            </w:r>
            <w:r>
              <w:rPr>
                <w:rFonts w:hint="eastAsia"/>
                <w:color w:val="000000"/>
                <w:szCs w:val="21"/>
                <w:lang w:val="en-US" w:eastAsia="zh-CN"/>
              </w:rPr>
              <w:t>面积</w:t>
            </w:r>
            <w:r>
              <w:rPr>
                <w:rFonts w:hint="eastAsia"/>
                <w:color w:val="000000"/>
                <w:szCs w:val="21"/>
              </w:rPr>
              <w:t>3948.08m2，临时占地</w:t>
            </w:r>
            <w:r>
              <w:rPr>
                <w:rFonts w:hint="eastAsia"/>
                <w:color w:val="000000"/>
                <w:szCs w:val="21"/>
                <w:lang w:val="en-US" w:eastAsia="zh-CN"/>
              </w:rPr>
              <w:t>面积</w:t>
            </w:r>
            <w:r>
              <w:rPr>
                <w:rFonts w:hint="eastAsia"/>
                <w:color w:val="000000"/>
                <w:szCs w:val="21"/>
              </w:rPr>
              <w:t>50285.25m2。项目</w:t>
            </w:r>
            <w:r>
              <w:rPr>
                <w:color w:val="000000"/>
                <w:szCs w:val="21"/>
              </w:rPr>
              <w:t>总投资</w:t>
            </w:r>
            <w:r>
              <w:rPr>
                <w:rFonts w:hint="eastAsia"/>
                <w:color w:val="000000"/>
                <w:szCs w:val="21"/>
              </w:rPr>
              <w:t>7689.47万</w:t>
            </w:r>
            <w:r>
              <w:rPr>
                <w:color w:val="000000"/>
                <w:szCs w:val="21"/>
              </w:rPr>
              <w:t>元，环保投资</w:t>
            </w:r>
            <w:r>
              <w:rPr>
                <w:rFonts w:hint="eastAsia"/>
                <w:color w:val="000000"/>
                <w:szCs w:val="21"/>
              </w:rPr>
              <w:t>60万元。主要建设内容</w:t>
            </w:r>
            <w:r>
              <w:rPr>
                <w:rFonts w:hint="eastAsia"/>
                <w:color w:val="000000"/>
                <w:szCs w:val="21"/>
                <w:lang w:val="en-US" w:eastAsia="zh-CN"/>
              </w:rPr>
              <w:t>及规模</w:t>
            </w:r>
            <w:r>
              <w:rPr>
                <w:rFonts w:hint="eastAsia"/>
                <w:color w:val="000000"/>
                <w:szCs w:val="21"/>
              </w:rPr>
              <w:t>：安装3台单机容量5MW风力发电机组（总装机容量15MW），配套建设35kV集电线路（总长6.69km）、2.5MW/5MWh储能系统等</w:t>
            </w:r>
            <w:r>
              <w:rPr>
                <w:rFonts w:hint="eastAsia"/>
                <w:color w:val="000000"/>
                <w:szCs w:val="21"/>
                <w:lang w:eastAsia="zh-CN"/>
              </w:rPr>
              <w:t>；</w:t>
            </w:r>
            <w:r>
              <w:rPr>
                <w:rFonts w:hint="eastAsia"/>
                <w:color w:val="000000"/>
                <w:szCs w:val="21"/>
              </w:rPr>
              <w:t>每台风机配备一台5500kVA箱式变压器，每台箱式变压器配套3.2m3事故集油池，用于收集、暂存事故状态下泄漏的变压器油。</w:t>
            </w:r>
          </w:p>
        </w:tc>
        <w:tc>
          <w:tcPr>
            <w:tcW w:w="4877" w:type="dxa"/>
            <w:vAlign w:val="center"/>
          </w:tcPr>
          <w:p w14:paraId="148553D1">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w:t>
            </w:r>
            <w:bookmarkStart w:id="0" w:name="_GoBack"/>
            <w:bookmarkEnd w:id="0"/>
            <w:r>
              <w:rPr>
                <w:rFonts w:hint="eastAsia"/>
                <w:color w:val="000000"/>
                <w:szCs w:val="21"/>
              </w:rPr>
              <w:t>、环境保护措施进行建设。</w:t>
            </w:r>
          </w:p>
          <w:p w14:paraId="2D468735">
            <w:pPr>
              <w:spacing w:line="360" w:lineRule="auto"/>
              <w:jc w:val="left"/>
              <w:rPr>
                <w:rFonts w:hint="eastAsia"/>
                <w:color w:val="000000"/>
                <w:szCs w:val="21"/>
              </w:rPr>
            </w:pPr>
            <w:r>
              <w:rPr>
                <w:rFonts w:hint="eastAsia"/>
                <w:color w:val="000000"/>
                <w:szCs w:val="21"/>
              </w:rPr>
              <w:t>二、在项目工程设计、建设和</w:t>
            </w:r>
            <w:r>
              <w:rPr>
                <w:rFonts w:hint="eastAsia"/>
                <w:color w:val="000000"/>
                <w:szCs w:val="21"/>
                <w:lang w:val="en-US" w:eastAsia="zh-CN"/>
              </w:rPr>
              <w:t>运行</w:t>
            </w:r>
            <w:r>
              <w:rPr>
                <w:rFonts w:hint="eastAsia"/>
                <w:color w:val="000000"/>
                <w:szCs w:val="21"/>
              </w:rPr>
              <w:t>管理中，你单位必须严格落实《报告表》中提出的各项环保措施和要求，确保各项污染物稳定达标排放，并须着重做好以下工作：</w:t>
            </w:r>
          </w:p>
          <w:p w14:paraId="153608C1">
            <w:pPr>
              <w:spacing w:line="360" w:lineRule="auto"/>
              <w:jc w:val="left"/>
              <w:rPr>
                <w:rFonts w:hint="eastAsia"/>
                <w:color w:val="000000"/>
                <w:szCs w:val="21"/>
                <w:lang w:val="en-US" w:eastAsia="zh-CN"/>
              </w:rPr>
            </w:pPr>
            <w:r>
              <w:rPr>
                <w:rFonts w:hint="eastAsia"/>
                <w:color w:val="000000"/>
                <w:szCs w:val="21"/>
              </w:rPr>
              <w:t>1、</w:t>
            </w:r>
            <w:r>
              <w:rPr>
                <w:rFonts w:hint="eastAsia"/>
                <w:color w:val="000000"/>
                <w:szCs w:val="21"/>
                <w:lang w:val="en-US" w:eastAsia="zh-CN"/>
              </w:rPr>
              <w:t>应加强生态环境保护及恢复管理</w:t>
            </w:r>
            <w:r>
              <w:rPr>
                <w:rFonts w:hint="eastAsia"/>
                <w:color w:val="000000"/>
                <w:szCs w:val="21"/>
              </w:rPr>
              <w:t>。土石方开挖过程中应严格按照设计要求施工，尽可能缩小施工活动范围，</w:t>
            </w:r>
            <w:r>
              <w:rPr>
                <w:rFonts w:hint="eastAsia"/>
                <w:color w:val="000000"/>
                <w:szCs w:val="21"/>
                <w:lang w:val="en-US" w:eastAsia="zh-CN"/>
              </w:rPr>
              <w:t>尽量减少占地，</w:t>
            </w:r>
            <w:r>
              <w:rPr>
                <w:rFonts w:hint="eastAsia"/>
                <w:color w:val="000000"/>
                <w:szCs w:val="21"/>
              </w:rPr>
              <w:t>减少植被破坏面积。</w:t>
            </w:r>
            <w:r>
              <w:rPr>
                <w:rFonts w:hint="eastAsia"/>
                <w:color w:val="000000"/>
                <w:szCs w:val="21"/>
                <w:lang w:val="en-US" w:eastAsia="zh-CN"/>
              </w:rPr>
              <w:t>施工场地定期洒水，作业场地保持一定湿度；表土堆存苫盖抑尘；施工材料采用篷布苫盖，施工弃土及时清运或利用；施工前对表土进行剥离，施工结束后对临时占地进行覆土绿化。风机叶片采用白色为主尖部橙红色警示鸟类避让。平整覆土撒播适合当地的草籽树种，植被覆盖度恢复到与周边生态环境一致。</w:t>
            </w:r>
          </w:p>
          <w:p w14:paraId="74502144">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认真落实《报告表》中提出的污染防治措施。施工废水经临时沉淀池沉淀后回用于施工降尘，生活污水经临时化粪池沉淀后定期清运</w:t>
            </w:r>
            <w:r>
              <w:rPr>
                <w:rFonts w:hint="eastAsia"/>
                <w:color w:val="000000"/>
                <w:szCs w:val="21"/>
                <w:lang w:eastAsia="zh-CN"/>
              </w:rPr>
              <w:t>。</w:t>
            </w:r>
            <w:r>
              <w:rPr>
                <w:rFonts w:hint="eastAsia"/>
                <w:color w:val="000000"/>
                <w:szCs w:val="21"/>
              </w:rPr>
              <w:t>施工场地四周设置围挡，定期进行洒水</w:t>
            </w:r>
            <w:r>
              <w:rPr>
                <w:rFonts w:hint="eastAsia"/>
                <w:color w:val="000000"/>
                <w:szCs w:val="21"/>
                <w:lang w:eastAsia="zh-CN"/>
              </w:rPr>
              <w:t>。</w:t>
            </w:r>
            <w:r>
              <w:rPr>
                <w:rFonts w:hint="eastAsia"/>
                <w:color w:val="000000"/>
                <w:szCs w:val="21"/>
              </w:rPr>
              <w:t>通过采取合理安排施工时间，选取低噪声设备，对设备和车辆进行维护和养护等措施，使施工期噪声满足《建筑施工噪声排放标准》（GB12523-2025）</w:t>
            </w:r>
            <w:r>
              <w:rPr>
                <w:rFonts w:hint="eastAsia"/>
                <w:color w:val="000000"/>
                <w:szCs w:val="21"/>
                <w:lang w:eastAsia="zh-CN"/>
              </w:rPr>
              <w:t>。</w:t>
            </w:r>
            <w:r>
              <w:rPr>
                <w:rFonts w:hint="eastAsia"/>
                <w:color w:val="000000"/>
                <w:szCs w:val="21"/>
              </w:rPr>
              <w:t>生活垃圾集中收集后定期由环卫部门清运，建筑垃圾分类回收，将不可回收的建筑垃圾运往鄂尔多斯市金辰环境卫生工程有限公司东胜区装修垃圾资源化利用厂处置。</w:t>
            </w:r>
          </w:p>
          <w:p w14:paraId="6C89B902">
            <w:pPr>
              <w:spacing w:line="360" w:lineRule="auto"/>
              <w:jc w:val="left"/>
              <w:rPr>
                <w:rFonts w:hint="eastAsia"/>
                <w:color w:val="000000"/>
                <w:szCs w:val="21"/>
              </w:rPr>
            </w:pPr>
            <w:r>
              <w:rPr>
                <w:rFonts w:hint="eastAsia"/>
                <w:color w:val="000000"/>
                <w:szCs w:val="21"/>
              </w:rPr>
              <w:t>运营期无废水产生。限制车速以减少扬尘，同时在检修车辆进场前洒水抑尘</w:t>
            </w:r>
            <w:r>
              <w:rPr>
                <w:rFonts w:hint="eastAsia"/>
                <w:color w:val="000000"/>
                <w:szCs w:val="21"/>
                <w:lang w:eastAsia="zh-CN"/>
              </w:rPr>
              <w:t>。</w:t>
            </w:r>
            <w:r>
              <w:rPr>
                <w:rFonts w:hint="eastAsia"/>
                <w:color w:val="000000"/>
                <w:szCs w:val="21"/>
              </w:rPr>
              <w:t>选用低噪声设备，声环境满足《声环境质量标准》（GB3096-2008）1类标准限值。</w:t>
            </w:r>
            <w:r>
              <w:rPr>
                <w:rFonts w:hint="eastAsia"/>
                <w:color w:val="000000"/>
                <w:szCs w:val="21"/>
                <w:lang w:val="en-US"/>
              </w:rPr>
              <w:t>废风机叶片产生后委托有资质</w:t>
            </w:r>
            <w:r>
              <w:rPr>
                <w:rFonts w:hint="eastAsia"/>
                <w:color w:val="000000"/>
                <w:szCs w:val="21"/>
                <w:lang w:val="en-US" w:eastAsia="zh-CN"/>
              </w:rPr>
              <w:t>单位</w:t>
            </w:r>
            <w:r>
              <w:rPr>
                <w:rFonts w:hint="eastAsia"/>
                <w:color w:val="000000"/>
                <w:szCs w:val="21"/>
                <w:lang w:val="en-US"/>
              </w:rPr>
              <w:t>回收</w:t>
            </w:r>
            <w:r>
              <w:rPr>
                <w:rFonts w:hint="eastAsia"/>
                <w:color w:val="000000"/>
                <w:szCs w:val="21"/>
                <w:lang w:val="en-US" w:eastAsia="zh-CN"/>
              </w:rPr>
              <w:t>处置</w:t>
            </w:r>
            <w:r>
              <w:rPr>
                <w:rFonts w:hint="eastAsia"/>
                <w:color w:val="000000"/>
                <w:szCs w:val="21"/>
                <w:lang w:val="en-US"/>
              </w:rPr>
              <w:t>，不得在场区内进行切割、分解、填埋等。</w:t>
            </w:r>
            <w:r>
              <w:rPr>
                <w:rFonts w:hint="eastAsia"/>
                <w:color w:val="000000"/>
                <w:szCs w:val="21"/>
              </w:rPr>
              <w:t>事故油池均做基础防渗，渗透系数</w:t>
            </w:r>
            <w:r>
              <w:rPr>
                <w:rFonts w:hint="eastAsia"/>
                <w:color w:val="000000"/>
                <w:szCs w:val="21"/>
                <w:lang w:val="en-US" w:eastAsia="zh-CN"/>
              </w:rPr>
              <w:t>不大于</w:t>
            </w:r>
            <w:r>
              <w:rPr>
                <w:rFonts w:hint="eastAsia"/>
                <w:color w:val="000000"/>
                <w:szCs w:val="21"/>
              </w:rPr>
              <w:t>1.0×10-10cm/s。</w:t>
            </w:r>
            <w:r>
              <w:rPr>
                <w:rFonts w:hint="eastAsia"/>
                <w:color w:val="000000"/>
                <w:szCs w:val="21"/>
                <w:lang w:val="en-US"/>
              </w:rPr>
              <w:t>建设单位须严格按照《一般工业固体废物贮存和填埋污染控制标准》</w:t>
            </w:r>
            <w:r>
              <w:rPr>
                <w:rFonts w:hint="eastAsia"/>
                <w:color w:val="000000"/>
                <w:szCs w:val="21"/>
              </w:rPr>
              <w:t>（GB18599-2020）</w:t>
            </w:r>
            <w:r>
              <w:rPr>
                <w:rFonts w:hint="eastAsia"/>
                <w:color w:val="000000"/>
                <w:szCs w:val="21"/>
                <w:lang w:val="en-US"/>
              </w:rPr>
              <w:t>和《危险废物贮存污染控制标准》</w:t>
            </w:r>
            <w:r>
              <w:rPr>
                <w:rFonts w:hint="eastAsia"/>
                <w:color w:val="000000"/>
                <w:szCs w:val="21"/>
              </w:rPr>
              <w:t>（GB18597-2023）</w:t>
            </w:r>
            <w:r>
              <w:rPr>
                <w:rFonts w:hint="eastAsia"/>
                <w:color w:val="000000"/>
                <w:szCs w:val="21"/>
                <w:lang w:val="en-US"/>
              </w:rPr>
              <w:t>要求对一般固废和危险废物进行处置，不得乱弃。</w:t>
            </w:r>
            <w:r>
              <w:rPr>
                <w:rFonts w:hint="eastAsia"/>
                <w:color w:val="000000"/>
                <w:szCs w:val="21"/>
              </w:rPr>
              <w:t>危险废物收集和运输等均按照《危险废物收集 贮存 运输技术规范》(HJ2025-2012)要求执行。危废必须由有资质单位处置。</w:t>
            </w:r>
          </w:p>
          <w:p w14:paraId="00202E16">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建立健全环境风险应急处理机制，严格落实各项环境风险处理措施、生态平衡保护机制，防止环境风险带来的生态环境破坏。</w:t>
            </w:r>
          </w:p>
          <w:p w14:paraId="4C9E8E0B">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46FD3C8D">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建设单位在征得林草主管部门、文物主管部门同意后方可开工建设。</w:t>
            </w:r>
          </w:p>
          <w:p w14:paraId="5873E926">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BBEA4CC">
            <w:pPr>
              <w:spacing w:line="360" w:lineRule="auto"/>
              <w:jc w:val="left"/>
              <w:rPr>
                <w:rFonts w:hint="eastAsia"/>
                <w:color w:val="000000"/>
                <w:szCs w:val="21"/>
              </w:rPr>
            </w:pPr>
            <w:r>
              <w:rPr>
                <w:rFonts w:hint="eastAsia"/>
                <w:color w:val="000000"/>
                <w:szCs w:val="21"/>
              </w:rPr>
              <w:t>六、该项目事中事后监管由鄂尔多斯市生态环境综合行政执法支队东胜区大队负责。</w:t>
            </w:r>
          </w:p>
          <w:p w14:paraId="31D66976">
            <w:pPr>
              <w:spacing w:line="360" w:lineRule="auto"/>
              <w:jc w:val="left"/>
              <w:rPr>
                <w:color w:val="000000"/>
                <w:szCs w:val="21"/>
              </w:rPr>
            </w:pPr>
            <w:r>
              <w:rPr>
                <w:rFonts w:hint="eastAsia"/>
                <w:color w:val="000000"/>
                <w:szCs w:val="21"/>
              </w:rPr>
              <w:t xml:space="preserve">七、该项目从批准之日起超过5年方决定开工建设，其环评文件应重新审核。如果建设地点、规模、防治污染和防止生态破坏的措施等发生重大变化时，需重新报批环评文件。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DD74A0"/>
    <w:rsid w:val="23022A8E"/>
    <w:rsid w:val="29AC6982"/>
    <w:rsid w:val="30463BE9"/>
    <w:rsid w:val="37170E1C"/>
    <w:rsid w:val="3E062DA7"/>
    <w:rsid w:val="430F14CF"/>
    <w:rsid w:val="43DC2BDE"/>
    <w:rsid w:val="44A80449"/>
    <w:rsid w:val="497150DD"/>
    <w:rsid w:val="49D847BF"/>
    <w:rsid w:val="4A7E49A9"/>
    <w:rsid w:val="4AD11E12"/>
    <w:rsid w:val="4DE41872"/>
    <w:rsid w:val="4E8B271B"/>
    <w:rsid w:val="54973A8B"/>
    <w:rsid w:val="59565E50"/>
    <w:rsid w:val="5A3C1252"/>
    <w:rsid w:val="5E371149"/>
    <w:rsid w:val="605C25FF"/>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footer"/>
    <w:basedOn w:val="1"/>
    <w:link w:val="2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customStyle="1" w:styleId="14">
    <w:name w:val="正文样式"/>
    <w:basedOn w:val="1"/>
    <w:qFormat/>
    <w:uiPriority w:val="0"/>
    <w:pPr>
      <w:spacing w:line="520" w:lineRule="exact"/>
      <w:ind w:firstLine="562"/>
    </w:pPr>
    <w:rPr>
      <w:rFonts w:cs="宋体"/>
      <w:sz w:val="28"/>
      <w:szCs w:val="28"/>
    </w:rPr>
  </w:style>
  <w:style w:type="paragraph" w:customStyle="1" w:styleId="15">
    <w:name w:val="xl27"/>
    <w:basedOn w:val="1"/>
    <w:next w:val="6"/>
    <w:qFormat/>
    <w:uiPriority w:val="0"/>
    <w:pPr>
      <w:widowControl/>
      <w:spacing w:before="280" w:after="280"/>
      <w:jc w:val="center"/>
    </w:pPr>
    <w:rPr>
      <w:rFonts w:hAnsi="宋体" w:cs="宋体"/>
    </w:rPr>
  </w:style>
  <w:style w:type="paragraph" w:customStyle="1" w:styleId="16">
    <w:name w:val="Default"/>
    <w:basedOn w:val="17"/>
    <w:next w:val="18"/>
    <w:qFormat/>
    <w:uiPriority w:val="0"/>
    <w:pPr>
      <w:adjustRightInd w:val="0"/>
    </w:pPr>
    <w:rPr>
      <w:rFonts w:ascii="宋体" w:cs="宋体"/>
      <w:color w:val="000000"/>
      <w:sz w:val="24"/>
      <w:lang w:val="en-US"/>
    </w:rPr>
  </w:style>
  <w:style w:type="paragraph" w:customStyle="1" w:styleId="17">
    <w:name w:val="文本"/>
    <w:basedOn w:val="1"/>
    <w:next w:val="1"/>
    <w:qFormat/>
    <w:uiPriority w:val="0"/>
    <w:pPr>
      <w:autoSpaceDE w:val="0"/>
      <w:autoSpaceDN w:val="0"/>
      <w:ind w:firstLine="480"/>
    </w:pPr>
    <w:rPr>
      <w:lang w:val="zh-CN"/>
    </w:rPr>
  </w:style>
  <w:style w:type="paragraph" w:customStyle="1" w:styleId="18">
    <w:name w:val="表格文字"/>
    <w:basedOn w:val="7"/>
    <w:next w:val="1"/>
    <w:qFormat/>
    <w:uiPriority w:val="0"/>
    <w:pPr>
      <w:jc w:val="center"/>
    </w:pPr>
    <w:rPr>
      <w:rFonts w:ascii="Arial Narrow" w:hAnsi="Arial Narrow" w:eastAsia="汉鼎简书宋"/>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页眉 字符"/>
    <w:basedOn w:val="13"/>
    <w:link w:val="9"/>
    <w:autoRedefine/>
    <w:qFormat/>
    <w:uiPriority w:val="99"/>
    <w:rPr>
      <w:sz w:val="18"/>
      <w:szCs w:val="18"/>
    </w:rPr>
  </w:style>
  <w:style w:type="character" w:customStyle="1" w:styleId="21">
    <w:name w:val="页脚 字符"/>
    <w:basedOn w:val="13"/>
    <w:link w:val="8"/>
    <w:autoRedefine/>
    <w:qFormat/>
    <w:uiPriority w:val="99"/>
    <w:rPr>
      <w:sz w:val="18"/>
      <w:szCs w:val="18"/>
    </w:rPr>
  </w:style>
  <w:style w:type="character" w:customStyle="1" w:styleId="22">
    <w:name w:val="NormalCharacter"/>
    <w:autoRedefine/>
    <w:semiHidden/>
    <w:qFormat/>
    <w:uiPriority w:val="99"/>
  </w:style>
  <w:style w:type="paragraph" w:customStyle="1" w:styleId="23">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4">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5">
    <w:name w:val="Table Paragraph"/>
    <w:basedOn w:val="1"/>
    <w:qFormat/>
    <w:uiPriority w:val="1"/>
    <w:rPr>
      <w:rFonts w:ascii="宋体" w:hAnsi="宋体" w:eastAsia="宋体" w:cs="宋体"/>
      <w:lang w:val="zh-CN" w:eastAsia="zh-CN" w:bidi="zh-CN"/>
    </w:rPr>
  </w:style>
  <w:style w:type="paragraph" w:customStyle="1" w:styleId="26">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1588</Words>
  <Characters>1709</Characters>
  <Lines>11</Lines>
  <Paragraphs>3</Paragraphs>
  <TotalTime>0</TotalTime>
  <ScaleCrop>false</ScaleCrop>
  <LinksUpToDate>false</LinksUpToDate>
  <CharactersWithSpaces>1746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2026-07-14T09:09:50Z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