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000000"/>
                <w:szCs w:val="21"/>
                <w:lang w:val="en-US" w:eastAsia="zh-CN"/>
              </w:rPr>
              <w:t>鄂尔多斯市东胜区东联现代高级中学实验室建设项目</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鄂尔多斯市东胜区乌审东街40号</w:t>
            </w:r>
            <w:r>
              <w:rPr>
                <w:rFonts w:hint="eastAsia"/>
                <w:color w:val="000000"/>
                <w:szCs w:val="21"/>
                <w:lang w:val="en-US" w:eastAsia="zh-CN"/>
              </w:rPr>
              <w:t>东联现代高级中学</w:t>
            </w:r>
            <w:r>
              <w:rPr>
                <w:rFonts w:hint="default"/>
                <w:color w:val="000000"/>
                <w:szCs w:val="21"/>
                <w:lang w:val="en-US" w:eastAsia="zh-CN"/>
              </w:rPr>
              <w:t>竹轩教学楼</w:t>
            </w:r>
          </w:p>
        </w:tc>
        <w:tc>
          <w:tcPr>
            <w:tcW w:w="465" w:type="dxa"/>
            <w:vAlign w:val="center"/>
          </w:tcPr>
          <w:p w14:paraId="25BCC080">
            <w:pPr>
              <w:spacing w:line="600" w:lineRule="exact"/>
              <w:jc w:val="center"/>
              <w:rPr>
                <w:color w:val="000000"/>
                <w:szCs w:val="21"/>
              </w:rPr>
            </w:pPr>
            <w:r>
              <w:rPr>
                <w:rFonts w:hint="eastAsia"/>
                <w:color w:val="000000"/>
                <w:szCs w:val="21"/>
                <w:lang w:eastAsia="zh-CN"/>
              </w:rPr>
              <w:t>鄂尔多斯市东胜区东联现代高级中学</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鄂尔多斯市奇胜安环科技有限</w:t>
            </w:r>
            <w:r>
              <w:rPr>
                <w:rFonts w:hint="eastAsia"/>
                <w:color w:val="000000"/>
                <w:szCs w:val="21"/>
                <w:lang w:val="en-US" w:eastAsia="zh-CN"/>
              </w:rPr>
              <w:t>公司</w:t>
            </w:r>
          </w:p>
        </w:tc>
        <w:tc>
          <w:tcPr>
            <w:tcW w:w="2555" w:type="dxa"/>
            <w:vAlign w:val="center"/>
          </w:tcPr>
          <w:p w14:paraId="73186499">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w:t>
            </w:r>
            <w:r>
              <w:rPr>
                <w:rFonts w:hint="eastAsia"/>
                <w:color w:val="000000"/>
                <w:szCs w:val="21"/>
                <w:lang w:val="en-US" w:eastAsia="zh-CN"/>
              </w:rPr>
              <w:t>位于</w:t>
            </w:r>
            <w:r>
              <w:rPr>
                <w:rFonts w:hint="default"/>
                <w:color w:val="000000"/>
                <w:szCs w:val="21"/>
                <w:lang w:val="en-US" w:eastAsia="zh-CN"/>
              </w:rPr>
              <w:t>东胜区乌审东街40号</w:t>
            </w:r>
            <w:r>
              <w:rPr>
                <w:rFonts w:hint="eastAsia"/>
                <w:color w:val="000000"/>
                <w:szCs w:val="21"/>
                <w:lang w:val="en-US" w:eastAsia="zh-CN"/>
              </w:rPr>
              <w:t>东联现代高级中学</w:t>
            </w:r>
            <w:r>
              <w:rPr>
                <w:rFonts w:hint="default"/>
                <w:color w:val="000000"/>
                <w:szCs w:val="21"/>
                <w:lang w:val="en-US" w:eastAsia="zh-CN"/>
              </w:rPr>
              <w:t>竹轩教学楼</w:t>
            </w:r>
            <w:r>
              <w:rPr>
                <w:rFonts w:hint="eastAsia"/>
                <w:color w:val="000000"/>
                <w:szCs w:val="21"/>
                <w:lang w:val="en-US" w:eastAsia="zh-CN"/>
              </w:rPr>
              <w:t>内，无新增用地，建筑面积536平方米，</w:t>
            </w:r>
            <w:r>
              <w:rPr>
                <w:rFonts w:hint="default"/>
                <w:color w:val="000000"/>
                <w:szCs w:val="21"/>
                <w:lang w:val="en-US" w:eastAsia="zh-CN"/>
              </w:rPr>
              <w:t>总投资</w:t>
            </w:r>
            <w:r>
              <w:rPr>
                <w:rFonts w:hint="eastAsia"/>
                <w:color w:val="000000"/>
                <w:szCs w:val="21"/>
                <w:lang w:val="en-US" w:eastAsia="zh-CN"/>
              </w:rPr>
              <w:t>150万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30万元。主要建设内容及规模：该项目在</w:t>
            </w:r>
            <w:r>
              <w:rPr>
                <w:rFonts w:hint="default"/>
                <w:color w:val="000000"/>
                <w:szCs w:val="21"/>
                <w:lang w:val="en-US" w:eastAsia="zh-CN"/>
              </w:rPr>
              <w:t>竹轩教学楼四</w:t>
            </w:r>
            <w:r>
              <w:rPr>
                <w:rFonts w:hint="eastAsia"/>
                <w:color w:val="000000"/>
                <w:szCs w:val="21"/>
                <w:lang w:val="en-US" w:eastAsia="zh-CN"/>
              </w:rPr>
              <w:t>至</w:t>
            </w:r>
            <w:r>
              <w:rPr>
                <w:rFonts w:hint="default"/>
                <w:color w:val="000000"/>
                <w:szCs w:val="21"/>
                <w:lang w:val="en-US" w:eastAsia="zh-CN"/>
              </w:rPr>
              <w:t>六楼设置生物、化学</w:t>
            </w:r>
            <w:r>
              <w:rPr>
                <w:rFonts w:hint="eastAsia"/>
                <w:color w:val="000000"/>
                <w:szCs w:val="21"/>
                <w:lang w:val="en-US" w:eastAsia="zh-CN"/>
              </w:rPr>
              <w:t>等</w:t>
            </w:r>
            <w:r>
              <w:rPr>
                <w:rFonts w:hint="default"/>
                <w:color w:val="000000"/>
                <w:szCs w:val="21"/>
                <w:lang w:val="en-US" w:eastAsia="zh-CN"/>
              </w:rPr>
              <w:t>实验室。四楼设有化学数字化实验室1间</w:t>
            </w:r>
            <w:r>
              <w:rPr>
                <w:rFonts w:hint="eastAsia"/>
                <w:color w:val="000000"/>
                <w:szCs w:val="21"/>
                <w:lang w:val="en-US" w:eastAsia="zh-CN"/>
              </w:rPr>
              <w:t>，</w:t>
            </w:r>
            <w:r>
              <w:rPr>
                <w:rFonts w:hint="default"/>
                <w:color w:val="000000"/>
                <w:szCs w:val="21"/>
                <w:lang w:val="en-US" w:eastAsia="zh-CN"/>
              </w:rPr>
              <w:t>生物数字化实验室1间</w:t>
            </w:r>
            <w:r>
              <w:rPr>
                <w:rFonts w:hint="eastAsia"/>
                <w:color w:val="000000"/>
                <w:szCs w:val="21"/>
                <w:lang w:val="en-US" w:eastAsia="zh-CN"/>
              </w:rPr>
              <w:t>，</w:t>
            </w:r>
            <w:r>
              <w:rPr>
                <w:rFonts w:hint="default"/>
                <w:color w:val="000000"/>
                <w:szCs w:val="21"/>
                <w:lang w:val="en-US" w:eastAsia="zh-CN"/>
              </w:rPr>
              <w:t>物理实验室4间</w:t>
            </w:r>
            <w:r>
              <w:rPr>
                <w:rFonts w:hint="eastAsia"/>
                <w:color w:val="000000"/>
                <w:szCs w:val="21"/>
                <w:lang w:val="en-US" w:eastAsia="zh-CN"/>
              </w:rPr>
              <w:t>，</w:t>
            </w:r>
            <w:r>
              <w:rPr>
                <w:rFonts w:hint="default"/>
                <w:color w:val="000000"/>
                <w:szCs w:val="21"/>
                <w:lang w:val="en-US" w:eastAsia="zh-CN"/>
              </w:rPr>
              <w:t>物理仪器库3间</w:t>
            </w:r>
            <w:r>
              <w:rPr>
                <w:rFonts w:hint="eastAsia"/>
                <w:color w:val="000000"/>
                <w:szCs w:val="21"/>
                <w:lang w:val="en-US" w:eastAsia="zh-CN"/>
              </w:rPr>
              <w:t>，</w:t>
            </w:r>
            <w:r>
              <w:rPr>
                <w:rFonts w:hint="default"/>
                <w:color w:val="000000"/>
                <w:szCs w:val="21"/>
                <w:lang w:val="en-US" w:eastAsia="zh-CN"/>
              </w:rPr>
              <w:t>物理准备室1间</w:t>
            </w:r>
            <w:r>
              <w:rPr>
                <w:rFonts w:hint="eastAsia"/>
                <w:color w:val="000000"/>
                <w:szCs w:val="21"/>
                <w:lang w:val="en-US" w:eastAsia="zh-CN"/>
              </w:rPr>
              <w:t>，</w:t>
            </w:r>
            <w:r>
              <w:rPr>
                <w:rFonts w:hint="default"/>
                <w:color w:val="000000"/>
                <w:szCs w:val="21"/>
                <w:lang w:val="en-US" w:eastAsia="zh-CN"/>
              </w:rPr>
              <w:t>教师办公室1间</w:t>
            </w:r>
            <w:r>
              <w:rPr>
                <w:rFonts w:hint="eastAsia"/>
                <w:color w:val="000000"/>
                <w:szCs w:val="21"/>
                <w:lang w:val="en-US" w:eastAsia="zh-CN"/>
              </w:rPr>
              <w:t>；</w:t>
            </w:r>
            <w:r>
              <w:rPr>
                <w:rFonts w:hint="default"/>
                <w:color w:val="000000"/>
                <w:szCs w:val="21"/>
                <w:lang w:val="en-US" w:eastAsia="zh-CN"/>
              </w:rPr>
              <w:t>五楼设有生物实验室2间</w:t>
            </w:r>
            <w:r>
              <w:rPr>
                <w:rFonts w:hint="eastAsia"/>
                <w:color w:val="000000"/>
                <w:szCs w:val="21"/>
                <w:lang w:val="en-US" w:eastAsia="zh-CN"/>
              </w:rPr>
              <w:t>，</w:t>
            </w:r>
            <w:r>
              <w:rPr>
                <w:rFonts w:hint="default"/>
                <w:color w:val="000000"/>
                <w:szCs w:val="21"/>
                <w:lang w:val="en-US" w:eastAsia="zh-CN"/>
              </w:rPr>
              <w:t>生物仪器库1间，生物准备室1间</w:t>
            </w:r>
            <w:r>
              <w:rPr>
                <w:rFonts w:hint="eastAsia"/>
                <w:color w:val="000000"/>
                <w:szCs w:val="21"/>
                <w:lang w:val="en-US" w:eastAsia="zh-CN"/>
              </w:rPr>
              <w:t>，</w:t>
            </w:r>
            <w:r>
              <w:rPr>
                <w:rFonts w:hint="default"/>
                <w:color w:val="000000"/>
                <w:szCs w:val="21"/>
                <w:lang w:val="en-US" w:eastAsia="zh-CN"/>
              </w:rPr>
              <w:t>化学实验室4间</w:t>
            </w:r>
            <w:r>
              <w:rPr>
                <w:rFonts w:hint="eastAsia"/>
                <w:color w:val="000000"/>
                <w:szCs w:val="21"/>
                <w:lang w:val="en-US" w:eastAsia="zh-CN"/>
              </w:rPr>
              <w:t>，</w:t>
            </w:r>
            <w:r>
              <w:rPr>
                <w:rFonts w:hint="default"/>
                <w:color w:val="000000"/>
                <w:szCs w:val="21"/>
                <w:lang w:val="en-US" w:eastAsia="zh-CN"/>
              </w:rPr>
              <w:t>化学准备室1间</w:t>
            </w:r>
            <w:r>
              <w:rPr>
                <w:rFonts w:hint="eastAsia"/>
                <w:color w:val="000000"/>
                <w:szCs w:val="21"/>
                <w:lang w:val="en-US" w:eastAsia="zh-CN"/>
              </w:rPr>
              <w:t>，</w:t>
            </w:r>
            <w:r>
              <w:rPr>
                <w:rFonts w:hint="default"/>
                <w:color w:val="000000"/>
                <w:szCs w:val="21"/>
                <w:lang w:val="en-US" w:eastAsia="zh-CN"/>
              </w:rPr>
              <w:t>准备室内设置1间2.89</w:t>
            </w:r>
            <w:r>
              <w:rPr>
                <w:rFonts w:hint="eastAsia"/>
                <w:color w:val="000000"/>
                <w:szCs w:val="21"/>
                <w:lang w:val="en-US" w:eastAsia="zh-CN"/>
              </w:rPr>
              <w:t>平方米</w:t>
            </w:r>
            <w:r>
              <w:rPr>
                <w:rFonts w:hint="default"/>
                <w:color w:val="000000"/>
                <w:szCs w:val="21"/>
                <w:lang w:val="en-US" w:eastAsia="zh-CN"/>
              </w:rPr>
              <w:t>的危险废物暂存库</w:t>
            </w:r>
            <w:r>
              <w:rPr>
                <w:rFonts w:hint="eastAsia"/>
                <w:color w:val="000000"/>
                <w:szCs w:val="21"/>
                <w:lang w:val="en-US" w:eastAsia="zh-CN"/>
              </w:rPr>
              <w:t>；</w:t>
            </w:r>
            <w:r>
              <w:rPr>
                <w:rFonts w:hint="default"/>
                <w:color w:val="000000"/>
                <w:szCs w:val="21"/>
                <w:lang w:val="en-US" w:eastAsia="zh-CN"/>
              </w:rPr>
              <w:t>六楼设有物理数字化实验室1间</w:t>
            </w:r>
            <w:r>
              <w:rPr>
                <w:rFonts w:hint="eastAsia"/>
                <w:color w:val="000000"/>
                <w:szCs w:val="21"/>
                <w:lang w:val="en-US" w:eastAsia="zh-CN"/>
              </w:rPr>
              <w:t>，</w:t>
            </w:r>
            <w:r>
              <w:rPr>
                <w:rFonts w:hint="default"/>
                <w:color w:val="000000"/>
                <w:szCs w:val="21"/>
                <w:lang w:val="en-US" w:eastAsia="zh-CN"/>
              </w:rPr>
              <w:t>地理数字化实验室1间</w:t>
            </w:r>
            <w:r>
              <w:rPr>
                <w:rFonts w:hint="eastAsia"/>
                <w:color w:val="000000"/>
                <w:szCs w:val="21"/>
                <w:lang w:val="en-US" w:eastAsia="zh-CN"/>
              </w:rPr>
              <w:t>；配套建设相关公辅工程及环保工程。</w:t>
            </w:r>
          </w:p>
        </w:tc>
        <w:tc>
          <w:tcPr>
            <w:tcW w:w="4877" w:type="dxa"/>
            <w:vAlign w:val="center"/>
          </w:tcPr>
          <w:p w14:paraId="4286512F">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35949078">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48BEAC52">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064098EC">
            <w:pPr>
              <w:spacing w:line="360" w:lineRule="auto"/>
              <w:jc w:val="left"/>
              <w:rPr>
                <w:rFonts w:hint="eastAsia"/>
                <w:color w:val="000000"/>
                <w:szCs w:val="21"/>
                <w:lang w:val="en-US" w:eastAsia="zh-CN"/>
              </w:rPr>
            </w:pPr>
            <w:r>
              <w:rPr>
                <w:rFonts w:hint="eastAsia"/>
                <w:color w:val="000000"/>
                <w:szCs w:val="21"/>
                <w:lang w:val="en-US" w:eastAsia="zh-CN"/>
              </w:rPr>
              <w:t>项目主体工程已建成，本次仅实施零星装修改造工程。</w:t>
            </w:r>
          </w:p>
          <w:p w14:paraId="0C83CB3E">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14:paraId="007AB112">
            <w:pPr>
              <w:spacing w:line="360" w:lineRule="auto"/>
              <w:jc w:val="left"/>
              <w:rPr>
                <w:rFonts w:hint="eastAsia"/>
                <w:color w:val="000000"/>
                <w:szCs w:val="21"/>
              </w:rPr>
            </w:pPr>
            <w:r>
              <w:rPr>
                <w:rFonts w:hint="eastAsia"/>
                <w:color w:val="000000"/>
                <w:szCs w:val="21"/>
                <w:lang w:val="en-US" w:eastAsia="zh-CN"/>
              </w:rPr>
              <w:t>2、施工人员生活污水</w:t>
            </w:r>
            <w:r>
              <w:rPr>
                <w:rFonts w:hint="eastAsia"/>
                <w:color w:val="000000"/>
                <w:szCs w:val="21"/>
                <w:lang w:eastAsia="zh-CN"/>
              </w:rPr>
              <w:t>经</w:t>
            </w:r>
            <w:r>
              <w:rPr>
                <w:rFonts w:hint="eastAsia"/>
                <w:color w:val="000000"/>
                <w:szCs w:val="21"/>
              </w:rPr>
              <w:t>化粪池沉淀后</w:t>
            </w:r>
            <w:r>
              <w:rPr>
                <w:rFonts w:hint="eastAsia"/>
                <w:color w:val="000000"/>
                <w:szCs w:val="21"/>
                <w:lang w:val="en-US" w:eastAsia="zh-CN"/>
              </w:rPr>
              <w:t>排入</w:t>
            </w:r>
            <w:r>
              <w:rPr>
                <w:rFonts w:hint="eastAsia"/>
                <w:color w:val="000000"/>
                <w:szCs w:val="21"/>
              </w:rPr>
              <w:t>市政污水管网。</w:t>
            </w:r>
          </w:p>
          <w:p w14:paraId="73D953F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3、选用低噪声施工设备，合理安排作业时间，避免夜间施工。施工期噪声执行《建筑施工噪声排放标准》（GB12523-2025）。</w:t>
            </w:r>
          </w:p>
          <w:p w14:paraId="57651A77">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C4C79FF">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3B47D670">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1、大气污染防治措施。运营期化学实验室及生物实验室产生的废气经各自通风橱收集后，通过通风管道汇至楼顶经活性炭吸附装置吸附后由一根20米高排气筒排放，</w:t>
            </w:r>
            <w:r>
              <w:rPr>
                <w:rFonts w:hint="eastAsia"/>
                <w:color w:val="000000"/>
                <w:szCs w:val="21"/>
                <w:lang w:eastAsia="zh-CN"/>
              </w:rPr>
              <w:t>其中氨</w:t>
            </w:r>
            <w:r>
              <w:rPr>
                <w:rFonts w:hint="eastAsia"/>
                <w:color w:val="000000"/>
                <w:szCs w:val="21"/>
                <w:lang w:val="en-US" w:eastAsia="zh-CN"/>
              </w:rPr>
              <w:t>、臭气浓度有组织排放执行《恶臭污染物排放标准》(GB14554-93)表2中标准限值，无组织排放执行表1中二级新扩改建标准限值；其他</w:t>
            </w:r>
            <w:r>
              <w:rPr>
                <w:rFonts w:hint="eastAsia"/>
                <w:color w:val="000000"/>
                <w:szCs w:val="21"/>
                <w:lang w:eastAsia="zh-CN"/>
              </w:rPr>
              <w:t>污染物</w:t>
            </w:r>
            <w:r>
              <w:rPr>
                <w:rFonts w:hint="eastAsia"/>
                <w:color w:val="000000"/>
                <w:szCs w:val="21"/>
                <w:lang w:val="en-US" w:eastAsia="zh-CN"/>
              </w:rPr>
              <w:t>有组织排放执行《大气污染物综合排放标准》（GB16297-1996）表2中二级标准限值，无组织排放执行表2中无组织排放监控浓度限值。本项目排气筒高度没有高出周围200m半径范围的建筑5m以上，按其高度对应的表列排放速率标准值严格50%执行。</w:t>
            </w:r>
          </w:p>
          <w:p w14:paraId="1DA7C5E2">
            <w:pPr>
              <w:spacing w:line="360" w:lineRule="auto"/>
              <w:jc w:val="left"/>
              <w:rPr>
                <w:rFonts w:hint="eastAsia"/>
                <w:color w:val="000000"/>
                <w:szCs w:val="21"/>
                <w:lang w:val="en-US" w:eastAsia="zh-CN"/>
              </w:rPr>
            </w:pPr>
            <w:r>
              <w:rPr>
                <w:rFonts w:hint="eastAsia"/>
                <w:color w:val="000000"/>
                <w:szCs w:val="21"/>
                <w:lang w:val="en-US" w:eastAsia="zh-CN"/>
              </w:rPr>
              <w:t>2、水污染防治措施。实验室普通清洗废水满足《污水综合排放标准》（GB8978-1996）三级标准后排入市政污水管网。</w:t>
            </w:r>
          </w:p>
          <w:p w14:paraId="1918B8EC">
            <w:pPr>
              <w:spacing w:line="360" w:lineRule="auto"/>
              <w:jc w:val="left"/>
              <w:rPr>
                <w:rFonts w:hint="eastAsia"/>
                <w:color w:val="000000"/>
                <w:szCs w:val="21"/>
              </w:rPr>
            </w:pPr>
            <w:r>
              <w:rPr>
                <w:rFonts w:hint="eastAsia"/>
                <w:color w:val="000000"/>
                <w:szCs w:val="21"/>
                <w:lang w:val="en-US" w:eastAsia="zh-CN"/>
              </w:rPr>
              <w:t>3、噪声污染防治措施。通过采取选用低噪声设备、基础减振和消声等措施，确保运</w:t>
            </w:r>
            <w:r>
              <w:rPr>
                <w:rFonts w:hint="eastAsia"/>
                <w:color w:val="000000"/>
                <w:szCs w:val="21"/>
              </w:rPr>
              <w:t>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1</w:t>
            </w:r>
            <w:r>
              <w:rPr>
                <w:rFonts w:hint="eastAsia"/>
                <w:color w:val="000000"/>
                <w:szCs w:val="21"/>
              </w:rPr>
              <w:t>类标准</w:t>
            </w:r>
            <w:r>
              <w:rPr>
                <w:rFonts w:hint="eastAsia"/>
                <w:color w:val="000000"/>
                <w:szCs w:val="21"/>
                <w:lang w:eastAsia="zh-CN"/>
              </w:rPr>
              <w:t>要求</w:t>
            </w:r>
            <w:r>
              <w:rPr>
                <w:rFonts w:hint="eastAsia"/>
                <w:color w:val="000000"/>
                <w:szCs w:val="21"/>
              </w:rPr>
              <w:t>。</w:t>
            </w:r>
          </w:p>
          <w:p w14:paraId="4925C3AD">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危废暂存库须严格按照《危险废物贮存污染控制标准》（GB18597-2023）进行设计、建设和管理。危险废物收集和运输等均按照《危险废物收集 贮存 运输技术规范》(HJ2025-2012)要求执行。危废必须由有资质单位处置。液态危险废物置于废液桶内，废液桶下设置防渗漏托盘，单个托盘可容纳渗漏量大于废液桶容积。</w:t>
            </w:r>
          </w:p>
          <w:p w14:paraId="1F1EA1F4">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69DC48AD">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7491D733">
            <w:pPr>
              <w:spacing w:line="360" w:lineRule="auto"/>
              <w:jc w:val="left"/>
              <w:rPr>
                <w:rFonts w:hint="eastAsia"/>
                <w:color w:val="000000"/>
                <w:szCs w:val="21"/>
              </w:rPr>
            </w:pPr>
            <w:r>
              <w:rPr>
                <w:rFonts w:hint="eastAsia"/>
                <w:color w:val="000000"/>
                <w:szCs w:val="21"/>
                <w:lang w:val="en-US" w:eastAsia="zh-CN"/>
              </w:rPr>
              <w:t>三、你单位应在项目运行过程中严格落实环保设施安全生产工作要求。</w:t>
            </w:r>
          </w:p>
          <w:p w14:paraId="1B8C607E">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w:t>
            </w:r>
            <w:bookmarkStart w:id="0" w:name="_GoBack"/>
            <w:bookmarkEnd w:id="0"/>
            <w:r>
              <w:rPr>
                <w:rFonts w:hint="eastAsia"/>
                <w:color w:val="000000"/>
                <w:szCs w:val="21"/>
              </w:rPr>
              <w:t>验收。</w:t>
            </w:r>
          </w:p>
          <w:p w14:paraId="31D66976">
            <w:pPr>
              <w:spacing w:line="360" w:lineRule="auto"/>
              <w:jc w:val="left"/>
              <w:rPr>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29AC6982"/>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autoRedefine/>
    <w:semiHidden/>
    <w:unhideWhenUsed/>
    <w:qFormat/>
    <w:uiPriority w:val="99"/>
    <w:pPr>
      <w:ind w:firstLine="420" w:firstLineChars="200"/>
    </w:pPr>
  </w:style>
  <w:style w:type="paragraph" w:styleId="4">
    <w:name w:val="table of figures"/>
    <w:basedOn w:val="1"/>
    <w:next w:val="1"/>
    <w:qFormat/>
    <w:uiPriority w:val="0"/>
    <w:pPr>
      <w:ind w:left="200" w:leftChars="200" w:hanging="200" w:hangingChars="200"/>
    </w:pPr>
  </w:style>
  <w:style w:type="paragraph" w:styleId="5">
    <w:name w:val="annotation text"/>
    <w:basedOn w:val="1"/>
    <w:next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Body Text Indent"/>
    <w:basedOn w:val="1"/>
    <w:qFormat/>
    <w:uiPriority w:val="99"/>
    <w:pPr>
      <w:ind w:left="420" w:leftChars="200"/>
    </w:pPr>
  </w:style>
  <w:style w:type="paragraph" w:styleId="8">
    <w:name w:val="footer"/>
    <w:basedOn w:val="1"/>
    <w:link w:val="2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7"/>
    <w:next w:val="1"/>
    <w:qFormat/>
    <w:uiPriority w:val="99"/>
    <w:pPr>
      <w:spacing w:line="240" w:lineRule="auto"/>
      <w:ind w:firstLine="420"/>
    </w:pPr>
  </w:style>
  <w:style w:type="paragraph" w:customStyle="1" w:styleId="15">
    <w:name w:val="xl27"/>
    <w:basedOn w:val="1"/>
    <w:next w:val="5"/>
    <w:qFormat/>
    <w:uiPriority w:val="0"/>
    <w:pPr>
      <w:widowControl/>
      <w:spacing w:before="280" w:after="280"/>
      <w:jc w:val="center"/>
    </w:pPr>
    <w:rPr>
      <w:rFonts w:hAnsi="宋体" w:cs="宋体"/>
    </w:rPr>
  </w:style>
  <w:style w:type="paragraph" w:customStyle="1" w:styleId="16">
    <w:name w:val="Default"/>
    <w:basedOn w:val="17"/>
    <w:next w:val="18"/>
    <w:qFormat/>
    <w:uiPriority w:val="0"/>
    <w:pPr>
      <w:adjustRightInd w:val="0"/>
    </w:pPr>
    <w:rPr>
      <w:rFonts w:ascii="宋体" w:cs="宋体"/>
      <w:color w:val="000000"/>
      <w:sz w:val="24"/>
      <w:lang w:val="en-US"/>
    </w:rPr>
  </w:style>
  <w:style w:type="paragraph" w:customStyle="1" w:styleId="17">
    <w:name w:val="文本"/>
    <w:basedOn w:val="1"/>
    <w:next w:val="1"/>
    <w:qFormat/>
    <w:uiPriority w:val="0"/>
    <w:pPr>
      <w:autoSpaceDE w:val="0"/>
      <w:autoSpaceDN w:val="0"/>
      <w:ind w:firstLine="480"/>
    </w:pPr>
    <w:rPr>
      <w:lang w:val="zh-CN"/>
    </w:rPr>
  </w:style>
  <w:style w:type="paragraph" w:customStyle="1" w:styleId="18">
    <w:name w:val="表格文字"/>
    <w:basedOn w:val="6"/>
    <w:next w:val="1"/>
    <w:qFormat/>
    <w:uiPriority w:val="0"/>
    <w:pPr>
      <w:jc w:val="center"/>
    </w:pPr>
    <w:rPr>
      <w:rFonts w:ascii="Arial Narrow" w:hAnsi="Arial Narrow" w:eastAsia="汉鼎简书宋"/>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页眉 字符"/>
    <w:basedOn w:val="14"/>
    <w:link w:val="9"/>
    <w:autoRedefine/>
    <w:qFormat/>
    <w:uiPriority w:val="99"/>
    <w:rPr>
      <w:sz w:val="18"/>
      <w:szCs w:val="18"/>
    </w:rPr>
  </w:style>
  <w:style w:type="character" w:customStyle="1" w:styleId="21">
    <w:name w:val="页脚 字符"/>
    <w:basedOn w:val="14"/>
    <w:link w:val="8"/>
    <w:autoRedefine/>
    <w:qFormat/>
    <w:uiPriority w:val="99"/>
    <w:rPr>
      <w:sz w:val="18"/>
      <w:szCs w:val="18"/>
    </w:rPr>
  </w:style>
  <w:style w:type="character" w:customStyle="1" w:styleId="22">
    <w:name w:val="NormalCharacter"/>
    <w:autoRedefine/>
    <w:semiHidden/>
    <w:qFormat/>
    <w:uiPriority w:val="99"/>
  </w:style>
  <w:style w:type="paragraph" w:customStyle="1" w:styleId="23">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4">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5">
    <w:name w:val="Table Paragraph"/>
    <w:basedOn w:val="1"/>
    <w:qFormat/>
    <w:uiPriority w:val="1"/>
    <w:rPr>
      <w:rFonts w:ascii="宋体" w:hAnsi="宋体" w:eastAsia="宋体" w:cs="宋体"/>
      <w:lang w:val="zh-CN" w:eastAsia="zh-CN" w:bidi="zh-CN"/>
    </w:rPr>
  </w:style>
  <w:style w:type="paragraph" w:customStyle="1" w:styleId="26">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1674</Words>
  <Characters>1811</Characters>
  <Lines>11</Lines>
  <Paragraphs>3</Paragraphs>
  <TotalTime>1</TotalTime>
  <ScaleCrop>false</ScaleCrop>
  <LinksUpToDate>false</LinksUpToDate>
  <CharactersWithSpaces>1863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2026-07-13T03:20:10Z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8A8837DC28804F048B97D671515894C8_12</vt:lpwstr>
  </property>
  <property fmtid="{D5CDD505-2E9C-101B-9397-08002B2CF9AE}" pid="4" name="KSOTemplateDocerSaveRecord">
    <vt:lpwstr>eyJoZGlkIjoiOWRiYzA1ZjQ3ZGQzOTVhN2Y3Y2FmMzBiMjU1YTYwZmUiLCJ1c2VySWQiOiIyNDY1NDUzNzIifQ==</vt:lpwstr>
  </property>
</Properties>
</file>