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8468D">
      <w:pPr>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75BACFC6">
      <w:pPr>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07B8FEE3">
      <w:pPr>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19B687AC">
      <w:pPr>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6D47CE79">
      <w:pPr>
        <w:adjustRightInd w:val="0"/>
        <w:snapToGrid w:val="0"/>
        <w:ind w:left="0" w:leftChars="0" w:firstLine="0" w:firstLineChars="0"/>
        <w:jc w:val="center"/>
        <w:outlineLvl w:val="0"/>
        <w:rPr>
          <w:rFonts w:hint="default" w:ascii="Times New Roman" w:hAnsi="Times New Roman" w:eastAsia="方正小标宋_GBK" w:cs="Times New Roman"/>
          <w:bCs/>
          <w:color w:val="000000" w:themeColor="text1"/>
          <w:sz w:val="72"/>
          <w:szCs w:val="72"/>
          <w:highlight w:val="none"/>
          <w14:textFill>
            <w14:solidFill>
              <w14:schemeClr w14:val="tx1"/>
            </w14:solidFill>
          </w14:textFill>
        </w:rPr>
      </w:pPr>
      <w:r>
        <w:rPr>
          <w:rFonts w:hint="default" w:ascii="Times New Roman" w:hAnsi="Times New Roman" w:eastAsia="方正小标宋_GBK" w:cs="Times New Roman"/>
          <w:bCs/>
          <w:color w:val="000000" w:themeColor="text1"/>
          <w:sz w:val="72"/>
          <w:szCs w:val="72"/>
          <w:highlight w:val="none"/>
          <w14:textFill>
            <w14:solidFill>
              <w14:schemeClr w14:val="tx1"/>
            </w14:solidFill>
          </w14:textFill>
        </w:rPr>
        <w:t>建设项目环境影响报告表</w:t>
      </w:r>
    </w:p>
    <w:p w14:paraId="75C9F9E7">
      <w:pPr>
        <w:adjustRightInd w:val="0"/>
        <w:snapToGrid w:val="0"/>
        <w:spacing w:before="192" w:beforeLines="80"/>
        <w:ind w:left="0" w:leftChars="0" w:firstLine="0" w:firstLineChars="0"/>
        <w:jc w:val="center"/>
        <w:rPr>
          <w:rFonts w:hint="default" w:ascii="Times New Roman" w:hAnsi="Times New Roman" w:eastAsia="楷体_GB2312" w:cs="Times New Roman"/>
          <w:bCs/>
          <w:color w:val="000000" w:themeColor="text1"/>
          <w:sz w:val="48"/>
          <w:szCs w:val="48"/>
          <w:highlight w:val="none"/>
          <w14:textFill>
            <w14:solidFill>
              <w14:schemeClr w14:val="tx1"/>
            </w14:solidFill>
          </w14:textFill>
        </w:rPr>
      </w:pPr>
      <w:r>
        <w:rPr>
          <w:rFonts w:hint="default" w:ascii="Times New Roman" w:hAnsi="Times New Roman" w:eastAsia="楷体_GB2312" w:cs="Times New Roman"/>
          <w:bCs/>
          <w:color w:val="000000" w:themeColor="text1"/>
          <w:sz w:val="48"/>
          <w:szCs w:val="48"/>
          <w:highlight w:val="none"/>
          <w14:textFill>
            <w14:solidFill>
              <w14:schemeClr w14:val="tx1"/>
            </w14:solidFill>
          </w14:textFill>
        </w:rPr>
        <w:t>（污染影响类）</w:t>
      </w:r>
    </w:p>
    <w:p w14:paraId="6B77C5AD">
      <w:pPr>
        <w:adjustRightInd w:val="0"/>
        <w:snapToGrid w:val="0"/>
        <w:spacing w:line="288" w:lineRule="auto"/>
        <w:jc w:val="center"/>
        <w:outlineLvl w:val="0"/>
        <w:rPr>
          <w:rFonts w:hint="default" w:ascii="Times New Roman" w:hAnsi="Times New Roman" w:eastAsia="华文仿宋" w:cs="Times New Roman"/>
          <w:color w:val="000000" w:themeColor="text1"/>
          <w:kern w:val="44"/>
          <w:sz w:val="44"/>
          <w:szCs w:val="44"/>
          <w:highlight w:val="none"/>
          <w14:textFill>
            <w14:solidFill>
              <w14:schemeClr w14:val="tx1"/>
            </w14:solidFill>
          </w14:textFill>
        </w:rPr>
      </w:pPr>
    </w:p>
    <w:p w14:paraId="1014E0A3">
      <w:pPr>
        <w:jc w:val="center"/>
        <w:rPr>
          <w:rFonts w:hint="default" w:ascii="Times New Roman" w:hAnsi="Times New Roman" w:eastAsia="仿宋" w:cs="Times New Roman"/>
          <w:color w:val="000000" w:themeColor="text1"/>
          <w:sz w:val="52"/>
          <w:szCs w:val="52"/>
          <w:highlight w:val="none"/>
          <w14:textFill>
            <w14:solidFill>
              <w14:schemeClr w14:val="tx1"/>
            </w14:solidFill>
          </w14:textFill>
        </w:rPr>
      </w:pPr>
    </w:p>
    <w:p w14:paraId="4217993A">
      <w:pPr>
        <w:ind w:firstLine="1040"/>
        <w:jc w:val="center"/>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7447D6AB">
      <w:pPr>
        <w:ind w:firstLine="1040"/>
        <w:jc w:val="center"/>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573D4512">
      <w:pPr>
        <w:ind w:firstLine="1040"/>
        <w:jc w:val="center"/>
        <w:rPr>
          <w:rFonts w:hint="default" w:ascii="Times New Roman" w:hAnsi="Times New Roman" w:eastAsia="仿宋" w:cs="Times New Roman"/>
          <w:color w:val="000000" w:themeColor="text1"/>
          <w:sz w:val="44"/>
          <w:szCs w:val="44"/>
          <w:highlight w:val="none"/>
          <w14:textFill>
            <w14:solidFill>
              <w14:schemeClr w14:val="tx1"/>
            </w14:solidFill>
          </w14:textFill>
        </w:rPr>
      </w:pPr>
    </w:p>
    <w:p w14:paraId="183FBF3D">
      <w:pPr>
        <w:adjustRightInd w:val="0"/>
        <w:snapToGrid w:val="0"/>
        <w:spacing w:line="288" w:lineRule="auto"/>
        <w:ind w:left="0" w:leftChars="0" w:firstLine="0" w:firstLineChars="0"/>
        <w:jc w:val="center"/>
        <w:rPr>
          <w:rFonts w:hint="default" w:ascii="Times New Roman" w:hAnsi="Times New Roman" w:eastAsia="仿宋_GB2312" w:cs="Times New Roman"/>
          <w:b/>
          <w:bCs/>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项目名称：</w:t>
      </w:r>
      <w:r>
        <w:rPr>
          <w:rFonts w:hint="eastAsia" w:eastAsia="仿宋_GB2312" w:cs="Times New Roman"/>
          <w:b/>
          <w:bCs/>
          <w:color w:val="000000" w:themeColor="text1"/>
          <w:sz w:val="32"/>
          <w:szCs w:val="32"/>
          <w:highlight w:val="none"/>
          <w:u w:val="single"/>
          <w:lang w:eastAsia="zh-CN"/>
          <w14:textFill>
            <w14:solidFill>
              <w14:schemeClr w14:val="tx1"/>
            </w14:solidFill>
          </w14:textFill>
        </w:rPr>
        <w:t>鄂尔多斯市东胜区东联现代高级中学实验室建设项目</w:t>
      </w:r>
    </w:p>
    <w:p w14:paraId="1169FA75">
      <w:pPr>
        <w:adjustRightInd w:val="0"/>
        <w:snapToGrid w:val="0"/>
        <w:spacing w:line="288" w:lineRule="auto"/>
        <w:ind w:left="0" w:leftChars="0" w:firstLine="0" w:firstLineChars="0"/>
        <w:jc w:val="center"/>
        <w:rPr>
          <w:rFonts w:hint="eastAsia" w:ascii="Times New Roman" w:hAnsi="Times New Roman" w:eastAsia="仿宋_GB2312" w:cs="Times New Roman"/>
          <w:b/>
          <w:bCs/>
          <w:color w:val="000000" w:themeColor="text1"/>
          <w:sz w:val="32"/>
          <w:szCs w:val="32"/>
          <w:highlight w:val="none"/>
          <w:u w:val="single"/>
          <w:lang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14:textFill>
            <w14:solidFill>
              <w14:schemeClr w14:val="tx1"/>
            </w14:solidFill>
          </w14:textFill>
        </w:rPr>
        <w:t>建设单位（盖章）：</w:t>
      </w:r>
      <w:r>
        <w:rPr>
          <w:rFonts w:hint="eastAsia" w:eastAsia="仿宋_GB2312" w:cs="Times New Roman"/>
          <w:b/>
          <w:bCs/>
          <w:color w:val="000000" w:themeColor="text1"/>
          <w:sz w:val="32"/>
          <w:szCs w:val="32"/>
          <w:highlight w:val="none"/>
          <w:u w:val="single"/>
          <w:lang w:eastAsia="zh-CN"/>
          <w14:textFill>
            <w14:solidFill>
              <w14:schemeClr w14:val="tx1"/>
            </w14:solidFill>
          </w14:textFill>
        </w:rPr>
        <w:t>鄂尔多斯市东胜区东联现代高级中学</w:t>
      </w:r>
    </w:p>
    <w:p w14:paraId="79101504">
      <w:pPr>
        <w:adjustRightInd w:val="0"/>
        <w:snapToGrid w:val="0"/>
        <w:spacing w:line="288" w:lineRule="auto"/>
        <w:ind w:left="0" w:leftChars="0" w:firstLine="0" w:firstLineChars="0"/>
        <w:jc w:val="center"/>
        <w:rPr>
          <w:rFonts w:hint="eastAsia" w:ascii="Times New Roman" w:hAnsi="Times New Roman" w:eastAsia="仿宋_GB2312" w:cs="Times New Roman"/>
          <w:b/>
          <w:bCs/>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u w:val="none"/>
          <w:lang w:val="en-US" w:eastAsia="zh-CN"/>
          <w14:textFill>
            <w14:solidFill>
              <w14:schemeClr w14:val="tx1"/>
            </w14:solidFill>
          </w14:textFill>
        </w:rPr>
        <w:t>编制日期：</w:t>
      </w:r>
      <w:r>
        <w:rPr>
          <w:rFonts w:hint="default" w:ascii="Times New Roman" w:hAnsi="Times New Roman" w:eastAsia="仿宋_GB2312" w:cs="Times New Roman"/>
          <w:b/>
          <w:bCs/>
          <w:color w:val="000000" w:themeColor="text1"/>
          <w:sz w:val="32"/>
          <w:szCs w:val="32"/>
          <w:highlight w:val="none"/>
          <w:u w:val="single"/>
          <w:lang w:val="en-US" w:eastAsia="zh-CN"/>
          <w14:textFill>
            <w14:solidFill>
              <w14:schemeClr w14:val="tx1"/>
            </w14:solidFill>
          </w14:textFill>
        </w:rPr>
        <w:t>202</w:t>
      </w:r>
      <w:r>
        <w:rPr>
          <w:rFonts w:hint="eastAsia" w:ascii="Times New Roman" w:hAnsi="Times New Roman" w:eastAsia="仿宋_GB2312" w:cs="Times New Roman"/>
          <w:b/>
          <w:bCs/>
          <w:color w:val="000000" w:themeColor="text1"/>
          <w:sz w:val="32"/>
          <w:szCs w:val="32"/>
          <w:highlight w:val="none"/>
          <w:u w:val="single"/>
          <w:lang w:val="en-US" w:eastAsia="zh-CN"/>
          <w14:textFill>
            <w14:solidFill>
              <w14:schemeClr w14:val="tx1"/>
            </w14:solidFill>
          </w14:textFill>
        </w:rPr>
        <w:t>6</w:t>
      </w:r>
      <w:r>
        <w:rPr>
          <w:rFonts w:hint="default" w:ascii="Times New Roman" w:hAnsi="Times New Roman" w:eastAsia="仿宋_GB2312" w:cs="Times New Roman"/>
          <w:b/>
          <w:bCs/>
          <w:color w:val="000000" w:themeColor="text1"/>
          <w:sz w:val="32"/>
          <w:szCs w:val="32"/>
          <w:highlight w:val="none"/>
          <w:u w:val="single"/>
          <w:lang w:val="en-US" w:eastAsia="zh-CN"/>
          <w14:textFill>
            <w14:solidFill>
              <w14:schemeClr w14:val="tx1"/>
            </w14:solidFill>
          </w14:textFill>
        </w:rPr>
        <w:t>年</w:t>
      </w:r>
      <w:r>
        <w:rPr>
          <w:rFonts w:hint="eastAsia" w:eastAsia="仿宋_GB2312" w:cs="Times New Roman"/>
          <w:b/>
          <w:bCs/>
          <w:color w:val="000000" w:themeColor="text1"/>
          <w:sz w:val="32"/>
          <w:szCs w:val="32"/>
          <w:highlight w:val="none"/>
          <w:u w:val="single"/>
          <w:lang w:val="en-US" w:eastAsia="zh-CN"/>
          <w14:textFill>
            <w14:solidFill>
              <w14:schemeClr w14:val="tx1"/>
            </w14:solidFill>
          </w14:textFill>
        </w:rPr>
        <w:t>7</w:t>
      </w:r>
      <w:r>
        <w:rPr>
          <w:rFonts w:hint="default" w:ascii="Times New Roman" w:hAnsi="Times New Roman" w:eastAsia="仿宋_GB2312" w:cs="Times New Roman"/>
          <w:b/>
          <w:bCs/>
          <w:color w:val="000000" w:themeColor="text1"/>
          <w:sz w:val="32"/>
          <w:szCs w:val="32"/>
          <w:highlight w:val="none"/>
          <w:u w:val="single"/>
          <w:lang w:val="en-US" w:eastAsia="zh-CN"/>
          <w14:textFill>
            <w14:solidFill>
              <w14:schemeClr w14:val="tx1"/>
            </w14:solidFill>
          </w14:textFill>
        </w:rPr>
        <w:t>月</w:t>
      </w:r>
    </w:p>
    <w:p w14:paraId="3C4FA2B6">
      <w:pPr>
        <w:adjustRightInd w:val="0"/>
        <w:snapToGrid w:val="0"/>
        <w:spacing w:line="288" w:lineRule="auto"/>
        <w:ind w:firstLine="1040"/>
        <w:jc w:val="center"/>
        <w:rPr>
          <w:rFonts w:hint="default" w:ascii="Times New Roman" w:hAnsi="Times New Roman" w:eastAsia="仿宋_GB2312" w:cs="Times New Roman"/>
          <w:color w:val="000000" w:themeColor="text1"/>
          <w:sz w:val="36"/>
          <w:szCs w:val="36"/>
          <w:highlight w:val="none"/>
          <w:u w:val="single"/>
          <w14:textFill>
            <w14:solidFill>
              <w14:schemeClr w14:val="tx1"/>
            </w14:solidFill>
          </w14:textFill>
        </w:rPr>
      </w:pPr>
      <w:bookmarkStart w:id="0" w:name="_Hlk57884087"/>
    </w:p>
    <w:p w14:paraId="3DE43017">
      <w:pPr>
        <w:pStyle w:val="9"/>
        <w:jc w:val="both"/>
        <w:rPr>
          <w:rFonts w:hint="default" w:ascii="Times New Roman" w:hAnsi="Times New Roman" w:eastAsia="仿宋_GB2312" w:cs="Times New Roman"/>
          <w:color w:val="000000" w:themeColor="text1"/>
          <w:sz w:val="36"/>
          <w:szCs w:val="36"/>
          <w:highlight w:val="none"/>
          <w:u w:val="single"/>
          <w14:textFill>
            <w14:solidFill>
              <w14:schemeClr w14:val="tx1"/>
            </w14:solidFill>
          </w14:textFill>
        </w:rPr>
      </w:pPr>
    </w:p>
    <w:p w14:paraId="63FD0D88">
      <w:pPr>
        <w:jc w:val="center"/>
        <w:rPr>
          <w:rFonts w:hint="default"/>
          <w:color w:val="000000" w:themeColor="text1"/>
          <w:highlight w:val="none"/>
          <w14:textFill>
            <w14:solidFill>
              <w14:schemeClr w14:val="tx1"/>
            </w14:solidFill>
          </w14:textFill>
        </w:rPr>
      </w:pPr>
    </w:p>
    <w:bookmarkEnd w:id="0"/>
    <w:p w14:paraId="55AAB9B5">
      <w:pPr>
        <w:adjustRightInd w:val="0"/>
        <w:snapToGrid w:val="0"/>
        <w:spacing w:line="288" w:lineRule="auto"/>
        <w:ind w:left="0" w:leftChars="0" w:firstLine="0" w:firstLineChars="0"/>
        <w:jc w:val="center"/>
        <w:rPr>
          <w:rFonts w:hint="default" w:ascii="Times New Roman" w:hAnsi="Times New Roman" w:eastAsia="仿宋_GB2312" w:cs="Times New Roman"/>
          <w:color w:val="000000" w:themeColor="text1"/>
          <w:sz w:val="36"/>
          <w:szCs w:val="36"/>
          <w:highlight w:val="none"/>
          <w14:textFill>
            <w14:solidFill>
              <w14:schemeClr w14:val="tx1"/>
            </w14:solidFill>
          </w14:textFill>
        </w:rPr>
      </w:pPr>
      <w:r>
        <w:rPr>
          <w:rFonts w:hint="default" w:ascii="Times New Roman" w:hAnsi="Times New Roman" w:eastAsia="楷体_GB2312" w:cs="Times New Roman"/>
          <w:color w:val="000000" w:themeColor="text1"/>
          <w:sz w:val="36"/>
          <w:szCs w:val="36"/>
          <w:highlight w:val="none"/>
          <w14:textFill>
            <w14:solidFill>
              <w14:schemeClr w14:val="tx1"/>
            </w14:solidFill>
          </w14:textFill>
        </w:rPr>
        <w:t>中华人民共和国生态环境部制</w:t>
      </w:r>
    </w:p>
    <w:p w14:paraId="41908550">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pPr>
    </w:p>
    <w:p w14:paraId="0C70DF47">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sectPr>
          <w:headerReference r:id="rId5" w:type="default"/>
          <w:footerReference r:id="rId6" w:type="default"/>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fmt="numberInDash" w:start="3"/>
          <w:cols w:space="720" w:num="1"/>
          <w:docGrid w:linePitch="312" w:charSpace="0"/>
        </w:sectPr>
      </w:pPr>
    </w:p>
    <w:p w14:paraId="07C85C7C">
      <w:pPr>
        <w:pStyle w:val="20"/>
        <w:jc w:val="center"/>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一、建设项目基本情况</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65"/>
        <w:gridCol w:w="402"/>
        <w:gridCol w:w="1752"/>
        <w:gridCol w:w="2115"/>
        <w:gridCol w:w="2736"/>
      </w:tblGrid>
      <w:tr w14:paraId="4B71A0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gridSpan w:val="2"/>
            <w:noWrap w:val="0"/>
            <w:tcMar>
              <w:top w:w="16" w:type="dxa"/>
              <w:left w:w="16" w:type="dxa"/>
              <w:right w:w="16" w:type="dxa"/>
            </w:tcMar>
            <w:vAlign w:val="center"/>
          </w:tcPr>
          <w:p w14:paraId="6683C9E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6603" w:type="dxa"/>
            <w:gridSpan w:val="3"/>
            <w:noWrap w:val="0"/>
            <w:vAlign w:val="center"/>
          </w:tcPr>
          <w:p w14:paraId="0B5D058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鄂尔多斯市东胜区东联现代高级中学</w:t>
            </w:r>
            <w:r>
              <w:rPr>
                <w:rFonts w:hint="default" w:ascii="Times New Roman" w:hAnsi="Times New Roman" w:cs="Times New Roman"/>
                <w:color w:val="auto"/>
                <w:sz w:val="24"/>
                <w:szCs w:val="24"/>
                <w:highlight w:val="none"/>
                <w:lang w:eastAsia="zh-CN"/>
              </w:rPr>
              <w:t>实验室建设项目</w:t>
            </w:r>
          </w:p>
        </w:tc>
      </w:tr>
      <w:tr w14:paraId="43ED7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gridSpan w:val="2"/>
            <w:noWrap w:val="0"/>
            <w:tcMar>
              <w:top w:w="16" w:type="dxa"/>
              <w:left w:w="16" w:type="dxa"/>
              <w:right w:w="16" w:type="dxa"/>
            </w:tcMar>
            <w:vAlign w:val="center"/>
          </w:tcPr>
          <w:p w14:paraId="67CF765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6603" w:type="dxa"/>
            <w:gridSpan w:val="3"/>
            <w:noWrap w:val="0"/>
            <w:vAlign w:val="center"/>
          </w:tcPr>
          <w:p w14:paraId="2025A4E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52FBED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gridSpan w:val="2"/>
            <w:noWrap w:val="0"/>
            <w:tcMar>
              <w:top w:w="16" w:type="dxa"/>
              <w:left w:w="16" w:type="dxa"/>
              <w:right w:w="16" w:type="dxa"/>
            </w:tcMar>
            <w:vAlign w:val="center"/>
          </w:tcPr>
          <w:p w14:paraId="25805A5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1752" w:type="dxa"/>
            <w:noWrap w:val="0"/>
            <w:vAlign w:val="center"/>
          </w:tcPr>
          <w:p w14:paraId="5F0078F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赵志刚</w:t>
            </w:r>
          </w:p>
        </w:tc>
        <w:tc>
          <w:tcPr>
            <w:tcW w:w="2115" w:type="dxa"/>
            <w:noWrap w:val="0"/>
            <w:vAlign w:val="center"/>
          </w:tcPr>
          <w:p w14:paraId="70E4651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2736" w:type="dxa"/>
            <w:noWrap w:val="0"/>
            <w:vAlign w:val="center"/>
          </w:tcPr>
          <w:p w14:paraId="20B09ED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18647717788</w:t>
            </w:r>
          </w:p>
        </w:tc>
      </w:tr>
      <w:tr w14:paraId="15F268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gridSpan w:val="2"/>
            <w:noWrap w:val="0"/>
            <w:tcMar>
              <w:top w:w="16" w:type="dxa"/>
              <w:left w:w="16" w:type="dxa"/>
              <w:right w:w="16" w:type="dxa"/>
            </w:tcMar>
            <w:vAlign w:val="center"/>
          </w:tcPr>
          <w:p w14:paraId="7E70AE6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6603" w:type="dxa"/>
            <w:gridSpan w:val="3"/>
            <w:noWrap w:val="0"/>
            <w:vAlign w:val="center"/>
          </w:tcPr>
          <w:p w14:paraId="24675F7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内蒙古自治区鄂尔多斯市东胜区乌审东街40号</w:t>
            </w:r>
            <w:r>
              <w:rPr>
                <w:rFonts w:hint="eastAsia" w:cs="Times New Roman"/>
                <w:color w:val="auto"/>
                <w:sz w:val="24"/>
                <w:szCs w:val="24"/>
                <w:highlight w:val="none"/>
                <w:lang w:val="en-US" w:eastAsia="zh-CN"/>
              </w:rPr>
              <w:t>东联现代高级中学</w:t>
            </w:r>
            <w:r>
              <w:rPr>
                <w:rFonts w:hint="default" w:ascii="Times New Roman" w:hAnsi="Times New Roman" w:cs="Times New Roman"/>
                <w:color w:val="auto"/>
                <w:sz w:val="24"/>
                <w:szCs w:val="24"/>
                <w:highlight w:val="none"/>
                <w:lang w:val="en-US" w:eastAsia="zh-CN"/>
              </w:rPr>
              <w:t>竹轩教学楼</w:t>
            </w:r>
          </w:p>
        </w:tc>
      </w:tr>
      <w:tr w14:paraId="47F8E4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gridSpan w:val="2"/>
            <w:noWrap w:val="0"/>
            <w:tcMar>
              <w:top w:w="16" w:type="dxa"/>
              <w:left w:w="16" w:type="dxa"/>
              <w:right w:w="16" w:type="dxa"/>
            </w:tcMar>
            <w:vAlign w:val="center"/>
          </w:tcPr>
          <w:p w14:paraId="549567D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6603" w:type="dxa"/>
            <w:gridSpan w:val="3"/>
            <w:noWrap w:val="0"/>
            <w:vAlign w:val="center"/>
          </w:tcPr>
          <w:p w14:paraId="56351EC3">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度</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分</w:t>
            </w:r>
            <w:r>
              <w:rPr>
                <w:rFonts w:hint="eastAsia" w:ascii="Times New Roman" w:hAnsi="Times New Roman" w:eastAsia="宋体" w:cs="Times New Roman"/>
                <w:color w:val="auto"/>
                <w:sz w:val="24"/>
                <w:szCs w:val="24"/>
                <w:highlight w:val="none"/>
                <w:lang w:val="en-US" w:eastAsia="zh-CN"/>
              </w:rPr>
              <w:t>24.031</w:t>
            </w:r>
            <w:r>
              <w:rPr>
                <w:rFonts w:hint="default" w:ascii="Times New Roman" w:hAnsi="Times New Roman" w:eastAsia="宋体" w:cs="Times New Roman"/>
                <w:color w:val="auto"/>
                <w:sz w:val="24"/>
                <w:szCs w:val="24"/>
                <w:highlight w:val="none"/>
                <w:lang w:val="en-US" w:eastAsia="zh-CN"/>
              </w:rPr>
              <w:t>秒，3</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度</w:t>
            </w:r>
            <w:r>
              <w:rPr>
                <w:rFonts w:hint="eastAsia" w:ascii="Times New Roman" w:hAnsi="Times New Roman" w:eastAsia="宋体" w:cs="Times New Roman"/>
                <w:color w:val="auto"/>
                <w:sz w:val="24"/>
                <w:szCs w:val="24"/>
                <w:highlight w:val="none"/>
                <w:lang w:val="en-US" w:eastAsia="zh-CN"/>
              </w:rPr>
              <w:t>48</w:t>
            </w:r>
            <w:r>
              <w:rPr>
                <w:rFonts w:hint="default" w:ascii="Times New Roman" w:hAnsi="Times New Roman" w:eastAsia="宋体" w:cs="Times New Roman"/>
                <w:color w:val="auto"/>
                <w:sz w:val="24"/>
                <w:szCs w:val="24"/>
                <w:highlight w:val="none"/>
                <w:lang w:val="en-US" w:eastAsia="zh-CN"/>
              </w:rPr>
              <w:t>分</w:t>
            </w:r>
            <w:r>
              <w:rPr>
                <w:rFonts w:hint="eastAsia" w:ascii="Times New Roman" w:hAnsi="Times New Roman" w:eastAsia="宋体" w:cs="Times New Roman"/>
                <w:color w:val="auto"/>
                <w:sz w:val="24"/>
                <w:szCs w:val="24"/>
                <w:highlight w:val="none"/>
                <w:lang w:val="en-US" w:eastAsia="zh-CN"/>
              </w:rPr>
              <w:t>15.826</w:t>
            </w:r>
            <w:r>
              <w:rPr>
                <w:rFonts w:hint="default" w:ascii="Times New Roman" w:hAnsi="Times New Roman" w:eastAsia="宋体" w:cs="Times New Roman"/>
                <w:color w:val="auto"/>
                <w:sz w:val="24"/>
                <w:szCs w:val="24"/>
                <w:highlight w:val="none"/>
                <w:lang w:val="en-US" w:eastAsia="zh-CN"/>
              </w:rPr>
              <w:t>秒）</w:t>
            </w:r>
          </w:p>
        </w:tc>
      </w:tr>
      <w:tr w14:paraId="736BCC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267" w:type="dxa"/>
            <w:gridSpan w:val="2"/>
            <w:noWrap w:val="0"/>
            <w:tcMar>
              <w:top w:w="16" w:type="dxa"/>
              <w:left w:w="16" w:type="dxa"/>
              <w:right w:w="16" w:type="dxa"/>
            </w:tcMar>
            <w:vAlign w:val="center"/>
          </w:tcPr>
          <w:p w14:paraId="187B3E2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国民经济</w:t>
            </w:r>
          </w:p>
          <w:p w14:paraId="3DD9421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752" w:type="dxa"/>
            <w:noWrap w:val="0"/>
            <w:vAlign w:val="center"/>
          </w:tcPr>
          <w:p w14:paraId="4AD1649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M7</w:t>
            </w:r>
            <w:r>
              <w:rPr>
                <w:rFonts w:hint="default" w:ascii="Times New Roman" w:hAnsi="Times New Roman" w:cs="Times New Roman"/>
                <w:color w:val="auto"/>
                <w:sz w:val="24"/>
                <w:szCs w:val="24"/>
                <w:highlight w:val="none"/>
                <w:lang w:val="en-US" w:eastAsia="zh-CN"/>
              </w:rPr>
              <w:t>32</w:t>
            </w:r>
            <w:r>
              <w:rPr>
                <w:rFonts w:hint="default" w:ascii="Times New Roman" w:hAnsi="Times New Roman" w:cs="Times New Roman"/>
                <w:color w:val="auto"/>
                <w:sz w:val="24"/>
                <w:szCs w:val="24"/>
                <w:highlight w:val="none"/>
              </w:rPr>
              <w:t>0工程和技术研究和试验发展</w:t>
            </w:r>
          </w:p>
        </w:tc>
        <w:tc>
          <w:tcPr>
            <w:tcW w:w="2115" w:type="dxa"/>
            <w:noWrap w:val="0"/>
            <w:vAlign w:val="center"/>
          </w:tcPr>
          <w:p w14:paraId="57F46D4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bookmarkStart w:id="1" w:name="_Hlk49843745"/>
            <w:r>
              <w:rPr>
                <w:rFonts w:hint="default" w:ascii="Times New Roman" w:hAnsi="Times New Roman" w:cs="Times New Roman"/>
                <w:color w:val="auto"/>
                <w:sz w:val="24"/>
                <w:szCs w:val="24"/>
                <w:highlight w:val="none"/>
              </w:rPr>
              <w:t>建设项目</w:t>
            </w:r>
          </w:p>
          <w:p w14:paraId="0DEE51E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bookmarkEnd w:id="1"/>
          </w:p>
        </w:tc>
        <w:tc>
          <w:tcPr>
            <w:tcW w:w="2736" w:type="dxa"/>
            <w:noWrap w:val="0"/>
            <w:vAlign w:val="center"/>
          </w:tcPr>
          <w:p w14:paraId="06B85EFA">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四十五、研究和试验发展98专业实验室、研发（试验）基地其他（不产生实验废气、废水、危险废物的除外）</w:t>
            </w:r>
          </w:p>
        </w:tc>
      </w:tr>
      <w:tr w14:paraId="7D0DB6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267" w:type="dxa"/>
            <w:gridSpan w:val="2"/>
            <w:noWrap w:val="0"/>
            <w:tcMar>
              <w:top w:w="16" w:type="dxa"/>
              <w:left w:w="16" w:type="dxa"/>
              <w:right w:w="16" w:type="dxa"/>
            </w:tcMar>
            <w:vAlign w:val="center"/>
          </w:tcPr>
          <w:p w14:paraId="1B4EAAC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1752" w:type="dxa"/>
            <w:noWrap w:val="0"/>
            <w:vAlign w:val="center"/>
          </w:tcPr>
          <w:p w14:paraId="668EF5E5">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新建（迁建）</w:t>
            </w:r>
          </w:p>
          <w:p w14:paraId="0135F5E3">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改建</w:t>
            </w:r>
          </w:p>
          <w:p w14:paraId="22CE61FF">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扩建</w:t>
            </w:r>
          </w:p>
          <w:p w14:paraId="4A80C407">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技术改造</w:t>
            </w:r>
          </w:p>
        </w:tc>
        <w:tc>
          <w:tcPr>
            <w:tcW w:w="2115" w:type="dxa"/>
            <w:noWrap w:val="0"/>
            <w:vAlign w:val="center"/>
          </w:tcPr>
          <w:p w14:paraId="78088DF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160CE28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申报情形</w:t>
            </w:r>
          </w:p>
        </w:tc>
        <w:tc>
          <w:tcPr>
            <w:tcW w:w="2736" w:type="dxa"/>
            <w:noWrap w:val="0"/>
            <w:vAlign w:val="center"/>
          </w:tcPr>
          <w:p w14:paraId="282B37ED">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首次申报项目</w:t>
            </w:r>
          </w:p>
          <w:p w14:paraId="3FD9F85B">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不予批准后再次申报项目</w:t>
            </w:r>
          </w:p>
          <w:p w14:paraId="05BF8C99">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超五年重新审核项目</w:t>
            </w:r>
          </w:p>
          <w:p w14:paraId="1BA7BC09">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重大变动重新报批项目</w:t>
            </w:r>
          </w:p>
        </w:tc>
      </w:tr>
      <w:tr w14:paraId="1C0682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267" w:type="dxa"/>
            <w:gridSpan w:val="2"/>
            <w:noWrap w:val="0"/>
            <w:tcMar>
              <w:top w:w="16" w:type="dxa"/>
              <w:left w:w="16" w:type="dxa"/>
              <w:right w:w="16" w:type="dxa"/>
            </w:tcMar>
            <w:vAlign w:val="center"/>
          </w:tcPr>
          <w:p w14:paraId="0FA0C86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14:paraId="6F8E6EF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备案）部门（选填）</w:t>
            </w:r>
          </w:p>
        </w:tc>
        <w:tc>
          <w:tcPr>
            <w:tcW w:w="1752" w:type="dxa"/>
            <w:noWrap w:val="0"/>
            <w:vAlign w:val="center"/>
          </w:tcPr>
          <w:p w14:paraId="2655089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2115" w:type="dxa"/>
            <w:noWrap w:val="0"/>
            <w:vAlign w:val="center"/>
          </w:tcPr>
          <w:p w14:paraId="64FA2E0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14:paraId="5A5BE1A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备案）文号（选填）</w:t>
            </w:r>
          </w:p>
        </w:tc>
        <w:tc>
          <w:tcPr>
            <w:tcW w:w="2736" w:type="dxa"/>
            <w:noWrap w:val="0"/>
            <w:vAlign w:val="center"/>
          </w:tcPr>
          <w:p w14:paraId="43FFDCB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1E1F85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67" w:type="dxa"/>
            <w:gridSpan w:val="2"/>
            <w:noWrap w:val="0"/>
            <w:tcMar>
              <w:top w:w="16" w:type="dxa"/>
              <w:left w:w="16" w:type="dxa"/>
              <w:right w:w="16" w:type="dxa"/>
            </w:tcMar>
            <w:vAlign w:val="center"/>
          </w:tcPr>
          <w:p w14:paraId="1583640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1752" w:type="dxa"/>
            <w:noWrap w:val="0"/>
            <w:vAlign w:val="center"/>
          </w:tcPr>
          <w:p w14:paraId="723CE97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150</w:t>
            </w:r>
          </w:p>
        </w:tc>
        <w:tc>
          <w:tcPr>
            <w:tcW w:w="2115" w:type="dxa"/>
            <w:noWrap w:val="0"/>
            <w:tcMar>
              <w:top w:w="16" w:type="dxa"/>
              <w:left w:w="16" w:type="dxa"/>
              <w:right w:w="16" w:type="dxa"/>
            </w:tcMar>
            <w:vAlign w:val="center"/>
          </w:tcPr>
          <w:p w14:paraId="7BDF37A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环保投资（万元）</w:t>
            </w:r>
          </w:p>
        </w:tc>
        <w:tc>
          <w:tcPr>
            <w:tcW w:w="2736" w:type="dxa"/>
            <w:noWrap w:val="0"/>
            <w:vAlign w:val="center"/>
          </w:tcPr>
          <w:p w14:paraId="61BF27B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30</w:t>
            </w:r>
          </w:p>
        </w:tc>
      </w:tr>
      <w:tr w14:paraId="785745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gridSpan w:val="2"/>
            <w:noWrap w:val="0"/>
            <w:tcMar>
              <w:top w:w="16" w:type="dxa"/>
              <w:left w:w="16" w:type="dxa"/>
              <w:right w:w="16" w:type="dxa"/>
            </w:tcMar>
            <w:vAlign w:val="center"/>
          </w:tcPr>
          <w:p w14:paraId="3C700AD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1752" w:type="dxa"/>
            <w:noWrap w:val="0"/>
            <w:vAlign w:val="center"/>
          </w:tcPr>
          <w:p w14:paraId="67BE325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20</w:t>
            </w:r>
          </w:p>
        </w:tc>
        <w:tc>
          <w:tcPr>
            <w:tcW w:w="2115" w:type="dxa"/>
            <w:noWrap w:val="0"/>
            <w:tcMar>
              <w:top w:w="16" w:type="dxa"/>
              <w:left w:w="16" w:type="dxa"/>
              <w:right w:w="16" w:type="dxa"/>
            </w:tcMar>
            <w:vAlign w:val="center"/>
          </w:tcPr>
          <w:p w14:paraId="4FF7AF3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施工工期</w:t>
            </w:r>
          </w:p>
        </w:tc>
        <w:tc>
          <w:tcPr>
            <w:tcW w:w="2736" w:type="dxa"/>
            <w:noWrap w:val="0"/>
            <w:vAlign w:val="center"/>
          </w:tcPr>
          <w:p w14:paraId="061D261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个月</w:t>
            </w:r>
          </w:p>
        </w:tc>
      </w:tr>
      <w:tr w14:paraId="5E350D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gridSpan w:val="2"/>
            <w:noWrap w:val="0"/>
            <w:tcMar>
              <w:top w:w="16" w:type="dxa"/>
              <w:left w:w="16" w:type="dxa"/>
              <w:right w:w="16" w:type="dxa"/>
            </w:tcMar>
            <w:vAlign w:val="center"/>
          </w:tcPr>
          <w:p w14:paraId="7E586EC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是否开工建设</w:t>
            </w:r>
          </w:p>
        </w:tc>
        <w:tc>
          <w:tcPr>
            <w:tcW w:w="1752" w:type="dxa"/>
            <w:noWrap w:val="0"/>
            <w:vAlign w:val="center"/>
          </w:tcPr>
          <w:p w14:paraId="05EC4664">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否</w:t>
            </w:r>
          </w:p>
          <w:p w14:paraId="44E8DB11">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是：</w:t>
            </w:r>
            <w:r>
              <w:rPr>
                <w:rFonts w:hint="eastAsia" w:cs="Times New Roman"/>
                <w:color w:val="auto"/>
                <w:sz w:val="24"/>
                <w:szCs w:val="24"/>
                <w:highlight w:val="none"/>
                <w:lang w:eastAsia="zh-CN"/>
              </w:rPr>
              <w:t>鄂尔多斯市东胜区东联现代高级中学</w:t>
            </w:r>
            <w:r>
              <w:rPr>
                <w:rFonts w:hint="eastAsia" w:cs="Times New Roman"/>
                <w:color w:val="auto"/>
                <w:sz w:val="24"/>
                <w:szCs w:val="24"/>
                <w:highlight w:val="none"/>
                <w:lang w:val="en-US" w:eastAsia="zh-CN"/>
              </w:rPr>
              <w:t>于2004年建设完成</w:t>
            </w:r>
          </w:p>
        </w:tc>
        <w:tc>
          <w:tcPr>
            <w:tcW w:w="2115" w:type="dxa"/>
            <w:noWrap w:val="0"/>
            <w:tcMar>
              <w:top w:w="16" w:type="dxa"/>
              <w:left w:w="16" w:type="dxa"/>
              <w:right w:w="16" w:type="dxa"/>
            </w:tcMar>
            <w:vAlign w:val="center"/>
          </w:tcPr>
          <w:p w14:paraId="0B83F8B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6"/>
                <w:sz w:val="24"/>
                <w:szCs w:val="24"/>
                <w:highlight w:val="none"/>
              </w:rPr>
              <w:t>用地面积（</w:t>
            </w:r>
            <w:r>
              <w:rPr>
                <w:rFonts w:hint="eastAsia" w:cs="Times New Roman"/>
                <w:color w:val="auto"/>
                <w:spacing w:val="-6"/>
                <w:sz w:val="24"/>
                <w:szCs w:val="24"/>
                <w:highlight w:val="none"/>
                <w:lang w:eastAsia="zh-CN"/>
              </w:rPr>
              <w:t>㎡</w:t>
            </w:r>
            <w:r>
              <w:rPr>
                <w:rFonts w:hint="default" w:ascii="Times New Roman" w:hAnsi="Times New Roman" w:cs="Times New Roman"/>
                <w:color w:val="auto"/>
                <w:spacing w:val="-6"/>
                <w:sz w:val="24"/>
                <w:szCs w:val="24"/>
                <w:highlight w:val="none"/>
              </w:rPr>
              <w:t>）</w:t>
            </w:r>
          </w:p>
        </w:tc>
        <w:tc>
          <w:tcPr>
            <w:tcW w:w="2736" w:type="dxa"/>
            <w:noWrap w:val="0"/>
            <w:vAlign w:val="center"/>
          </w:tcPr>
          <w:p w14:paraId="3878DBA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536</w:t>
            </w:r>
          </w:p>
        </w:tc>
      </w:tr>
      <w:tr w14:paraId="7988C2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267" w:type="dxa"/>
            <w:gridSpan w:val="2"/>
            <w:noWrap w:val="0"/>
            <w:vAlign w:val="center"/>
          </w:tcPr>
          <w:p w14:paraId="139FA27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专项评价设置情况</w:t>
            </w:r>
          </w:p>
        </w:tc>
        <w:tc>
          <w:tcPr>
            <w:tcW w:w="6603" w:type="dxa"/>
            <w:gridSpan w:val="3"/>
            <w:noWrap w:val="0"/>
            <w:vAlign w:val="center"/>
          </w:tcPr>
          <w:p w14:paraId="5F5827B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无</w:t>
            </w:r>
          </w:p>
        </w:tc>
      </w:tr>
      <w:tr w14:paraId="545DB5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1865" w:type="dxa"/>
            <w:noWrap w:val="0"/>
            <w:vAlign w:val="center"/>
          </w:tcPr>
          <w:p w14:paraId="45E9FF8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规划情况</w:t>
            </w:r>
          </w:p>
        </w:tc>
        <w:tc>
          <w:tcPr>
            <w:tcW w:w="7005" w:type="dxa"/>
            <w:gridSpan w:val="4"/>
            <w:noWrap w:val="0"/>
            <w:vAlign w:val="center"/>
          </w:tcPr>
          <w:p w14:paraId="49A805BD">
            <w:pPr>
              <w:bidi w:val="0"/>
              <w:rPr>
                <w:rFonts w:hint="eastAsia"/>
                <w:color w:val="auto"/>
                <w:highlight w:val="none"/>
                <w:lang w:val="en-US" w:eastAsia="zh-CN"/>
              </w:rPr>
            </w:pPr>
            <w:r>
              <w:rPr>
                <w:rFonts w:hint="eastAsia"/>
                <w:color w:val="auto"/>
                <w:highlight w:val="none"/>
                <w:lang w:val="en-US" w:eastAsia="zh-CN"/>
              </w:rPr>
              <w:t>规划名称：《鄂尔多斯市国土空间总体规划》（2021-2035年）</w:t>
            </w:r>
          </w:p>
          <w:p w14:paraId="3F84DFE3">
            <w:pPr>
              <w:bidi w:val="0"/>
              <w:rPr>
                <w:rFonts w:hint="default"/>
                <w:color w:val="auto"/>
                <w:highlight w:val="none"/>
                <w:lang w:val="en-US" w:eastAsia="zh-CN"/>
              </w:rPr>
            </w:pPr>
            <w:r>
              <w:rPr>
                <w:rFonts w:hint="eastAsia"/>
                <w:color w:val="auto"/>
                <w:highlight w:val="none"/>
                <w:lang w:val="en-US" w:eastAsia="zh-CN"/>
              </w:rPr>
              <w:t>审批机关：内蒙古自治区人民政府</w:t>
            </w:r>
          </w:p>
          <w:p w14:paraId="2FAE836D">
            <w:pPr>
              <w:bidi w:val="0"/>
              <w:rPr>
                <w:rFonts w:hint="default" w:ascii="Times New Roman" w:hAnsi="Times New Roman" w:eastAsia="宋体" w:cs="Times New Roman"/>
                <w:color w:val="auto"/>
                <w:kern w:val="0"/>
                <w:szCs w:val="24"/>
                <w:highlight w:val="none"/>
                <w:lang w:val="en-US" w:eastAsia="zh-CN"/>
              </w:rPr>
            </w:pPr>
            <w:r>
              <w:rPr>
                <w:rFonts w:hint="eastAsia"/>
                <w:color w:val="auto"/>
                <w:highlight w:val="none"/>
                <w:lang w:val="en-US" w:eastAsia="zh-CN"/>
              </w:rPr>
              <w:t>审批文件名称及文号：《鄂尔多斯市国土空间总体规划》（2021-2035年）的批复，内政字〔2024〕57号</w:t>
            </w:r>
          </w:p>
        </w:tc>
      </w:tr>
      <w:tr w14:paraId="24FF98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1865" w:type="dxa"/>
            <w:noWrap w:val="0"/>
            <w:vAlign w:val="center"/>
          </w:tcPr>
          <w:p w14:paraId="6999262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规划环境影响</w:t>
            </w:r>
          </w:p>
          <w:p w14:paraId="3992C7B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评价情况</w:t>
            </w:r>
          </w:p>
        </w:tc>
        <w:tc>
          <w:tcPr>
            <w:tcW w:w="7005" w:type="dxa"/>
            <w:gridSpan w:val="4"/>
            <w:noWrap w:val="0"/>
            <w:vAlign w:val="center"/>
          </w:tcPr>
          <w:p w14:paraId="55E289A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无</w:t>
            </w:r>
          </w:p>
        </w:tc>
      </w:tr>
      <w:tr w14:paraId="7FDA0C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5" w:hRule="atLeast"/>
          <w:jc w:val="center"/>
        </w:trPr>
        <w:tc>
          <w:tcPr>
            <w:tcW w:w="1865" w:type="dxa"/>
            <w:noWrap w:val="0"/>
            <w:vAlign w:val="center"/>
          </w:tcPr>
          <w:p w14:paraId="7490C47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规划及规划环境影响评价符合性分析</w:t>
            </w:r>
          </w:p>
        </w:tc>
        <w:tc>
          <w:tcPr>
            <w:tcW w:w="7005" w:type="dxa"/>
            <w:gridSpan w:val="4"/>
            <w:noWrap w:val="0"/>
            <w:vAlign w:val="center"/>
          </w:tcPr>
          <w:p w14:paraId="7347034E">
            <w:pPr>
              <w:bidi w:val="0"/>
              <w:rPr>
                <w:color w:val="auto"/>
                <w:highlight w:val="none"/>
              </w:rPr>
            </w:pPr>
            <w:r>
              <w:rPr>
                <w:rFonts w:hint="default"/>
                <w:color w:val="auto"/>
                <w:highlight w:val="none"/>
                <w:lang w:val="en-US" w:eastAsia="zh-CN"/>
              </w:rPr>
              <w:t>本项目属于</w:t>
            </w:r>
            <w:r>
              <w:rPr>
                <w:rFonts w:hint="eastAsia"/>
                <w:color w:val="auto"/>
                <w:highlight w:val="none"/>
                <w:lang w:val="en-US" w:eastAsia="zh-CN"/>
              </w:rPr>
              <w:t>学校的实验室</w:t>
            </w:r>
            <w:r>
              <w:rPr>
                <w:rFonts w:hint="default"/>
                <w:color w:val="auto"/>
                <w:highlight w:val="none"/>
                <w:lang w:val="en-US" w:eastAsia="zh-CN"/>
              </w:rPr>
              <w:t>建设</w:t>
            </w:r>
            <w:r>
              <w:rPr>
                <w:rFonts w:hint="eastAsia"/>
                <w:color w:val="auto"/>
                <w:highlight w:val="none"/>
                <w:lang w:val="en-US" w:eastAsia="zh-CN"/>
              </w:rPr>
              <w:t>项目</w:t>
            </w:r>
            <w:r>
              <w:rPr>
                <w:rFonts w:hint="default"/>
                <w:color w:val="auto"/>
                <w:highlight w:val="none"/>
                <w:lang w:val="en-US" w:eastAsia="zh-CN"/>
              </w:rPr>
              <w:t>。项目旨在提升基础教育办学质量，满足区域内中学生实验教学需求，为培养创新型人才提供空间保障和硬件支撑。</w:t>
            </w:r>
          </w:p>
          <w:p w14:paraId="37C91B2E">
            <w:pPr>
              <w:bidi w:val="0"/>
              <w:rPr>
                <w:rFonts w:hint="eastAsia"/>
                <w:color w:val="auto"/>
                <w:highlight w:val="none"/>
                <w:lang w:eastAsia="zh-CN"/>
              </w:rPr>
            </w:pPr>
            <w:r>
              <w:rPr>
                <w:color w:val="auto"/>
                <w:highlight w:val="none"/>
              </w:rPr>
              <w:t>《鄂尔多斯市国土空间总体规划》（2021</w:t>
            </w:r>
            <w:r>
              <w:rPr>
                <w:rFonts w:hint="eastAsia"/>
                <w:color w:val="auto"/>
                <w:highlight w:val="none"/>
                <w:lang w:val="en-US" w:eastAsia="zh-CN"/>
              </w:rPr>
              <w:t>-</w:t>
            </w:r>
            <w:r>
              <w:rPr>
                <w:color w:val="auto"/>
                <w:highlight w:val="none"/>
              </w:rPr>
              <w:t>2035年）（以下简称《规划》）已经内蒙古自治区人民政府批复（内政字〔2024〕57号），是鄂尔多斯市空间发展的指南、可持续发展的空间蓝图，是各类开发保护建设活动的基本依据</w:t>
            </w:r>
            <w:r>
              <w:rPr>
                <w:rFonts w:hint="eastAsia"/>
                <w:color w:val="auto"/>
                <w:highlight w:val="none"/>
                <w:lang w:eastAsia="zh-CN"/>
              </w:rPr>
              <w:t>。</w:t>
            </w:r>
          </w:p>
          <w:p w14:paraId="0028B3F8">
            <w:pPr>
              <w:bidi w:val="0"/>
              <w:rPr>
                <w:rFonts w:hint="eastAsia"/>
                <w:color w:val="auto"/>
                <w:highlight w:val="none"/>
                <w:lang w:val="en-US" w:eastAsia="zh-CN"/>
              </w:rPr>
            </w:pPr>
            <w:r>
              <w:rPr>
                <w:rFonts w:hint="eastAsia"/>
                <w:color w:val="auto"/>
                <w:highlight w:val="none"/>
                <w:lang w:val="en-US" w:eastAsia="zh-CN"/>
              </w:rPr>
              <w:t>本项目的建设服务于东胜区基础教育事业发展，有利于强化核心区域的城市综合服务功能，增强核心区域的人口集聚力和公共服务承载力，是对空间格局的有效落实。</w:t>
            </w:r>
          </w:p>
          <w:p w14:paraId="253CB7E3">
            <w:pPr>
              <w:bidi w:val="0"/>
              <w:rPr>
                <w:rFonts w:hint="eastAsia"/>
                <w:color w:val="auto"/>
                <w:highlight w:val="none"/>
                <w:lang w:val="en-US" w:eastAsia="zh-CN"/>
              </w:rPr>
            </w:pPr>
            <w:r>
              <w:rPr>
                <w:rFonts w:hint="eastAsia"/>
                <w:color w:val="auto"/>
                <w:highlight w:val="none"/>
                <w:lang w:val="en-US" w:eastAsia="zh-CN"/>
              </w:rPr>
              <w:t>中学实验室项目的建设，通过改善教学基础设施条件，为区域培养科技创新人才提供实践平台，符合东胜区“科教兴区、人才强区”的战略部署，也是高质量完成习近平总书记交给内蒙古的五大任务和全方位建设“模范自治区”两件大事在教育领域的具体实践。</w:t>
            </w:r>
          </w:p>
          <w:p w14:paraId="18681780">
            <w:pPr>
              <w:bidi w:val="0"/>
              <w:rPr>
                <w:rFonts w:hint="eastAsia"/>
                <w:color w:val="auto"/>
                <w:highlight w:val="none"/>
                <w:lang w:val="en-US" w:eastAsia="zh-CN"/>
              </w:rPr>
            </w:pPr>
            <w:r>
              <w:rPr>
                <w:rFonts w:hint="eastAsia"/>
                <w:color w:val="auto"/>
                <w:highlight w:val="none"/>
                <w:lang w:val="en-US" w:eastAsia="zh-CN"/>
              </w:rPr>
              <w:t>本项目选址位于鄂尔多斯市东胜区乌审东街40号，为东胜区城镇开发边界范围内。根据《鄂尔多斯市东胜区铁东片区城镇开发边界内国土空间详细规划编制（修编）》，铁东片区是鄂尔多斯市中心城区的重要组成部分，规划定位为鄂尔多斯市商业服务业中心、人口中心、西部城市更新示范区，片区规划常住人口约37万人。中学实验室项目作为基础教育配套设施，其建设有助于完善片区公共服务功能，符合东胜区“产业升级引擎、公共服务高地、区域辐射中心”的核心城区定位。</w:t>
            </w:r>
          </w:p>
          <w:p w14:paraId="6CF48962">
            <w:pPr>
              <w:bidi w:val="0"/>
              <w:rPr>
                <w:rFonts w:hint="eastAsia"/>
                <w:color w:val="auto"/>
                <w:highlight w:val="none"/>
                <w:lang w:val="en-US" w:eastAsia="zh-CN"/>
              </w:rPr>
            </w:pPr>
            <w:r>
              <w:rPr>
                <w:rFonts w:hint="eastAsia"/>
                <w:color w:val="auto"/>
                <w:highlight w:val="none"/>
                <w:lang w:val="en-US" w:eastAsia="zh-CN"/>
              </w:rPr>
              <w:t>中学实验室项目属于公共服务设施中的教育科研用地。根据《规划》及相关详细规划要求，在严守耕地和永久基本农田保护红线、生态保护红线和城镇开发边界“三条控制线”的基础上，引导各类功能复合和节约集约用地，完善城市基础设施和公共服务设施。本项目用地性质符合教育设施建设用途，不属于《规划》禁止的“两高”项目或生态红线、基本农田等禁止建设区域。</w:t>
            </w:r>
          </w:p>
          <w:p w14:paraId="70377C1C">
            <w:pPr>
              <w:bidi w:val="0"/>
              <w:rPr>
                <w:rFonts w:hint="default" w:eastAsia="宋体"/>
                <w:color w:val="auto"/>
                <w:highlight w:val="none"/>
                <w:lang w:val="en-US" w:eastAsia="zh-CN"/>
              </w:rPr>
            </w:pPr>
            <w:r>
              <w:rPr>
                <w:rFonts w:hint="eastAsia"/>
                <w:color w:val="auto"/>
                <w:highlight w:val="none"/>
                <w:lang w:val="en-US" w:eastAsia="zh-CN"/>
              </w:rPr>
              <w:t>综上所述，本项目在战略定位、空间布局、社会事业发展、底线管控和时序安排等方面均与《鄂尔多斯市国土空间总体规划（2021-2035年）》高度契合。项目选址位于“一核集聚”空间格局的东胜城区范围内，符合《规划》确定的城镇开发边界管控要求，不涉及耕地、永久基本农田和生态保护红线等禁止建设区域。项目建成后有利于完善东胜区公共服务设施配套，落实教育优先发展战略，推动义务教育优质均衡发展，是《规划》确定的“完善城市基础设施和公共服务设施，促进城镇空间高质量发展”目标在教育领域的具体实践和有效落实。项目符合《鄂尔多斯市国土空间总体规划（2021-2035年）》的各项要求。</w:t>
            </w:r>
          </w:p>
        </w:tc>
      </w:tr>
      <w:tr w14:paraId="2C529D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65" w:type="dxa"/>
            <w:noWrap w:val="0"/>
            <w:vAlign w:val="center"/>
          </w:tcPr>
          <w:p w14:paraId="659216F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其他符合性分析</w:t>
            </w:r>
          </w:p>
        </w:tc>
        <w:tc>
          <w:tcPr>
            <w:tcW w:w="7005" w:type="dxa"/>
            <w:gridSpan w:val="4"/>
            <w:noWrap w:val="0"/>
            <w:vAlign w:val="center"/>
          </w:tcPr>
          <w:p w14:paraId="0E1D1541">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一、产业政策符合性分析</w:t>
            </w:r>
          </w:p>
          <w:p w14:paraId="4E539A1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本项目为实验室项目</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根据中华人民共和国国家发展和改革委员会《产业结构调整指导目录（2024年本）》，本项目不属于“鼓励类”“限制类”和“淘汰类”，为“允许类”项目，符合国家产业政策要求。</w:t>
            </w:r>
          </w:p>
          <w:p w14:paraId="6EBA85C6">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二、关于鄂尔多斯市生态环境分区管控符合性分析</w:t>
            </w:r>
          </w:p>
          <w:p w14:paraId="2D300FA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根据《鄂尔多斯市人民政府关于“三线一单”生态环境分区管控的实施意见》（鄂府发〔2021〕218号）及鄂尔多斯市生态环境局关于印发《鄂尔多斯市生态环境分区管控动态更新成果</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2023年版</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》的通知，全市共划定环境管控单元171个，包括优先保护单元、重点管控单元、一般管控单元三类，实施分类管控。</w:t>
            </w:r>
          </w:p>
          <w:p w14:paraId="6D446B03">
            <w:pPr>
              <w:bidi w:val="0"/>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lang w:val="en-US" w:eastAsia="zh-CN"/>
              </w:rPr>
              <w:t>生态</w:t>
            </w:r>
            <w:r>
              <w:rPr>
                <w:rFonts w:hint="eastAsia" w:ascii="Times New Roman" w:hAnsi="Times New Roman" w:cs="Times New Roman"/>
                <w:b/>
                <w:bCs/>
                <w:color w:val="auto"/>
                <w:highlight w:val="none"/>
                <w:lang w:val="en-US" w:eastAsia="zh-CN"/>
              </w:rPr>
              <w:t>保护</w:t>
            </w:r>
            <w:r>
              <w:rPr>
                <w:rFonts w:hint="default" w:ascii="Times New Roman" w:hAnsi="Times New Roman" w:cs="Times New Roman"/>
                <w:b/>
                <w:bCs/>
                <w:color w:val="auto"/>
                <w:highlight w:val="none"/>
                <w:lang w:val="en-US" w:eastAsia="zh-CN"/>
              </w:rPr>
              <w:t>红线</w:t>
            </w:r>
          </w:p>
          <w:p w14:paraId="7B93B91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根据《鄂尔多斯市生态环境分区管控动态更新成果</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2023年版</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（2024年8月6日），全市按优先保护、重点管控、一般管控三大类划分171个环境管控单元。</w:t>
            </w:r>
          </w:p>
          <w:p w14:paraId="10246BAE">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a.</w:t>
            </w:r>
            <w:r>
              <w:rPr>
                <w:rFonts w:hint="default" w:ascii="Times New Roman" w:hAnsi="Times New Roman" w:cs="Times New Roman"/>
                <w:color w:val="auto"/>
                <w:highlight w:val="none"/>
                <w:lang w:val="en-US" w:eastAsia="zh-CN"/>
              </w:rPr>
              <w:t>优先保护单元。共76个，面积占比为64.35%，优先保护单元以生态环境保护优先为原则，依法禁止或限制大规模、高强度的工业开发和城镇建设，确保生态环境功能不降低。</w:t>
            </w:r>
          </w:p>
          <w:p w14:paraId="2F604EC6">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b.</w:t>
            </w:r>
            <w:r>
              <w:rPr>
                <w:rFonts w:hint="default" w:ascii="Times New Roman" w:hAnsi="Times New Roman" w:cs="Times New Roman"/>
                <w:color w:val="auto"/>
                <w:highlight w:val="none"/>
                <w:lang w:val="en-US" w:eastAsia="zh-CN"/>
              </w:rPr>
              <w:t>重点管控单元。共86个，面积占比为28.1%，重点管控单元应不断提升资源利用效率，有针对性地加强污染物排放控制和环境风险防控，解决生态环境质量不达标、生态环境风险高等问题。</w:t>
            </w:r>
          </w:p>
          <w:p w14:paraId="3BE8160A">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c.</w:t>
            </w:r>
            <w:r>
              <w:rPr>
                <w:rFonts w:hint="default" w:ascii="Times New Roman" w:hAnsi="Times New Roman" w:cs="Times New Roman"/>
                <w:color w:val="auto"/>
                <w:highlight w:val="none"/>
                <w:lang w:val="en-US" w:eastAsia="zh-CN"/>
              </w:rPr>
              <w:t>一般管控单元。共9个，面积占比为7.56%，优先保护单元、重点管控单元之外为一般管控单元。该区域主要落实生态环境保护基本要求。</w:t>
            </w:r>
          </w:p>
          <w:p w14:paraId="6933E5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本项目位于内蒙古自治区鄂尔多斯市东胜区乌审东街40号</w:t>
            </w:r>
            <w:r>
              <w:rPr>
                <w:rFonts w:hint="eastAsia" w:cs="Times New Roman"/>
                <w:color w:val="auto"/>
                <w:highlight w:val="none"/>
                <w:lang w:val="en-US" w:eastAsia="zh-CN"/>
              </w:rPr>
              <w:t>鄂尔多斯市东胜区东联现代高级中学</w:t>
            </w:r>
            <w:r>
              <w:rPr>
                <w:rFonts w:hint="default" w:ascii="Times New Roman" w:hAnsi="Times New Roman" w:cs="Times New Roman"/>
                <w:color w:val="auto"/>
                <w:highlight w:val="none"/>
                <w:lang w:val="en-US" w:eastAsia="zh-CN"/>
              </w:rPr>
              <w:t>竹轩教学楼，</w:t>
            </w:r>
            <w:r>
              <w:rPr>
                <w:rFonts w:hint="eastAsia" w:cs="Times New Roman"/>
                <w:color w:val="auto"/>
                <w:highlight w:val="none"/>
                <w:lang w:val="en-US" w:eastAsia="zh-CN"/>
              </w:rPr>
              <w:t>位于东胜区城区内，</w:t>
            </w:r>
            <w:r>
              <w:rPr>
                <w:rFonts w:hint="default" w:ascii="Times New Roman" w:hAnsi="Times New Roman" w:cs="Times New Roman"/>
                <w:color w:val="auto"/>
                <w:highlight w:val="none"/>
                <w:lang w:val="en-US" w:eastAsia="zh-CN"/>
              </w:rPr>
              <w:t>不在自然保护区、风景名胜区、饮用水水源保护区及其他需要特殊保护的区域，项目所在地不涉及生态保护红线。</w:t>
            </w:r>
          </w:p>
          <w:p w14:paraId="0FDF082E">
            <w:pPr>
              <w:bidi w:val="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2.</w:t>
            </w:r>
            <w:r>
              <w:rPr>
                <w:rFonts w:hint="default" w:ascii="Times New Roman" w:hAnsi="Times New Roman" w:cs="Times New Roman"/>
                <w:b/>
                <w:bCs/>
                <w:color w:val="auto"/>
                <w:highlight w:val="none"/>
                <w:lang w:val="en-US" w:eastAsia="zh-CN"/>
              </w:rPr>
              <w:t>环境质量底线</w:t>
            </w:r>
          </w:p>
          <w:p w14:paraId="7B6314E5">
            <w:pPr>
              <w:bidi w:val="0"/>
              <w:rPr>
                <w:rFonts w:hint="default"/>
                <w:color w:val="auto"/>
                <w:highlight w:val="none"/>
                <w:lang w:val="en-US" w:eastAsia="zh-CN"/>
              </w:rPr>
            </w:pPr>
            <w:r>
              <w:rPr>
                <w:rFonts w:hint="eastAsia"/>
                <w:color w:val="auto"/>
                <w:highlight w:val="none"/>
                <w:lang w:val="en-US" w:eastAsia="zh-CN"/>
              </w:rPr>
              <w:t>根据</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年内蒙古自治区生态环境状况公报》，报告指出“202</w:t>
            </w:r>
            <w:r>
              <w:rPr>
                <w:rFonts w:hint="eastAsia"/>
                <w:color w:val="auto"/>
                <w:highlight w:val="none"/>
                <w:lang w:val="en-US" w:eastAsia="zh-CN"/>
              </w:rPr>
              <w:t>5</w:t>
            </w:r>
            <w:r>
              <w:rPr>
                <w:rFonts w:hint="default"/>
                <w:color w:val="auto"/>
                <w:highlight w:val="none"/>
                <w:lang w:val="en-US" w:eastAsia="zh-CN"/>
              </w:rPr>
              <w:t>年，全区环境空气六项污染物年均浓度均达标。</w:t>
            </w:r>
            <w:r>
              <w:rPr>
                <w:rFonts w:hint="eastAsia"/>
                <w:color w:val="auto"/>
                <w:highlight w:val="none"/>
                <w:lang w:val="en-US" w:eastAsia="zh-CN"/>
              </w:rPr>
              <w:t>本项目特征因子为氯化氢、硫酸雾、非甲烷总烃，委托内蒙古庚泰环保科技有限公司进行本项目的环境现状监测数据，监测时间为2026年4月4日-4月6日，连续监测3天，根据检测结果</w:t>
            </w:r>
            <w:r>
              <w:rPr>
                <w:rFonts w:hint="default"/>
                <w:color w:val="auto"/>
                <w:highlight w:val="none"/>
                <w:lang w:val="en-US" w:eastAsia="zh-CN"/>
              </w:rPr>
              <w:t>其他</w:t>
            </w:r>
            <w:r>
              <w:rPr>
                <w:rFonts w:hint="eastAsia"/>
                <w:color w:val="auto"/>
                <w:highlight w:val="none"/>
                <w:lang w:val="en-US" w:eastAsia="zh-CN"/>
              </w:rPr>
              <w:t>特征</w:t>
            </w:r>
            <w:r>
              <w:rPr>
                <w:rFonts w:hint="default"/>
                <w:color w:val="auto"/>
                <w:highlight w:val="none"/>
                <w:lang w:val="en-US" w:eastAsia="zh-CN"/>
              </w:rPr>
              <w:t>污染物</w:t>
            </w:r>
            <w:r>
              <w:rPr>
                <w:rFonts w:hint="default" w:ascii="Times New Roman" w:hAnsi="Times New Roman" w:cs="Times New Roman"/>
                <w:color w:val="auto"/>
                <w:highlight w:val="none"/>
                <w:lang w:val="en-US" w:eastAsia="zh-CN"/>
              </w:rPr>
              <w:t>氯化氢、</w:t>
            </w:r>
            <w:r>
              <w:rPr>
                <w:rFonts w:hint="eastAsia" w:ascii="Times New Roman" w:hAnsi="Times New Roman" w:cs="Times New Roman"/>
                <w:color w:val="auto"/>
                <w:highlight w:val="none"/>
                <w:lang w:val="en-US" w:eastAsia="zh-CN"/>
              </w:rPr>
              <w:t>硫酸雾</w:t>
            </w:r>
            <w:r>
              <w:rPr>
                <w:rFonts w:hint="default" w:ascii="Times New Roman" w:hAnsi="Times New Roman" w:cs="Times New Roman"/>
                <w:color w:val="auto"/>
                <w:highlight w:val="none"/>
                <w:lang w:val="en-US" w:eastAsia="zh-CN"/>
              </w:rPr>
              <w:t>满足《环境影响评价技术导则</w:t>
            </w:r>
            <w:r>
              <w:rPr>
                <w:rFonts w:hint="eastAsia" w:ascii="Times New Roman" w:hAnsi="Times New Roman" w:cs="Times New Roman"/>
                <w:color w:val="auto"/>
                <w:highlight w:val="none"/>
                <w:lang w:val="en-US" w:eastAsia="zh-CN"/>
              </w:rPr>
              <w:t>大气环境</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HJ2</w:t>
            </w:r>
            <w:r>
              <w:rPr>
                <w:rFonts w:hint="default" w:ascii="Times New Roman" w:hAnsi="Times New Roman" w:cs="Times New Roman"/>
                <w:color w:val="auto"/>
                <w:highlight w:val="none"/>
                <w:lang w:val="en-US" w:eastAsia="zh-CN"/>
              </w:rPr>
              <w:t>.2-2018）</w:t>
            </w:r>
            <w:r>
              <w:rPr>
                <w:rFonts w:hint="eastAsia" w:ascii="Times New Roman" w:hAnsi="Times New Roman" w:cs="Times New Roman"/>
                <w:color w:val="auto"/>
                <w:highlight w:val="none"/>
                <w:lang w:val="en-US" w:eastAsia="zh-CN"/>
              </w:rPr>
              <w:t>表D.1</w:t>
            </w:r>
            <w:r>
              <w:rPr>
                <w:rFonts w:hint="default" w:ascii="Times New Roman" w:hAnsi="Times New Roman" w:cs="Times New Roman"/>
                <w:color w:val="auto"/>
                <w:highlight w:val="none"/>
                <w:lang w:val="en-US" w:eastAsia="zh-CN"/>
              </w:rPr>
              <w:t>其他污染物空气质量浓度参考限值</w:t>
            </w:r>
            <w:r>
              <w:rPr>
                <w:rFonts w:hint="eastAsia" w:ascii="Times New Roman" w:hAnsi="Times New Roman" w:cs="Times New Roman"/>
                <w:color w:val="auto"/>
                <w:highlight w:val="none"/>
                <w:lang w:val="en-US" w:eastAsia="zh-CN"/>
              </w:rPr>
              <w:t>1h</w:t>
            </w:r>
            <w:r>
              <w:rPr>
                <w:rFonts w:hint="default" w:ascii="Times New Roman" w:hAnsi="Times New Roman" w:cs="Times New Roman"/>
                <w:color w:val="auto"/>
                <w:highlight w:val="none"/>
                <w:lang w:val="en-US" w:eastAsia="zh-CN"/>
              </w:rPr>
              <w:t>平均浓度标准要求</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非甲烷总烃满足</w:t>
            </w:r>
            <w:r>
              <w:rPr>
                <w:rFonts w:hint="eastAsia" w:cs="Times New Roman"/>
                <w:color w:val="auto"/>
                <w:highlight w:val="none"/>
                <w:lang w:val="en-US" w:eastAsia="zh-CN"/>
              </w:rPr>
              <w:t>《大气污染物综合排放标准详解》（国家环境保护局科技标准司）中的推荐值</w:t>
            </w:r>
            <w:r>
              <w:rPr>
                <w:rFonts w:hint="default" w:ascii="Times New Roman" w:hAnsi="Times New Roman" w:cs="Times New Roman"/>
                <w:color w:val="auto"/>
                <w:highlight w:val="none"/>
                <w:lang w:val="en-US" w:eastAsia="zh-CN"/>
              </w:rPr>
              <w:t>。</w:t>
            </w:r>
            <w:r>
              <w:rPr>
                <w:rFonts w:hint="eastAsia"/>
                <w:color w:val="auto"/>
                <w:highlight w:val="none"/>
                <w:lang w:val="en-US" w:eastAsia="zh-CN"/>
              </w:rPr>
              <w:t>本项目委托内蒙古庚泰环保科技有限公司对本项目厂界噪声进行监测，监测时间为2026年4月4日-4月6日，</w:t>
            </w:r>
            <w:r>
              <w:rPr>
                <w:rFonts w:hint="default"/>
                <w:color w:val="auto"/>
                <w:highlight w:val="none"/>
                <w:lang w:val="en-US" w:eastAsia="zh-CN"/>
              </w:rPr>
              <w:t>厂界</w:t>
            </w:r>
            <w:r>
              <w:rPr>
                <w:rFonts w:hint="eastAsia"/>
                <w:color w:val="auto"/>
                <w:highlight w:val="none"/>
                <w:lang w:val="en-US" w:eastAsia="zh-CN"/>
              </w:rPr>
              <w:t>声环境检测结果</w:t>
            </w:r>
            <w:r>
              <w:rPr>
                <w:rFonts w:hint="default"/>
                <w:color w:val="auto"/>
                <w:highlight w:val="none"/>
                <w:lang w:val="en-US" w:eastAsia="zh-CN"/>
              </w:rPr>
              <w:t>均能满足《声环境质量标准》</w:t>
            </w:r>
            <w:r>
              <w:rPr>
                <w:rFonts w:hint="eastAsia"/>
                <w:color w:val="auto"/>
                <w:highlight w:val="none"/>
                <w:lang w:val="en-US" w:eastAsia="zh-CN"/>
              </w:rPr>
              <w:t>（</w:t>
            </w:r>
            <w:r>
              <w:rPr>
                <w:rFonts w:hint="default"/>
                <w:color w:val="auto"/>
                <w:highlight w:val="none"/>
                <w:lang w:val="en-US" w:eastAsia="zh-CN"/>
              </w:rPr>
              <w:t>GB3096-2008</w:t>
            </w:r>
            <w:r>
              <w:rPr>
                <w:rFonts w:hint="eastAsia"/>
                <w:color w:val="auto"/>
                <w:highlight w:val="none"/>
                <w:lang w:val="en-US" w:eastAsia="zh-CN"/>
              </w:rPr>
              <w:t>）1类</w:t>
            </w:r>
            <w:r>
              <w:rPr>
                <w:rFonts w:hint="default"/>
                <w:color w:val="auto"/>
                <w:highlight w:val="none"/>
                <w:lang w:val="en-US" w:eastAsia="zh-CN"/>
              </w:rPr>
              <w:t>标准，本项目符合环境质量底线要求。</w:t>
            </w:r>
          </w:p>
          <w:p w14:paraId="20135ECB">
            <w:pPr>
              <w:bidi w:val="0"/>
              <w:rPr>
                <w:rFonts w:hint="default"/>
                <w:color w:val="auto"/>
                <w:highlight w:val="none"/>
                <w:lang w:val="en-US" w:eastAsia="zh-CN"/>
              </w:rPr>
            </w:pPr>
            <w:r>
              <w:rPr>
                <w:rFonts w:hint="eastAsia"/>
                <w:color w:val="auto"/>
                <w:highlight w:val="none"/>
                <w:lang w:val="en-US" w:eastAsia="zh-CN"/>
              </w:rPr>
              <w:t>项目运营期</w:t>
            </w:r>
            <w:r>
              <w:rPr>
                <w:rFonts w:hint="default"/>
                <w:color w:val="auto"/>
                <w:highlight w:val="none"/>
                <w:lang w:val="en-US" w:eastAsia="zh-CN"/>
              </w:rPr>
              <w:t>产生的</w:t>
            </w:r>
            <w:r>
              <w:rPr>
                <w:rFonts w:hint="eastAsia"/>
                <w:color w:val="auto"/>
                <w:highlight w:val="none"/>
                <w:lang w:val="en-US" w:eastAsia="zh-CN"/>
              </w:rPr>
              <w:t>废水、废气、噪声及</w:t>
            </w:r>
            <w:r>
              <w:rPr>
                <w:rFonts w:hint="default"/>
                <w:color w:val="auto"/>
                <w:highlight w:val="none"/>
                <w:lang w:val="en-US" w:eastAsia="zh-CN"/>
              </w:rPr>
              <w:t>固体废物均可以</w:t>
            </w:r>
            <w:r>
              <w:rPr>
                <w:rFonts w:hint="eastAsia"/>
                <w:color w:val="auto"/>
                <w:highlight w:val="none"/>
                <w:lang w:val="en-US" w:eastAsia="zh-CN"/>
              </w:rPr>
              <w:t>得到</w:t>
            </w:r>
            <w:r>
              <w:rPr>
                <w:rFonts w:hint="default"/>
                <w:color w:val="auto"/>
                <w:highlight w:val="none"/>
                <w:lang w:val="en-US" w:eastAsia="zh-CN"/>
              </w:rPr>
              <w:t>妥善处置。因此，落实本环评提出的相关污染防治措施后，项目建成后不会改变区域环境功能区质量要求，符合环境质量底线原则。</w:t>
            </w:r>
          </w:p>
          <w:p w14:paraId="266CDDD0">
            <w:pPr>
              <w:bidi w:val="0"/>
              <w:rPr>
                <w:rFonts w:hint="eastAsia" w:cs="Times New Roman"/>
                <w:b/>
                <w:bCs/>
                <w:color w:val="auto"/>
                <w:highlight w:val="none"/>
                <w:lang w:val="en-US" w:eastAsia="zh-CN"/>
              </w:rPr>
            </w:pPr>
            <w:r>
              <w:rPr>
                <w:rFonts w:hint="eastAsia" w:cs="Times New Roman"/>
                <w:b/>
                <w:bCs/>
                <w:color w:val="auto"/>
                <w:highlight w:val="none"/>
                <w:lang w:val="en-US" w:eastAsia="zh-CN"/>
              </w:rPr>
              <w:t>3.资源利用上限</w:t>
            </w:r>
          </w:p>
          <w:p w14:paraId="78F554BC">
            <w:pPr>
              <w:bidi w:val="0"/>
              <w:rPr>
                <w:rFonts w:hint="eastAsia" w:cs="Times New Roman"/>
                <w:color w:val="auto"/>
                <w:highlight w:val="none"/>
                <w:lang w:val="en-US" w:eastAsia="zh-CN"/>
              </w:rPr>
            </w:pPr>
            <w:r>
              <w:rPr>
                <w:rFonts w:hint="eastAsia" w:cs="Times New Roman"/>
                <w:color w:val="auto"/>
                <w:highlight w:val="none"/>
                <w:lang w:val="en-US" w:eastAsia="zh-CN"/>
              </w:rPr>
              <w:t>本项</w:t>
            </w:r>
            <w:r>
              <w:rPr>
                <w:rFonts w:hint="eastAsia" w:ascii="Times New Roman" w:hAnsi="Times New Roman" w:eastAsia="宋体" w:cs="Times New Roman"/>
                <w:color w:val="auto"/>
                <w:highlight w:val="none"/>
                <w:lang w:val="en-US" w:eastAsia="zh-CN"/>
              </w:rPr>
              <w:t>目用水由市政供水系统及外购</w:t>
            </w:r>
            <w:r>
              <w:rPr>
                <w:rFonts w:hint="eastAsia"/>
                <w:color w:val="auto"/>
                <w:highlight w:val="none"/>
                <w:lang w:val="en-US" w:eastAsia="zh-CN"/>
              </w:rPr>
              <w:t>桶装纯净水</w:t>
            </w:r>
            <w:r>
              <w:rPr>
                <w:rFonts w:hint="eastAsia" w:ascii="Times New Roman" w:hAnsi="Times New Roman" w:eastAsia="宋体" w:cs="Times New Roman"/>
                <w:color w:val="auto"/>
                <w:highlight w:val="none"/>
                <w:lang w:val="en-US" w:eastAsia="zh-CN"/>
              </w:rPr>
              <w:t>提供，用</w:t>
            </w:r>
            <w:r>
              <w:rPr>
                <w:rFonts w:hint="eastAsia" w:cs="Times New Roman"/>
                <w:color w:val="auto"/>
                <w:highlight w:val="none"/>
                <w:lang w:val="en-US" w:eastAsia="zh-CN"/>
              </w:rPr>
              <w:t>电来自市政电网。在当地资源承载范围内，不会给当地水、电资源利用造成负担；本项目占地不涉及基本农田，项目生产过程中所用的原辅材料均为外购。因此，本项目所用资源不会突破当地资源利用上线，符合资源利用上线要求。</w:t>
            </w:r>
          </w:p>
          <w:p w14:paraId="00B847F7">
            <w:pPr>
              <w:bidi w:val="0"/>
              <w:rPr>
                <w:rFonts w:hint="eastAsia" w:cs="Times New Roman"/>
                <w:b/>
                <w:bCs/>
                <w:color w:val="auto"/>
                <w:highlight w:val="none"/>
                <w:lang w:val="en-US" w:eastAsia="zh-CN"/>
              </w:rPr>
            </w:pPr>
            <w:r>
              <w:rPr>
                <w:rFonts w:hint="eastAsia" w:cs="Times New Roman"/>
                <w:b/>
                <w:bCs/>
                <w:color w:val="auto"/>
                <w:highlight w:val="none"/>
                <w:lang w:val="en-US" w:eastAsia="zh-CN"/>
              </w:rPr>
              <w:t>4.生态环境准入清单</w:t>
            </w:r>
          </w:p>
          <w:p w14:paraId="4CCF416F">
            <w:pPr>
              <w:bidi w:val="0"/>
              <w:rPr>
                <w:rFonts w:hint="default"/>
                <w:color w:val="auto"/>
                <w:highlight w:val="none"/>
                <w:lang w:val="en-US" w:eastAsia="zh-CN"/>
              </w:rPr>
            </w:pPr>
            <w:r>
              <w:rPr>
                <w:rFonts w:hint="default"/>
                <w:color w:val="auto"/>
                <w:highlight w:val="none"/>
                <w:lang w:val="en-US" w:eastAsia="zh-CN"/>
              </w:rPr>
              <w:t>根据《</w:t>
            </w:r>
            <w:bookmarkStart w:id="2" w:name="_Toc144984188"/>
            <w:bookmarkStart w:id="3" w:name="_Toc143185517"/>
            <w:r>
              <w:rPr>
                <w:rFonts w:hint="default"/>
                <w:color w:val="auto"/>
                <w:highlight w:val="none"/>
                <w:lang w:val="en-US" w:eastAsia="zh-CN"/>
              </w:rPr>
              <w:t>鄂尔多斯市生态环境管控准入清单</w:t>
            </w:r>
            <w:bookmarkEnd w:id="2"/>
            <w:bookmarkEnd w:id="3"/>
            <w:r>
              <w:rPr>
                <w:rFonts w:hint="default"/>
                <w:color w:val="auto"/>
                <w:highlight w:val="none"/>
                <w:lang w:val="en-US" w:eastAsia="zh-CN"/>
              </w:rPr>
              <w:t>》（2023年），本项目位于内蒙古自治区鄂尔多斯市东胜区乌审东街40号鄂尔多斯市东胜区东联现代高级中学竹轩教学楼，</w:t>
            </w:r>
            <w:r>
              <w:rPr>
                <w:rFonts w:hint="eastAsia"/>
                <w:color w:val="auto"/>
                <w:highlight w:val="none"/>
                <w:lang w:val="en-US" w:eastAsia="zh-CN"/>
              </w:rPr>
              <w:t>环境管控单元名称为东胜区城镇边界</w:t>
            </w:r>
            <w:r>
              <w:rPr>
                <w:rFonts w:hint="default"/>
                <w:color w:val="auto"/>
                <w:highlight w:val="none"/>
                <w:lang w:val="en-US" w:eastAsia="zh-CN"/>
              </w:rPr>
              <w:t>，</w:t>
            </w:r>
            <w:r>
              <w:rPr>
                <w:rFonts w:hint="eastAsia"/>
                <w:color w:val="auto"/>
                <w:highlight w:val="none"/>
                <w:lang w:val="en-US" w:eastAsia="zh-CN"/>
              </w:rPr>
              <w:t>管控单元分类</w:t>
            </w:r>
            <w:r>
              <w:rPr>
                <w:rFonts w:hint="default"/>
                <w:color w:val="auto"/>
                <w:highlight w:val="none"/>
                <w:lang w:val="en-US" w:eastAsia="zh-CN"/>
              </w:rPr>
              <w:t>为重点管控单元，管控</w:t>
            </w:r>
            <w:r>
              <w:rPr>
                <w:rFonts w:hint="eastAsia"/>
                <w:color w:val="auto"/>
                <w:highlight w:val="none"/>
                <w:lang w:val="en-US" w:eastAsia="zh-CN"/>
              </w:rPr>
              <w:t>单元</w:t>
            </w:r>
            <w:r>
              <w:rPr>
                <w:rFonts w:hint="default"/>
                <w:color w:val="auto"/>
                <w:highlight w:val="none"/>
                <w:lang w:val="en-US" w:eastAsia="zh-CN"/>
              </w:rPr>
              <w:t>编码ZH15060220010，管控单元相关符合性分析见下表</w:t>
            </w:r>
            <w:r>
              <w:rPr>
                <w:rFonts w:hint="eastAsia"/>
                <w:color w:val="auto"/>
                <w:highlight w:val="none"/>
                <w:lang w:val="en-US" w:eastAsia="zh-CN"/>
              </w:rPr>
              <w:t>1-1</w:t>
            </w:r>
            <w:r>
              <w:rPr>
                <w:rFonts w:hint="default"/>
                <w:color w:val="auto"/>
                <w:highlight w:val="none"/>
                <w:lang w:val="en-US" w:eastAsia="zh-CN"/>
              </w:rPr>
              <w:t>，项目与环境管控单元位置关系图</w:t>
            </w:r>
            <w:r>
              <w:rPr>
                <w:rFonts w:hint="eastAsia"/>
                <w:color w:val="auto"/>
                <w:highlight w:val="none"/>
                <w:lang w:val="en-US" w:eastAsia="zh-CN"/>
              </w:rPr>
              <w:t>见附图1</w:t>
            </w:r>
            <w:r>
              <w:rPr>
                <w:rFonts w:hint="default"/>
                <w:color w:val="auto"/>
                <w:highlight w:val="none"/>
                <w:lang w:val="en-US" w:eastAsia="zh-CN"/>
              </w:rPr>
              <w:t>。</w:t>
            </w:r>
          </w:p>
          <w:p w14:paraId="701C632E">
            <w:pPr>
              <w:bidi w:val="0"/>
              <w:ind w:left="0" w:leftChars="0" w:firstLine="0" w:firstLineChars="0"/>
              <w:jc w:val="center"/>
              <w:rPr>
                <w:rFonts w:hint="eastAsia" w:cs="Times New Roman"/>
                <w:b/>
                <w:bCs/>
                <w:color w:val="auto"/>
                <w:highlight w:val="none"/>
                <w:lang w:val="en-US" w:eastAsia="zh-CN"/>
              </w:rPr>
            </w:pPr>
            <w:r>
              <w:rPr>
                <w:rFonts w:hint="eastAsia" w:cs="Times New Roman"/>
                <w:b/>
                <w:bCs/>
                <w:color w:val="auto"/>
                <w:highlight w:val="none"/>
                <w:lang w:val="en-US" w:eastAsia="zh-CN"/>
              </w:rPr>
              <w:t>表1-1本项目与东胜区城镇边界环境准入清单符合性分析</w:t>
            </w:r>
          </w:p>
          <w:tbl>
            <w:tblPr>
              <w:tblStyle w:val="23"/>
              <w:tblW w:w="6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630"/>
              <w:gridCol w:w="664"/>
              <w:gridCol w:w="416"/>
              <w:gridCol w:w="1934"/>
              <w:gridCol w:w="1756"/>
              <w:gridCol w:w="700"/>
            </w:tblGrid>
            <w:tr w14:paraId="5FEF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696" w:type="dxa"/>
                  <w:noWrap w:val="0"/>
                  <w:vAlign w:val="center"/>
                </w:tcPr>
                <w:p w14:paraId="118955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单元编码</w:t>
                  </w:r>
                </w:p>
              </w:tc>
              <w:tc>
                <w:tcPr>
                  <w:tcW w:w="630" w:type="dxa"/>
                  <w:noWrap w:val="0"/>
                  <w:vAlign w:val="center"/>
                </w:tcPr>
                <w:p w14:paraId="69CE44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单元名称</w:t>
                  </w:r>
                </w:p>
              </w:tc>
              <w:tc>
                <w:tcPr>
                  <w:tcW w:w="664" w:type="dxa"/>
                  <w:noWrap w:val="0"/>
                  <w:vAlign w:val="center"/>
                </w:tcPr>
                <w:p w14:paraId="65EA0F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单元类别</w:t>
                  </w:r>
                </w:p>
              </w:tc>
              <w:tc>
                <w:tcPr>
                  <w:tcW w:w="2350" w:type="dxa"/>
                  <w:gridSpan w:val="2"/>
                  <w:noWrap w:val="0"/>
                  <w:vAlign w:val="center"/>
                </w:tcPr>
                <w:p w14:paraId="164D96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管控要求</w:t>
                  </w:r>
                </w:p>
              </w:tc>
              <w:tc>
                <w:tcPr>
                  <w:tcW w:w="1756" w:type="dxa"/>
                  <w:noWrap w:val="0"/>
                  <w:vAlign w:val="center"/>
                </w:tcPr>
                <w:p w14:paraId="27D66E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本项目情况</w:t>
                  </w:r>
                </w:p>
              </w:tc>
              <w:tc>
                <w:tcPr>
                  <w:tcW w:w="700" w:type="dxa"/>
                  <w:noWrap w:val="0"/>
                  <w:vAlign w:val="center"/>
                </w:tcPr>
                <w:p w14:paraId="4B3C12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符合性</w:t>
                  </w:r>
                </w:p>
              </w:tc>
            </w:tr>
            <w:tr w14:paraId="5512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5" w:hRule="atLeast"/>
                <w:jc w:val="center"/>
              </w:trPr>
              <w:tc>
                <w:tcPr>
                  <w:tcW w:w="696" w:type="dxa"/>
                  <w:vMerge w:val="restart"/>
                  <w:noWrap w:val="0"/>
                  <w:vAlign w:val="center"/>
                </w:tcPr>
                <w:p w14:paraId="6D7497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ZH15060220010</w:t>
                  </w:r>
                </w:p>
              </w:tc>
              <w:tc>
                <w:tcPr>
                  <w:tcW w:w="630" w:type="dxa"/>
                  <w:vMerge w:val="restart"/>
                  <w:noWrap w:val="0"/>
                  <w:vAlign w:val="center"/>
                </w:tcPr>
                <w:p w14:paraId="05170E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东胜区城镇边界</w:t>
                  </w:r>
                </w:p>
              </w:tc>
              <w:tc>
                <w:tcPr>
                  <w:tcW w:w="664" w:type="dxa"/>
                  <w:vMerge w:val="restart"/>
                  <w:noWrap w:val="0"/>
                  <w:vAlign w:val="center"/>
                </w:tcPr>
                <w:p w14:paraId="1A13EC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重点管控单元</w:t>
                  </w:r>
                </w:p>
              </w:tc>
              <w:tc>
                <w:tcPr>
                  <w:tcW w:w="416" w:type="dxa"/>
                  <w:noWrap w:val="0"/>
                  <w:vAlign w:val="center"/>
                </w:tcPr>
                <w:p w14:paraId="56E2DEE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空间布局约束</w:t>
                  </w:r>
                </w:p>
              </w:tc>
              <w:tc>
                <w:tcPr>
                  <w:tcW w:w="1934" w:type="dxa"/>
                  <w:noWrap w:val="0"/>
                  <w:vAlign w:val="center"/>
                </w:tcPr>
                <w:p w14:paraId="0A4ED0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1.城市建成区禁止新建35蒸吨/小时以下燃煤锅炉。</w:t>
                  </w:r>
                </w:p>
                <w:p w14:paraId="4C65FA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2.禁止在居民区和学校、医院、疗养院、养老院等单位周边新建、改建、扩建可能造成土壤污染的建设项目。禁止在人口聚居区域内新（改、扩）建涉重金属及恶臭气体排放企业。</w:t>
                  </w:r>
                </w:p>
                <w:p w14:paraId="2614FF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3.有计划关闭超采区已批自备水井，禁止超采区工农业生产及服务业新增取用地下水。</w:t>
                  </w:r>
                </w:p>
              </w:tc>
              <w:tc>
                <w:tcPr>
                  <w:tcW w:w="1756" w:type="dxa"/>
                  <w:noWrap w:val="0"/>
                  <w:vAlign w:val="center"/>
                </w:tcPr>
                <w:p w14:paraId="795554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1.本项目无新建燃煤锅炉。</w:t>
                  </w:r>
                </w:p>
                <w:p w14:paraId="451D51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2.本项目位于城区内，根据项目运营期环境污染分析结果，没有造成土壤污染，各污染物均能满足相应标准限值，对环境影响较小，对居民生活影响较小。</w:t>
                  </w:r>
                </w:p>
                <w:p w14:paraId="63E492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3.本项目不使用地下水。</w:t>
                  </w:r>
                </w:p>
              </w:tc>
              <w:tc>
                <w:tcPr>
                  <w:tcW w:w="700" w:type="dxa"/>
                  <w:noWrap w:val="0"/>
                  <w:vAlign w:val="center"/>
                </w:tcPr>
                <w:p w14:paraId="5FFA0AA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符合</w:t>
                  </w:r>
                </w:p>
              </w:tc>
            </w:tr>
            <w:tr w14:paraId="01D7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7" w:hRule="atLeast"/>
                <w:jc w:val="center"/>
              </w:trPr>
              <w:tc>
                <w:tcPr>
                  <w:tcW w:w="696" w:type="dxa"/>
                  <w:vMerge w:val="continue"/>
                  <w:noWrap w:val="0"/>
                  <w:vAlign w:val="center"/>
                </w:tcPr>
                <w:p w14:paraId="6FA630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p>
              </w:tc>
              <w:tc>
                <w:tcPr>
                  <w:tcW w:w="630" w:type="dxa"/>
                  <w:vMerge w:val="continue"/>
                  <w:noWrap w:val="0"/>
                  <w:vAlign w:val="center"/>
                </w:tcPr>
                <w:p w14:paraId="6B761C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p>
              </w:tc>
              <w:tc>
                <w:tcPr>
                  <w:tcW w:w="664" w:type="dxa"/>
                  <w:vMerge w:val="continue"/>
                  <w:noWrap w:val="0"/>
                  <w:vAlign w:val="center"/>
                </w:tcPr>
                <w:p w14:paraId="4D8942C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p>
              </w:tc>
              <w:tc>
                <w:tcPr>
                  <w:tcW w:w="416" w:type="dxa"/>
                  <w:noWrap w:val="0"/>
                  <w:vAlign w:val="center"/>
                </w:tcPr>
                <w:p w14:paraId="16FBC8E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污染物排放管控</w:t>
                  </w:r>
                </w:p>
              </w:tc>
              <w:tc>
                <w:tcPr>
                  <w:tcW w:w="1934" w:type="dxa"/>
                  <w:noWrap w:val="0"/>
                  <w:vAlign w:val="center"/>
                </w:tcPr>
                <w:p w14:paraId="7578FB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1.提升城镇生活污水收集管网覆盖率，逐步实施雨污管网分流改造、管网更新、破损修复改、中水回用等工程。城镇生活污水实现“应收尽收、应处尽处”。</w:t>
                  </w:r>
                </w:p>
              </w:tc>
              <w:tc>
                <w:tcPr>
                  <w:tcW w:w="1756" w:type="dxa"/>
                  <w:noWrap w:val="0"/>
                  <w:vAlign w:val="center"/>
                </w:tcPr>
                <w:p w14:paraId="3A68DD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1.城区已配套相应管网，本项目所处建筑物在城区配套管网收纳范围内。本项目在运营中严格实行“清污分流、雨污分流”，污水应收尽收；本项目不新建晾晒池、蒸发塘。</w:t>
                  </w:r>
                </w:p>
              </w:tc>
              <w:tc>
                <w:tcPr>
                  <w:tcW w:w="700" w:type="dxa"/>
                  <w:noWrap w:val="0"/>
                  <w:vAlign w:val="center"/>
                </w:tcPr>
                <w:p w14:paraId="369F4A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符合</w:t>
                  </w:r>
                </w:p>
              </w:tc>
            </w:tr>
            <w:tr w14:paraId="598D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6" w:type="dxa"/>
                  <w:vMerge w:val="continue"/>
                  <w:noWrap w:val="0"/>
                  <w:vAlign w:val="center"/>
                </w:tcPr>
                <w:p w14:paraId="1C16AF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p>
              </w:tc>
              <w:tc>
                <w:tcPr>
                  <w:tcW w:w="630" w:type="dxa"/>
                  <w:vMerge w:val="continue"/>
                  <w:noWrap w:val="0"/>
                  <w:vAlign w:val="center"/>
                </w:tcPr>
                <w:p w14:paraId="7D139AB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p>
              </w:tc>
              <w:tc>
                <w:tcPr>
                  <w:tcW w:w="664" w:type="dxa"/>
                  <w:vMerge w:val="continue"/>
                  <w:noWrap w:val="0"/>
                  <w:vAlign w:val="center"/>
                </w:tcPr>
                <w:p w14:paraId="0B2780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p>
              </w:tc>
              <w:tc>
                <w:tcPr>
                  <w:tcW w:w="416" w:type="dxa"/>
                  <w:noWrap w:val="0"/>
                  <w:vAlign w:val="center"/>
                </w:tcPr>
                <w:p w14:paraId="0D0AAB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资源</w:t>
                  </w:r>
                </w:p>
                <w:p w14:paraId="66F820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利用</w:t>
                  </w:r>
                </w:p>
                <w:p w14:paraId="5C8FD4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效率</w:t>
                  </w:r>
                </w:p>
                <w:p w14:paraId="3BF667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要求</w:t>
                  </w:r>
                </w:p>
              </w:tc>
              <w:tc>
                <w:tcPr>
                  <w:tcW w:w="1934" w:type="dxa"/>
                  <w:noWrap w:val="0"/>
                  <w:vAlign w:val="center"/>
                </w:tcPr>
                <w:p w14:paraId="2DB44E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1.强化水资源论证管理，优化水源配置，鼓励优先配置利用非常规水源。2.严控地下水超采，执行地下水“五控”制度。</w:t>
                  </w:r>
                </w:p>
              </w:tc>
              <w:tc>
                <w:tcPr>
                  <w:tcW w:w="1756" w:type="dxa"/>
                  <w:noWrap w:val="0"/>
                  <w:vAlign w:val="center"/>
                </w:tcPr>
                <w:p w14:paraId="343D78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1.本项目用水为自来水及外购的桶装纯净水。</w:t>
                  </w:r>
                </w:p>
                <w:p w14:paraId="4C3F5A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2.本项目不涉及使用地下水。</w:t>
                  </w:r>
                </w:p>
              </w:tc>
              <w:tc>
                <w:tcPr>
                  <w:tcW w:w="700" w:type="dxa"/>
                  <w:noWrap w:val="0"/>
                  <w:vAlign w:val="center"/>
                </w:tcPr>
                <w:p w14:paraId="605D55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highlight w:val="none"/>
                      <w:lang w:val="en-US" w:eastAsia="zh-CN"/>
                    </w:rPr>
                  </w:pPr>
                  <w:r>
                    <w:rPr>
                      <w:rFonts w:hint="eastAsia" w:cs="Times New Roman"/>
                      <w:color w:val="auto"/>
                      <w:highlight w:val="none"/>
                      <w:lang w:val="en-US" w:eastAsia="zh-CN"/>
                    </w:rPr>
                    <w:t>符合</w:t>
                  </w:r>
                </w:p>
              </w:tc>
            </w:tr>
          </w:tbl>
          <w:p w14:paraId="23E5083B">
            <w:pPr>
              <w:bidi w:val="0"/>
              <w:rPr>
                <w:rFonts w:hint="eastAsia" w:cs="Times New Roman"/>
                <w:color w:val="auto"/>
                <w:highlight w:val="none"/>
                <w:lang w:val="en-US" w:eastAsia="zh-CN"/>
              </w:rPr>
            </w:pPr>
            <w:r>
              <w:rPr>
                <w:rFonts w:hint="eastAsia" w:cs="Times New Roman"/>
                <w:color w:val="auto"/>
                <w:highlight w:val="none"/>
                <w:lang w:val="en-US" w:eastAsia="zh-CN"/>
              </w:rPr>
              <w:t>综上分析，项目的建设符合鄂尔多斯市生态环境分区管控要求。</w:t>
            </w:r>
          </w:p>
          <w:p w14:paraId="54F1DF7A">
            <w:pPr>
              <w:bidi w:val="0"/>
              <w:rPr>
                <w:rFonts w:hint="default"/>
                <w:b/>
                <w:bCs/>
                <w:color w:val="auto"/>
                <w:highlight w:val="none"/>
                <w:lang w:val="en-US" w:eastAsia="zh-CN"/>
              </w:rPr>
            </w:pPr>
            <w:r>
              <w:rPr>
                <w:rFonts w:hint="eastAsia"/>
                <w:b/>
                <w:bCs/>
                <w:color w:val="auto"/>
                <w:highlight w:val="none"/>
                <w:lang w:val="en-US" w:eastAsia="zh-CN"/>
              </w:rPr>
              <w:t>三、选址合理性分析</w:t>
            </w:r>
          </w:p>
          <w:p w14:paraId="6299A010">
            <w:pPr>
              <w:bidi w:val="0"/>
              <w:rPr>
                <w:rFonts w:hint="default"/>
                <w:color w:val="auto"/>
                <w:highlight w:val="none"/>
                <w:lang w:val="en-US" w:eastAsia="zh-CN"/>
              </w:rPr>
            </w:pPr>
            <w:r>
              <w:rPr>
                <w:rFonts w:hint="default"/>
                <w:color w:val="auto"/>
                <w:highlight w:val="none"/>
                <w:lang w:val="en-US" w:eastAsia="zh-CN"/>
              </w:rPr>
              <w:t>本项目位于内蒙古自治区鄂尔多斯市东胜区乌审东街40号东联现代高级中学竹轩教学楼，利用已有建筑进行建设，不新增占地，不会对原有土地利用规划产生影响</w:t>
            </w:r>
            <w:r>
              <w:rPr>
                <w:rFonts w:hint="eastAsia"/>
                <w:color w:val="auto"/>
                <w:highlight w:val="none"/>
                <w:lang w:eastAsia="zh-CN"/>
              </w:rPr>
              <w:t>。</w:t>
            </w:r>
            <w:r>
              <w:rPr>
                <w:rFonts w:hint="eastAsia"/>
                <w:color w:val="auto"/>
                <w:highlight w:val="none"/>
                <w:lang w:val="en-US" w:eastAsia="zh-CN"/>
              </w:rPr>
              <w:t>本项目为学校的实验室建设项目，项目建设地位于城区，</w:t>
            </w:r>
            <w:r>
              <w:rPr>
                <w:rFonts w:hint="default"/>
                <w:color w:val="auto"/>
                <w:highlight w:val="none"/>
                <w:lang w:val="en-US" w:eastAsia="zh-CN"/>
              </w:rPr>
              <w:t>项目</w:t>
            </w:r>
            <w:r>
              <w:rPr>
                <w:rFonts w:hint="eastAsia"/>
                <w:color w:val="auto"/>
                <w:highlight w:val="none"/>
                <w:lang w:val="en-US" w:eastAsia="zh-CN"/>
              </w:rPr>
              <w:t>用地范围内</w:t>
            </w:r>
            <w:r>
              <w:rPr>
                <w:rFonts w:hint="default"/>
                <w:color w:val="auto"/>
                <w:highlight w:val="none"/>
                <w:lang w:val="en-US" w:eastAsia="zh-CN"/>
              </w:rPr>
              <w:t>不涉及风景名胜区、自然保护区，周围无重大环境制约因素，能够与周边环境相容。本项目建成后，污染物通过采取相应有效的污染防治措施后，对周边大气环境、水环境、声环境的影响较小。</w:t>
            </w:r>
          </w:p>
          <w:p w14:paraId="775B1DF5">
            <w:pPr>
              <w:bidi w:val="0"/>
              <w:rPr>
                <w:rFonts w:hint="default"/>
                <w:color w:val="auto"/>
                <w:highlight w:val="none"/>
                <w:lang w:val="en-US" w:eastAsia="zh-CN"/>
              </w:rPr>
            </w:pPr>
            <w:r>
              <w:rPr>
                <w:rFonts w:hint="default"/>
                <w:color w:val="auto"/>
                <w:highlight w:val="none"/>
                <w:lang w:val="en-US" w:eastAsia="zh-CN"/>
              </w:rPr>
              <w:t>综上，从环保角度分析，本项目的选址是合理的。</w:t>
            </w:r>
          </w:p>
        </w:tc>
      </w:tr>
    </w:tbl>
    <w:p w14:paraId="5FC835C5">
      <w:pPr>
        <w:spacing w:line="360" w:lineRule="auto"/>
        <w:outlineLvl w:val="0"/>
        <w:rPr>
          <w:rFonts w:hint="default" w:ascii="Times New Roman" w:hAnsi="Times New Roman" w:eastAsia="黑体" w:cs="Times New Roman"/>
          <w:color w:val="000000" w:themeColor="text1"/>
          <w:sz w:val="30"/>
          <w:highlight w:val="none"/>
          <w14:textFill>
            <w14:solidFill>
              <w14:schemeClr w14:val="tx1"/>
            </w14:solidFill>
          </w14:textFill>
        </w:rPr>
        <w:sectPr>
          <w:headerReference r:id="rId8" w:type="default"/>
          <w:footerReference r:id="rId9" w:type="default"/>
          <w:pgSz w:w="11906" w:h="16838"/>
          <w:pgMar w:top="1701" w:right="1531" w:bottom="1701" w:left="1531" w:header="1191" w:footer="964" w:gutter="0"/>
          <w:pgBorders>
            <w:top w:val="none" w:sz="0" w:space="0"/>
            <w:left w:val="none" w:sz="0" w:space="0"/>
            <w:bottom w:val="none" w:sz="0" w:space="0"/>
            <w:right w:val="none" w:sz="0" w:space="0"/>
          </w:pgBorders>
          <w:pgNumType w:fmt="numberInDash" w:start="1"/>
          <w:cols w:space="720" w:num="1"/>
          <w:docGrid w:linePitch="312" w:charSpace="0"/>
        </w:sectPr>
      </w:pPr>
    </w:p>
    <w:p w14:paraId="64E95065">
      <w:pPr>
        <w:pStyle w:val="20"/>
        <w:jc w:val="center"/>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二、建设项目工程分析</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14:paraId="79AC1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823" w:type="dxa"/>
            <w:noWrap w:val="0"/>
            <w:vAlign w:val="center"/>
          </w:tcPr>
          <w:p w14:paraId="3C8592FE">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建设内容</w:t>
            </w:r>
          </w:p>
        </w:tc>
        <w:tc>
          <w:tcPr>
            <w:tcW w:w="8161" w:type="dxa"/>
            <w:noWrap w:val="0"/>
            <w:vAlign w:val="top"/>
          </w:tcPr>
          <w:p w14:paraId="3EC60D5C">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一、项目由来</w:t>
            </w:r>
          </w:p>
          <w:p w14:paraId="21F0890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鄂尔多斯市东胜区东联现代高级中学位于</w:t>
            </w:r>
            <w:r>
              <w:rPr>
                <w:rFonts w:hint="default" w:ascii="Times New Roman" w:hAnsi="Times New Roman" w:cs="Times New Roman"/>
                <w:color w:val="auto"/>
                <w:sz w:val="24"/>
                <w:szCs w:val="24"/>
                <w:highlight w:val="none"/>
                <w:lang w:val="en-US" w:eastAsia="zh-CN"/>
              </w:rPr>
              <w:t>内蒙古自治区鄂尔多斯市东胜区乌审东街40号，于2004年创立，</w:t>
            </w:r>
            <w:r>
              <w:rPr>
                <w:rFonts w:hint="default" w:ascii="Times New Roman" w:hAnsi="Times New Roman" w:cs="Times New Roman"/>
                <w:color w:val="auto"/>
                <w:highlight w:val="none"/>
                <w:lang w:val="en-US" w:eastAsia="zh-CN"/>
              </w:rPr>
              <w:t>为改善教学条件、提升学生实践能力，拟在校园内现有教学楼竹轩教学楼新建实验室项目（以下简称“本项目”）。本项目总投资150万元，主要建设化学、生物、物理、地理实验室，并配套设置仪器室、准备室等功能用房。项目建成后主要用于中学生物、化学、地理、物理实验演示教学及学生课外科技活动。</w:t>
            </w:r>
          </w:p>
          <w:p w14:paraId="2C66DF4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中华人民共和国环境保护法》、《中华人民共和国环境影响评价法》以及《建设项目环境保护管理条例》（国务院第682号令）的有关规定，在建设过程中或者建成投产后可能对环境产生影响的建设项目，必须执行环境影响评价制度，对项目进行环境影响评价，并报环境保护行政主管部门审批。依据《建设项目环境影响评价分类管理名录》（2021年版），本项目属于“四十五、研究和试验发展”类别中的“98专业实验室、研发（试验）基地”项。根据名录规定：“其他（不产生实验废气、废水、危险废物的除外）”应编制环境影响报告表。本项目在实验演示教学过程中，化学实验室会产生少量实验废气如挥</w:t>
            </w:r>
            <w:r>
              <w:rPr>
                <w:rFonts w:hint="default" w:ascii="Times New Roman" w:hAnsi="Times New Roman" w:eastAsia="宋体" w:cs="Times New Roman"/>
                <w:color w:val="auto"/>
                <w:highlight w:val="none"/>
                <w:lang w:val="en-US" w:eastAsia="zh-CN"/>
              </w:rPr>
              <w:t>发性有机物、氯化氢、硝酸雾（以氮氧化物表征）等挥发性酸类</w:t>
            </w:r>
            <w:r>
              <w:rPr>
                <w:rFonts w:hint="eastAsia" w:cs="Times New Roman"/>
                <w:color w:val="auto"/>
                <w:highlight w:val="none"/>
                <w:lang w:val="en-US" w:eastAsia="zh-CN"/>
              </w:rPr>
              <w:t>，生物实验室会产生</w:t>
            </w:r>
            <w:r>
              <w:rPr>
                <w:rFonts w:hint="default" w:ascii="Times New Roman" w:hAnsi="Times New Roman" w:cs="Times New Roman"/>
                <w:color w:val="auto"/>
                <w:highlight w:val="none"/>
                <w:lang w:val="en-US" w:eastAsia="zh-CN"/>
              </w:rPr>
              <w:t>挥</w:t>
            </w:r>
            <w:r>
              <w:rPr>
                <w:rFonts w:hint="default" w:ascii="Times New Roman" w:hAnsi="Times New Roman" w:eastAsia="宋体" w:cs="Times New Roman"/>
                <w:color w:val="auto"/>
                <w:highlight w:val="none"/>
                <w:lang w:val="en-US" w:eastAsia="zh-CN"/>
              </w:rPr>
              <w:t>发性有机物、氯化氢、</w:t>
            </w:r>
            <w:r>
              <w:rPr>
                <w:rFonts w:hint="eastAsia" w:cs="Times New Roman"/>
                <w:color w:val="auto"/>
                <w:highlight w:val="none"/>
                <w:lang w:val="en-US" w:eastAsia="zh-CN"/>
              </w:rPr>
              <w:t>臭气浓度；</w:t>
            </w:r>
            <w:r>
              <w:rPr>
                <w:rFonts w:hint="default" w:ascii="Times New Roman" w:hAnsi="Times New Roman" w:eastAsia="宋体" w:cs="Times New Roman"/>
                <w:color w:val="auto"/>
                <w:highlight w:val="none"/>
                <w:lang w:val="en-US" w:eastAsia="zh-CN"/>
              </w:rPr>
              <w:t>化学、生物实验室会产生实验清洗废水以及实验废液；化学药品库会产生废弃化学试剂等危险废物。因此</w:t>
            </w:r>
            <w:r>
              <w:rPr>
                <w:rFonts w:hint="default" w:ascii="Times New Roman" w:hAnsi="Times New Roman" w:cs="Times New Roman"/>
                <w:color w:val="auto"/>
                <w:highlight w:val="none"/>
                <w:lang w:val="en-US" w:eastAsia="zh-CN"/>
              </w:rPr>
              <w:t>，不属于名录规定的豁免情形，须</w:t>
            </w:r>
            <w:r>
              <w:rPr>
                <w:rFonts w:hint="default" w:ascii="Times New Roman" w:hAnsi="Times New Roman" w:eastAsia="宋体" w:cs="Times New Roman"/>
                <w:color w:val="auto"/>
                <w:highlight w:val="none"/>
                <w:lang w:val="en-US" w:eastAsia="zh-CN"/>
              </w:rPr>
              <w:t>编制环境影响报告表。为此，建设单位委托鄂尔多斯市奇胜安环科技有限公司承</w:t>
            </w:r>
            <w:r>
              <w:rPr>
                <w:rFonts w:hint="default" w:ascii="Times New Roman" w:hAnsi="Times New Roman" w:cs="Times New Roman"/>
                <w:color w:val="auto"/>
                <w:highlight w:val="none"/>
                <w:lang w:val="en-US" w:eastAsia="zh-CN"/>
              </w:rPr>
              <w:t>担本项目的环境影响评价工作。接受委托后，评价单位组织有关技术人员对项目拟建地进行现场踏勘，详细调查了项目所在地的环境现状和周边环境敏感目标，收集了有关自然环境信息，按照环境影响评价技术导则及相关规范要求，编制完成了《鄂尔多斯市东胜区东联现代高级中学实验室建设项目环境影响报告表》，供建设单位上报生态环境主管部门审批。</w:t>
            </w:r>
          </w:p>
          <w:p w14:paraId="2321A4B0">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鄂尔多斯市东胜区东联现代高级中学</w:t>
            </w:r>
            <w:r>
              <w:rPr>
                <w:rFonts w:hint="default" w:ascii="Times New Roman" w:hAnsi="Times New Roman" w:cs="Times New Roman"/>
                <w:color w:val="auto"/>
                <w:sz w:val="24"/>
                <w:szCs w:val="24"/>
                <w:highlight w:val="none"/>
                <w:lang w:val="en-US" w:eastAsia="zh-CN"/>
              </w:rPr>
              <w:t>的实验室已于2004年成立，一直未履行环保手续，为此决定补充环境影响评价文件。</w:t>
            </w:r>
          </w:p>
          <w:p w14:paraId="3274B1F1">
            <w:pPr>
              <w:adjustRightInd w:val="0"/>
              <w:snapToGrid w:val="0"/>
              <w:jc w:val="both"/>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二、项目概况</w:t>
            </w:r>
          </w:p>
          <w:p w14:paraId="38C2CCD4">
            <w:pPr>
              <w:bidi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1.项目建设基本情况</w:t>
            </w:r>
          </w:p>
          <w:p w14:paraId="2977D9D6">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项目名称：</w:t>
            </w:r>
            <w:r>
              <w:rPr>
                <w:rFonts w:hint="default" w:ascii="Times New Roman" w:hAnsi="Times New Roman" w:cs="Times New Roman"/>
                <w:color w:val="auto"/>
                <w:sz w:val="24"/>
                <w:szCs w:val="24"/>
                <w:highlight w:val="none"/>
                <w:lang w:eastAsia="zh-CN"/>
              </w:rPr>
              <w:t>鄂尔多斯市东胜区东联现代高级中学实验室建设项目</w:t>
            </w:r>
          </w:p>
          <w:p w14:paraId="0F4339DC">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建设单位：</w:t>
            </w:r>
            <w:r>
              <w:rPr>
                <w:rFonts w:hint="default" w:ascii="Times New Roman" w:hAnsi="Times New Roman" w:cs="Times New Roman"/>
                <w:color w:val="auto"/>
                <w:sz w:val="24"/>
                <w:szCs w:val="24"/>
                <w:highlight w:val="none"/>
                <w:lang w:eastAsia="zh-CN"/>
              </w:rPr>
              <w:t>鄂尔多斯市东胜区东联现代高级中学</w:t>
            </w:r>
          </w:p>
          <w:p w14:paraId="770ADC56">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建设地点：内蒙古自治区鄂尔多斯市东胜区乌审东街40号东联现代高级中学竹轩教学楼</w:t>
            </w:r>
          </w:p>
          <w:p w14:paraId="2D11EC1B">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建设性质：新建（已建成）</w:t>
            </w:r>
          </w:p>
          <w:p w14:paraId="203581C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项目投资：本项目总投资金额为150万元，其中环保投资金额为30万元，占总投资金额的20%</w:t>
            </w:r>
            <w:r>
              <w:rPr>
                <w:rFonts w:hint="eastAsia" w:cs="Times New Roman"/>
                <w:color w:val="auto"/>
                <w:highlight w:val="none"/>
                <w:lang w:val="en-US" w:eastAsia="zh-CN"/>
              </w:rPr>
              <w:t>。</w:t>
            </w:r>
          </w:p>
          <w:p w14:paraId="77877BA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建设周期：本项目建设周期共计3个月，项目年运行200天，日运行8小时。</w:t>
            </w:r>
          </w:p>
          <w:p w14:paraId="39E5598C">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建设内容：鄂尔多斯市东胜区东联现代高级中学在竹轩教学楼四楼、五楼、六楼设置生物、化学、地理、物理实验室。</w:t>
            </w:r>
          </w:p>
          <w:p w14:paraId="19922C7B">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四楼设有物理实验室4间，建筑面积共计312㎡；物理仪器库3间，建筑面积共计160㎡；物理准备室1间（分为准备室里间及外间），建筑面积40㎡；教师办公室1间，建筑面积40㎡；化学数字化实验室1间，建筑面积104㎡，生物数字化实验室1间，建筑面积为104㎡。</w:t>
            </w:r>
          </w:p>
          <w:p w14:paraId="3B657E5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五楼设有化学实验室4间，建筑面积共计312㎡；化学准备室1间，建筑面积40㎡，准备室内用于仪器存放，准备室内设置1间2.89㎡的危险废物暂存库；生物仪器库1间，建筑面积40㎡，生物准备室1间，建筑面积40㎡，生物实验室2间，建筑面积均为80㎡。</w:t>
            </w:r>
          </w:p>
          <w:p w14:paraId="2D9476D6">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六楼设有1间物理数字化实验室及1间地理数字化实验室，建筑面积分别为120㎡、110㎡。</w:t>
            </w:r>
          </w:p>
          <w:p w14:paraId="0A7B7877">
            <w:pPr>
              <w:bidi w:val="0"/>
              <w:ind w:left="0" w:leftChars="0" w:firstLine="0" w:firstLineChars="0"/>
              <w:jc w:val="center"/>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表2-1主要建设内容</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706"/>
              <w:gridCol w:w="753"/>
              <w:gridCol w:w="1038"/>
              <w:gridCol w:w="3984"/>
              <w:gridCol w:w="702"/>
            </w:tblGrid>
            <w:tr w14:paraId="02D7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73" w:type="pct"/>
                  <w:noWrap w:val="0"/>
                  <w:vAlign w:val="center"/>
                </w:tcPr>
                <w:p w14:paraId="76E2F8A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工程类别</w:t>
                  </w:r>
                </w:p>
              </w:tc>
              <w:tc>
                <w:tcPr>
                  <w:tcW w:w="444" w:type="pct"/>
                  <w:noWrap w:val="0"/>
                  <w:vAlign w:val="center"/>
                </w:tcPr>
                <w:p w14:paraId="100F7C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单项工程</w:t>
                  </w:r>
                </w:p>
              </w:tc>
              <w:tc>
                <w:tcPr>
                  <w:tcW w:w="3638" w:type="pct"/>
                  <w:gridSpan w:val="3"/>
                  <w:noWrap w:val="0"/>
                  <w:vAlign w:val="center"/>
                </w:tcPr>
                <w:p w14:paraId="76E78F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规划建设内容</w:t>
                  </w:r>
                </w:p>
              </w:tc>
              <w:tc>
                <w:tcPr>
                  <w:tcW w:w="442" w:type="pct"/>
                  <w:noWrap w:val="0"/>
                  <w:vAlign w:val="center"/>
                </w:tcPr>
                <w:p w14:paraId="77195C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备注</w:t>
                  </w:r>
                </w:p>
              </w:tc>
            </w:tr>
            <w:tr w14:paraId="26D2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73" w:type="pct"/>
                  <w:vMerge w:val="restart"/>
                  <w:noWrap w:val="0"/>
                  <w:vAlign w:val="center"/>
                </w:tcPr>
                <w:p w14:paraId="6FB5060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主体工程</w:t>
                  </w:r>
                </w:p>
              </w:tc>
              <w:tc>
                <w:tcPr>
                  <w:tcW w:w="444" w:type="pct"/>
                  <w:noWrap w:val="0"/>
                  <w:vAlign w:val="center"/>
                </w:tcPr>
                <w:p w14:paraId="0DD5BEE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四楼</w:t>
                  </w:r>
                </w:p>
              </w:tc>
              <w:tc>
                <w:tcPr>
                  <w:tcW w:w="3638" w:type="pct"/>
                  <w:gridSpan w:val="3"/>
                  <w:noWrap w:val="0"/>
                  <w:vAlign w:val="center"/>
                </w:tcPr>
                <w:p w14:paraId="1C1B7B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物理实验室4间，物理仪器库3间，物理准备室1间，化学数字化实验室1间，生物数字化实验室1间，教师办公室1间，用于物理化学学科的实验演示教学使用。</w:t>
                  </w:r>
                </w:p>
              </w:tc>
              <w:tc>
                <w:tcPr>
                  <w:tcW w:w="442" w:type="pct"/>
                  <w:noWrap w:val="0"/>
                  <w:vAlign w:val="center"/>
                </w:tcPr>
                <w:p w14:paraId="1C85E1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已建成</w:t>
                  </w:r>
                </w:p>
              </w:tc>
            </w:tr>
            <w:tr w14:paraId="2165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3" w:type="pct"/>
                  <w:vMerge w:val="continue"/>
                  <w:noWrap w:val="0"/>
                  <w:vAlign w:val="center"/>
                </w:tcPr>
                <w:p w14:paraId="606DA4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p>
              </w:tc>
              <w:tc>
                <w:tcPr>
                  <w:tcW w:w="444" w:type="pct"/>
                  <w:noWrap w:val="0"/>
                  <w:vAlign w:val="center"/>
                </w:tcPr>
                <w:p w14:paraId="424D73A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五楼</w:t>
                  </w:r>
                </w:p>
              </w:tc>
              <w:tc>
                <w:tcPr>
                  <w:tcW w:w="3638" w:type="pct"/>
                  <w:gridSpan w:val="3"/>
                  <w:noWrap w:val="0"/>
                  <w:vAlign w:val="center"/>
                </w:tcPr>
                <w:p w14:paraId="2DD599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化学实验室4间，化学准备室1间，生物实验室2间，生物仪器库1间，生物准备室1间，用于化学、生物学科的实验演示教学使用。</w:t>
                  </w:r>
                </w:p>
              </w:tc>
              <w:tc>
                <w:tcPr>
                  <w:tcW w:w="442" w:type="pct"/>
                  <w:noWrap w:val="0"/>
                  <w:vAlign w:val="center"/>
                </w:tcPr>
                <w:p w14:paraId="17B392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已建成</w:t>
                  </w:r>
                </w:p>
              </w:tc>
            </w:tr>
            <w:tr w14:paraId="27C3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3" w:type="pct"/>
                  <w:vMerge w:val="continue"/>
                  <w:noWrap w:val="0"/>
                  <w:vAlign w:val="center"/>
                </w:tcPr>
                <w:p w14:paraId="3562F8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p>
              </w:tc>
              <w:tc>
                <w:tcPr>
                  <w:tcW w:w="444" w:type="pct"/>
                  <w:noWrap w:val="0"/>
                  <w:vAlign w:val="center"/>
                </w:tcPr>
                <w:p w14:paraId="5D90CC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六楼</w:t>
                  </w:r>
                </w:p>
              </w:tc>
              <w:tc>
                <w:tcPr>
                  <w:tcW w:w="3638" w:type="pct"/>
                  <w:gridSpan w:val="3"/>
                  <w:noWrap w:val="0"/>
                  <w:vAlign w:val="center"/>
                </w:tcPr>
                <w:p w14:paraId="23FF57A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设有1间物理数字化实验室及1间地理数字化实验室，用于物理及地理数字化教学使用。</w:t>
                  </w:r>
                </w:p>
              </w:tc>
              <w:tc>
                <w:tcPr>
                  <w:tcW w:w="442" w:type="pct"/>
                  <w:noWrap w:val="0"/>
                  <w:vAlign w:val="center"/>
                </w:tcPr>
                <w:p w14:paraId="1959C4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已建成</w:t>
                  </w:r>
                </w:p>
              </w:tc>
            </w:tr>
            <w:tr w14:paraId="2B96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3" w:type="pct"/>
                  <w:noWrap w:val="0"/>
                  <w:vAlign w:val="center"/>
                </w:tcPr>
                <w:p w14:paraId="2F52A2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辅助工程</w:t>
                  </w:r>
                </w:p>
              </w:tc>
              <w:tc>
                <w:tcPr>
                  <w:tcW w:w="444" w:type="pct"/>
                  <w:noWrap w:val="0"/>
                  <w:vAlign w:val="center"/>
                </w:tcPr>
                <w:p w14:paraId="004A9A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危险废物暂存库</w:t>
                  </w:r>
                </w:p>
              </w:tc>
              <w:tc>
                <w:tcPr>
                  <w:tcW w:w="3638" w:type="pct"/>
                  <w:gridSpan w:val="3"/>
                  <w:noWrap w:val="0"/>
                  <w:vAlign w:val="center"/>
                </w:tcPr>
                <w:p w14:paraId="5F9B1A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位于化学准备室内新建1座2.89㎡的危险废物暂存库，用于实验室产生的危险废物的存放。</w:t>
                  </w:r>
                </w:p>
              </w:tc>
              <w:tc>
                <w:tcPr>
                  <w:tcW w:w="442" w:type="pct"/>
                  <w:noWrap w:val="0"/>
                  <w:vAlign w:val="center"/>
                </w:tcPr>
                <w:p w14:paraId="559D36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新建</w:t>
                  </w:r>
                </w:p>
              </w:tc>
            </w:tr>
            <w:tr w14:paraId="3AD2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73" w:type="pct"/>
                  <w:vMerge w:val="restart"/>
                  <w:noWrap w:val="0"/>
                  <w:vAlign w:val="center"/>
                </w:tcPr>
                <w:p w14:paraId="3656E38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公用工程</w:t>
                  </w:r>
                </w:p>
              </w:tc>
              <w:tc>
                <w:tcPr>
                  <w:tcW w:w="444" w:type="pct"/>
                  <w:noWrap w:val="0"/>
                  <w:vAlign w:val="center"/>
                </w:tcPr>
                <w:p w14:paraId="5C1EDF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供水</w:t>
                  </w:r>
                </w:p>
              </w:tc>
              <w:tc>
                <w:tcPr>
                  <w:tcW w:w="3638" w:type="pct"/>
                  <w:gridSpan w:val="3"/>
                  <w:noWrap w:val="0"/>
                  <w:vAlign w:val="center"/>
                </w:tcPr>
                <w:p w14:paraId="581121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本项目用水由市政供水系统及外购桶装纯净水使用</w:t>
                  </w:r>
                </w:p>
              </w:tc>
              <w:tc>
                <w:tcPr>
                  <w:tcW w:w="442" w:type="pct"/>
                  <w:noWrap w:val="0"/>
                  <w:vAlign w:val="center"/>
                </w:tcPr>
                <w:p w14:paraId="05E6F0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已建成</w:t>
                  </w:r>
                </w:p>
              </w:tc>
            </w:tr>
            <w:tr w14:paraId="27BA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473" w:type="pct"/>
                  <w:vMerge w:val="continue"/>
                  <w:noWrap w:val="0"/>
                  <w:vAlign w:val="center"/>
                </w:tcPr>
                <w:p w14:paraId="5D413F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p>
              </w:tc>
              <w:tc>
                <w:tcPr>
                  <w:tcW w:w="444" w:type="pct"/>
                  <w:noWrap w:val="0"/>
                  <w:vAlign w:val="center"/>
                </w:tcPr>
                <w:p w14:paraId="11FF05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供电</w:t>
                  </w:r>
                </w:p>
              </w:tc>
              <w:tc>
                <w:tcPr>
                  <w:tcW w:w="3638" w:type="pct"/>
                  <w:gridSpan w:val="3"/>
                  <w:noWrap w:val="0"/>
                  <w:vAlign w:val="center"/>
                </w:tcPr>
                <w:p w14:paraId="49303E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市政供电系统供电</w:t>
                  </w:r>
                </w:p>
              </w:tc>
              <w:tc>
                <w:tcPr>
                  <w:tcW w:w="442" w:type="pct"/>
                  <w:noWrap w:val="0"/>
                  <w:vAlign w:val="center"/>
                </w:tcPr>
                <w:p w14:paraId="1203A5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已建成</w:t>
                  </w:r>
                </w:p>
              </w:tc>
            </w:tr>
            <w:tr w14:paraId="43B3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3" w:type="pct"/>
                  <w:vMerge w:val="restart"/>
                  <w:noWrap w:val="0"/>
                  <w:vAlign w:val="center"/>
                </w:tcPr>
                <w:p w14:paraId="09CC337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环保工程</w:t>
                  </w:r>
                </w:p>
              </w:tc>
              <w:tc>
                <w:tcPr>
                  <w:tcW w:w="444" w:type="pct"/>
                  <w:noWrap w:val="0"/>
                  <w:vAlign w:val="center"/>
                </w:tcPr>
                <w:p w14:paraId="799487F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废气</w:t>
                  </w:r>
                </w:p>
              </w:tc>
              <w:tc>
                <w:tcPr>
                  <w:tcW w:w="3638" w:type="pct"/>
                  <w:gridSpan w:val="3"/>
                  <w:noWrap w:val="0"/>
                  <w:vAlign w:val="center"/>
                </w:tcPr>
                <w:p w14:paraId="472E0B5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1、化学实验室废气：化学实验室内设置2个通风橱，实验过程中产生无机酸性废气、有机废气的实验位于通风橱下进行，废气经通风橱收集后，通</w:t>
                  </w:r>
                  <w:r>
                    <w:rPr>
                      <w:rFonts w:hint="eastAsia" w:cs="Times New Roman"/>
                      <w:color w:val="auto"/>
                      <w:sz w:val="24"/>
                      <w:szCs w:val="24"/>
                      <w:highlight w:val="none"/>
                      <w:lang w:val="en-US" w:eastAsia="zh-CN"/>
                    </w:rPr>
                    <w:t>过通</w:t>
                  </w:r>
                  <w:r>
                    <w:rPr>
                      <w:rFonts w:hint="default" w:ascii="Times New Roman" w:hAnsi="Times New Roman" w:cs="Times New Roman"/>
                      <w:color w:val="auto"/>
                      <w:sz w:val="24"/>
                      <w:szCs w:val="24"/>
                      <w:highlight w:val="none"/>
                      <w:lang w:val="en-US" w:eastAsia="zh-CN"/>
                    </w:rPr>
                    <w:t>风管道汇集至楼顶，经活性炭吸附装置（TA001）处理后，最终经楼顶1根20m高排气筒（DA001）排放</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（楼高18m，排气筒高于楼顶2m，排气筒总高度为20m）。</w:t>
                  </w:r>
                </w:p>
                <w:p w14:paraId="4A58003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2、生物实验室废气：生物实验室</w:t>
                  </w:r>
                  <w:r>
                    <w:rPr>
                      <w:rFonts w:hint="eastAsia" w:cs="Times New Roman"/>
                      <w:color w:val="auto"/>
                      <w:sz w:val="24"/>
                      <w:szCs w:val="24"/>
                      <w:highlight w:val="none"/>
                      <w:lang w:val="en-US" w:eastAsia="zh-CN"/>
                    </w:rPr>
                    <w:t>产生氯化氢及非甲烷总烃的废气位于</w:t>
                  </w:r>
                  <w:r>
                    <w:rPr>
                      <w:rFonts w:hint="default" w:ascii="Times New Roman" w:hAnsi="Times New Roman" w:cs="Times New Roman"/>
                      <w:color w:val="auto"/>
                      <w:sz w:val="24"/>
                      <w:szCs w:val="24"/>
                      <w:highlight w:val="none"/>
                      <w:lang w:val="en-US" w:eastAsia="zh-CN"/>
                    </w:rPr>
                    <w:t>通风橱</w:t>
                  </w:r>
                  <w:r>
                    <w:rPr>
                      <w:rFonts w:hint="eastAsia" w:cs="Times New Roman"/>
                      <w:color w:val="auto"/>
                      <w:sz w:val="24"/>
                      <w:szCs w:val="24"/>
                      <w:highlight w:val="none"/>
                      <w:lang w:val="en-US" w:eastAsia="zh-CN"/>
                    </w:rPr>
                    <w:t>（1个通风橱）下</w:t>
                  </w:r>
                  <w:r>
                    <w:rPr>
                      <w:rFonts w:hint="default" w:ascii="Times New Roman" w:hAnsi="Times New Roman" w:cs="Times New Roman"/>
                      <w:color w:val="auto"/>
                      <w:sz w:val="24"/>
                      <w:szCs w:val="24"/>
                      <w:highlight w:val="none"/>
                      <w:lang w:val="en-US" w:eastAsia="zh-CN"/>
                    </w:rPr>
                    <w:t>收集后，通过通风管道将废气引至楼顶，经楼顶活性炭吸附装（TA001）置处理后，最终由楼顶1根20m高排气筒（DA001）排放。</w:t>
                  </w:r>
                </w:p>
                <w:p w14:paraId="129622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3、物理实验室废气：</w:t>
                  </w:r>
                  <w:r>
                    <w:rPr>
                      <w:rFonts w:hint="eastAsia" w:cs="Times New Roman"/>
                      <w:color w:val="auto"/>
                      <w:sz w:val="24"/>
                      <w:szCs w:val="24"/>
                      <w:highlight w:val="none"/>
                      <w:lang w:val="en-US" w:eastAsia="zh-CN"/>
                    </w:rPr>
                    <w:t>实验过程中不产生废气。</w:t>
                  </w:r>
                </w:p>
                <w:p w14:paraId="43C731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4、地理实验室废气：地理实验过程中不产生废气。</w:t>
                  </w:r>
                </w:p>
              </w:tc>
              <w:tc>
                <w:tcPr>
                  <w:tcW w:w="442" w:type="pct"/>
                  <w:noWrap w:val="0"/>
                  <w:vAlign w:val="center"/>
                </w:tcPr>
                <w:p w14:paraId="05B8FB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已建成</w:t>
                  </w:r>
                </w:p>
              </w:tc>
            </w:tr>
            <w:tr w14:paraId="5982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473" w:type="pct"/>
                  <w:vMerge w:val="continue"/>
                  <w:noWrap w:val="0"/>
                  <w:vAlign w:val="center"/>
                </w:tcPr>
                <w:p w14:paraId="115B92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p>
              </w:tc>
              <w:tc>
                <w:tcPr>
                  <w:tcW w:w="444" w:type="pct"/>
                  <w:noWrap w:val="0"/>
                  <w:vAlign w:val="center"/>
                </w:tcPr>
                <w:p w14:paraId="193D9A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废水</w:t>
                  </w:r>
                </w:p>
              </w:tc>
              <w:tc>
                <w:tcPr>
                  <w:tcW w:w="3638" w:type="pct"/>
                  <w:gridSpan w:val="3"/>
                  <w:noWrap w:val="0"/>
                  <w:vAlign w:val="center"/>
                </w:tcPr>
                <w:p w14:paraId="67D81E3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1、化学实验室废水：</w:t>
                  </w:r>
                </w:p>
                <w:p w14:paraId="525F0E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lang w:val="en-US" w:eastAsia="zh-CN"/>
                    </w:rPr>
                    <w:t>①</w:t>
                  </w:r>
                  <w:r>
                    <w:rPr>
                      <w:rFonts w:hint="eastAsia" w:cs="Times New Roman"/>
                      <w:color w:val="auto"/>
                      <w:sz w:val="24"/>
                      <w:szCs w:val="24"/>
                      <w:highlight w:val="none"/>
                      <w:lang w:val="en-US" w:eastAsia="zh-CN"/>
                    </w:rPr>
                    <w:t>实验前器皿润洗废水进入化粪池（16m³）收集沉淀后，进入市政管网</w:t>
                  </w:r>
                  <w:r>
                    <w:rPr>
                      <w:rFonts w:hint="default" w:ascii="Times New Roman" w:hAnsi="Times New Roman" w:cs="Times New Roman"/>
                      <w:color w:val="auto"/>
                      <w:sz w:val="24"/>
                      <w:szCs w:val="24"/>
                      <w:highlight w:val="none"/>
                      <w:lang w:val="en-US" w:eastAsia="zh-CN"/>
                    </w:rPr>
                    <w:t>；</w:t>
                  </w:r>
                </w:p>
                <w:p w14:paraId="531A27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②</w:t>
                  </w:r>
                  <w:r>
                    <w:rPr>
                      <w:rFonts w:hint="eastAsia" w:cs="Times New Roman"/>
                      <w:color w:val="auto"/>
                      <w:sz w:val="24"/>
                      <w:szCs w:val="24"/>
                      <w:highlight w:val="none"/>
                      <w:lang w:val="en-US" w:eastAsia="zh-CN"/>
                    </w:rPr>
                    <w:t>实验中冷凝冷却废水进入化粪池（16m³）收集沉淀后，进入市政管网；</w:t>
                  </w:r>
                </w:p>
                <w:p w14:paraId="446D2A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③</w:t>
                  </w:r>
                  <w:r>
                    <w:rPr>
                      <w:rFonts w:hint="eastAsia" w:cs="Times New Roman"/>
                      <w:color w:val="auto"/>
                      <w:sz w:val="24"/>
                      <w:szCs w:val="24"/>
                      <w:highlight w:val="none"/>
                      <w:lang w:val="en-US" w:eastAsia="zh-CN"/>
                    </w:rPr>
                    <w:t>实验后第3~5次清洗废水进入化粪池（16m³）收集沉淀后，进入市政管网</w:t>
                  </w:r>
                  <w:r>
                    <w:rPr>
                      <w:rFonts w:hint="default" w:ascii="Times New Roman" w:hAnsi="Times New Roman" w:cs="Times New Roman"/>
                      <w:color w:val="auto"/>
                      <w:sz w:val="24"/>
                      <w:szCs w:val="24"/>
                      <w:highlight w:val="none"/>
                      <w:lang w:val="en-US" w:eastAsia="zh-CN"/>
                    </w:rPr>
                    <w:t>。</w:t>
                  </w:r>
                </w:p>
                <w:p w14:paraId="1F922E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2、生物实验室废水：</w:t>
                  </w:r>
                </w:p>
                <w:p w14:paraId="463AD2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①</w:t>
                  </w:r>
                  <w:r>
                    <w:rPr>
                      <w:rFonts w:hint="eastAsia" w:cs="Times New Roman"/>
                      <w:color w:val="auto"/>
                      <w:sz w:val="24"/>
                      <w:szCs w:val="24"/>
                      <w:highlight w:val="none"/>
                      <w:lang w:val="en-US" w:eastAsia="zh-CN"/>
                    </w:rPr>
                    <w:t>实验前器皿润洗废水进入化粪池（16m³）收集沉淀后，进入市政管网</w:t>
                  </w:r>
                  <w:r>
                    <w:rPr>
                      <w:rFonts w:hint="default" w:ascii="Times New Roman" w:hAnsi="Times New Roman" w:cs="Times New Roman"/>
                      <w:color w:val="auto"/>
                      <w:sz w:val="24"/>
                      <w:szCs w:val="24"/>
                      <w:highlight w:val="none"/>
                      <w:lang w:val="en-US" w:eastAsia="zh-CN"/>
                    </w:rPr>
                    <w:t>；</w:t>
                  </w:r>
                </w:p>
                <w:p w14:paraId="2F49EDD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②灭菌后废水</w:t>
                  </w:r>
                  <w:r>
                    <w:rPr>
                      <w:rFonts w:hint="eastAsia" w:cs="Times New Roman"/>
                      <w:color w:val="auto"/>
                      <w:sz w:val="24"/>
                      <w:szCs w:val="24"/>
                      <w:highlight w:val="none"/>
                      <w:lang w:val="en-US" w:eastAsia="zh-CN"/>
                    </w:rPr>
                    <w:t>进入化粪池（16m³）收集沉淀后，进入市政管网；</w:t>
                  </w:r>
                </w:p>
                <w:p w14:paraId="689300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color w:val="auto"/>
                      <w:sz w:val="24"/>
                      <w:szCs w:val="24"/>
                      <w:highlight w:val="none"/>
                      <w:lang w:val="en-US" w:eastAsia="zh-CN"/>
                    </w:rPr>
                    <w:t>③实验后第3~5次清洗废水进入化粪池（16m³）收集沉淀后，进入市政管网</w:t>
                  </w:r>
                  <w:r>
                    <w:rPr>
                      <w:rFonts w:hint="default" w:ascii="Times New Roman" w:hAnsi="Times New Roman" w:cs="Times New Roman"/>
                      <w:color w:val="auto"/>
                      <w:sz w:val="24"/>
                      <w:szCs w:val="24"/>
                      <w:highlight w:val="none"/>
                      <w:lang w:val="en-US" w:eastAsia="zh-CN"/>
                    </w:rPr>
                    <w:t>。</w:t>
                  </w:r>
                </w:p>
                <w:p w14:paraId="37E682A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3、物理实验室废水：</w:t>
                  </w:r>
                </w:p>
                <w:p w14:paraId="15FB3E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①实验前器皿润洗废水进入化粪池（16m³）收集沉淀后，进入市政管网</w:t>
                  </w:r>
                  <w:r>
                    <w:rPr>
                      <w:rFonts w:hint="default" w:ascii="Times New Roman" w:hAnsi="Times New Roman" w:cs="Times New Roman"/>
                      <w:color w:val="auto"/>
                      <w:sz w:val="24"/>
                      <w:szCs w:val="24"/>
                      <w:highlight w:val="none"/>
                      <w:lang w:val="en-US" w:eastAsia="zh-CN"/>
                    </w:rPr>
                    <w:t>；</w:t>
                  </w:r>
                </w:p>
                <w:p w14:paraId="6440DF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②</w:t>
                  </w:r>
                  <w:r>
                    <w:rPr>
                      <w:rFonts w:hint="eastAsia" w:cs="Times New Roman"/>
                      <w:color w:val="auto"/>
                      <w:sz w:val="24"/>
                      <w:szCs w:val="24"/>
                      <w:highlight w:val="none"/>
                      <w:lang w:val="en-US" w:eastAsia="zh-CN"/>
                    </w:rPr>
                    <w:t>实验中冷凝冷却废水进入化粪池（16m³）收集沉淀后，进入市政管网；</w:t>
                  </w:r>
                </w:p>
                <w:p w14:paraId="42AF44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③实验后器皿冲洗废水进入化粪池（16m³）收集沉淀后，进入市政管网。</w:t>
                  </w:r>
                </w:p>
                <w:p w14:paraId="334C68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4、地理实验室废水：</w:t>
                  </w:r>
                  <w:r>
                    <w:rPr>
                      <w:rFonts w:hint="eastAsia" w:cs="Times New Roman"/>
                      <w:color w:val="auto"/>
                      <w:sz w:val="24"/>
                      <w:szCs w:val="24"/>
                      <w:highlight w:val="none"/>
                      <w:lang w:val="en-US" w:eastAsia="zh-CN"/>
                    </w:rPr>
                    <w:t>不涉及用水</w:t>
                  </w:r>
                  <w:r>
                    <w:rPr>
                      <w:rFonts w:hint="default" w:ascii="Times New Roman" w:hAnsi="Times New Roman" w:cs="Times New Roman"/>
                      <w:color w:val="auto"/>
                      <w:sz w:val="24"/>
                      <w:szCs w:val="24"/>
                      <w:highlight w:val="none"/>
                      <w:lang w:val="en-US" w:eastAsia="zh-CN"/>
                    </w:rPr>
                    <w:t>。</w:t>
                  </w:r>
                </w:p>
              </w:tc>
              <w:tc>
                <w:tcPr>
                  <w:tcW w:w="442" w:type="pct"/>
                  <w:noWrap w:val="0"/>
                  <w:vAlign w:val="center"/>
                </w:tcPr>
                <w:p w14:paraId="4FFAF5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已建成</w:t>
                  </w:r>
                </w:p>
              </w:tc>
            </w:tr>
            <w:tr w14:paraId="7AB6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3" w:type="pct"/>
                  <w:vMerge w:val="continue"/>
                  <w:noWrap w:val="0"/>
                  <w:vAlign w:val="center"/>
                </w:tcPr>
                <w:p w14:paraId="4EFF38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p>
              </w:tc>
              <w:tc>
                <w:tcPr>
                  <w:tcW w:w="444" w:type="pct"/>
                  <w:noWrap w:val="0"/>
                  <w:vAlign w:val="center"/>
                </w:tcPr>
                <w:p w14:paraId="3D6D7E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噪声</w:t>
                  </w:r>
                </w:p>
              </w:tc>
              <w:tc>
                <w:tcPr>
                  <w:tcW w:w="3638" w:type="pct"/>
                  <w:gridSpan w:val="3"/>
                  <w:noWrap w:val="0"/>
                  <w:vAlign w:val="center"/>
                </w:tcPr>
                <w:p w14:paraId="36C5C5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社会环境噪声：</w:t>
                  </w:r>
                  <w:r>
                    <w:rPr>
                      <w:rFonts w:hint="default" w:ascii="Times New Roman" w:hAnsi="Times New Roman" w:eastAsia="宋体" w:cs="Times New Roman"/>
                      <w:color w:val="auto"/>
                      <w:sz w:val="24"/>
                      <w:szCs w:val="24"/>
                      <w:highlight w:val="none"/>
                    </w:rPr>
                    <w:t>合理布局、加强管理、自然衰减</w:t>
                  </w:r>
                  <w:r>
                    <w:rPr>
                      <w:rFonts w:hint="default" w:ascii="Times New Roman" w:hAnsi="Times New Roman" w:cs="Times New Roman"/>
                      <w:color w:val="auto"/>
                      <w:sz w:val="24"/>
                      <w:szCs w:val="24"/>
                      <w:highlight w:val="none"/>
                      <w:lang w:eastAsia="zh-CN"/>
                    </w:rPr>
                    <w:t>。</w:t>
                  </w:r>
                </w:p>
              </w:tc>
              <w:tc>
                <w:tcPr>
                  <w:tcW w:w="442" w:type="pct"/>
                  <w:noWrap w:val="0"/>
                  <w:vAlign w:val="center"/>
                </w:tcPr>
                <w:p w14:paraId="63EB78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已建成</w:t>
                  </w:r>
                </w:p>
              </w:tc>
            </w:tr>
            <w:tr w14:paraId="2622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73" w:type="pct"/>
                  <w:vMerge w:val="continue"/>
                  <w:noWrap w:val="0"/>
                  <w:vAlign w:val="center"/>
                </w:tcPr>
                <w:p w14:paraId="754FF4D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p>
              </w:tc>
              <w:tc>
                <w:tcPr>
                  <w:tcW w:w="444" w:type="pct"/>
                  <w:vMerge w:val="restart"/>
                  <w:noWrap w:val="0"/>
                  <w:vAlign w:val="center"/>
                </w:tcPr>
                <w:p w14:paraId="6987F36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固废</w:t>
                  </w:r>
                </w:p>
              </w:tc>
              <w:tc>
                <w:tcPr>
                  <w:tcW w:w="474" w:type="pct"/>
                  <w:vMerge w:val="restart"/>
                  <w:noWrap w:val="0"/>
                  <w:vAlign w:val="center"/>
                </w:tcPr>
                <w:p w14:paraId="51C73A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一般固废</w:t>
                  </w:r>
                </w:p>
              </w:tc>
              <w:tc>
                <w:tcPr>
                  <w:tcW w:w="654" w:type="pct"/>
                  <w:noWrap w:val="0"/>
                  <w:vAlign w:val="center"/>
                </w:tcPr>
                <w:p w14:paraId="00AB6A0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化学实验室</w:t>
                  </w:r>
                </w:p>
              </w:tc>
              <w:tc>
                <w:tcPr>
                  <w:tcW w:w="2510" w:type="pct"/>
                  <w:noWrap w:val="0"/>
                  <w:vAlign w:val="center"/>
                </w:tcPr>
                <w:p w14:paraId="48FACF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b w:val="0"/>
                      <w:bCs/>
                      <w:color w:val="auto"/>
                      <w:sz w:val="24"/>
                      <w:szCs w:val="24"/>
                      <w:highlight w:val="none"/>
                      <w:vertAlign w:val="baseline"/>
                      <w:lang w:val="en-US" w:eastAsia="zh-CN"/>
                    </w:rPr>
                    <w:t>没有沾染药剂的废包装物：</w:t>
                  </w:r>
                  <w:r>
                    <w:rPr>
                      <w:rFonts w:hint="default" w:ascii="Times New Roman" w:hAnsi="Times New Roman" w:cs="Times New Roman"/>
                      <w:b w:val="0"/>
                      <w:bCs/>
                      <w:color w:val="auto"/>
                      <w:sz w:val="24"/>
                      <w:szCs w:val="24"/>
                      <w:highlight w:val="none"/>
                      <w:vertAlign w:val="baseline"/>
                      <w:lang w:val="en-US" w:eastAsia="zh-CN"/>
                    </w:rPr>
                    <w:t>分类收集，</w:t>
                  </w:r>
                  <w:r>
                    <w:rPr>
                      <w:rFonts w:hint="eastAsia" w:cs="Times New Roman"/>
                      <w:b w:val="0"/>
                      <w:bCs/>
                      <w:color w:val="auto"/>
                      <w:sz w:val="24"/>
                      <w:szCs w:val="24"/>
                      <w:highlight w:val="none"/>
                      <w:vertAlign w:val="baseline"/>
                      <w:lang w:val="en-US" w:eastAsia="zh-CN"/>
                    </w:rPr>
                    <w:t>与</w:t>
                  </w:r>
                  <w:r>
                    <w:rPr>
                      <w:rFonts w:hint="default" w:ascii="Times New Roman" w:hAnsi="Times New Roman" w:cs="Times New Roman"/>
                      <w:b w:val="0"/>
                      <w:bCs/>
                      <w:color w:val="auto"/>
                      <w:sz w:val="24"/>
                      <w:szCs w:val="24"/>
                      <w:highlight w:val="none"/>
                      <w:vertAlign w:val="baseline"/>
                      <w:lang w:val="en-US" w:eastAsia="zh-CN"/>
                    </w:rPr>
                    <w:t>生活垃圾</w:t>
                  </w:r>
                  <w:r>
                    <w:rPr>
                      <w:rFonts w:hint="eastAsia" w:cs="Times New Roman"/>
                      <w:b w:val="0"/>
                      <w:bCs/>
                      <w:color w:val="auto"/>
                      <w:sz w:val="24"/>
                      <w:szCs w:val="24"/>
                      <w:highlight w:val="none"/>
                      <w:vertAlign w:val="baseline"/>
                      <w:lang w:val="en-US" w:eastAsia="zh-CN"/>
                    </w:rPr>
                    <w:t>一同</w:t>
                  </w:r>
                  <w:r>
                    <w:rPr>
                      <w:rFonts w:hint="default" w:ascii="Times New Roman" w:hAnsi="Times New Roman" w:cs="Times New Roman"/>
                      <w:b w:val="0"/>
                      <w:bCs/>
                      <w:color w:val="auto"/>
                      <w:sz w:val="24"/>
                      <w:szCs w:val="24"/>
                      <w:highlight w:val="none"/>
                      <w:vertAlign w:val="baseline"/>
                      <w:lang w:val="en-US" w:eastAsia="zh-CN"/>
                    </w:rPr>
                    <w:t>处理</w:t>
                  </w:r>
                </w:p>
              </w:tc>
              <w:tc>
                <w:tcPr>
                  <w:tcW w:w="442" w:type="pct"/>
                  <w:vMerge w:val="restart"/>
                  <w:noWrap w:val="0"/>
                  <w:vAlign w:val="center"/>
                </w:tcPr>
                <w:p w14:paraId="007628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已建成</w:t>
                  </w:r>
                </w:p>
              </w:tc>
            </w:tr>
            <w:tr w14:paraId="59EA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473" w:type="pct"/>
                  <w:vMerge w:val="continue"/>
                  <w:noWrap w:val="0"/>
                  <w:vAlign w:val="center"/>
                </w:tcPr>
                <w:p w14:paraId="414FB9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44" w:type="pct"/>
                  <w:vMerge w:val="continue"/>
                  <w:noWrap w:val="0"/>
                  <w:vAlign w:val="center"/>
                </w:tcPr>
                <w:p w14:paraId="46F90AA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74" w:type="pct"/>
                  <w:vMerge w:val="continue"/>
                  <w:noWrap w:val="0"/>
                  <w:vAlign w:val="center"/>
                </w:tcPr>
                <w:p w14:paraId="4FB1AFF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654" w:type="pct"/>
                  <w:noWrap w:val="0"/>
                  <w:vAlign w:val="center"/>
                </w:tcPr>
                <w:p w14:paraId="3B5D0C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生物实验室</w:t>
                  </w:r>
                </w:p>
              </w:tc>
              <w:tc>
                <w:tcPr>
                  <w:tcW w:w="2510" w:type="pct"/>
                  <w:noWrap w:val="0"/>
                  <w:vAlign w:val="center"/>
                </w:tcPr>
                <w:p w14:paraId="4D13526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1、灭活废弃培养基：统一收集后与生活垃圾一同处置</w:t>
                  </w:r>
                </w:p>
                <w:p w14:paraId="6D2C894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rPr>
                  </w:pPr>
                  <w:r>
                    <w:rPr>
                      <w:rFonts w:hint="eastAsia" w:cs="Times New Roman"/>
                      <w:b w:val="0"/>
                      <w:bCs/>
                      <w:color w:val="auto"/>
                      <w:sz w:val="24"/>
                      <w:szCs w:val="24"/>
                      <w:highlight w:val="none"/>
                      <w:vertAlign w:val="baseline"/>
                      <w:lang w:val="en-US" w:eastAsia="zh-CN"/>
                    </w:rPr>
                    <w:t>2、没有沾染药剂的废包装物：</w:t>
                  </w:r>
                  <w:r>
                    <w:rPr>
                      <w:rFonts w:hint="default" w:ascii="Times New Roman" w:hAnsi="Times New Roman" w:cs="Times New Roman"/>
                      <w:b w:val="0"/>
                      <w:bCs/>
                      <w:color w:val="auto"/>
                      <w:sz w:val="24"/>
                      <w:szCs w:val="24"/>
                      <w:highlight w:val="none"/>
                      <w:vertAlign w:val="baseline"/>
                      <w:lang w:val="en-US" w:eastAsia="zh-CN"/>
                    </w:rPr>
                    <w:t>分类收集，</w:t>
                  </w:r>
                  <w:r>
                    <w:rPr>
                      <w:rFonts w:hint="eastAsia" w:cs="Times New Roman"/>
                      <w:b w:val="0"/>
                      <w:bCs/>
                      <w:color w:val="auto"/>
                      <w:sz w:val="24"/>
                      <w:szCs w:val="24"/>
                      <w:highlight w:val="none"/>
                      <w:vertAlign w:val="baseline"/>
                      <w:lang w:val="en-US" w:eastAsia="zh-CN"/>
                    </w:rPr>
                    <w:t>与</w:t>
                  </w:r>
                  <w:r>
                    <w:rPr>
                      <w:rFonts w:hint="default" w:ascii="Times New Roman" w:hAnsi="Times New Roman" w:cs="Times New Roman"/>
                      <w:b w:val="0"/>
                      <w:bCs/>
                      <w:color w:val="auto"/>
                      <w:sz w:val="24"/>
                      <w:szCs w:val="24"/>
                      <w:highlight w:val="none"/>
                      <w:vertAlign w:val="baseline"/>
                      <w:lang w:val="en-US" w:eastAsia="zh-CN"/>
                    </w:rPr>
                    <w:t>生活垃圾</w:t>
                  </w:r>
                  <w:r>
                    <w:rPr>
                      <w:rFonts w:hint="eastAsia" w:cs="Times New Roman"/>
                      <w:b w:val="0"/>
                      <w:bCs/>
                      <w:color w:val="auto"/>
                      <w:sz w:val="24"/>
                      <w:szCs w:val="24"/>
                      <w:highlight w:val="none"/>
                      <w:vertAlign w:val="baseline"/>
                      <w:lang w:val="en-US" w:eastAsia="zh-CN"/>
                    </w:rPr>
                    <w:t>一同</w:t>
                  </w:r>
                  <w:r>
                    <w:rPr>
                      <w:rFonts w:hint="default" w:ascii="Times New Roman" w:hAnsi="Times New Roman" w:cs="Times New Roman"/>
                      <w:b w:val="0"/>
                      <w:bCs/>
                      <w:color w:val="auto"/>
                      <w:sz w:val="24"/>
                      <w:szCs w:val="24"/>
                      <w:highlight w:val="none"/>
                      <w:vertAlign w:val="baseline"/>
                      <w:lang w:val="en-US" w:eastAsia="zh-CN"/>
                    </w:rPr>
                    <w:t>处理</w:t>
                  </w:r>
                </w:p>
              </w:tc>
              <w:tc>
                <w:tcPr>
                  <w:tcW w:w="442" w:type="pct"/>
                  <w:vMerge w:val="continue"/>
                  <w:noWrap w:val="0"/>
                  <w:vAlign w:val="center"/>
                </w:tcPr>
                <w:p w14:paraId="3C627F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r>
            <w:tr w14:paraId="2F14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3" w:type="pct"/>
                  <w:vMerge w:val="continue"/>
                  <w:noWrap w:val="0"/>
                  <w:vAlign w:val="center"/>
                </w:tcPr>
                <w:p w14:paraId="1ED838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44" w:type="pct"/>
                  <w:vMerge w:val="continue"/>
                  <w:noWrap w:val="0"/>
                  <w:vAlign w:val="center"/>
                </w:tcPr>
                <w:p w14:paraId="295155C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74" w:type="pct"/>
                  <w:vMerge w:val="continue"/>
                  <w:noWrap w:val="0"/>
                  <w:vAlign w:val="center"/>
                </w:tcPr>
                <w:p w14:paraId="30ABECA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654" w:type="pct"/>
                  <w:noWrap w:val="0"/>
                  <w:vAlign w:val="center"/>
                </w:tcPr>
                <w:p w14:paraId="0D0355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物理实验室</w:t>
                  </w:r>
                </w:p>
              </w:tc>
              <w:tc>
                <w:tcPr>
                  <w:tcW w:w="2510" w:type="pct"/>
                  <w:noWrap w:val="0"/>
                  <w:vAlign w:val="center"/>
                </w:tcPr>
                <w:p w14:paraId="1962DC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rFonts w:hint="eastAsia" w:cs="Times New Roman"/>
                      <w:b w:val="0"/>
                      <w:bCs/>
                      <w:color w:val="auto"/>
                      <w:sz w:val="24"/>
                      <w:szCs w:val="24"/>
                      <w:highlight w:val="none"/>
                      <w:vertAlign w:val="baseline"/>
                      <w:lang w:val="en-US" w:eastAsia="zh-CN"/>
                    </w:rPr>
                    <w:t>废弃包装物：</w:t>
                  </w:r>
                  <w:r>
                    <w:rPr>
                      <w:rFonts w:hint="default" w:ascii="Times New Roman" w:hAnsi="Times New Roman" w:cs="Times New Roman"/>
                      <w:b w:val="0"/>
                      <w:bCs/>
                      <w:color w:val="auto"/>
                      <w:sz w:val="24"/>
                      <w:szCs w:val="24"/>
                      <w:highlight w:val="none"/>
                      <w:vertAlign w:val="baseline"/>
                      <w:lang w:val="en-US" w:eastAsia="zh-CN"/>
                    </w:rPr>
                    <w:t>分类收集，</w:t>
                  </w:r>
                  <w:r>
                    <w:rPr>
                      <w:rFonts w:hint="eastAsia" w:cs="Times New Roman"/>
                      <w:b w:val="0"/>
                      <w:bCs/>
                      <w:color w:val="auto"/>
                      <w:sz w:val="24"/>
                      <w:szCs w:val="24"/>
                      <w:highlight w:val="none"/>
                      <w:vertAlign w:val="baseline"/>
                      <w:lang w:val="en-US" w:eastAsia="zh-CN"/>
                    </w:rPr>
                    <w:t>与</w:t>
                  </w:r>
                  <w:r>
                    <w:rPr>
                      <w:rFonts w:hint="default" w:ascii="Times New Roman" w:hAnsi="Times New Roman" w:cs="Times New Roman"/>
                      <w:b w:val="0"/>
                      <w:bCs/>
                      <w:color w:val="auto"/>
                      <w:sz w:val="24"/>
                      <w:szCs w:val="24"/>
                      <w:highlight w:val="none"/>
                      <w:vertAlign w:val="baseline"/>
                      <w:lang w:val="en-US" w:eastAsia="zh-CN"/>
                    </w:rPr>
                    <w:t>生活垃圾</w:t>
                  </w:r>
                  <w:r>
                    <w:rPr>
                      <w:rFonts w:hint="eastAsia" w:cs="Times New Roman"/>
                      <w:b w:val="0"/>
                      <w:bCs/>
                      <w:color w:val="auto"/>
                      <w:sz w:val="24"/>
                      <w:szCs w:val="24"/>
                      <w:highlight w:val="none"/>
                      <w:vertAlign w:val="baseline"/>
                      <w:lang w:val="en-US" w:eastAsia="zh-CN"/>
                    </w:rPr>
                    <w:t>一同</w:t>
                  </w:r>
                  <w:r>
                    <w:rPr>
                      <w:rFonts w:hint="default" w:ascii="Times New Roman" w:hAnsi="Times New Roman" w:cs="Times New Roman"/>
                      <w:b w:val="0"/>
                      <w:bCs/>
                      <w:color w:val="auto"/>
                      <w:sz w:val="24"/>
                      <w:szCs w:val="24"/>
                      <w:highlight w:val="none"/>
                      <w:vertAlign w:val="baseline"/>
                      <w:lang w:val="en-US" w:eastAsia="zh-CN"/>
                    </w:rPr>
                    <w:t>处理</w:t>
                  </w:r>
                </w:p>
              </w:tc>
              <w:tc>
                <w:tcPr>
                  <w:tcW w:w="442" w:type="pct"/>
                  <w:vMerge w:val="continue"/>
                  <w:noWrap w:val="0"/>
                  <w:vAlign w:val="center"/>
                </w:tcPr>
                <w:p w14:paraId="50D11A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r>
            <w:tr w14:paraId="0D2F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473" w:type="pct"/>
                  <w:vMerge w:val="continue"/>
                  <w:noWrap w:val="0"/>
                  <w:vAlign w:val="center"/>
                </w:tcPr>
                <w:p w14:paraId="2A5CD8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44" w:type="pct"/>
                  <w:vMerge w:val="continue"/>
                  <w:noWrap w:val="0"/>
                  <w:vAlign w:val="center"/>
                </w:tcPr>
                <w:p w14:paraId="2E5352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74" w:type="pct"/>
                  <w:vMerge w:val="continue"/>
                  <w:noWrap w:val="0"/>
                  <w:vAlign w:val="center"/>
                </w:tcPr>
                <w:p w14:paraId="25A769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654" w:type="pct"/>
                  <w:noWrap w:val="0"/>
                  <w:vAlign w:val="center"/>
                </w:tcPr>
                <w:p w14:paraId="08615CA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地理实验室</w:t>
                  </w:r>
                </w:p>
              </w:tc>
              <w:tc>
                <w:tcPr>
                  <w:tcW w:w="2510" w:type="pct"/>
                  <w:noWrap w:val="0"/>
                  <w:vAlign w:val="center"/>
                </w:tcPr>
                <w:p w14:paraId="5949CC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s="Times New Roman"/>
                      <w:b w:val="0"/>
                      <w:bCs/>
                      <w:color w:val="auto"/>
                      <w:sz w:val="24"/>
                      <w:szCs w:val="24"/>
                      <w:highlight w:val="none"/>
                      <w:vertAlign w:val="baseline"/>
                      <w:lang w:val="en-US" w:eastAsia="zh-CN"/>
                    </w:rPr>
                    <w:t>废弃包装物：分类收集，与生活垃圾一同处理</w:t>
                  </w:r>
                </w:p>
              </w:tc>
              <w:tc>
                <w:tcPr>
                  <w:tcW w:w="442" w:type="pct"/>
                  <w:vMerge w:val="continue"/>
                  <w:noWrap w:val="0"/>
                  <w:vAlign w:val="center"/>
                </w:tcPr>
                <w:p w14:paraId="7E3495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p>
              </w:tc>
            </w:tr>
            <w:tr w14:paraId="43D62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473" w:type="pct"/>
                  <w:vMerge w:val="continue"/>
                  <w:noWrap w:val="0"/>
                  <w:vAlign w:val="center"/>
                </w:tcPr>
                <w:p w14:paraId="0C071BA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44" w:type="pct"/>
                  <w:vMerge w:val="continue"/>
                  <w:noWrap w:val="0"/>
                  <w:vAlign w:val="center"/>
                </w:tcPr>
                <w:p w14:paraId="4365AF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1128" w:type="pct"/>
                  <w:gridSpan w:val="2"/>
                  <w:noWrap w:val="0"/>
                  <w:vAlign w:val="center"/>
                </w:tcPr>
                <w:p w14:paraId="74CFAE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生活垃圾</w:t>
                  </w:r>
                </w:p>
              </w:tc>
              <w:tc>
                <w:tcPr>
                  <w:tcW w:w="2510" w:type="pct"/>
                  <w:noWrap w:val="0"/>
                  <w:vAlign w:val="center"/>
                </w:tcPr>
                <w:p w14:paraId="731C19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由生活垃圾桶统一收集后，定期交由当地环卫部门统一处理。</w:t>
                  </w:r>
                </w:p>
              </w:tc>
              <w:tc>
                <w:tcPr>
                  <w:tcW w:w="442" w:type="pct"/>
                  <w:vMerge w:val="continue"/>
                  <w:noWrap w:val="0"/>
                  <w:vAlign w:val="center"/>
                </w:tcPr>
                <w:p w14:paraId="5B3660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p>
              </w:tc>
            </w:tr>
            <w:tr w14:paraId="20E5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73" w:type="pct"/>
                  <w:vMerge w:val="continue"/>
                  <w:noWrap w:val="0"/>
                  <w:vAlign w:val="center"/>
                </w:tcPr>
                <w:p w14:paraId="6C9EA6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44" w:type="pct"/>
                  <w:vMerge w:val="continue"/>
                  <w:noWrap w:val="0"/>
                  <w:vAlign w:val="center"/>
                </w:tcPr>
                <w:p w14:paraId="543FDD4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74" w:type="pct"/>
                  <w:vMerge w:val="restart"/>
                  <w:noWrap w:val="0"/>
                  <w:vAlign w:val="center"/>
                </w:tcPr>
                <w:p w14:paraId="34FB45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危险废物</w:t>
                  </w:r>
                </w:p>
              </w:tc>
              <w:tc>
                <w:tcPr>
                  <w:tcW w:w="654" w:type="pct"/>
                  <w:noWrap w:val="0"/>
                  <w:vAlign w:val="center"/>
                </w:tcPr>
                <w:p w14:paraId="0F98D8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rFonts w:hint="eastAsia" w:cs="Times New Roman"/>
                      <w:color w:val="auto"/>
                      <w:highlight w:val="none"/>
                      <w:lang w:val="en-US" w:eastAsia="zh-CN"/>
                    </w:rPr>
                    <w:t>化学实验室</w:t>
                  </w:r>
                </w:p>
              </w:tc>
              <w:tc>
                <w:tcPr>
                  <w:tcW w:w="2510" w:type="pct"/>
                  <w:noWrap w:val="0"/>
                  <w:vAlign w:val="center"/>
                </w:tcPr>
                <w:p w14:paraId="1F8CB6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eastAsia"/>
                      <w:color w:val="auto"/>
                      <w:highlight w:val="none"/>
                      <w:lang w:val="en-US" w:eastAsia="zh-CN"/>
                    </w:rPr>
                    <w:t>1、实验后器皿清洗（第1~2次清洗废水）废水，</w:t>
                  </w:r>
                  <w:r>
                    <w:rPr>
                      <w:rFonts w:hint="default" w:ascii="Times New Roman" w:hAnsi="Times New Roman" w:eastAsia="宋体" w:cs="Times New Roman"/>
                      <w:b w:val="0"/>
                      <w:bCs/>
                      <w:color w:val="auto"/>
                      <w:kern w:val="2"/>
                      <w:sz w:val="24"/>
                      <w:szCs w:val="24"/>
                      <w:highlight w:val="none"/>
                      <w:vertAlign w:val="baseline"/>
                      <w:lang w:val="en-US" w:eastAsia="zh-CN" w:bidi="ar-SA"/>
                    </w:rPr>
                    <w:t>作为危险废物进行处理，收集至PE桶内，定期交由有资质单位进行处置</w:t>
                  </w:r>
                  <w:r>
                    <w:rPr>
                      <w:rFonts w:hint="eastAsia" w:cs="Times New Roman"/>
                      <w:b w:val="0"/>
                      <w:bCs/>
                      <w:color w:val="auto"/>
                      <w:kern w:val="2"/>
                      <w:sz w:val="24"/>
                      <w:szCs w:val="24"/>
                      <w:highlight w:val="none"/>
                      <w:vertAlign w:val="baseline"/>
                      <w:lang w:val="en-US" w:eastAsia="zh-CN" w:bidi="ar-SA"/>
                    </w:rPr>
                    <w:t>。</w:t>
                  </w:r>
                </w:p>
                <w:p w14:paraId="07D3CF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kern w:val="2"/>
                      <w:sz w:val="24"/>
                      <w:szCs w:val="24"/>
                      <w:highlight w:val="none"/>
                      <w:vertAlign w:val="baseline"/>
                      <w:lang w:val="en-US" w:eastAsia="zh-CN" w:bidi="ar-SA"/>
                    </w:rPr>
                    <w:t>2、</w:t>
                  </w:r>
                  <w:r>
                    <w:rPr>
                      <w:rFonts w:hint="eastAsia" w:cs="Times New Roman"/>
                      <w:b w:val="0"/>
                      <w:bCs/>
                      <w:color w:val="auto"/>
                      <w:sz w:val="24"/>
                      <w:szCs w:val="24"/>
                      <w:highlight w:val="none"/>
                      <w:vertAlign w:val="baseline"/>
                      <w:lang w:val="en-US" w:eastAsia="zh-CN"/>
                    </w:rPr>
                    <w:t>实验废液（试剂配制废液）PE桶收集后，暂存于危险废物暂存库内，定期交由有资质单位进行处置。</w:t>
                  </w:r>
                </w:p>
                <w:p w14:paraId="1CF6104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3、废试剂瓶：</w:t>
                  </w:r>
                  <w:r>
                    <w:rPr>
                      <w:rFonts w:hint="default" w:ascii="Times New Roman" w:hAnsi="Times New Roman" w:eastAsia="宋体" w:cs="Times New Roman"/>
                      <w:b w:val="0"/>
                      <w:bCs/>
                      <w:color w:val="auto"/>
                      <w:kern w:val="2"/>
                      <w:sz w:val="24"/>
                      <w:szCs w:val="24"/>
                      <w:highlight w:val="none"/>
                      <w:vertAlign w:val="baseline"/>
                      <w:lang w:val="en-US" w:eastAsia="zh-CN" w:bidi="ar-SA"/>
                    </w:rPr>
                    <w:t>加盖后使用大口PE桶集中存放，防止残留液体泄漏，暂存于危险废物暂存库内，定期交由有资质单位进行处置。</w:t>
                  </w:r>
                </w:p>
                <w:p w14:paraId="165FD4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kern w:val="2"/>
                      <w:sz w:val="24"/>
                      <w:szCs w:val="24"/>
                      <w:highlight w:val="none"/>
                      <w:vertAlign w:val="baseline"/>
                      <w:lang w:val="en-US" w:eastAsia="zh-CN" w:bidi="ar-SA"/>
                    </w:rPr>
                    <w:t>4、活性炭吸附装置定期更换下的废活性炭</w:t>
                  </w:r>
                  <w:r>
                    <w:rPr>
                      <w:rFonts w:hint="default" w:ascii="Times New Roman" w:hAnsi="Times New Roman" w:cs="Times New Roman"/>
                      <w:b w:val="0"/>
                      <w:bCs/>
                      <w:color w:val="auto"/>
                      <w:sz w:val="24"/>
                      <w:szCs w:val="24"/>
                      <w:highlight w:val="none"/>
                      <w:vertAlign w:val="baseline"/>
                      <w:lang w:val="en-US" w:eastAsia="zh-CN"/>
                    </w:rPr>
                    <w:t>使用防漏塑料袋密封后放入专用纸箱，暂存于危险废物暂存库内，定期交由有资质单位进行处置。</w:t>
                  </w:r>
                  <w:r>
                    <w:rPr>
                      <w:rFonts w:hint="eastAsia" w:cs="Times New Roman"/>
                      <w:b w:val="0"/>
                      <w:bCs/>
                      <w:color w:val="auto"/>
                      <w:sz w:val="24"/>
                      <w:szCs w:val="24"/>
                      <w:highlight w:val="none"/>
                      <w:vertAlign w:val="baseline"/>
                      <w:lang w:val="en-US" w:eastAsia="zh-CN"/>
                    </w:rPr>
                    <w:t>5、</w:t>
                  </w:r>
                  <w:r>
                    <w:rPr>
                      <w:rFonts w:hint="default" w:ascii="Times New Roman" w:hAnsi="Times New Roman" w:cs="Times New Roman"/>
                      <w:color w:val="auto"/>
                      <w:highlight w:val="none"/>
                      <w:lang w:val="en-US" w:eastAsia="zh-CN"/>
                    </w:rPr>
                    <w:t>变质或失效的试剂</w:t>
                  </w:r>
                  <w:r>
                    <w:rPr>
                      <w:rFonts w:hint="eastAsia" w:ascii="Times New Roman" w:hAnsi="Times New Roman" w:cs="Times New Roman"/>
                      <w:color w:val="auto"/>
                      <w:highlight w:val="none"/>
                      <w:lang w:val="en-US" w:eastAsia="zh-CN"/>
                    </w:rPr>
                    <w:t>：原包装瓶外加PE塑料袋密封，再放入专用纸箱。暂存于危险废物暂</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存库内，定期交由有资质单位进行处置。</w:t>
                  </w:r>
                </w:p>
                <w:p w14:paraId="1601E5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s="Times New Roman"/>
                      <w:b w:val="0"/>
                      <w:bCs/>
                      <w:color w:val="auto"/>
                      <w:sz w:val="24"/>
                      <w:szCs w:val="24"/>
                      <w:highlight w:val="none"/>
                      <w:vertAlign w:val="baseline"/>
                      <w:lang w:val="en-US" w:eastAsia="zh-CN"/>
                    </w:rPr>
                    <w:t>6、沾染试剂的废弃包装物：</w:t>
                  </w:r>
                  <w:r>
                    <w:rPr>
                      <w:rFonts w:hint="default" w:ascii="Times New Roman" w:hAnsi="Times New Roman" w:cs="Times New Roman"/>
                      <w:b w:val="0"/>
                      <w:bCs/>
                      <w:color w:val="auto"/>
                      <w:sz w:val="24"/>
                      <w:szCs w:val="24"/>
                      <w:highlight w:val="none"/>
                      <w:vertAlign w:val="baseline"/>
                      <w:lang w:val="en-US" w:eastAsia="zh-CN"/>
                    </w:rPr>
                    <w:t>暂存于危险废物暂存库内，定期交由有资质单位进行处置。</w:t>
                  </w:r>
                </w:p>
              </w:tc>
              <w:tc>
                <w:tcPr>
                  <w:tcW w:w="442" w:type="pct"/>
                  <w:vMerge w:val="continue"/>
                  <w:noWrap w:val="0"/>
                  <w:vAlign w:val="center"/>
                </w:tcPr>
                <w:p w14:paraId="48C72B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r>
            <w:tr w14:paraId="3A479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73" w:type="pct"/>
                  <w:vMerge w:val="continue"/>
                  <w:noWrap w:val="0"/>
                  <w:vAlign w:val="center"/>
                </w:tcPr>
                <w:p w14:paraId="7B639E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44" w:type="pct"/>
                  <w:vMerge w:val="continue"/>
                  <w:noWrap w:val="0"/>
                  <w:vAlign w:val="center"/>
                </w:tcPr>
                <w:p w14:paraId="5AC7F70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74" w:type="pct"/>
                  <w:vMerge w:val="continue"/>
                  <w:noWrap w:val="0"/>
                  <w:vAlign w:val="center"/>
                </w:tcPr>
                <w:p w14:paraId="72E04F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654" w:type="pct"/>
                  <w:noWrap w:val="0"/>
                  <w:vAlign w:val="center"/>
                </w:tcPr>
                <w:p w14:paraId="1FBE5BC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lang w:val="en-US" w:eastAsia="zh-CN"/>
                    </w:rPr>
                    <w:t>生物实验室</w:t>
                  </w:r>
                </w:p>
              </w:tc>
              <w:tc>
                <w:tcPr>
                  <w:tcW w:w="2510" w:type="pct"/>
                  <w:noWrap w:val="0"/>
                  <w:vAlign w:val="center"/>
                </w:tcPr>
                <w:p w14:paraId="4CDDC1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olor w:val="auto"/>
                      <w:highlight w:val="none"/>
                      <w:lang w:val="en-US" w:eastAsia="zh-CN"/>
                    </w:rPr>
                    <w:t>1、</w:t>
                  </w:r>
                  <w:r>
                    <w:rPr>
                      <w:rFonts w:hint="eastAsia" w:cs="Times New Roman"/>
                      <w:b w:val="0"/>
                      <w:bCs/>
                      <w:color w:val="auto"/>
                      <w:sz w:val="24"/>
                      <w:szCs w:val="24"/>
                      <w:highlight w:val="none"/>
                      <w:vertAlign w:val="baseline"/>
                      <w:lang w:val="en-US" w:eastAsia="zh-CN"/>
                    </w:rPr>
                    <w:t>实验废液（试剂配制废液）PE桶收集后，暂存于危险废物暂存库内，定期交由有资质单位进行处置。</w:t>
                  </w:r>
                </w:p>
                <w:p w14:paraId="280E30F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2、</w:t>
                  </w:r>
                  <w:r>
                    <w:rPr>
                      <w:rFonts w:hint="eastAsia"/>
                      <w:color w:val="auto"/>
                      <w:highlight w:val="none"/>
                      <w:lang w:val="en-US" w:eastAsia="zh-CN"/>
                    </w:rPr>
                    <w:t>实验后器皿清洗（第1~2次清洗废水）废水，</w:t>
                  </w:r>
                  <w:r>
                    <w:rPr>
                      <w:rFonts w:hint="default" w:ascii="Times New Roman" w:hAnsi="Times New Roman" w:eastAsia="宋体" w:cs="Times New Roman"/>
                      <w:b w:val="0"/>
                      <w:bCs/>
                      <w:color w:val="auto"/>
                      <w:kern w:val="2"/>
                      <w:sz w:val="24"/>
                      <w:szCs w:val="24"/>
                      <w:highlight w:val="none"/>
                      <w:vertAlign w:val="baseline"/>
                      <w:lang w:val="en-US" w:eastAsia="zh-CN" w:bidi="ar-SA"/>
                    </w:rPr>
                    <w:t>作为危险废物进行处理，收集至PE桶内，定期交由有资质单位进行处置</w:t>
                  </w:r>
                  <w:r>
                    <w:rPr>
                      <w:rFonts w:hint="eastAsia" w:cs="Times New Roman"/>
                      <w:b w:val="0"/>
                      <w:bCs/>
                      <w:color w:val="auto"/>
                      <w:kern w:val="2"/>
                      <w:sz w:val="24"/>
                      <w:szCs w:val="24"/>
                      <w:highlight w:val="none"/>
                      <w:vertAlign w:val="baseline"/>
                      <w:lang w:val="en-US" w:eastAsia="zh-CN" w:bidi="ar-SA"/>
                    </w:rPr>
                    <w:t>。</w:t>
                  </w:r>
                </w:p>
                <w:p w14:paraId="6E20253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kern w:val="2"/>
                      <w:sz w:val="24"/>
                      <w:szCs w:val="24"/>
                      <w:highlight w:val="none"/>
                      <w:vertAlign w:val="baseline"/>
                      <w:lang w:val="en-US" w:eastAsia="zh-CN" w:bidi="ar-SA"/>
                    </w:rPr>
                    <w:t>3、</w:t>
                  </w:r>
                  <w:r>
                    <w:rPr>
                      <w:rFonts w:hint="default" w:ascii="Times New Roman" w:hAnsi="Times New Roman" w:eastAsia="宋体" w:cs="Times New Roman"/>
                      <w:b w:val="0"/>
                      <w:bCs/>
                      <w:color w:val="auto"/>
                      <w:sz w:val="24"/>
                      <w:szCs w:val="24"/>
                      <w:highlight w:val="none"/>
                      <w:vertAlign w:val="baseline"/>
                      <w:lang w:val="en-US" w:eastAsia="zh-CN"/>
                    </w:rPr>
                    <w:t>废试剂瓶</w:t>
                  </w:r>
                  <w:r>
                    <w:rPr>
                      <w:rFonts w:hint="eastAsia" w:cs="Times New Roman"/>
                      <w:b w:val="0"/>
                      <w:bCs/>
                      <w:color w:val="auto"/>
                      <w:sz w:val="24"/>
                      <w:szCs w:val="24"/>
                      <w:highlight w:val="none"/>
                      <w:vertAlign w:val="baseline"/>
                      <w:lang w:val="en-US" w:eastAsia="zh-CN"/>
                    </w:rPr>
                    <w:t>：加盖后使用大口PE桶集中存放，防止残留液体泄漏，暂存于危险废物暂存库内，定期交由有资质单位进行处置。</w:t>
                  </w:r>
                </w:p>
                <w:p w14:paraId="04912F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4、</w:t>
                  </w:r>
                  <w:r>
                    <w:rPr>
                      <w:rFonts w:hint="default" w:ascii="Times New Roman" w:hAnsi="Times New Roman" w:cs="Times New Roman"/>
                      <w:color w:val="auto"/>
                      <w:highlight w:val="none"/>
                      <w:lang w:val="en-US" w:eastAsia="zh-CN"/>
                    </w:rPr>
                    <w:t>变质或失效的试剂</w:t>
                  </w:r>
                  <w:r>
                    <w:rPr>
                      <w:rFonts w:hint="eastAsia" w:ascii="Times New Roman" w:hAnsi="Times New Roman" w:cs="Times New Roman"/>
                      <w:color w:val="auto"/>
                      <w:highlight w:val="none"/>
                      <w:lang w:val="en-US" w:eastAsia="zh-CN"/>
                    </w:rPr>
                    <w:t>：原包装瓶外加PE塑料袋密封，再放入专用纸箱。暂存于危险废物暂存库内，定期交由有资质单位进行处置。</w:t>
                  </w:r>
                </w:p>
                <w:p w14:paraId="796B7C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s="Times New Roman"/>
                      <w:b w:val="0"/>
                      <w:bCs/>
                      <w:color w:val="auto"/>
                      <w:sz w:val="24"/>
                      <w:szCs w:val="24"/>
                      <w:highlight w:val="none"/>
                      <w:vertAlign w:val="baseline"/>
                      <w:lang w:val="en-US" w:eastAsia="zh-CN"/>
                    </w:rPr>
                    <w:t>5、沾染试剂的废弃包装物：</w:t>
                  </w:r>
                  <w:r>
                    <w:rPr>
                      <w:rFonts w:hint="default" w:ascii="Times New Roman" w:hAnsi="Times New Roman" w:cs="Times New Roman"/>
                      <w:b w:val="0"/>
                      <w:bCs/>
                      <w:color w:val="auto"/>
                      <w:sz w:val="24"/>
                      <w:szCs w:val="24"/>
                      <w:highlight w:val="none"/>
                      <w:vertAlign w:val="baseline"/>
                      <w:lang w:val="en-US" w:eastAsia="zh-CN"/>
                    </w:rPr>
                    <w:t>暂存于危险废物暂存库内，定期交由有资质单位进行处置。</w:t>
                  </w:r>
                </w:p>
              </w:tc>
              <w:tc>
                <w:tcPr>
                  <w:tcW w:w="442" w:type="pct"/>
                  <w:vMerge w:val="continue"/>
                  <w:noWrap w:val="0"/>
                  <w:vAlign w:val="center"/>
                </w:tcPr>
                <w:p w14:paraId="003613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r>
            <w:tr w14:paraId="4F15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73" w:type="pct"/>
                  <w:vMerge w:val="continue"/>
                  <w:noWrap w:val="0"/>
                  <w:vAlign w:val="center"/>
                </w:tcPr>
                <w:p w14:paraId="487CC8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44" w:type="pct"/>
                  <w:vMerge w:val="continue"/>
                  <w:noWrap w:val="0"/>
                  <w:vAlign w:val="center"/>
                </w:tcPr>
                <w:p w14:paraId="474D3B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74" w:type="pct"/>
                  <w:vMerge w:val="continue"/>
                  <w:noWrap w:val="0"/>
                  <w:vAlign w:val="center"/>
                </w:tcPr>
                <w:p w14:paraId="7C97FD5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654" w:type="pct"/>
                  <w:noWrap w:val="0"/>
                  <w:vAlign w:val="center"/>
                </w:tcPr>
                <w:p w14:paraId="4E52DC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lang w:val="en-US" w:eastAsia="zh-CN"/>
                    </w:rPr>
                    <w:t>物理实验室</w:t>
                  </w:r>
                </w:p>
              </w:tc>
              <w:tc>
                <w:tcPr>
                  <w:tcW w:w="2510" w:type="pct"/>
                  <w:noWrap w:val="0"/>
                  <w:vAlign w:val="center"/>
                </w:tcPr>
                <w:p w14:paraId="5FF7F0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lang w:val="en-US" w:eastAsia="zh-CN"/>
                    </w:rPr>
                    <w:t>/</w:t>
                  </w:r>
                </w:p>
              </w:tc>
              <w:tc>
                <w:tcPr>
                  <w:tcW w:w="442" w:type="pct"/>
                  <w:vMerge w:val="continue"/>
                  <w:noWrap w:val="0"/>
                  <w:vAlign w:val="center"/>
                </w:tcPr>
                <w:p w14:paraId="127CC2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r>
            <w:tr w14:paraId="1281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73" w:type="pct"/>
                  <w:vMerge w:val="continue"/>
                  <w:noWrap w:val="0"/>
                  <w:vAlign w:val="center"/>
                </w:tcPr>
                <w:p w14:paraId="7EE070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44" w:type="pct"/>
                  <w:vMerge w:val="continue"/>
                  <w:noWrap w:val="0"/>
                  <w:vAlign w:val="center"/>
                </w:tcPr>
                <w:p w14:paraId="5A24C2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74" w:type="pct"/>
                  <w:vMerge w:val="continue"/>
                  <w:noWrap w:val="0"/>
                  <w:vAlign w:val="center"/>
                </w:tcPr>
                <w:p w14:paraId="7E003C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654" w:type="pct"/>
                  <w:noWrap w:val="0"/>
                  <w:vAlign w:val="center"/>
                </w:tcPr>
                <w:p w14:paraId="33EBB5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lang w:val="en-US" w:eastAsia="zh-CN"/>
                    </w:rPr>
                    <w:t>地理实验室</w:t>
                  </w:r>
                </w:p>
              </w:tc>
              <w:tc>
                <w:tcPr>
                  <w:tcW w:w="2510" w:type="pct"/>
                  <w:noWrap w:val="0"/>
                  <w:vAlign w:val="center"/>
                </w:tcPr>
                <w:p w14:paraId="027B54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lang w:val="en-US" w:eastAsia="zh-CN"/>
                    </w:rPr>
                    <w:t>/</w:t>
                  </w:r>
                </w:p>
              </w:tc>
              <w:tc>
                <w:tcPr>
                  <w:tcW w:w="442" w:type="pct"/>
                  <w:vMerge w:val="continue"/>
                  <w:noWrap w:val="0"/>
                  <w:vAlign w:val="center"/>
                </w:tcPr>
                <w:p w14:paraId="73C015F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r>
            <w:tr w14:paraId="3EFE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473" w:type="pct"/>
                  <w:vMerge w:val="continue"/>
                  <w:noWrap w:val="0"/>
                  <w:vAlign w:val="center"/>
                </w:tcPr>
                <w:p w14:paraId="446E07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p>
              </w:tc>
              <w:tc>
                <w:tcPr>
                  <w:tcW w:w="444" w:type="pct"/>
                  <w:vMerge w:val="restart"/>
                  <w:noWrap w:val="0"/>
                  <w:vAlign w:val="center"/>
                </w:tcPr>
                <w:p w14:paraId="3EB04E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防渗</w:t>
                  </w:r>
                </w:p>
              </w:tc>
              <w:tc>
                <w:tcPr>
                  <w:tcW w:w="3638" w:type="pct"/>
                  <w:gridSpan w:val="3"/>
                  <w:noWrap w:val="0"/>
                  <w:vAlign w:val="center"/>
                </w:tcPr>
                <w:p w14:paraId="2757D2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重点防渗区域：</w:t>
                  </w:r>
                  <w:r>
                    <w:rPr>
                      <w:rFonts w:hint="eastAsia" w:cs="Times New Roman"/>
                      <w:color w:val="auto"/>
                      <w:sz w:val="24"/>
                      <w:szCs w:val="24"/>
                      <w:highlight w:val="none"/>
                      <w:lang w:val="en-US" w:eastAsia="zh-CN"/>
                    </w:rPr>
                    <w:t>危险废物暂存库根据《危险废物贮存污染控制标准》（GB18597-2023）相关要求进行防渗，防渗要求：位于现有地面基础上直接铺设2mm厚高密度聚乙烯（HDPE）膜。药品库防渗措施根据《环境影响评价技术导则 地下水环境》（HJ610-2016）防渗要求：等效黏土防渗层Mb≥6.0m，K≤1.0×10</w:t>
                  </w:r>
                  <w:r>
                    <w:rPr>
                      <w:rFonts w:hint="eastAsia" w:cs="Times New Roman"/>
                      <w:color w:val="auto"/>
                      <w:sz w:val="24"/>
                      <w:szCs w:val="24"/>
                      <w:highlight w:val="none"/>
                      <w:vertAlign w:val="superscript"/>
                      <w:lang w:val="en-US" w:eastAsia="zh-CN"/>
                    </w:rPr>
                    <w:t>-7</w:t>
                  </w:r>
                  <w:r>
                    <w:rPr>
                      <w:rFonts w:hint="eastAsia" w:cs="Times New Roman"/>
                      <w:color w:val="auto"/>
                      <w:sz w:val="24"/>
                      <w:szCs w:val="24"/>
                      <w:highlight w:val="none"/>
                      <w:lang w:val="en-US" w:eastAsia="zh-CN"/>
                    </w:rPr>
                    <w:t>cm/s。</w:t>
                  </w:r>
                </w:p>
              </w:tc>
              <w:tc>
                <w:tcPr>
                  <w:tcW w:w="442" w:type="pct"/>
                  <w:noWrap w:val="0"/>
                  <w:vAlign w:val="center"/>
                </w:tcPr>
                <w:p w14:paraId="104B01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已建成</w:t>
                  </w:r>
                </w:p>
              </w:tc>
            </w:tr>
            <w:tr w14:paraId="1ED7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473" w:type="pct"/>
                  <w:vMerge w:val="continue"/>
                  <w:noWrap w:val="0"/>
                  <w:vAlign w:val="center"/>
                </w:tcPr>
                <w:p w14:paraId="416DA2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44" w:type="pct"/>
                  <w:vMerge w:val="continue"/>
                  <w:noWrap w:val="0"/>
                  <w:vAlign w:val="center"/>
                </w:tcPr>
                <w:p w14:paraId="22AA65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3638" w:type="pct"/>
                  <w:gridSpan w:val="3"/>
                  <w:noWrap w:val="0"/>
                  <w:vAlign w:val="center"/>
                </w:tcPr>
                <w:p w14:paraId="66E9E1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一般防渗区：实验室</w:t>
                  </w:r>
                  <w:r>
                    <w:rPr>
                      <w:rFonts w:hint="eastAsia" w:cs="Times New Roman"/>
                      <w:color w:val="auto"/>
                      <w:sz w:val="24"/>
                      <w:szCs w:val="24"/>
                      <w:highlight w:val="none"/>
                      <w:lang w:val="en-US" w:eastAsia="zh-CN"/>
                    </w:rPr>
                    <w:t>、数字化实验室</w:t>
                  </w:r>
                  <w:r>
                    <w:rPr>
                      <w:rFonts w:hint="default" w:ascii="Times New Roman" w:hAnsi="Times New Roman" w:cs="Times New Roman"/>
                      <w:color w:val="auto"/>
                      <w:sz w:val="24"/>
                      <w:szCs w:val="24"/>
                      <w:highlight w:val="none"/>
                      <w:lang w:val="en-US" w:eastAsia="zh-CN"/>
                    </w:rPr>
                    <w:t>地面按照一般防渗要求进行建设，防渗措施采用等效黏土防渗层Mb≥1.5m，渗透系数K</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1×10</w:t>
                  </w:r>
                  <w:r>
                    <w:rPr>
                      <w:rFonts w:hint="default" w:ascii="Times New Roman" w:hAnsi="Times New Roman" w:cs="Times New Roman"/>
                      <w:color w:val="auto"/>
                      <w:sz w:val="24"/>
                      <w:szCs w:val="24"/>
                      <w:highlight w:val="none"/>
                      <w:vertAlign w:val="superscript"/>
                      <w:lang w:val="en-US" w:eastAsia="zh-CN"/>
                    </w:rPr>
                    <w:t>-7</w:t>
                  </w:r>
                  <w:r>
                    <w:rPr>
                      <w:rFonts w:hint="default" w:ascii="Times New Roman" w:hAnsi="Times New Roman" w:cs="Times New Roman"/>
                      <w:color w:val="auto"/>
                      <w:sz w:val="24"/>
                      <w:szCs w:val="24"/>
                      <w:highlight w:val="none"/>
                      <w:lang w:val="en-US" w:eastAsia="zh-CN"/>
                    </w:rPr>
                    <w:t>cm/s，可采用抗渗混凝土地面硬化（C25，P6，厚度≥100mm）。</w:t>
                  </w:r>
                </w:p>
              </w:tc>
              <w:tc>
                <w:tcPr>
                  <w:tcW w:w="442" w:type="pct"/>
                  <w:vMerge w:val="restart"/>
                  <w:noWrap w:val="0"/>
                  <w:vAlign w:val="center"/>
                </w:tcPr>
                <w:p w14:paraId="3C70E0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已建成</w:t>
                  </w:r>
                </w:p>
              </w:tc>
            </w:tr>
            <w:tr w14:paraId="431F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473" w:type="pct"/>
                  <w:vMerge w:val="continue"/>
                  <w:noWrap w:val="0"/>
                  <w:vAlign w:val="center"/>
                </w:tcPr>
                <w:p w14:paraId="6CA091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444" w:type="pct"/>
                  <w:vMerge w:val="continue"/>
                  <w:noWrap w:val="0"/>
                  <w:vAlign w:val="center"/>
                </w:tcPr>
                <w:p w14:paraId="44244C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3638" w:type="pct"/>
                  <w:gridSpan w:val="3"/>
                  <w:noWrap w:val="0"/>
                  <w:vAlign w:val="center"/>
                </w:tcPr>
                <w:p w14:paraId="264722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简单防渗区：仪器库、准备室、走廊、教师办公室等，防渗措施采用常规混凝土地面+铺地砖。</w:t>
                  </w:r>
                </w:p>
              </w:tc>
              <w:tc>
                <w:tcPr>
                  <w:tcW w:w="442" w:type="pct"/>
                  <w:vMerge w:val="continue"/>
                  <w:noWrap w:val="0"/>
                  <w:vAlign w:val="center"/>
                </w:tcPr>
                <w:p w14:paraId="082801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p>
              </w:tc>
            </w:tr>
          </w:tbl>
          <w:p w14:paraId="6BFFED07">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2.主要教学设备情况</w:t>
            </w:r>
          </w:p>
          <w:p w14:paraId="7FF3404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本项目建设的实验室为中学实验室，主要为生物、化学、地理、物理实验室。</w:t>
            </w:r>
          </w:p>
          <w:p w14:paraId="10732BC7">
            <w:pPr>
              <w:bidi w:val="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化学实验：</w:t>
            </w:r>
            <w:r>
              <w:rPr>
                <w:rFonts w:hint="default" w:ascii="Times New Roman" w:hAnsi="Times New Roman" w:cs="Times New Roman"/>
                <w:color w:val="auto"/>
                <w:highlight w:val="none"/>
                <w:lang w:val="en-US" w:eastAsia="zh-CN"/>
              </w:rPr>
              <w:t>主要实验内容包括认识实验仪器；仪器设备的使用和清洗；认识实验药品；pH值的测定原理；粗盐的提纯；一定物质量浓度溶液的配制；氧化还原反应的性质探究；水的蒸馏；复分解反应的认识；酸碱中和滴定；淀粉、蔗糖、纤维素的水解；中和热的测定等。化学实验室所用仪器主要为各种玻璃容器、表面皿、滴定管、铁架台等实验仪器。</w:t>
            </w:r>
          </w:p>
          <w:p w14:paraId="6C80BFEF">
            <w:pPr>
              <w:bidi w:val="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生物实验：</w:t>
            </w:r>
            <w:r>
              <w:rPr>
                <w:rFonts w:hint="default" w:ascii="Times New Roman" w:hAnsi="Times New Roman" w:cs="Times New Roman"/>
                <w:color w:val="auto"/>
                <w:highlight w:val="none"/>
                <w:lang w:val="en-US" w:eastAsia="zh-CN"/>
              </w:rPr>
              <w:t>主要实验内容包括用显微镜观察细胞、微生物；检测生物组织中的糖类、脂肪和蛋白质；观察DNA、RNA在细胞中的分布；用高倍显微镜观察叶绿体和线粒体；观察植物细胞的质壁分离和复原；探究影响酶活性的因素；观察细胞的分裂过程等。生物实验室所用仪器主要为各种玻璃片、显微镜、剪刀等，不涉及外来物种、变异培养等内容。</w:t>
            </w:r>
          </w:p>
          <w:p w14:paraId="5905ECAB">
            <w:pPr>
              <w:bidi w:val="0"/>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物理实验：</w:t>
            </w:r>
            <w:r>
              <w:rPr>
                <w:rFonts w:hint="default" w:ascii="Times New Roman" w:hAnsi="Times New Roman" w:cs="Times New Roman"/>
                <w:color w:val="auto"/>
                <w:highlight w:val="none"/>
                <w:lang w:val="en-US" w:eastAsia="zh-CN"/>
              </w:rPr>
              <w:t>主要实验内容包括声学、光学、热学、力学、电学及电磁学领域的演示实验与分组实验，具体涉及长度、质量、时间、温度、力、电流、电压等基本物理量的测量，以及光的反射与折射、凸透镜成像、物态变化、密度测量、平均速度测量等实验。高中物理实验涵盖必修与选择性必修内容，包括运动学、力学、电学、光学、热学、原子物理等模块的实验，如验证机械能守恒定律、探究平抛运动特点、测量电源电动势和内阻、用单摆测重力加速度、测玻璃折射率、用双缝干涉测光波波长、用油膜法估测分子大小等。所有实验均使用常规教学仪器（如打点计时器、气垫导轨、弹簧测力计、电流表、电压表、滑动变阻器、多用电表等），不涉及放射性物质或高危险性化学品。</w:t>
            </w:r>
          </w:p>
          <w:p w14:paraId="14A6A3EC">
            <w:pPr>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b/>
                <w:bCs/>
                <w:color w:val="auto"/>
                <w:highlight w:val="none"/>
                <w:lang w:val="en-US" w:eastAsia="zh-CN"/>
              </w:rPr>
              <w:t>地理实验：</w:t>
            </w:r>
            <w:r>
              <w:rPr>
                <w:rFonts w:hint="default" w:ascii="Times New Roman" w:hAnsi="Times New Roman" w:eastAsia="宋体" w:cs="Times New Roman"/>
                <w:color w:val="auto"/>
                <w:highlight w:val="none"/>
                <w:lang w:val="en-US" w:eastAsia="zh-CN"/>
              </w:rPr>
              <w:t>主要实验内容包括地球运动模拟（地球自转、公转演</w:t>
            </w:r>
            <w:r>
              <w:rPr>
                <w:rFonts w:hint="default" w:ascii="Times New Roman" w:hAnsi="Times New Roman" w:cs="Times New Roman"/>
                <w:color w:val="auto"/>
                <w:highlight w:val="none"/>
                <w:lang w:val="en-US" w:eastAsia="zh-CN"/>
              </w:rPr>
              <w:t>示）、自然地理过程模拟（热力环流、水循环、水土流失、洋流、河流地貌、风化作用等）、地图绘制与模型制作（等高线地形图、褶皱断层模型等）、天文观测（天体观测、气象要素观测）以及地理信息技术初步应用（GIS、遥感、GPS实验）。地理实验以模拟演示和模型制作为主，不涉及</w:t>
            </w:r>
            <w:r>
              <w:rPr>
                <w:rFonts w:hint="eastAsia" w:cs="Times New Roman"/>
                <w:color w:val="auto"/>
                <w:highlight w:val="none"/>
                <w:lang w:val="en-US" w:eastAsia="zh-CN"/>
              </w:rPr>
              <w:t>危化品</w:t>
            </w:r>
            <w:r>
              <w:rPr>
                <w:rFonts w:hint="default" w:ascii="Times New Roman" w:hAnsi="Times New Roman" w:cs="Times New Roman"/>
                <w:color w:val="auto"/>
                <w:highlight w:val="none"/>
                <w:lang w:val="en-US" w:eastAsia="zh-CN"/>
              </w:rPr>
              <w:t>，实验过程安全可控。</w:t>
            </w:r>
          </w:p>
          <w:p w14:paraId="4505058C">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3.主要教学原辅材料消耗情况</w:t>
            </w:r>
          </w:p>
          <w:p w14:paraId="260E6D4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项目化学实验室在实验过程中使用的药剂，大多为常规药品，以酸碱盐为主，详见下表2-2。</w:t>
            </w:r>
          </w:p>
          <w:p w14:paraId="1B418049">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表2-2项目主要原辅材料及能耗一览表</w:t>
            </w:r>
          </w:p>
          <w:tbl>
            <w:tblPr>
              <w:tblStyle w:val="24"/>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285"/>
              <w:gridCol w:w="1664"/>
              <w:gridCol w:w="988"/>
              <w:gridCol w:w="2452"/>
              <w:gridCol w:w="843"/>
            </w:tblGrid>
            <w:tr w14:paraId="74F7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noWrap w:val="0"/>
                  <w:vAlign w:val="center"/>
                </w:tcPr>
                <w:p w14:paraId="39DFA3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序号</w:t>
                  </w:r>
                </w:p>
              </w:tc>
              <w:tc>
                <w:tcPr>
                  <w:tcW w:w="1285" w:type="dxa"/>
                  <w:noWrap w:val="0"/>
                  <w:vAlign w:val="center"/>
                </w:tcPr>
                <w:p w14:paraId="1D0064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名称</w:t>
                  </w:r>
                </w:p>
              </w:tc>
              <w:tc>
                <w:tcPr>
                  <w:tcW w:w="1664" w:type="dxa"/>
                  <w:noWrap w:val="0"/>
                  <w:vAlign w:val="center"/>
                </w:tcPr>
                <w:p w14:paraId="15BA56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年消耗量</w:t>
                  </w:r>
                </w:p>
              </w:tc>
              <w:tc>
                <w:tcPr>
                  <w:tcW w:w="988" w:type="dxa"/>
                  <w:noWrap w:val="0"/>
                  <w:vAlign w:val="center"/>
                </w:tcPr>
                <w:p w14:paraId="51195A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最大暂存量</w:t>
                  </w:r>
                </w:p>
              </w:tc>
              <w:tc>
                <w:tcPr>
                  <w:tcW w:w="2452" w:type="dxa"/>
                  <w:noWrap w:val="0"/>
                  <w:vAlign w:val="center"/>
                </w:tcPr>
                <w:p w14:paraId="356A48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规格</w:t>
                  </w:r>
                </w:p>
              </w:tc>
              <w:tc>
                <w:tcPr>
                  <w:tcW w:w="843" w:type="dxa"/>
                  <w:noWrap w:val="0"/>
                  <w:vAlign w:val="center"/>
                </w:tcPr>
                <w:p w14:paraId="34F230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储存位置</w:t>
                  </w:r>
                </w:p>
              </w:tc>
            </w:tr>
            <w:tr w14:paraId="26A3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noWrap w:val="0"/>
                  <w:vAlign w:val="center"/>
                </w:tcPr>
                <w:p w14:paraId="26E2F4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w:t>
                  </w:r>
                </w:p>
              </w:tc>
              <w:tc>
                <w:tcPr>
                  <w:tcW w:w="1285" w:type="dxa"/>
                  <w:noWrap w:val="0"/>
                  <w:vAlign w:val="center"/>
                </w:tcPr>
                <w:p w14:paraId="66AA3C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硫酸</w:t>
                  </w:r>
                </w:p>
              </w:tc>
              <w:tc>
                <w:tcPr>
                  <w:tcW w:w="1664" w:type="dxa"/>
                  <w:noWrap w:val="0"/>
                  <w:vAlign w:val="center"/>
                </w:tcPr>
                <w:p w14:paraId="1C8050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10L（18.40kg）</w:t>
                  </w:r>
                </w:p>
              </w:tc>
              <w:tc>
                <w:tcPr>
                  <w:tcW w:w="988" w:type="dxa"/>
                  <w:noWrap w:val="0"/>
                  <w:vAlign w:val="center"/>
                </w:tcPr>
                <w:p w14:paraId="7AEE8B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2L</w:t>
                  </w:r>
                </w:p>
              </w:tc>
              <w:tc>
                <w:tcPr>
                  <w:tcW w:w="2452" w:type="dxa"/>
                  <w:noWrap w:val="0"/>
                  <w:vAlign w:val="center"/>
                </w:tcPr>
                <w:p w14:paraId="43982B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液态，</w:t>
                  </w:r>
                  <w:r>
                    <w:rPr>
                      <w:rFonts w:hint="default" w:ascii="Times New Roman" w:hAnsi="Times New Roman" w:cs="Times New Roman"/>
                      <w:color w:val="auto"/>
                      <w:highlight w:val="none"/>
                      <w:lang w:val="en-US" w:eastAsia="zh-CN"/>
                    </w:rPr>
                    <w:t>浓度</w:t>
                  </w:r>
                  <w:r>
                    <w:rPr>
                      <w:rFonts w:hint="default" w:ascii="Times New Roman" w:hAnsi="Times New Roman" w:cs="Times New Roman"/>
                      <w:color w:val="auto"/>
                      <w:highlight w:val="none"/>
                    </w:rPr>
                    <w:t>为98%</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500mL/瓶</w:t>
                  </w:r>
                </w:p>
              </w:tc>
              <w:tc>
                <w:tcPr>
                  <w:tcW w:w="843" w:type="dxa"/>
                  <w:noWrap w:val="0"/>
                  <w:vAlign w:val="center"/>
                </w:tcPr>
                <w:p w14:paraId="256EE4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0F0F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2DDCC1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w:t>
                  </w:r>
                </w:p>
              </w:tc>
              <w:tc>
                <w:tcPr>
                  <w:tcW w:w="1285" w:type="dxa"/>
                  <w:noWrap w:val="0"/>
                  <w:vAlign w:val="center"/>
                </w:tcPr>
                <w:p w14:paraId="44B1EA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盐酸</w:t>
                  </w:r>
                </w:p>
              </w:tc>
              <w:tc>
                <w:tcPr>
                  <w:tcW w:w="1664" w:type="dxa"/>
                  <w:noWrap w:val="0"/>
                  <w:vAlign w:val="center"/>
                </w:tcPr>
                <w:p w14:paraId="361CA3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10L（11.89kg）</w:t>
                  </w:r>
                </w:p>
              </w:tc>
              <w:tc>
                <w:tcPr>
                  <w:tcW w:w="988" w:type="dxa"/>
                  <w:noWrap w:val="0"/>
                  <w:vAlign w:val="center"/>
                </w:tcPr>
                <w:p w14:paraId="414FCC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2L</w:t>
                  </w:r>
                </w:p>
              </w:tc>
              <w:tc>
                <w:tcPr>
                  <w:tcW w:w="2452" w:type="dxa"/>
                  <w:noWrap w:val="0"/>
                  <w:vAlign w:val="center"/>
                </w:tcPr>
                <w:p w14:paraId="3AFADC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液态，</w:t>
                  </w:r>
                  <w:r>
                    <w:rPr>
                      <w:rFonts w:hint="default" w:ascii="Times New Roman" w:hAnsi="Times New Roman" w:cs="Times New Roman"/>
                      <w:color w:val="auto"/>
                      <w:highlight w:val="none"/>
                      <w:lang w:val="en-US" w:eastAsia="zh-CN"/>
                    </w:rPr>
                    <w:t>浓度</w:t>
                  </w:r>
                  <w:r>
                    <w:rPr>
                      <w:rFonts w:hint="default" w:ascii="Times New Roman" w:hAnsi="Times New Roman" w:cs="Times New Roman"/>
                      <w:color w:val="auto"/>
                      <w:highlight w:val="none"/>
                    </w:rPr>
                    <w:t>为38%</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500ml/瓶</w:t>
                  </w:r>
                </w:p>
              </w:tc>
              <w:tc>
                <w:tcPr>
                  <w:tcW w:w="843" w:type="dxa"/>
                  <w:noWrap w:val="0"/>
                  <w:vAlign w:val="center"/>
                </w:tcPr>
                <w:p w14:paraId="0A68AA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635F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21CBC9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3</w:t>
                  </w:r>
                </w:p>
              </w:tc>
              <w:tc>
                <w:tcPr>
                  <w:tcW w:w="1285" w:type="dxa"/>
                  <w:noWrap w:val="0"/>
                  <w:vAlign w:val="center"/>
                </w:tcPr>
                <w:p w14:paraId="0C875E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硝酸</w:t>
                  </w:r>
                </w:p>
              </w:tc>
              <w:tc>
                <w:tcPr>
                  <w:tcW w:w="1664" w:type="dxa"/>
                  <w:noWrap w:val="0"/>
                  <w:vAlign w:val="center"/>
                </w:tcPr>
                <w:p w14:paraId="33E91A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2L（2.81kg）</w:t>
                  </w:r>
                </w:p>
              </w:tc>
              <w:tc>
                <w:tcPr>
                  <w:tcW w:w="988" w:type="dxa"/>
                  <w:noWrap w:val="0"/>
                  <w:vAlign w:val="center"/>
                </w:tcPr>
                <w:p w14:paraId="0C6C1D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500ml</w:t>
                  </w:r>
                </w:p>
              </w:tc>
              <w:tc>
                <w:tcPr>
                  <w:tcW w:w="2452" w:type="dxa"/>
                  <w:noWrap w:val="0"/>
                  <w:vAlign w:val="center"/>
                </w:tcPr>
                <w:p w14:paraId="77D628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液态，</w:t>
                  </w:r>
                  <w:r>
                    <w:rPr>
                      <w:rFonts w:hint="default" w:ascii="Times New Roman" w:hAnsi="Times New Roman" w:cs="Times New Roman"/>
                      <w:color w:val="auto"/>
                      <w:highlight w:val="none"/>
                      <w:lang w:val="en-US" w:eastAsia="zh-CN"/>
                    </w:rPr>
                    <w:t>浓度</w:t>
                  </w:r>
                  <w:r>
                    <w:rPr>
                      <w:rFonts w:hint="default" w:ascii="Times New Roman" w:hAnsi="Times New Roman" w:cs="Times New Roman"/>
                      <w:color w:val="auto"/>
                      <w:highlight w:val="none"/>
                    </w:rPr>
                    <w:t>为</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8%，500mL/瓶</w:t>
                  </w:r>
                </w:p>
              </w:tc>
              <w:tc>
                <w:tcPr>
                  <w:tcW w:w="843" w:type="dxa"/>
                  <w:noWrap w:val="0"/>
                  <w:vAlign w:val="center"/>
                </w:tcPr>
                <w:p w14:paraId="4C354B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2B03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713" w:type="dxa"/>
                  <w:noWrap w:val="0"/>
                  <w:vAlign w:val="center"/>
                </w:tcPr>
                <w:p w14:paraId="2B3FB0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4</w:t>
                  </w:r>
                </w:p>
              </w:tc>
              <w:tc>
                <w:tcPr>
                  <w:tcW w:w="1285" w:type="dxa"/>
                  <w:noWrap w:val="0"/>
                  <w:vAlign w:val="center"/>
                </w:tcPr>
                <w:p w14:paraId="73D479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乙醇</w:t>
                  </w:r>
                </w:p>
              </w:tc>
              <w:tc>
                <w:tcPr>
                  <w:tcW w:w="1664" w:type="dxa"/>
                  <w:noWrap w:val="0"/>
                  <w:vAlign w:val="center"/>
                </w:tcPr>
                <w:p w14:paraId="2F0E9E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5L（4.25kg）</w:t>
                  </w:r>
                </w:p>
              </w:tc>
              <w:tc>
                <w:tcPr>
                  <w:tcW w:w="988" w:type="dxa"/>
                  <w:noWrap w:val="0"/>
                  <w:vAlign w:val="center"/>
                </w:tcPr>
                <w:p w14:paraId="6C6DA8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1L</w:t>
                  </w:r>
                </w:p>
              </w:tc>
              <w:tc>
                <w:tcPr>
                  <w:tcW w:w="2452" w:type="dxa"/>
                  <w:noWrap w:val="0"/>
                  <w:vAlign w:val="center"/>
                </w:tcPr>
                <w:p w14:paraId="6C00C8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液态，</w:t>
                  </w:r>
                  <w:r>
                    <w:rPr>
                      <w:rFonts w:hint="default" w:ascii="Times New Roman" w:hAnsi="Times New Roman" w:cs="Times New Roman"/>
                      <w:color w:val="auto"/>
                      <w:highlight w:val="none"/>
                      <w:lang w:val="en-US" w:eastAsia="zh-CN"/>
                    </w:rPr>
                    <w:t>浓度</w:t>
                  </w:r>
                  <w:r>
                    <w:rPr>
                      <w:rFonts w:hint="default" w:ascii="Times New Roman" w:hAnsi="Times New Roman" w:cs="Times New Roman"/>
                      <w:color w:val="auto"/>
                      <w:highlight w:val="none"/>
                    </w:rPr>
                    <w:t>为</w:t>
                  </w:r>
                  <w:r>
                    <w:rPr>
                      <w:rFonts w:hint="default" w:ascii="Times New Roman" w:hAnsi="Times New Roman" w:cs="Times New Roman"/>
                      <w:color w:val="auto"/>
                      <w:highlight w:val="none"/>
                      <w:lang w:val="en-US" w:eastAsia="zh-CN"/>
                    </w:rPr>
                    <w:t>75</w:t>
                  </w:r>
                  <w:r>
                    <w:rPr>
                      <w:rFonts w:hint="default" w:ascii="Times New Roman" w:hAnsi="Times New Roman" w:cs="Times New Roman"/>
                      <w:color w:val="auto"/>
                      <w:highlight w:val="none"/>
                    </w:rPr>
                    <w:t>%，500mL/瓶</w:t>
                  </w:r>
                </w:p>
              </w:tc>
              <w:tc>
                <w:tcPr>
                  <w:tcW w:w="843" w:type="dxa"/>
                  <w:noWrap w:val="0"/>
                  <w:vAlign w:val="center"/>
                </w:tcPr>
                <w:p w14:paraId="073BE3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11A5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3" w:type="dxa"/>
                  <w:noWrap w:val="0"/>
                  <w:vAlign w:val="center"/>
                </w:tcPr>
                <w:p w14:paraId="2DB4E8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5</w:t>
                  </w:r>
                </w:p>
              </w:tc>
              <w:tc>
                <w:tcPr>
                  <w:tcW w:w="1285" w:type="dxa"/>
                  <w:noWrap w:val="0"/>
                  <w:vAlign w:val="center"/>
                </w:tcPr>
                <w:p w14:paraId="6F9696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过氧化氢</w:t>
                  </w:r>
                </w:p>
              </w:tc>
              <w:tc>
                <w:tcPr>
                  <w:tcW w:w="1664" w:type="dxa"/>
                  <w:noWrap w:val="0"/>
                  <w:vAlign w:val="center"/>
                </w:tcPr>
                <w:p w14:paraId="7C5DAB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5L</w:t>
                  </w:r>
                </w:p>
              </w:tc>
              <w:tc>
                <w:tcPr>
                  <w:tcW w:w="988" w:type="dxa"/>
                  <w:noWrap w:val="0"/>
                  <w:vAlign w:val="center"/>
                </w:tcPr>
                <w:p w14:paraId="27FC9F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1L</w:t>
                  </w:r>
                </w:p>
              </w:tc>
              <w:tc>
                <w:tcPr>
                  <w:tcW w:w="2452" w:type="dxa"/>
                  <w:noWrap w:val="0"/>
                  <w:vAlign w:val="center"/>
                </w:tcPr>
                <w:p w14:paraId="47FB0A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液态，500mL/瓶</w:t>
                  </w:r>
                </w:p>
              </w:tc>
              <w:tc>
                <w:tcPr>
                  <w:tcW w:w="843" w:type="dxa"/>
                  <w:noWrap w:val="0"/>
                  <w:vAlign w:val="center"/>
                </w:tcPr>
                <w:p w14:paraId="2ACF03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0D61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18A33A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6</w:t>
                  </w:r>
                </w:p>
              </w:tc>
              <w:tc>
                <w:tcPr>
                  <w:tcW w:w="1285" w:type="dxa"/>
                  <w:noWrap w:val="0"/>
                  <w:vAlign w:val="center"/>
                </w:tcPr>
                <w:p w14:paraId="488EDA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氢氧化钠</w:t>
                  </w:r>
                </w:p>
              </w:tc>
              <w:tc>
                <w:tcPr>
                  <w:tcW w:w="1664" w:type="dxa"/>
                  <w:noWrap w:val="0"/>
                  <w:vAlign w:val="center"/>
                </w:tcPr>
                <w:p w14:paraId="5EB81D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5kg</w:t>
                  </w:r>
                </w:p>
              </w:tc>
              <w:tc>
                <w:tcPr>
                  <w:tcW w:w="988" w:type="dxa"/>
                  <w:noWrap w:val="0"/>
                  <w:vAlign w:val="center"/>
                </w:tcPr>
                <w:p w14:paraId="6F240C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1kg</w:t>
                  </w:r>
                </w:p>
              </w:tc>
              <w:tc>
                <w:tcPr>
                  <w:tcW w:w="2452" w:type="dxa"/>
                  <w:noWrap w:val="0"/>
                  <w:vAlign w:val="center"/>
                </w:tcPr>
                <w:p w14:paraId="12508A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0B3EF0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5E04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5BCEDF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7</w:t>
                  </w:r>
                </w:p>
              </w:tc>
              <w:tc>
                <w:tcPr>
                  <w:tcW w:w="1285" w:type="dxa"/>
                  <w:noWrap w:val="0"/>
                  <w:vAlign w:val="center"/>
                </w:tcPr>
                <w:p w14:paraId="1E115B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氢氧化钙</w:t>
                  </w:r>
                </w:p>
              </w:tc>
              <w:tc>
                <w:tcPr>
                  <w:tcW w:w="1664" w:type="dxa"/>
                  <w:noWrap w:val="0"/>
                  <w:vAlign w:val="center"/>
                </w:tcPr>
                <w:p w14:paraId="2FA598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4kg</w:t>
                  </w:r>
                </w:p>
              </w:tc>
              <w:tc>
                <w:tcPr>
                  <w:tcW w:w="988" w:type="dxa"/>
                  <w:noWrap w:val="0"/>
                  <w:vAlign w:val="center"/>
                </w:tcPr>
                <w:p w14:paraId="790ADF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1kg</w:t>
                  </w:r>
                </w:p>
              </w:tc>
              <w:tc>
                <w:tcPr>
                  <w:tcW w:w="2452" w:type="dxa"/>
                  <w:noWrap w:val="0"/>
                  <w:vAlign w:val="center"/>
                </w:tcPr>
                <w:p w14:paraId="50C19C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29279C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36BF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4A92CD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8</w:t>
                  </w:r>
                </w:p>
              </w:tc>
              <w:tc>
                <w:tcPr>
                  <w:tcW w:w="1285" w:type="dxa"/>
                  <w:noWrap w:val="0"/>
                  <w:vAlign w:val="center"/>
                </w:tcPr>
                <w:p w14:paraId="5210B9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氯化钠</w:t>
                  </w:r>
                </w:p>
              </w:tc>
              <w:tc>
                <w:tcPr>
                  <w:tcW w:w="1664" w:type="dxa"/>
                  <w:noWrap w:val="0"/>
                  <w:vAlign w:val="center"/>
                </w:tcPr>
                <w:p w14:paraId="6BBE89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2kg</w:t>
                  </w:r>
                </w:p>
              </w:tc>
              <w:tc>
                <w:tcPr>
                  <w:tcW w:w="988" w:type="dxa"/>
                  <w:noWrap w:val="0"/>
                  <w:vAlign w:val="center"/>
                </w:tcPr>
                <w:p w14:paraId="208B53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1kg</w:t>
                  </w:r>
                </w:p>
              </w:tc>
              <w:tc>
                <w:tcPr>
                  <w:tcW w:w="2452" w:type="dxa"/>
                  <w:noWrap w:val="0"/>
                  <w:vAlign w:val="center"/>
                </w:tcPr>
                <w:p w14:paraId="1F1F70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049CC5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50A0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4B5426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9</w:t>
                  </w:r>
                </w:p>
              </w:tc>
              <w:tc>
                <w:tcPr>
                  <w:tcW w:w="1285" w:type="dxa"/>
                  <w:noWrap w:val="0"/>
                  <w:vAlign w:val="center"/>
                </w:tcPr>
                <w:p w14:paraId="2BFE26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氯化铁</w:t>
                  </w:r>
                </w:p>
              </w:tc>
              <w:tc>
                <w:tcPr>
                  <w:tcW w:w="1664" w:type="dxa"/>
                  <w:noWrap w:val="0"/>
                  <w:vAlign w:val="center"/>
                </w:tcPr>
                <w:p w14:paraId="6AAE81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0.5kg</w:t>
                  </w:r>
                </w:p>
              </w:tc>
              <w:tc>
                <w:tcPr>
                  <w:tcW w:w="988" w:type="dxa"/>
                  <w:noWrap w:val="0"/>
                  <w:vAlign w:val="center"/>
                </w:tcPr>
                <w:p w14:paraId="59F24E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22639F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642432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615C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0D5E31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10</w:t>
                  </w:r>
                </w:p>
              </w:tc>
              <w:tc>
                <w:tcPr>
                  <w:tcW w:w="1285" w:type="dxa"/>
                  <w:noWrap w:val="0"/>
                  <w:vAlign w:val="center"/>
                </w:tcPr>
                <w:p w14:paraId="34DECF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氯化镁</w:t>
                  </w:r>
                </w:p>
              </w:tc>
              <w:tc>
                <w:tcPr>
                  <w:tcW w:w="1664" w:type="dxa"/>
                  <w:noWrap w:val="0"/>
                  <w:vAlign w:val="center"/>
                </w:tcPr>
                <w:p w14:paraId="0C1BD9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0.5kg</w:t>
                  </w:r>
                </w:p>
              </w:tc>
              <w:tc>
                <w:tcPr>
                  <w:tcW w:w="988" w:type="dxa"/>
                  <w:noWrap w:val="0"/>
                  <w:vAlign w:val="center"/>
                </w:tcPr>
                <w:p w14:paraId="7C148C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256F8F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371DB9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13FD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3" w:type="dxa"/>
                  <w:noWrap w:val="0"/>
                  <w:vAlign w:val="center"/>
                </w:tcPr>
                <w:p w14:paraId="25F001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11</w:t>
                  </w:r>
                </w:p>
              </w:tc>
              <w:tc>
                <w:tcPr>
                  <w:tcW w:w="1285" w:type="dxa"/>
                  <w:noWrap w:val="0"/>
                  <w:vAlign w:val="center"/>
                </w:tcPr>
                <w:p w14:paraId="319D0B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氯化钙</w:t>
                  </w:r>
                </w:p>
              </w:tc>
              <w:tc>
                <w:tcPr>
                  <w:tcW w:w="1664" w:type="dxa"/>
                  <w:noWrap w:val="0"/>
                  <w:vAlign w:val="center"/>
                </w:tcPr>
                <w:p w14:paraId="163CD5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0.5kg</w:t>
                  </w:r>
                </w:p>
              </w:tc>
              <w:tc>
                <w:tcPr>
                  <w:tcW w:w="988" w:type="dxa"/>
                  <w:noWrap w:val="0"/>
                  <w:vAlign w:val="center"/>
                </w:tcPr>
                <w:p w14:paraId="6CAA47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0B5B47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2D89F2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4BCA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0432D9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12</w:t>
                  </w:r>
                </w:p>
              </w:tc>
              <w:tc>
                <w:tcPr>
                  <w:tcW w:w="1285" w:type="dxa"/>
                  <w:noWrap w:val="0"/>
                  <w:vAlign w:val="center"/>
                </w:tcPr>
                <w:p w14:paraId="27F9B2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氯化铵</w:t>
                  </w:r>
                </w:p>
              </w:tc>
              <w:tc>
                <w:tcPr>
                  <w:tcW w:w="1664" w:type="dxa"/>
                  <w:noWrap w:val="0"/>
                  <w:vAlign w:val="center"/>
                </w:tcPr>
                <w:p w14:paraId="6F486D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0.5kg</w:t>
                  </w:r>
                </w:p>
              </w:tc>
              <w:tc>
                <w:tcPr>
                  <w:tcW w:w="988" w:type="dxa"/>
                  <w:noWrap w:val="0"/>
                  <w:vAlign w:val="center"/>
                </w:tcPr>
                <w:p w14:paraId="6B2BF9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486A73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30CCD0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104F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233A96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13</w:t>
                  </w:r>
                </w:p>
              </w:tc>
              <w:tc>
                <w:tcPr>
                  <w:tcW w:w="1285" w:type="dxa"/>
                  <w:noWrap w:val="0"/>
                  <w:vAlign w:val="center"/>
                </w:tcPr>
                <w:p w14:paraId="5AEBD7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碳酸钠</w:t>
                  </w:r>
                </w:p>
              </w:tc>
              <w:tc>
                <w:tcPr>
                  <w:tcW w:w="1664" w:type="dxa"/>
                  <w:noWrap w:val="0"/>
                  <w:vAlign w:val="center"/>
                </w:tcPr>
                <w:p w14:paraId="28ACCA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1kg</w:t>
                  </w:r>
                </w:p>
              </w:tc>
              <w:tc>
                <w:tcPr>
                  <w:tcW w:w="988" w:type="dxa"/>
                  <w:noWrap w:val="0"/>
                  <w:vAlign w:val="center"/>
                </w:tcPr>
                <w:p w14:paraId="60C9E7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5AD6E1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2B3D0F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577C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5F8738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14</w:t>
                  </w:r>
                </w:p>
              </w:tc>
              <w:tc>
                <w:tcPr>
                  <w:tcW w:w="1285" w:type="dxa"/>
                  <w:noWrap w:val="0"/>
                  <w:vAlign w:val="center"/>
                </w:tcPr>
                <w:p w14:paraId="6BBAB3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高锰酸钾</w:t>
                  </w:r>
                </w:p>
              </w:tc>
              <w:tc>
                <w:tcPr>
                  <w:tcW w:w="1664" w:type="dxa"/>
                  <w:noWrap w:val="0"/>
                  <w:vAlign w:val="center"/>
                </w:tcPr>
                <w:p w14:paraId="6F4DE0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2kg</w:t>
                  </w:r>
                </w:p>
              </w:tc>
              <w:tc>
                <w:tcPr>
                  <w:tcW w:w="988" w:type="dxa"/>
                  <w:noWrap w:val="0"/>
                  <w:vAlign w:val="center"/>
                </w:tcPr>
                <w:p w14:paraId="657D23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23B2F7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3FFA61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0DB9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57C1C5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15</w:t>
                  </w:r>
                </w:p>
              </w:tc>
              <w:tc>
                <w:tcPr>
                  <w:tcW w:w="1285" w:type="dxa"/>
                  <w:noWrap w:val="0"/>
                  <w:vAlign w:val="center"/>
                </w:tcPr>
                <w:p w14:paraId="3F080F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硫酸钾</w:t>
                  </w:r>
                </w:p>
              </w:tc>
              <w:tc>
                <w:tcPr>
                  <w:tcW w:w="1664" w:type="dxa"/>
                  <w:noWrap w:val="0"/>
                  <w:vAlign w:val="center"/>
                </w:tcPr>
                <w:p w14:paraId="1E20C4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1kg</w:t>
                  </w:r>
                </w:p>
              </w:tc>
              <w:tc>
                <w:tcPr>
                  <w:tcW w:w="988" w:type="dxa"/>
                  <w:noWrap w:val="0"/>
                  <w:vAlign w:val="center"/>
                </w:tcPr>
                <w:p w14:paraId="7FDB94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500g</w:t>
                  </w:r>
                </w:p>
              </w:tc>
              <w:tc>
                <w:tcPr>
                  <w:tcW w:w="2452" w:type="dxa"/>
                  <w:noWrap w:val="0"/>
                  <w:vAlign w:val="center"/>
                </w:tcPr>
                <w:p w14:paraId="600E09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7EC2B2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05D2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4F8F49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16</w:t>
                  </w:r>
                </w:p>
              </w:tc>
              <w:tc>
                <w:tcPr>
                  <w:tcW w:w="1285" w:type="dxa"/>
                  <w:noWrap w:val="0"/>
                  <w:vAlign w:val="center"/>
                </w:tcPr>
                <w:p w14:paraId="611258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硫酸铝钾</w:t>
                  </w:r>
                </w:p>
              </w:tc>
              <w:tc>
                <w:tcPr>
                  <w:tcW w:w="1664" w:type="dxa"/>
                  <w:noWrap w:val="0"/>
                  <w:vAlign w:val="center"/>
                </w:tcPr>
                <w:p w14:paraId="3995AB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0.5kg</w:t>
                  </w:r>
                </w:p>
              </w:tc>
              <w:tc>
                <w:tcPr>
                  <w:tcW w:w="988" w:type="dxa"/>
                  <w:noWrap w:val="0"/>
                  <w:vAlign w:val="center"/>
                </w:tcPr>
                <w:p w14:paraId="16E4C5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2D99BC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0550BF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66AE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056676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17</w:t>
                  </w:r>
                </w:p>
              </w:tc>
              <w:tc>
                <w:tcPr>
                  <w:tcW w:w="1285" w:type="dxa"/>
                  <w:noWrap w:val="0"/>
                  <w:vAlign w:val="center"/>
                </w:tcPr>
                <w:p w14:paraId="6DFB5C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硫酸铜</w:t>
                  </w:r>
                </w:p>
              </w:tc>
              <w:tc>
                <w:tcPr>
                  <w:tcW w:w="1664" w:type="dxa"/>
                  <w:noWrap w:val="0"/>
                  <w:vAlign w:val="center"/>
                </w:tcPr>
                <w:p w14:paraId="4B3561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1kg</w:t>
                  </w:r>
                </w:p>
              </w:tc>
              <w:tc>
                <w:tcPr>
                  <w:tcW w:w="988" w:type="dxa"/>
                  <w:noWrap w:val="0"/>
                  <w:vAlign w:val="center"/>
                </w:tcPr>
                <w:p w14:paraId="647F3D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753C4A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固态，500g/瓶</w:t>
                  </w:r>
                </w:p>
              </w:tc>
              <w:tc>
                <w:tcPr>
                  <w:tcW w:w="843" w:type="dxa"/>
                  <w:noWrap w:val="0"/>
                  <w:vAlign w:val="center"/>
                </w:tcPr>
                <w:p w14:paraId="13FAE8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471D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4D00C5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18</w:t>
                  </w:r>
                </w:p>
              </w:tc>
              <w:tc>
                <w:tcPr>
                  <w:tcW w:w="1285" w:type="dxa"/>
                  <w:noWrap w:val="0"/>
                  <w:vAlign w:val="center"/>
                </w:tcPr>
                <w:p w14:paraId="37E35A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硫酸铝</w:t>
                  </w:r>
                </w:p>
              </w:tc>
              <w:tc>
                <w:tcPr>
                  <w:tcW w:w="1664" w:type="dxa"/>
                  <w:noWrap w:val="0"/>
                  <w:vAlign w:val="center"/>
                </w:tcPr>
                <w:p w14:paraId="6539B1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0.5kg</w:t>
                  </w:r>
                </w:p>
              </w:tc>
              <w:tc>
                <w:tcPr>
                  <w:tcW w:w="988" w:type="dxa"/>
                  <w:noWrap w:val="0"/>
                  <w:vAlign w:val="center"/>
                </w:tcPr>
                <w:p w14:paraId="3BE9FE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657A0F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1C7FE9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6CBA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72269D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kern w:val="2"/>
                      <w:sz w:val="24"/>
                      <w:szCs w:val="24"/>
                      <w:highlight w:val="none"/>
                      <w:vertAlign w:val="baseline"/>
                      <w:lang w:val="en-US" w:eastAsia="zh-CN" w:bidi="ar-SA"/>
                    </w:rPr>
                    <w:t>19</w:t>
                  </w:r>
                </w:p>
              </w:tc>
              <w:tc>
                <w:tcPr>
                  <w:tcW w:w="1285" w:type="dxa"/>
                  <w:noWrap w:val="0"/>
                  <w:vAlign w:val="center"/>
                </w:tcPr>
                <w:p w14:paraId="3C5AB9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硫粉</w:t>
                  </w:r>
                </w:p>
              </w:tc>
              <w:tc>
                <w:tcPr>
                  <w:tcW w:w="1664" w:type="dxa"/>
                  <w:noWrap w:val="0"/>
                  <w:vAlign w:val="center"/>
                </w:tcPr>
                <w:p w14:paraId="46BD13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2kg</w:t>
                  </w:r>
                </w:p>
              </w:tc>
              <w:tc>
                <w:tcPr>
                  <w:tcW w:w="988" w:type="dxa"/>
                  <w:noWrap w:val="0"/>
                  <w:vAlign w:val="center"/>
                </w:tcPr>
                <w:p w14:paraId="19602A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37BA1F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582F66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3282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438DC1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20</w:t>
                  </w:r>
                </w:p>
              </w:tc>
              <w:tc>
                <w:tcPr>
                  <w:tcW w:w="1285" w:type="dxa"/>
                  <w:noWrap w:val="0"/>
                  <w:vAlign w:val="center"/>
                </w:tcPr>
                <w:p w14:paraId="14C842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镁条</w:t>
                  </w:r>
                </w:p>
              </w:tc>
              <w:tc>
                <w:tcPr>
                  <w:tcW w:w="1664" w:type="dxa"/>
                  <w:noWrap w:val="0"/>
                  <w:vAlign w:val="center"/>
                </w:tcPr>
                <w:p w14:paraId="26E0B0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3kg</w:t>
                  </w:r>
                </w:p>
              </w:tc>
              <w:tc>
                <w:tcPr>
                  <w:tcW w:w="988" w:type="dxa"/>
                  <w:noWrap w:val="0"/>
                  <w:vAlign w:val="center"/>
                </w:tcPr>
                <w:p w14:paraId="4A081C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0FEC2C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26C88F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0801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41100D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21</w:t>
                  </w:r>
                </w:p>
              </w:tc>
              <w:tc>
                <w:tcPr>
                  <w:tcW w:w="1285" w:type="dxa"/>
                  <w:noWrap w:val="0"/>
                  <w:vAlign w:val="center"/>
                </w:tcPr>
                <w:p w14:paraId="350F71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铝粉</w:t>
                  </w:r>
                </w:p>
              </w:tc>
              <w:tc>
                <w:tcPr>
                  <w:tcW w:w="1664" w:type="dxa"/>
                  <w:noWrap w:val="0"/>
                  <w:vAlign w:val="center"/>
                </w:tcPr>
                <w:p w14:paraId="66E575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3kg</w:t>
                  </w:r>
                </w:p>
              </w:tc>
              <w:tc>
                <w:tcPr>
                  <w:tcW w:w="988" w:type="dxa"/>
                  <w:noWrap w:val="0"/>
                  <w:vAlign w:val="center"/>
                </w:tcPr>
                <w:p w14:paraId="026174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452D6C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669A42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759B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6B18A3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22</w:t>
                  </w:r>
                </w:p>
              </w:tc>
              <w:tc>
                <w:tcPr>
                  <w:tcW w:w="1285" w:type="dxa"/>
                  <w:noWrap w:val="0"/>
                  <w:vAlign w:val="center"/>
                </w:tcPr>
                <w:p w14:paraId="4027C1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钠</w:t>
                  </w:r>
                </w:p>
              </w:tc>
              <w:tc>
                <w:tcPr>
                  <w:tcW w:w="1664" w:type="dxa"/>
                  <w:noWrap w:val="0"/>
                  <w:vAlign w:val="center"/>
                </w:tcPr>
                <w:p w14:paraId="1436A9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3kg</w:t>
                  </w:r>
                </w:p>
              </w:tc>
              <w:tc>
                <w:tcPr>
                  <w:tcW w:w="988" w:type="dxa"/>
                  <w:noWrap w:val="0"/>
                  <w:vAlign w:val="center"/>
                </w:tcPr>
                <w:p w14:paraId="401BC5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08DF01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118945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0360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27144B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23</w:t>
                  </w:r>
                </w:p>
              </w:tc>
              <w:tc>
                <w:tcPr>
                  <w:tcW w:w="1285" w:type="dxa"/>
                  <w:noWrap w:val="0"/>
                  <w:vAlign w:val="center"/>
                </w:tcPr>
                <w:p w14:paraId="483F5E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锌片</w:t>
                  </w:r>
                </w:p>
              </w:tc>
              <w:tc>
                <w:tcPr>
                  <w:tcW w:w="1664" w:type="dxa"/>
                  <w:noWrap w:val="0"/>
                  <w:vAlign w:val="center"/>
                </w:tcPr>
                <w:p w14:paraId="6D5248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3kg</w:t>
                  </w:r>
                </w:p>
              </w:tc>
              <w:tc>
                <w:tcPr>
                  <w:tcW w:w="988" w:type="dxa"/>
                  <w:noWrap w:val="0"/>
                  <w:vAlign w:val="center"/>
                </w:tcPr>
                <w:p w14:paraId="21D716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7EB58B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6BACF7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2883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173F26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24</w:t>
                  </w:r>
                </w:p>
              </w:tc>
              <w:tc>
                <w:tcPr>
                  <w:tcW w:w="1285" w:type="dxa"/>
                  <w:noWrap w:val="0"/>
                  <w:vAlign w:val="center"/>
                </w:tcPr>
                <w:p w14:paraId="2DAD5F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铜片</w:t>
                  </w:r>
                </w:p>
              </w:tc>
              <w:tc>
                <w:tcPr>
                  <w:tcW w:w="1664" w:type="dxa"/>
                  <w:noWrap w:val="0"/>
                  <w:vAlign w:val="center"/>
                </w:tcPr>
                <w:p w14:paraId="1ABFA7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3kg</w:t>
                  </w:r>
                </w:p>
              </w:tc>
              <w:tc>
                <w:tcPr>
                  <w:tcW w:w="988" w:type="dxa"/>
                  <w:noWrap w:val="0"/>
                  <w:vAlign w:val="center"/>
                </w:tcPr>
                <w:p w14:paraId="0803D6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227296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7B0228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2A12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24E5BF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25</w:t>
                  </w:r>
                </w:p>
              </w:tc>
              <w:tc>
                <w:tcPr>
                  <w:tcW w:w="1285" w:type="dxa"/>
                  <w:noWrap w:val="0"/>
                  <w:vAlign w:val="center"/>
                </w:tcPr>
                <w:p w14:paraId="6C9C30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铁粉</w:t>
                  </w:r>
                </w:p>
              </w:tc>
              <w:tc>
                <w:tcPr>
                  <w:tcW w:w="1664" w:type="dxa"/>
                  <w:noWrap w:val="0"/>
                  <w:vAlign w:val="center"/>
                </w:tcPr>
                <w:p w14:paraId="10CBF8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3kg</w:t>
                  </w:r>
                </w:p>
              </w:tc>
              <w:tc>
                <w:tcPr>
                  <w:tcW w:w="988" w:type="dxa"/>
                  <w:noWrap w:val="0"/>
                  <w:vAlign w:val="center"/>
                </w:tcPr>
                <w:p w14:paraId="330A06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6D43B2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09B893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7A8D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4083D2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26</w:t>
                  </w:r>
                </w:p>
              </w:tc>
              <w:tc>
                <w:tcPr>
                  <w:tcW w:w="1285" w:type="dxa"/>
                  <w:noWrap w:val="0"/>
                  <w:vAlign w:val="center"/>
                </w:tcPr>
                <w:p w14:paraId="5510CF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碘化钾</w:t>
                  </w:r>
                </w:p>
              </w:tc>
              <w:tc>
                <w:tcPr>
                  <w:tcW w:w="1664" w:type="dxa"/>
                  <w:noWrap w:val="0"/>
                  <w:vAlign w:val="center"/>
                </w:tcPr>
                <w:p w14:paraId="6E4BBD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1kg</w:t>
                  </w:r>
                </w:p>
              </w:tc>
              <w:tc>
                <w:tcPr>
                  <w:tcW w:w="988" w:type="dxa"/>
                  <w:noWrap w:val="0"/>
                  <w:vAlign w:val="center"/>
                </w:tcPr>
                <w:p w14:paraId="0E1AE7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359977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07F9D5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0A88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19FB28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27</w:t>
                  </w:r>
                </w:p>
              </w:tc>
              <w:tc>
                <w:tcPr>
                  <w:tcW w:w="1285" w:type="dxa"/>
                  <w:noWrap w:val="0"/>
                  <w:vAlign w:val="center"/>
                </w:tcPr>
                <w:p w14:paraId="7FE7FA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rPr>
                    <w:t>柠檬酸钠</w:t>
                  </w:r>
                </w:p>
              </w:tc>
              <w:tc>
                <w:tcPr>
                  <w:tcW w:w="1664" w:type="dxa"/>
                  <w:noWrap w:val="0"/>
                  <w:vAlign w:val="center"/>
                </w:tcPr>
                <w:p w14:paraId="6CA9D5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1kg</w:t>
                  </w:r>
                </w:p>
              </w:tc>
              <w:tc>
                <w:tcPr>
                  <w:tcW w:w="988" w:type="dxa"/>
                  <w:noWrap w:val="0"/>
                  <w:vAlign w:val="center"/>
                </w:tcPr>
                <w:p w14:paraId="5DCE64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100g</w:t>
                  </w:r>
                </w:p>
              </w:tc>
              <w:tc>
                <w:tcPr>
                  <w:tcW w:w="2452" w:type="dxa"/>
                  <w:noWrap w:val="0"/>
                  <w:vAlign w:val="center"/>
                </w:tcPr>
                <w:p w14:paraId="326E67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固态，500g/瓶</w:t>
                  </w:r>
                </w:p>
              </w:tc>
              <w:tc>
                <w:tcPr>
                  <w:tcW w:w="843" w:type="dxa"/>
                  <w:noWrap w:val="0"/>
                  <w:vAlign w:val="center"/>
                </w:tcPr>
                <w:p w14:paraId="30909B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7136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08D161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cs="Times New Roman"/>
                      <w:color w:val="auto"/>
                      <w:highlight w:val="none"/>
                      <w:vertAlign w:val="baseline"/>
                      <w:lang w:val="en-US" w:eastAsia="zh-CN"/>
                    </w:rPr>
                    <w:t>28</w:t>
                  </w:r>
                </w:p>
              </w:tc>
              <w:tc>
                <w:tcPr>
                  <w:tcW w:w="1285" w:type="dxa"/>
                  <w:noWrap w:val="0"/>
                  <w:vAlign w:val="center"/>
                </w:tcPr>
                <w:p w14:paraId="1108F3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t>丙酮</w:t>
                  </w:r>
                </w:p>
              </w:tc>
              <w:tc>
                <w:tcPr>
                  <w:tcW w:w="1664" w:type="dxa"/>
                  <w:noWrap w:val="0"/>
                  <w:vAlign w:val="center"/>
                </w:tcPr>
                <w:p w14:paraId="4E5D55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5L（3.95kg）</w:t>
                  </w:r>
                </w:p>
              </w:tc>
              <w:tc>
                <w:tcPr>
                  <w:tcW w:w="988" w:type="dxa"/>
                  <w:noWrap w:val="0"/>
                  <w:vAlign w:val="center"/>
                </w:tcPr>
                <w:p w14:paraId="717932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1L</w:t>
                  </w:r>
                </w:p>
              </w:tc>
              <w:tc>
                <w:tcPr>
                  <w:tcW w:w="2452" w:type="dxa"/>
                  <w:noWrap w:val="0"/>
                  <w:vAlign w:val="center"/>
                </w:tcPr>
                <w:p w14:paraId="6C2A76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液态，500ml/瓶</w:t>
                  </w:r>
                </w:p>
              </w:tc>
              <w:tc>
                <w:tcPr>
                  <w:tcW w:w="843" w:type="dxa"/>
                  <w:noWrap w:val="0"/>
                  <w:vAlign w:val="center"/>
                </w:tcPr>
                <w:p w14:paraId="4C8799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041B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noWrap w:val="0"/>
                  <w:vAlign w:val="center"/>
                </w:tcPr>
                <w:p w14:paraId="488538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29</w:t>
                  </w:r>
                </w:p>
              </w:tc>
              <w:tc>
                <w:tcPr>
                  <w:tcW w:w="1285" w:type="dxa"/>
                  <w:noWrap w:val="0"/>
                  <w:vAlign w:val="center"/>
                </w:tcPr>
                <w:p w14:paraId="425007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乙醚</w:t>
                  </w:r>
                </w:p>
              </w:tc>
              <w:tc>
                <w:tcPr>
                  <w:tcW w:w="1664" w:type="dxa"/>
                  <w:noWrap w:val="0"/>
                  <w:vAlign w:val="center"/>
                </w:tcPr>
                <w:p w14:paraId="1AA589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2L（1.43kg）</w:t>
                  </w:r>
                </w:p>
              </w:tc>
              <w:tc>
                <w:tcPr>
                  <w:tcW w:w="988" w:type="dxa"/>
                  <w:noWrap w:val="0"/>
                  <w:vAlign w:val="center"/>
                </w:tcPr>
                <w:p w14:paraId="5F06C2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1L</w:t>
                  </w:r>
                </w:p>
              </w:tc>
              <w:tc>
                <w:tcPr>
                  <w:tcW w:w="2452" w:type="dxa"/>
                  <w:noWrap w:val="0"/>
                  <w:vAlign w:val="center"/>
                </w:tcPr>
                <w:p w14:paraId="0B18A3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液态，500ml/瓶</w:t>
                  </w:r>
                </w:p>
              </w:tc>
              <w:tc>
                <w:tcPr>
                  <w:tcW w:w="843" w:type="dxa"/>
                  <w:noWrap w:val="0"/>
                  <w:vAlign w:val="center"/>
                </w:tcPr>
                <w:p w14:paraId="0410B5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r w14:paraId="2CD0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713" w:type="dxa"/>
                  <w:noWrap w:val="0"/>
                  <w:vAlign w:val="center"/>
                </w:tcPr>
                <w:p w14:paraId="541B97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30</w:t>
                  </w:r>
                </w:p>
              </w:tc>
              <w:tc>
                <w:tcPr>
                  <w:tcW w:w="1285" w:type="dxa"/>
                  <w:noWrap w:val="0"/>
                  <w:vAlign w:val="center"/>
                </w:tcPr>
                <w:p w14:paraId="38723F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25%氨水</w:t>
                  </w:r>
                </w:p>
              </w:tc>
              <w:tc>
                <w:tcPr>
                  <w:tcW w:w="1664" w:type="dxa"/>
                  <w:noWrap w:val="0"/>
                  <w:vAlign w:val="center"/>
                </w:tcPr>
                <w:p w14:paraId="5A50B5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2L（</w:t>
                  </w:r>
                  <w:r>
                    <w:rPr>
                      <w:rFonts w:hint="eastAsia" w:cs="Times New Roman"/>
                      <w:color w:val="auto"/>
                      <w:highlight w:val="none"/>
                      <w:vertAlign w:val="baseline"/>
                      <w:lang w:val="en-US" w:eastAsia="zh-CN"/>
                    </w:rPr>
                    <w:t>1.82</w:t>
                  </w:r>
                  <w:r>
                    <w:rPr>
                      <w:rFonts w:hint="default" w:ascii="Times New Roman" w:hAnsi="Times New Roman" w:cs="Times New Roman"/>
                      <w:color w:val="auto"/>
                      <w:highlight w:val="none"/>
                      <w:vertAlign w:val="baseline"/>
                      <w:lang w:val="en-US" w:eastAsia="zh-CN"/>
                    </w:rPr>
                    <w:t>kg）</w:t>
                  </w:r>
                </w:p>
              </w:tc>
              <w:tc>
                <w:tcPr>
                  <w:tcW w:w="988" w:type="dxa"/>
                  <w:noWrap w:val="0"/>
                  <w:vAlign w:val="center"/>
                </w:tcPr>
                <w:p w14:paraId="4A7261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1L</w:t>
                  </w:r>
                </w:p>
              </w:tc>
              <w:tc>
                <w:tcPr>
                  <w:tcW w:w="2452" w:type="dxa"/>
                  <w:noWrap w:val="0"/>
                  <w:vAlign w:val="center"/>
                </w:tcPr>
                <w:p w14:paraId="022605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液态，500ml/瓶</w:t>
                  </w:r>
                </w:p>
              </w:tc>
              <w:tc>
                <w:tcPr>
                  <w:tcW w:w="843" w:type="dxa"/>
                  <w:noWrap w:val="0"/>
                  <w:vAlign w:val="center"/>
                </w:tcPr>
                <w:p w14:paraId="65CD01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药品库</w:t>
                  </w:r>
                </w:p>
              </w:tc>
            </w:tr>
          </w:tbl>
          <w:p w14:paraId="116D1C79">
            <w:pPr>
              <w:bidi w:val="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表2-3主要原辅材料理化性质一览表</w:t>
            </w:r>
          </w:p>
          <w:tbl>
            <w:tblPr>
              <w:tblStyle w:val="24"/>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6385"/>
            </w:tblGrid>
            <w:tr w14:paraId="64FF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60" w:type="dxa"/>
                  <w:noWrap w:val="0"/>
                  <w:vAlign w:val="center"/>
                </w:tcPr>
                <w:p w14:paraId="5D86F4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名称</w:t>
                  </w:r>
                </w:p>
              </w:tc>
              <w:tc>
                <w:tcPr>
                  <w:tcW w:w="6385" w:type="dxa"/>
                  <w:noWrap w:val="0"/>
                  <w:vAlign w:val="center"/>
                </w:tcPr>
                <w:p w14:paraId="7007B3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理化性质</w:t>
                  </w:r>
                </w:p>
              </w:tc>
            </w:tr>
            <w:tr w14:paraId="3C54C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465315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硫酸</w:t>
                  </w:r>
                </w:p>
              </w:tc>
              <w:tc>
                <w:tcPr>
                  <w:tcW w:w="6385" w:type="dxa"/>
                  <w:noWrap w:val="0"/>
                  <w:vAlign w:val="center"/>
                </w:tcPr>
                <w:p w14:paraId="385032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无色油状液体，密度1.84，熔点10.37，沸点337，与水混溶并剧烈放热，强腐蚀性、强酸性、脱水性、氧化性</w:t>
                  </w:r>
                </w:p>
              </w:tc>
            </w:tr>
            <w:tr w14:paraId="4D25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567DC9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盐酸</w:t>
                  </w:r>
                </w:p>
              </w:tc>
              <w:tc>
                <w:tcPr>
                  <w:tcW w:w="6385" w:type="dxa"/>
                  <w:noWrap w:val="0"/>
                  <w:vAlign w:val="center"/>
                </w:tcPr>
                <w:p w14:paraId="71DCF9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无色刺激性液体（浓盐酸），密度1.18，熔点-27（38%），沸点110（共沸），与水混溶，强酸性、挥发性、腐蚀性</w:t>
                  </w:r>
                </w:p>
              </w:tc>
            </w:tr>
            <w:tr w14:paraId="23F7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41C070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硝酸</w:t>
                  </w:r>
                </w:p>
              </w:tc>
              <w:tc>
                <w:tcPr>
                  <w:tcW w:w="6385" w:type="dxa"/>
                  <w:noWrap w:val="0"/>
                  <w:vAlign w:val="center"/>
                </w:tcPr>
                <w:p w14:paraId="525A0C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浓硝酸为淡黄色液体，正常情况下为无色透明液体，有窒息性刺激气味。浓硝酸含量为68%左右，易挥发，在空气中产生白雾，是硝酸蒸汽</w:t>
                  </w:r>
                  <w:r>
                    <w:rPr>
                      <w:rFonts w:hint="eastAsia" w:cs="Times New Roman"/>
                      <w:b w:val="0"/>
                      <w:bCs w:val="0"/>
                      <w:color w:val="auto"/>
                      <w:highlight w:val="none"/>
                      <w:vertAlign w:val="baseline"/>
                      <w:lang w:val="en-US" w:eastAsia="zh-CN"/>
                    </w:rPr>
                    <w:t>与水蒸气</w:t>
                  </w:r>
                  <w:r>
                    <w:rPr>
                      <w:rFonts w:hint="default" w:ascii="Times New Roman" w:hAnsi="Times New Roman" w:cs="Times New Roman"/>
                      <w:b w:val="0"/>
                      <w:bCs w:val="0"/>
                      <w:color w:val="auto"/>
                      <w:highlight w:val="none"/>
                      <w:vertAlign w:val="baseline"/>
                      <w:lang w:val="en-US" w:eastAsia="zh-CN"/>
                    </w:rPr>
                    <w:t>结合而形成的硝酸小液滴，能与水混溶。相对密度1.41g/ml，熔点-24℃沸点-86℃（无水）。</w:t>
                  </w:r>
                </w:p>
              </w:tc>
            </w:tr>
            <w:tr w14:paraId="33883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255454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乙醇</w:t>
                  </w:r>
                </w:p>
              </w:tc>
              <w:tc>
                <w:tcPr>
                  <w:tcW w:w="6385" w:type="dxa"/>
                  <w:noWrap w:val="0"/>
                  <w:vAlign w:val="center"/>
                </w:tcPr>
                <w:p w14:paraId="601595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无色透明液体，密度0.789，熔点-114.1，沸点78.37，与水混溶，易挥发、易燃、中性、消毒作用</w:t>
                  </w:r>
                </w:p>
              </w:tc>
            </w:tr>
            <w:tr w14:paraId="3347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22645A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过氧化氢</w:t>
                  </w:r>
                </w:p>
              </w:tc>
              <w:tc>
                <w:tcPr>
                  <w:tcW w:w="6385" w:type="dxa"/>
                  <w:noWrap w:val="0"/>
                  <w:vAlign w:val="center"/>
                </w:tcPr>
                <w:p w14:paraId="5591B1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无色黏稠液体（纯品），密度1.463，熔点-0.43，沸点150.2，与水混溶，强氧化性、漂白性、遇热或杂质分解</w:t>
                  </w:r>
                </w:p>
              </w:tc>
            </w:tr>
            <w:tr w14:paraId="34EC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21D2A6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氢氧化钠</w:t>
                  </w:r>
                </w:p>
              </w:tc>
              <w:tc>
                <w:tcPr>
                  <w:tcW w:w="6385" w:type="dxa"/>
                  <w:noWrap w:val="0"/>
                  <w:vAlign w:val="center"/>
                </w:tcPr>
                <w:p w14:paraId="33BAD0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白色片状/颗粒，密度2.13，熔点318，沸点1388，易溶于水并放热，强腐蚀性、强碱性、潮解性</w:t>
                  </w:r>
                </w:p>
              </w:tc>
            </w:tr>
            <w:tr w14:paraId="2FE5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7BF5BB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氢氧化钙</w:t>
                  </w:r>
                </w:p>
              </w:tc>
              <w:tc>
                <w:tcPr>
                  <w:tcW w:w="6385" w:type="dxa"/>
                  <w:noWrap w:val="0"/>
                  <w:vAlign w:val="center"/>
                </w:tcPr>
                <w:p w14:paraId="191B0E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白色粉末，密度2.24，熔点580（失水分解），无明确沸点，微溶于水，碱性、与CO₂生成碳酸钙</w:t>
                  </w:r>
                </w:p>
              </w:tc>
            </w:tr>
            <w:tr w14:paraId="5573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42DC8E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氯化钠</w:t>
                  </w:r>
                </w:p>
              </w:tc>
              <w:tc>
                <w:tcPr>
                  <w:tcW w:w="6385" w:type="dxa"/>
                  <w:noWrap w:val="0"/>
                  <w:vAlign w:val="center"/>
                </w:tcPr>
                <w:p w14:paraId="0B6C72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白色立方晶体，密度2.165，熔点801，沸点1465，易溶于水，中性、稳定、咸味</w:t>
                  </w:r>
                </w:p>
              </w:tc>
            </w:tr>
            <w:tr w14:paraId="0D16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6E3521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氯化铁</w:t>
                  </w:r>
                </w:p>
              </w:tc>
              <w:tc>
                <w:tcPr>
                  <w:tcW w:w="6385" w:type="dxa"/>
                  <w:noWrap w:val="0"/>
                  <w:vAlign w:val="center"/>
                </w:tcPr>
                <w:p w14:paraId="3B2376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黑棕色固体，密度2.80，熔点306，沸点316（分解），易溶于水，易潮解、酸性、与铁反应生成FeCl₂</w:t>
                  </w:r>
                </w:p>
              </w:tc>
            </w:tr>
            <w:tr w14:paraId="58BE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00764A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氯化镁</w:t>
                  </w:r>
                </w:p>
              </w:tc>
              <w:tc>
                <w:tcPr>
                  <w:tcW w:w="6385" w:type="dxa"/>
                  <w:noWrap w:val="0"/>
                  <w:vAlign w:val="center"/>
                </w:tcPr>
                <w:p w14:paraId="775172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无色片状晶体，密度2.32，熔点714，沸点1412，易溶于水，潮解性、苦味</w:t>
                  </w:r>
                </w:p>
              </w:tc>
            </w:tr>
            <w:tr w14:paraId="6A67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625B50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氯化钙</w:t>
                  </w:r>
                </w:p>
              </w:tc>
              <w:tc>
                <w:tcPr>
                  <w:tcW w:w="6385" w:type="dxa"/>
                  <w:noWrap w:val="0"/>
                  <w:vAlign w:val="center"/>
                </w:tcPr>
                <w:p w14:paraId="478CDE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白色多孔固体，密度2.15，熔点772，沸点1935，易溶于水并放热，强吸湿性、常用干燥剂</w:t>
                  </w:r>
                </w:p>
              </w:tc>
            </w:tr>
            <w:tr w14:paraId="625F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147138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氯化铵</w:t>
                  </w:r>
                </w:p>
              </w:tc>
              <w:tc>
                <w:tcPr>
                  <w:tcW w:w="6385" w:type="dxa"/>
                  <w:noWrap w:val="0"/>
                  <w:vAlign w:val="center"/>
                </w:tcPr>
                <w:p w14:paraId="294262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白色粉末，密度1.527，熔点338（升华），沸点520（升华），易溶于水，加热升华、水溶液弱酸性</w:t>
                  </w:r>
                </w:p>
              </w:tc>
            </w:tr>
            <w:tr w14:paraId="6B5C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45BF33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碳酸钠</w:t>
                  </w:r>
                </w:p>
              </w:tc>
              <w:tc>
                <w:tcPr>
                  <w:tcW w:w="6385" w:type="dxa"/>
                  <w:noWrap w:val="0"/>
                  <w:vAlign w:val="center"/>
                </w:tcPr>
                <w:p w14:paraId="380A91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白色粉末，密度2.54，熔点851，沸点分解，易溶于水，水溶液强碱性、与酸反应放CO₂</w:t>
                  </w:r>
                </w:p>
              </w:tc>
            </w:tr>
            <w:tr w14:paraId="29B8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33E0C7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高锰酸钾</w:t>
                  </w:r>
                </w:p>
              </w:tc>
              <w:tc>
                <w:tcPr>
                  <w:tcW w:w="6385" w:type="dxa"/>
                  <w:noWrap w:val="0"/>
                  <w:vAlign w:val="center"/>
                </w:tcPr>
                <w:p w14:paraId="4E0359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紫黑色晶体，密度2.70，熔点240（分解），无明确沸点，易溶于水，强氧化剂、水溶液紫红色、遇有机物燃烧</w:t>
                  </w:r>
                </w:p>
              </w:tc>
            </w:tr>
            <w:tr w14:paraId="1B96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1AB120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硫酸钾</w:t>
                  </w:r>
                </w:p>
              </w:tc>
              <w:tc>
                <w:tcPr>
                  <w:tcW w:w="6385" w:type="dxa"/>
                  <w:noWrap w:val="0"/>
                  <w:vAlign w:val="center"/>
                </w:tcPr>
                <w:p w14:paraId="279A7D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白色晶体，密度2.66，熔点1069，沸点1689，易溶于水，稳定、水溶液中性</w:t>
                  </w:r>
                </w:p>
              </w:tc>
            </w:tr>
            <w:tr w14:paraId="6EFD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397AF1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硫酸铝钾</w:t>
                  </w:r>
                </w:p>
              </w:tc>
              <w:tc>
                <w:tcPr>
                  <w:tcW w:w="6385" w:type="dxa"/>
                  <w:noWrap w:val="0"/>
                  <w:vAlign w:val="center"/>
                </w:tcPr>
                <w:p w14:paraId="4053CF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无色透明晶体（十二水合物），密度1.76，熔点92.5（失水），沸点分解，易溶于水，即明矾，水解生成Al（OH）₃胶体，净水作用</w:t>
                  </w:r>
                </w:p>
              </w:tc>
            </w:tr>
            <w:tr w14:paraId="0359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4E08CD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硫酸铜</w:t>
                  </w:r>
                </w:p>
              </w:tc>
              <w:tc>
                <w:tcPr>
                  <w:tcW w:w="6385" w:type="dxa"/>
                  <w:noWrap w:val="0"/>
                  <w:vAlign w:val="center"/>
                </w:tcPr>
                <w:p w14:paraId="3CB7EA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蓝色晶体（五水合物），密度2.28，熔点110（失水），沸点分解，易溶于水，无水CuSO₄白色遇水变蓝，有毒</w:t>
                  </w:r>
                </w:p>
              </w:tc>
            </w:tr>
            <w:tr w14:paraId="0232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1E4339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硫酸铝</w:t>
                  </w:r>
                </w:p>
              </w:tc>
              <w:tc>
                <w:tcPr>
                  <w:tcW w:w="6385" w:type="dxa"/>
                  <w:noWrap w:val="0"/>
                  <w:vAlign w:val="center"/>
                </w:tcPr>
                <w:p w14:paraId="2C2FD6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白色晶体，密度2.71，熔点770（分解），无明确沸点，易溶于水，水溶液酸性，水解生成Al（OH）₃</w:t>
                  </w:r>
                </w:p>
              </w:tc>
            </w:tr>
            <w:tr w14:paraId="64C9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4D1520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硫酸铵</w:t>
                  </w:r>
                </w:p>
              </w:tc>
              <w:tc>
                <w:tcPr>
                  <w:tcW w:w="6385" w:type="dxa"/>
                  <w:noWrap w:val="0"/>
                  <w:vAlign w:val="center"/>
                </w:tcPr>
                <w:p w14:paraId="6322A7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白色粉末，密度1.77，熔点235（分解），无明确沸点，易溶于水，水溶液弱酸性，与碱反应放氨气</w:t>
                  </w:r>
                </w:p>
              </w:tc>
            </w:tr>
            <w:tr w14:paraId="25CE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49917C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硫粉</w:t>
                  </w:r>
                </w:p>
              </w:tc>
              <w:tc>
                <w:tcPr>
                  <w:tcW w:w="6385" w:type="dxa"/>
                  <w:noWrap w:val="0"/>
                  <w:vAlign w:val="center"/>
                </w:tcPr>
                <w:p w14:paraId="5401DC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黄色粉末，密度2.07，熔点115.2（α硫），沸点444.6，不溶于水，易燃烧生成SO₂，与金属反应生成硫化物</w:t>
                  </w:r>
                </w:p>
              </w:tc>
            </w:tr>
            <w:tr w14:paraId="1F61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074625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镁条</w:t>
                  </w:r>
                </w:p>
              </w:tc>
              <w:tc>
                <w:tcPr>
                  <w:tcW w:w="6385" w:type="dxa"/>
                  <w:noWrap w:val="0"/>
                  <w:vAlign w:val="center"/>
                </w:tcPr>
                <w:p w14:paraId="4B777D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银白色金属，密度1.74，熔点650，沸点1090，不溶于水（与水缓慢反应），活泼金属，燃烧耀眼白光，与酸剧烈反应</w:t>
                  </w:r>
                </w:p>
              </w:tc>
            </w:tr>
            <w:tr w14:paraId="3A94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6E276E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铝粉</w:t>
                  </w:r>
                </w:p>
              </w:tc>
              <w:tc>
                <w:tcPr>
                  <w:tcW w:w="6385" w:type="dxa"/>
                  <w:noWrap w:val="0"/>
                  <w:vAlign w:val="center"/>
                </w:tcPr>
                <w:p w14:paraId="4BDD8F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银灰色粉末，密度2.70，熔点660，沸点2519，不溶于水，两性金属，表面氧化膜耐腐蚀，遇碱放氢</w:t>
                  </w:r>
                </w:p>
              </w:tc>
            </w:tr>
            <w:tr w14:paraId="2E0F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143FE5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钠</w:t>
                  </w:r>
                </w:p>
              </w:tc>
              <w:tc>
                <w:tcPr>
                  <w:tcW w:w="6385" w:type="dxa"/>
                  <w:noWrap w:val="0"/>
                  <w:vAlign w:val="center"/>
                </w:tcPr>
                <w:p w14:paraId="7FD517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银白色软金属，密度0.97，熔点97.8，沸点882.9，与水剧烈反应，极活泼，遇水剧烈燃烧爆炸，保存于煤油</w:t>
                  </w:r>
                </w:p>
              </w:tc>
            </w:tr>
            <w:tr w14:paraId="64ED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58F5CF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锌片</w:t>
                  </w:r>
                </w:p>
              </w:tc>
              <w:tc>
                <w:tcPr>
                  <w:tcW w:w="6385" w:type="dxa"/>
                  <w:noWrap w:val="0"/>
                  <w:vAlign w:val="center"/>
                </w:tcPr>
                <w:p w14:paraId="06094B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蓝白色金属，密度7.14，熔点419.5，沸点907，不溶于水，较活泼，与酸反应放氢，两性（溶于强碱）</w:t>
                  </w:r>
                </w:p>
              </w:tc>
            </w:tr>
            <w:tr w14:paraId="1DE8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795D1A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铜片</w:t>
                  </w:r>
                </w:p>
              </w:tc>
              <w:tc>
                <w:tcPr>
                  <w:tcW w:w="6385" w:type="dxa"/>
                  <w:noWrap w:val="0"/>
                  <w:vAlign w:val="center"/>
                </w:tcPr>
                <w:p w14:paraId="7A90F1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紫红色金属，密度8.96，熔点1085，沸点2562，不溶于水，不活泼，耐腐蚀，与浓硫酸/硝酸反应</w:t>
                  </w:r>
                </w:p>
              </w:tc>
            </w:tr>
            <w:tr w14:paraId="1126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743F56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铁粉</w:t>
                  </w:r>
                </w:p>
              </w:tc>
              <w:tc>
                <w:tcPr>
                  <w:tcW w:w="6385" w:type="dxa"/>
                  <w:noWrap w:val="0"/>
                  <w:vAlign w:val="center"/>
                </w:tcPr>
                <w:p w14:paraId="35FACD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灰黑色粉末，密度7.87，熔点1538，沸点2861，不溶于水，活泼金属，潮湿空气生锈，与酸反应放氢</w:t>
                  </w:r>
                </w:p>
              </w:tc>
            </w:tr>
            <w:tr w14:paraId="69CE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7721FB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碘化钾</w:t>
                  </w:r>
                </w:p>
              </w:tc>
              <w:tc>
                <w:tcPr>
                  <w:tcW w:w="6385" w:type="dxa"/>
                  <w:noWrap w:val="0"/>
                  <w:vAlign w:val="center"/>
                </w:tcPr>
                <w:p w14:paraId="454FCC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白色晶体，密度3.13，熔点681，沸点1330，易溶于水，还原性，见光或潮湿易析出I₂变黄</w:t>
                  </w:r>
                </w:p>
              </w:tc>
            </w:tr>
            <w:tr w14:paraId="06EE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0C47C9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柠檬酸钠</w:t>
                  </w:r>
                </w:p>
              </w:tc>
              <w:tc>
                <w:tcPr>
                  <w:tcW w:w="6385" w:type="dxa"/>
                  <w:noWrap w:val="0"/>
                  <w:vAlign w:val="center"/>
                </w:tcPr>
                <w:p w14:paraId="0CB875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白色晶体（无水），密度1.76，熔点300（分解），无明确沸点，易溶于水，柠檬酸三钠，水溶液弱碱性，抗凝血剂</w:t>
                  </w:r>
                </w:p>
              </w:tc>
            </w:tr>
            <w:tr w14:paraId="4F0D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0B96ED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rPr>
                    <w:t>丙酮</w:t>
                  </w:r>
                </w:p>
              </w:tc>
              <w:tc>
                <w:tcPr>
                  <w:tcW w:w="6385" w:type="dxa"/>
                  <w:noWrap w:val="0"/>
                  <w:vAlign w:val="center"/>
                </w:tcPr>
                <w:p w14:paraId="7F72C6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无色透明液体，密度0.79，熔点-94.9，沸点56.1，与水混溶，易挥发、易燃，优良有机溶剂</w:t>
                  </w:r>
                </w:p>
              </w:tc>
            </w:tr>
            <w:tr w14:paraId="77F3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560" w:type="dxa"/>
                  <w:noWrap w:val="0"/>
                  <w:vAlign w:val="center"/>
                </w:tcPr>
                <w:p w14:paraId="5F7977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乙醚</w:t>
                  </w:r>
                </w:p>
              </w:tc>
              <w:tc>
                <w:tcPr>
                  <w:tcW w:w="6385" w:type="dxa"/>
                  <w:noWrap w:val="0"/>
                  <w:vAlign w:val="center"/>
                </w:tcPr>
                <w:p w14:paraId="15FCF1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无色易挥发液体，密度0.713，熔点-116.3，沸点34.6，微溶于水（6.9g/100mL），极易燃，麻醉性，过氧化物易爆</w:t>
                  </w:r>
                </w:p>
              </w:tc>
            </w:tr>
            <w:tr w14:paraId="151C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noWrap w:val="0"/>
                  <w:vAlign w:val="center"/>
                </w:tcPr>
                <w:p w14:paraId="09A6FB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氨水</w:t>
                  </w:r>
                </w:p>
              </w:tc>
              <w:tc>
                <w:tcPr>
                  <w:tcW w:w="6385" w:type="dxa"/>
                  <w:noWrap w:val="0"/>
                  <w:vAlign w:val="center"/>
                </w:tcPr>
                <w:p w14:paraId="1CBB4C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是氨气（NH₃）溶于水后形成的一种无色液体，它具有强烈的刺激性气味。外观与气味：无色透明液体，具有强烈刺激性臭味。pH值：呈碱性。1%浓度溶液的pH值可达11.7。</w:t>
                  </w:r>
                </w:p>
                <w:p w14:paraId="7B73F8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熔点：约-77°C（部分浓度下的溶液凝固点可能更高）。</w:t>
                  </w:r>
                </w:p>
                <w:p w14:paraId="26484DA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沸点：通常在36°C-38°C（取决于浓度）。</w:t>
                  </w:r>
                </w:p>
                <w:p w14:paraId="761BCF4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密度：小于水。常见浓度（如25%或28%的氨水）密度约为0.90-0.91g/cm³。</w:t>
                  </w:r>
                </w:p>
              </w:tc>
            </w:tr>
          </w:tbl>
          <w:p w14:paraId="4027A8A0">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4.主要设备</w:t>
            </w:r>
          </w:p>
          <w:p w14:paraId="7A949C8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本项目主要涉及化学、生物、地理、物理实验，项目主要使用设备如下表所示。</w:t>
            </w:r>
          </w:p>
          <w:p w14:paraId="1F6506FB">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表2-4物理实验室主要设备一览表</w:t>
            </w:r>
          </w:p>
          <w:tbl>
            <w:tblPr>
              <w:tblStyle w:val="23"/>
              <w:tblW w:w="80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0"/>
              <w:gridCol w:w="1915"/>
              <w:gridCol w:w="3371"/>
              <w:gridCol w:w="793"/>
              <w:gridCol w:w="709"/>
              <w:gridCol w:w="709"/>
            </w:tblGrid>
            <w:tr w14:paraId="4D3F9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2"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46D0DF1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4CE7BB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器材名称</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716B25F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规格/品名/教学性能要求</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6154BE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计量单位</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0D2320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数量</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090948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存放位置</w:t>
                  </w:r>
                </w:p>
              </w:tc>
            </w:tr>
            <w:tr w14:paraId="11E01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62CCF0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5FA8D4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火灾报警器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79FD95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1BB0A8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个</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A3751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restart"/>
                  <w:tcBorders>
                    <w:top w:val="single" w:color="000000" w:sz="4" w:space="0"/>
                    <w:left w:val="single" w:color="000000" w:sz="4" w:space="0"/>
                    <w:right w:val="single" w:color="000000" w:sz="4" w:space="0"/>
                  </w:tcBorders>
                  <w:noWrap/>
                  <w:vAlign w:val="center"/>
                </w:tcPr>
                <w:p w14:paraId="5E2781A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仪器库</w:t>
                  </w:r>
                </w:p>
              </w:tc>
            </w:tr>
            <w:tr w14:paraId="79236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7EC65E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AC3B6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演示实验器材</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658F1D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云母片、电解电容器（25V，470µF～1000µF）、三极管、驻极体话筒、光声控延时开关、100kΩ可变电阻、1kΩ电阻、74LS00</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33B97D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34D13F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1EB77F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0E901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433D6D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2E9951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滚珠盒</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6C0289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自行车小滚珠200粒</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75FFC8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盒</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6D032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251756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09B70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786963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7E95B7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晶体和非晶体样品</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4DFE33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石英晶体，食盐晶体，云母片，明矾晶体，硫酸铜晶体；玻璃，松香，蜂蜡，沥青，橡胶</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4740767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68AD4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49D2895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5C64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33705D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0DA949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传感器器材</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6717D8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各种温度传感器（双金属片、热电偶、铂电阻、铜电阻、热敏电阻、半导体、感温铁氧体）、光敏电阻、硅光电池、光电二极管、湿敏电阻、干簧管、霍尔元件、气体压强传感器、酒精气体传感器等</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3A952DF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7E2D3C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7C1ACD4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183A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5"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49DB5F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6FE404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家庭电路器材</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42E0D2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空气开关、漏电保护器、螺丝口灯座、卡口灯座、三孔插座、三孔插头、插入式保险盒、拉线开关、按钮开关、声控开关、光控开关、导线等</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00BBAF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B3EC8A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100</w:t>
                  </w:r>
                </w:p>
              </w:tc>
              <w:tc>
                <w:tcPr>
                  <w:tcW w:w="709" w:type="dxa"/>
                  <w:vMerge w:val="continue"/>
                  <w:tcBorders>
                    <w:left w:val="single" w:color="000000" w:sz="4" w:space="0"/>
                    <w:right w:val="single" w:color="000000" w:sz="4" w:space="0"/>
                  </w:tcBorders>
                  <w:noWrap/>
                  <w:vAlign w:val="center"/>
                </w:tcPr>
                <w:p w14:paraId="5E45F6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205B9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5"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17852D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531A7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电子元件（工业产品）</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741013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电阻（碳膜电阻、瓷管电阻、线绕电阻、电位器、光敏电阻、热敏电阻等）；玩具电动机、电磁继电器、电容、电感、二极管、发光二极管、三极管、集成电路块等</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5970A21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7F4EE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w:t>
                  </w:r>
                </w:p>
              </w:tc>
              <w:tc>
                <w:tcPr>
                  <w:tcW w:w="709" w:type="dxa"/>
                  <w:vMerge w:val="continue"/>
                  <w:tcBorders>
                    <w:left w:val="single" w:color="000000" w:sz="4" w:space="0"/>
                    <w:right w:val="single" w:color="000000" w:sz="4" w:space="0"/>
                  </w:tcBorders>
                  <w:noWrap/>
                  <w:vAlign w:val="center"/>
                </w:tcPr>
                <w:p w14:paraId="6B476C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2D47B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106B3E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667A61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机械传动模型</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63E7312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含齿轮传动、皮带传动、链传动、蜗轮蜗杆传动、摩擦轮传动</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55AA6EA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D925A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3B7A2F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3C3C6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530BD2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7EF8B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机械机构模型</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18E66D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曲柄摇杆机构、双曲柄机构、双摇杆机构、曲柄滑块机构、凸轮机构</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3AB546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B3B34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2634FC3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6674B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450D09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29DAEE9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高压输变电模拟演示器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23EB00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发电厂、升压变压器、高压输电线、降压变压器、用户</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7ED3EBA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0F1722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53D206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1B6B7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316071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2EEC1E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晶体空间点阵模型</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21E9D0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食盐，金刚石，石墨，明矾，石英</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47B3CE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5A353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3C34E60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2EBEF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281A980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4F659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离心机械模型</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3AA6F9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节速器、干燥器、分离器</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47A38C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5C8BF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1723E48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5FC6D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6269EF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0F7B04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光电效应演示器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4BBA2C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带光源和锌板</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5FAE12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台</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65964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7891C5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7F648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6F046D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7DE49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棱镜分光镜</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5E7025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带波长分度尺</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13DBA1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台</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42ABF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w:t>
                  </w:r>
                </w:p>
              </w:tc>
              <w:tc>
                <w:tcPr>
                  <w:tcW w:w="709" w:type="dxa"/>
                  <w:vMerge w:val="continue"/>
                  <w:tcBorders>
                    <w:left w:val="single" w:color="000000" w:sz="4" w:space="0"/>
                    <w:right w:val="single" w:color="000000" w:sz="4" w:space="0"/>
                  </w:tcBorders>
                  <w:noWrap/>
                  <w:vAlign w:val="center"/>
                </w:tcPr>
                <w:p w14:paraId="3B4CCA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3F6E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73A1C05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7C30A84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光的偏振观察器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7C0134E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起偏片、检偏片</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3FD1EAF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CBF45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46</w:t>
                  </w:r>
                </w:p>
              </w:tc>
              <w:tc>
                <w:tcPr>
                  <w:tcW w:w="709" w:type="dxa"/>
                  <w:vMerge w:val="continue"/>
                  <w:tcBorders>
                    <w:left w:val="single" w:color="000000" w:sz="4" w:space="0"/>
                    <w:right w:val="single" w:color="000000" w:sz="4" w:space="0"/>
                  </w:tcBorders>
                  <w:noWrap/>
                  <w:vAlign w:val="center"/>
                </w:tcPr>
                <w:p w14:paraId="55B12A7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2C38F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3164E6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E92B1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微型物理光学观察器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706202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半导体激光器，光的干涉、多种衍射（单缝、多缝、圆孔、异形孔、单丝、圆屏、刀口等）</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2155BD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90E2B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30</w:t>
                  </w:r>
                </w:p>
              </w:tc>
              <w:tc>
                <w:tcPr>
                  <w:tcW w:w="709" w:type="dxa"/>
                  <w:vMerge w:val="continue"/>
                  <w:tcBorders>
                    <w:left w:val="single" w:color="000000" w:sz="4" w:space="0"/>
                    <w:right w:val="single" w:color="000000" w:sz="4" w:space="0"/>
                  </w:tcBorders>
                  <w:noWrap/>
                  <w:vAlign w:val="center"/>
                </w:tcPr>
                <w:p w14:paraId="03CE6C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25E64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0B3E9B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1F5BE6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激光光学演示仪</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7BCDFD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几何光学和物理光学实验</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145E0C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台</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06316E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7706B2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7C21D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7AB328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5C4D6F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光具盘</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48115D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磁吸附式</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21618B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B9D47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717EF0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4DF25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42A497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64613E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整流电路实验器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3C1D67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半波、全波、滤波</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09914A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台</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5E400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3A6394E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67BAE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638B36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71F490E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半导体制冷器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334BE0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制冷、发电两用</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700BA1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台</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D2B8DF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4BBA06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0927B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5"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08B9F7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23F75E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电磁波的干涉衍射偏振演示器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4E873A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发射器：频率10GHz±1GHz，等幅波输出≥10mW；</w:t>
                  </w:r>
                  <w:r>
                    <w:rPr>
                      <w:rFonts w:hint="default" w:ascii="Times New Roman" w:hAnsi="Times New Roman" w:cs="Times New Roman"/>
                      <w:color w:val="auto"/>
                      <w:highlight w:val="none"/>
                      <w:lang w:val="en-US" w:eastAsia="zh-CN"/>
                    </w:rPr>
                    <w:br w:type="textWrapping"/>
                  </w:r>
                  <w:r>
                    <w:rPr>
                      <w:rFonts w:hint="default" w:ascii="Times New Roman" w:hAnsi="Times New Roman" w:cs="Times New Roman"/>
                      <w:color w:val="auto"/>
                      <w:highlight w:val="none"/>
                      <w:lang w:val="en-US" w:eastAsia="zh-CN"/>
                    </w:rPr>
                    <w:t>接收器：喇叭天线接收距离≥1m，振子接收距离≥0.5m，有声、光、电显示</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47C74A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87D30A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7E56A7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78DB7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70EBA07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22</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74270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电磁波的发送和接收演示器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500DAD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发射器频率2</w:t>
                  </w:r>
                  <w:r>
                    <w:rPr>
                      <w:rFonts w:hint="eastAsia" w:ascii="Times New Roman" w:hAnsi="Times New Roman" w:cs="Times New Roman"/>
                      <w:color w:val="auto"/>
                      <w:highlight w:val="none"/>
                      <w:lang w:val="en-US" w:eastAsia="zh-CN"/>
                    </w:rPr>
                    <w:t>20m</w:t>
                  </w:r>
                  <w:r>
                    <w:rPr>
                      <w:rFonts w:hint="default" w:ascii="Times New Roman" w:hAnsi="Times New Roman" w:cs="Times New Roman"/>
                      <w:color w:val="auto"/>
                      <w:highlight w:val="none"/>
                      <w:lang w:val="en-US" w:eastAsia="zh-CN"/>
                    </w:rPr>
                    <w:t>Hz～250MHz，等幅、调幅；接收器有声、光、电显示</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392759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77CEE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w:t>
                  </w:r>
                </w:p>
              </w:tc>
              <w:tc>
                <w:tcPr>
                  <w:tcW w:w="709" w:type="dxa"/>
                  <w:vMerge w:val="continue"/>
                  <w:tcBorders>
                    <w:left w:val="single" w:color="000000" w:sz="4" w:space="0"/>
                    <w:right w:val="single" w:color="000000" w:sz="4" w:space="0"/>
                  </w:tcBorders>
                  <w:noWrap/>
                  <w:vAlign w:val="center"/>
                </w:tcPr>
                <w:p w14:paraId="0AEBD69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4680D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049E61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68D8C8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电磁振荡演示仪</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6AE498B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阻尼振荡，等幅振荡，振荡频率与振荡电路的电容、电感关系</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010EE4D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台</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F46C0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6A3701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7A3C9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78976EE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1785A7D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电谐振演示器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1EB4C7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发送：放电距离0.2mm～2mm可调，</w:t>
                  </w:r>
                  <w:r>
                    <w:rPr>
                      <w:rFonts w:hint="eastAsia" w:cs="Times New Roman"/>
                      <w:color w:val="auto"/>
                      <w:highlight w:val="none"/>
                      <w:lang w:val="en-US" w:eastAsia="zh-CN"/>
                    </w:rPr>
                    <w:t>莱顿瓶</w:t>
                  </w:r>
                  <w:r>
                    <w:rPr>
                      <w:rFonts w:hint="default" w:ascii="Times New Roman" w:hAnsi="Times New Roman" w:cs="Times New Roman"/>
                      <w:color w:val="auto"/>
                      <w:highlight w:val="none"/>
                      <w:lang w:val="en-US" w:eastAsia="zh-CN"/>
                    </w:rPr>
                    <w:t>电容≥500PF；接收：莱顿瓶电容≥500PF，可变电容350PF～850PF。</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3962E3B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台</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D8B23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709" w:type="dxa"/>
                  <w:vMerge w:val="continue"/>
                  <w:tcBorders>
                    <w:left w:val="single" w:color="000000" w:sz="4" w:space="0"/>
                    <w:right w:val="single" w:color="000000" w:sz="4" w:space="0"/>
                  </w:tcBorders>
                  <w:noWrap/>
                  <w:vAlign w:val="center"/>
                </w:tcPr>
                <w:p w14:paraId="72023E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178C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5999AE4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57332E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电学元件黑箱</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17D459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三个接点，两个元件（电池、电阻、二极管均可更换）</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3B792E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B72202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57</w:t>
                  </w:r>
                </w:p>
              </w:tc>
              <w:tc>
                <w:tcPr>
                  <w:tcW w:w="709" w:type="dxa"/>
                  <w:vMerge w:val="continue"/>
                  <w:tcBorders>
                    <w:left w:val="single" w:color="000000" w:sz="4" w:space="0"/>
                    <w:right w:val="single" w:color="000000" w:sz="4" w:space="0"/>
                  </w:tcBorders>
                  <w:noWrap/>
                  <w:vAlign w:val="center"/>
                </w:tcPr>
                <w:p w14:paraId="46F16E4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01FAC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2D2504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26</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0BDC7A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门电路和传感器应用实验箱</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72AA0A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与门、或门、非门电路、干簧管、温度传感器、热敏电阻、光敏电阻、感温铁氧体、霍尔元件等应用实验。</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098554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套</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D512BA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40</w:t>
                  </w:r>
                </w:p>
              </w:tc>
              <w:tc>
                <w:tcPr>
                  <w:tcW w:w="709" w:type="dxa"/>
                  <w:vMerge w:val="continue"/>
                  <w:tcBorders>
                    <w:left w:val="single" w:color="000000" w:sz="4" w:space="0"/>
                    <w:right w:val="single" w:color="000000" w:sz="4" w:space="0"/>
                  </w:tcBorders>
                  <w:noWrap/>
                  <w:vAlign w:val="center"/>
                </w:tcPr>
                <w:p w14:paraId="09EC45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0699F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4D2DE2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49657B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强磁针</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7148DB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高磁能积磁体</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48C79B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个</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D42F0D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w:t>
                  </w:r>
                </w:p>
              </w:tc>
              <w:tc>
                <w:tcPr>
                  <w:tcW w:w="709" w:type="dxa"/>
                  <w:vMerge w:val="continue"/>
                  <w:tcBorders>
                    <w:left w:val="single" w:color="000000" w:sz="4" w:space="0"/>
                    <w:right w:val="single" w:color="000000" w:sz="4" w:space="0"/>
                  </w:tcBorders>
                  <w:noWrap/>
                  <w:vAlign w:val="center"/>
                </w:tcPr>
                <w:p w14:paraId="4577F8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53AAD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1B0DE45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6A8D10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蹄形强磁体</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26B559E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磁感应强度≥0.8T</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596A17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个</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45DFF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w:t>
                  </w:r>
                </w:p>
              </w:tc>
              <w:tc>
                <w:tcPr>
                  <w:tcW w:w="709" w:type="dxa"/>
                  <w:vMerge w:val="continue"/>
                  <w:tcBorders>
                    <w:left w:val="single" w:color="000000" w:sz="4" w:space="0"/>
                    <w:right w:val="single" w:color="000000" w:sz="4" w:space="0"/>
                  </w:tcBorders>
                  <w:noWrap/>
                  <w:vAlign w:val="center"/>
                </w:tcPr>
                <w:p w14:paraId="169F0D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4FA2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2C66519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29</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33EC52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条形强磁体</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1BF544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磁感应强度≥0.8T</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3BCBE5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个</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E5996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w:t>
                  </w:r>
                </w:p>
              </w:tc>
              <w:tc>
                <w:tcPr>
                  <w:tcW w:w="709" w:type="dxa"/>
                  <w:vMerge w:val="continue"/>
                  <w:tcBorders>
                    <w:left w:val="single" w:color="000000" w:sz="4" w:space="0"/>
                    <w:right w:val="single" w:color="000000" w:sz="4" w:space="0"/>
                  </w:tcBorders>
                  <w:noWrap/>
                  <w:vAlign w:val="center"/>
                </w:tcPr>
                <w:p w14:paraId="73A87D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r w14:paraId="2F530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40" w:type="dxa"/>
                  <w:tcBorders>
                    <w:top w:val="single" w:color="000000" w:sz="4" w:space="0"/>
                    <w:left w:val="single" w:color="000000" w:sz="4" w:space="0"/>
                    <w:bottom w:val="single" w:color="000000" w:sz="4" w:space="0"/>
                    <w:right w:val="single" w:color="000000" w:sz="4" w:space="0"/>
                  </w:tcBorders>
                  <w:noWrap/>
                  <w:vAlign w:val="center"/>
                </w:tcPr>
                <w:p w14:paraId="424ED3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w:t>
                  </w:r>
                </w:p>
              </w:tc>
              <w:tc>
                <w:tcPr>
                  <w:tcW w:w="1915" w:type="dxa"/>
                  <w:tcBorders>
                    <w:top w:val="single" w:color="000000" w:sz="4" w:space="0"/>
                    <w:left w:val="single" w:color="000000" w:sz="4" w:space="0"/>
                    <w:bottom w:val="single" w:color="000000" w:sz="4" w:space="0"/>
                    <w:right w:val="single" w:color="000000" w:sz="4" w:space="0"/>
                  </w:tcBorders>
                  <w:noWrap/>
                  <w:vAlign w:val="center"/>
                </w:tcPr>
                <w:p w14:paraId="722923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学生信号发生器</w:t>
                  </w:r>
                </w:p>
              </w:tc>
              <w:tc>
                <w:tcPr>
                  <w:tcW w:w="3371" w:type="dxa"/>
                  <w:tcBorders>
                    <w:top w:val="single" w:color="000000" w:sz="4" w:space="0"/>
                    <w:left w:val="single" w:color="000000" w:sz="4" w:space="0"/>
                    <w:bottom w:val="single" w:color="000000" w:sz="4" w:space="0"/>
                    <w:right w:val="single" w:color="000000" w:sz="4" w:space="0"/>
                  </w:tcBorders>
                  <w:noWrap/>
                  <w:vAlign w:val="center"/>
                </w:tcPr>
                <w:p w14:paraId="060B78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445kHz～1700kHz，误差±5%；中频465kHz±2%；低频500Hz、1kHz、1.5kHz、2kHz、2.5kHz</w:t>
                  </w:r>
                </w:p>
              </w:tc>
              <w:tc>
                <w:tcPr>
                  <w:tcW w:w="793" w:type="dxa"/>
                  <w:tcBorders>
                    <w:top w:val="single" w:color="000000" w:sz="4" w:space="0"/>
                    <w:left w:val="single" w:color="000000" w:sz="4" w:space="0"/>
                    <w:bottom w:val="single" w:color="000000" w:sz="4" w:space="0"/>
                    <w:right w:val="single" w:color="000000" w:sz="4" w:space="0"/>
                  </w:tcBorders>
                  <w:noWrap/>
                  <w:vAlign w:val="center"/>
                </w:tcPr>
                <w:p w14:paraId="40A542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台</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8B05D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40</w:t>
                  </w:r>
                </w:p>
              </w:tc>
              <w:tc>
                <w:tcPr>
                  <w:tcW w:w="709" w:type="dxa"/>
                  <w:vMerge w:val="continue"/>
                  <w:tcBorders>
                    <w:left w:val="single" w:color="000000" w:sz="4" w:space="0"/>
                    <w:bottom w:val="single" w:color="000000" w:sz="4" w:space="0"/>
                    <w:right w:val="single" w:color="000000" w:sz="4" w:space="0"/>
                  </w:tcBorders>
                  <w:noWrap/>
                  <w:vAlign w:val="center"/>
                </w:tcPr>
                <w:p w14:paraId="6676AE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r>
          </w:tbl>
          <w:p w14:paraId="6F556DFF">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表2-5化学实验室主要设备一览表</w:t>
            </w:r>
          </w:p>
          <w:tbl>
            <w:tblPr>
              <w:tblStyle w:val="24"/>
              <w:tblW w:w="7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2275"/>
              <w:gridCol w:w="2685"/>
              <w:gridCol w:w="913"/>
              <w:gridCol w:w="723"/>
              <w:gridCol w:w="854"/>
            </w:tblGrid>
            <w:tr w14:paraId="5AC1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527" w:type="dxa"/>
                  <w:noWrap w:val="0"/>
                  <w:vAlign w:val="center"/>
                </w:tcPr>
                <w:p w14:paraId="172BCD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序号</w:t>
                  </w:r>
                </w:p>
              </w:tc>
              <w:tc>
                <w:tcPr>
                  <w:tcW w:w="2275" w:type="dxa"/>
                  <w:noWrap w:val="0"/>
                  <w:vAlign w:val="center"/>
                </w:tcPr>
                <w:p w14:paraId="788DA0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器材名称</w:t>
                  </w:r>
                </w:p>
              </w:tc>
              <w:tc>
                <w:tcPr>
                  <w:tcW w:w="2685" w:type="dxa"/>
                  <w:noWrap w:val="0"/>
                  <w:vAlign w:val="center"/>
                </w:tcPr>
                <w:p w14:paraId="3A1919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规格/品名/教学性能要求</w:t>
                  </w:r>
                </w:p>
              </w:tc>
              <w:tc>
                <w:tcPr>
                  <w:tcW w:w="913" w:type="dxa"/>
                  <w:noWrap w:val="0"/>
                  <w:vAlign w:val="center"/>
                </w:tcPr>
                <w:p w14:paraId="4A6122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计量单位</w:t>
                  </w:r>
                </w:p>
              </w:tc>
              <w:tc>
                <w:tcPr>
                  <w:tcW w:w="723" w:type="dxa"/>
                  <w:noWrap w:val="0"/>
                  <w:vAlign w:val="center"/>
                </w:tcPr>
                <w:p w14:paraId="3EAE6B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数量</w:t>
                  </w:r>
                </w:p>
              </w:tc>
              <w:tc>
                <w:tcPr>
                  <w:tcW w:w="854" w:type="dxa"/>
                  <w:noWrap w:val="0"/>
                  <w:vAlign w:val="center"/>
                </w:tcPr>
                <w:p w14:paraId="1D1AA2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存储位置</w:t>
                  </w:r>
                </w:p>
              </w:tc>
            </w:tr>
            <w:tr w14:paraId="0D07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27" w:type="dxa"/>
                  <w:noWrap w:val="0"/>
                  <w:vAlign w:val="center"/>
                </w:tcPr>
                <w:p w14:paraId="5976CA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2275" w:type="dxa"/>
                  <w:noWrap w:val="0"/>
                  <w:vAlign w:val="center"/>
                </w:tcPr>
                <w:p w14:paraId="526C70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试管</w:t>
                  </w:r>
                </w:p>
              </w:tc>
              <w:tc>
                <w:tcPr>
                  <w:tcW w:w="2685" w:type="dxa"/>
                  <w:noWrap w:val="0"/>
                  <w:vAlign w:val="center"/>
                </w:tcPr>
                <w:p w14:paraId="049A49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少量物质反应容器，分普通试管和具支试管</w:t>
                  </w:r>
                </w:p>
              </w:tc>
              <w:tc>
                <w:tcPr>
                  <w:tcW w:w="913" w:type="dxa"/>
                  <w:noWrap w:val="0"/>
                  <w:vAlign w:val="center"/>
                </w:tcPr>
                <w:p w14:paraId="247B83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2E49B0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150</w:t>
                  </w:r>
                </w:p>
              </w:tc>
              <w:tc>
                <w:tcPr>
                  <w:tcW w:w="854" w:type="dxa"/>
                  <w:vMerge w:val="restart"/>
                  <w:noWrap w:val="0"/>
                  <w:vAlign w:val="center"/>
                </w:tcPr>
                <w:p w14:paraId="6635B6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仪器库</w:t>
                  </w:r>
                </w:p>
              </w:tc>
            </w:tr>
            <w:tr w14:paraId="5827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527" w:type="dxa"/>
                  <w:noWrap w:val="0"/>
                  <w:vAlign w:val="center"/>
                </w:tcPr>
                <w:p w14:paraId="698241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2</w:t>
                  </w:r>
                </w:p>
              </w:tc>
              <w:tc>
                <w:tcPr>
                  <w:tcW w:w="2275" w:type="dxa"/>
                  <w:noWrap w:val="0"/>
                  <w:vAlign w:val="center"/>
                </w:tcPr>
                <w:p w14:paraId="1FF6C6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烧杯</w:t>
                  </w:r>
                </w:p>
              </w:tc>
              <w:tc>
                <w:tcPr>
                  <w:tcW w:w="2685" w:type="dxa"/>
                  <w:noWrap w:val="0"/>
                  <w:vAlign w:val="center"/>
                </w:tcPr>
                <w:p w14:paraId="777B7A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溶解、加热、反应容器，规格50mL-1000mL</w:t>
                  </w:r>
                </w:p>
              </w:tc>
              <w:tc>
                <w:tcPr>
                  <w:tcW w:w="913" w:type="dxa"/>
                  <w:noWrap w:val="0"/>
                  <w:vAlign w:val="center"/>
                </w:tcPr>
                <w:p w14:paraId="663DBE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1CA59D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50</w:t>
                  </w:r>
                </w:p>
              </w:tc>
              <w:tc>
                <w:tcPr>
                  <w:tcW w:w="854" w:type="dxa"/>
                  <w:vMerge w:val="continue"/>
                  <w:noWrap w:val="0"/>
                  <w:vAlign w:val="center"/>
                </w:tcPr>
                <w:p w14:paraId="5C8FEF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21C0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64E227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3</w:t>
                  </w:r>
                </w:p>
              </w:tc>
              <w:tc>
                <w:tcPr>
                  <w:tcW w:w="2275" w:type="dxa"/>
                  <w:noWrap w:val="0"/>
                  <w:vAlign w:val="center"/>
                </w:tcPr>
                <w:p w14:paraId="49BDF2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锥形瓶</w:t>
                  </w:r>
                </w:p>
              </w:tc>
              <w:tc>
                <w:tcPr>
                  <w:tcW w:w="2685" w:type="dxa"/>
                  <w:noWrap w:val="0"/>
                  <w:vAlign w:val="center"/>
                </w:tcPr>
                <w:p w14:paraId="6667C3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滴定反应、振荡反应容器</w:t>
                  </w:r>
                </w:p>
              </w:tc>
              <w:tc>
                <w:tcPr>
                  <w:tcW w:w="913" w:type="dxa"/>
                  <w:noWrap w:val="0"/>
                  <w:vAlign w:val="center"/>
                </w:tcPr>
                <w:p w14:paraId="4472EA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4D2337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30</w:t>
                  </w:r>
                </w:p>
              </w:tc>
              <w:tc>
                <w:tcPr>
                  <w:tcW w:w="854" w:type="dxa"/>
                  <w:vMerge w:val="continue"/>
                  <w:noWrap w:val="0"/>
                  <w:vAlign w:val="center"/>
                </w:tcPr>
                <w:p w14:paraId="6C0E67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7FE1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721275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4</w:t>
                  </w:r>
                </w:p>
              </w:tc>
              <w:tc>
                <w:tcPr>
                  <w:tcW w:w="2275" w:type="dxa"/>
                  <w:noWrap w:val="0"/>
                  <w:vAlign w:val="center"/>
                </w:tcPr>
                <w:p w14:paraId="6020F1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圆底烧瓶/平底烧瓶</w:t>
                  </w:r>
                </w:p>
              </w:tc>
              <w:tc>
                <w:tcPr>
                  <w:tcW w:w="2685" w:type="dxa"/>
                  <w:noWrap w:val="0"/>
                  <w:vAlign w:val="center"/>
                </w:tcPr>
                <w:p w14:paraId="08954E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加热液体、蒸馏实验</w:t>
                  </w:r>
                </w:p>
              </w:tc>
              <w:tc>
                <w:tcPr>
                  <w:tcW w:w="913" w:type="dxa"/>
                  <w:noWrap w:val="0"/>
                  <w:vAlign w:val="center"/>
                </w:tcPr>
                <w:p w14:paraId="45033B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6C8140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35</w:t>
                  </w:r>
                </w:p>
              </w:tc>
              <w:tc>
                <w:tcPr>
                  <w:tcW w:w="854" w:type="dxa"/>
                  <w:vMerge w:val="continue"/>
                  <w:noWrap w:val="0"/>
                  <w:vAlign w:val="center"/>
                </w:tcPr>
                <w:p w14:paraId="63497E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2407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1A6035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w:t>
                  </w:r>
                </w:p>
              </w:tc>
              <w:tc>
                <w:tcPr>
                  <w:tcW w:w="2275" w:type="dxa"/>
                  <w:noWrap w:val="0"/>
                  <w:vAlign w:val="center"/>
                </w:tcPr>
                <w:p w14:paraId="4AE62A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量筒</w:t>
                  </w:r>
                </w:p>
              </w:tc>
              <w:tc>
                <w:tcPr>
                  <w:tcW w:w="2685" w:type="dxa"/>
                  <w:noWrap w:val="0"/>
                  <w:vAlign w:val="center"/>
                </w:tcPr>
                <w:p w14:paraId="3323BF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量取液体体积，规格10mL-100mL</w:t>
                  </w:r>
                </w:p>
              </w:tc>
              <w:tc>
                <w:tcPr>
                  <w:tcW w:w="913" w:type="dxa"/>
                  <w:noWrap w:val="0"/>
                  <w:vAlign w:val="center"/>
                </w:tcPr>
                <w:p w14:paraId="62A8FF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6B082D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120</w:t>
                  </w:r>
                </w:p>
              </w:tc>
              <w:tc>
                <w:tcPr>
                  <w:tcW w:w="854" w:type="dxa"/>
                  <w:vMerge w:val="continue"/>
                  <w:noWrap w:val="0"/>
                  <w:vAlign w:val="center"/>
                </w:tcPr>
                <w:p w14:paraId="3C07F4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3C3D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7D3CE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6</w:t>
                  </w:r>
                </w:p>
              </w:tc>
              <w:tc>
                <w:tcPr>
                  <w:tcW w:w="2275" w:type="dxa"/>
                  <w:noWrap w:val="0"/>
                  <w:vAlign w:val="center"/>
                </w:tcPr>
                <w:p w14:paraId="3E8BDF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容量瓶</w:t>
                  </w:r>
                </w:p>
              </w:tc>
              <w:tc>
                <w:tcPr>
                  <w:tcW w:w="2685" w:type="dxa"/>
                  <w:noWrap w:val="0"/>
                  <w:vAlign w:val="center"/>
                </w:tcPr>
                <w:p w14:paraId="4D5ED8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配制准确浓度溶液，规格50mL-1000mL</w:t>
                  </w:r>
                </w:p>
              </w:tc>
              <w:tc>
                <w:tcPr>
                  <w:tcW w:w="913" w:type="dxa"/>
                  <w:noWrap w:val="0"/>
                  <w:vAlign w:val="center"/>
                </w:tcPr>
                <w:p w14:paraId="29B8B9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6EFD29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36</w:t>
                  </w:r>
                </w:p>
              </w:tc>
              <w:tc>
                <w:tcPr>
                  <w:tcW w:w="854" w:type="dxa"/>
                  <w:vMerge w:val="continue"/>
                  <w:noWrap w:val="0"/>
                  <w:vAlign w:val="center"/>
                </w:tcPr>
                <w:p w14:paraId="45DA8C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2650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107360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7</w:t>
                  </w:r>
                </w:p>
              </w:tc>
              <w:tc>
                <w:tcPr>
                  <w:tcW w:w="2275" w:type="dxa"/>
                  <w:noWrap w:val="0"/>
                  <w:vAlign w:val="center"/>
                </w:tcPr>
                <w:p w14:paraId="1955A0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滴定管（酸式/碱式）</w:t>
                  </w:r>
                </w:p>
              </w:tc>
              <w:tc>
                <w:tcPr>
                  <w:tcW w:w="2685" w:type="dxa"/>
                  <w:noWrap w:val="0"/>
                  <w:vAlign w:val="center"/>
                </w:tcPr>
                <w:p w14:paraId="1CCC37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酸碱滴定实验，酸式滴定管不可盛碱性液体</w:t>
                  </w:r>
                </w:p>
              </w:tc>
              <w:tc>
                <w:tcPr>
                  <w:tcW w:w="913" w:type="dxa"/>
                  <w:noWrap w:val="0"/>
                  <w:vAlign w:val="center"/>
                </w:tcPr>
                <w:p w14:paraId="2D7040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2188ED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125</w:t>
                  </w:r>
                </w:p>
              </w:tc>
              <w:tc>
                <w:tcPr>
                  <w:tcW w:w="854" w:type="dxa"/>
                  <w:vMerge w:val="continue"/>
                  <w:noWrap w:val="0"/>
                  <w:vAlign w:val="center"/>
                </w:tcPr>
                <w:p w14:paraId="603E4C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030F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20B083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w:t>
                  </w:r>
                </w:p>
              </w:tc>
              <w:tc>
                <w:tcPr>
                  <w:tcW w:w="2275" w:type="dxa"/>
                  <w:noWrap w:val="0"/>
                  <w:vAlign w:val="center"/>
                </w:tcPr>
                <w:p w14:paraId="78B916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移液管/吸量管</w:t>
                  </w:r>
                </w:p>
              </w:tc>
              <w:tc>
                <w:tcPr>
                  <w:tcW w:w="2685" w:type="dxa"/>
                  <w:noWrap w:val="0"/>
                  <w:vAlign w:val="center"/>
                </w:tcPr>
                <w:p w14:paraId="7F35B8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准确移取液体</w:t>
                  </w:r>
                </w:p>
              </w:tc>
              <w:tc>
                <w:tcPr>
                  <w:tcW w:w="913" w:type="dxa"/>
                  <w:noWrap w:val="0"/>
                  <w:vAlign w:val="center"/>
                </w:tcPr>
                <w:p w14:paraId="7D1978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6D7457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120</w:t>
                  </w:r>
                </w:p>
              </w:tc>
              <w:tc>
                <w:tcPr>
                  <w:tcW w:w="854" w:type="dxa"/>
                  <w:vMerge w:val="continue"/>
                  <w:noWrap w:val="0"/>
                  <w:vAlign w:val="center"/>
                </w:tcPr>
                <w:p w14:paraId="76EFFF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32E8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7E8D4B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9</w:t>
                  </w:r>
                </w:p>
              </w:tc>
              <w:tc>
                <w:tcPr>
                  <w:tcW w:w="2275" w:type="dxa"/>
                  <w:noWrap w:val="0"/>
                  <w:vAlign w:val="center"/>
                </w:tcPr>
                <w:p w14:paraId="5931E3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胶头滴管</w:t>
                  </w:r>
                </w:p>
              </w:tc>
              <w:tc>
                <w:tcPr>
                  <w:tcW w:w="2685" w:type="dxa"/>
                  <w:noWrap w:val="0"/>
                  <w:vAlign w:val="center"/>
                </w:tcPr>
                <w:p w14:paraId="6DDF35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滴加液体试剂</w:t>
                  </w:r>
                </w:p>
              </w:tc>
              <w:tc>
                <w:tcPr>
                  <w:tcW w:w="913" w:type="dxa"/>
                  <w:noWrap w:val="0"/>
                  <w:vAlign w:val="center"/>
                </w:tcPr>
                <w:p w14:paraId="749113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73E005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60</w:t>
                  </w:r>
                </w:p>
              </w:tc>
              <w:tc>
                <w:tcPr>
                  <w:tcW w:w="854" w:type="dxa"/>
                  <w:vMerge w:val="continue"/>
                  <w:noWrap w:val="0"/>
                  <w:vAlign w:val="center"/>
                </w:tcPr>
                <w:p w14:paraId="7D856D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7313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6D2F88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10</w:t>
                  </w:r>
                </w:p>
              </w:tc>
              <w:tc>
                <w:tcPr>
                  <w:tcW w:w="2275" w:type="dxa"/>
                  <w:noWrap w:val="0"/>
                  <w:vAlign w:val="center"/>
                </w:tcPr>
                <w:p w14:paraId="1F6878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漏斗</w:t>
                  </w:r>
                </w:p>
              </w:tc>
              <w:tc>
                <w:tcPr>
                  <w:tcW w:w="2685" w:type="dxa"/>
                  <w:noWrap w:val="0"/>
                  <w:vAlign w:val="center"/>
                </w:tcPr>
                <w:p w14:paraId="067127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过滤和转移液体</w:t>
                  </w:r>
                </w:p>
              </w:tc>
              <w:tc>
                <w:tcPr>
                  <w:tcW w:w="913" w:type="dxa"/>
                  <w:noWrap w:val="0"/>
                  <w:vAlign w:val="center"/>
                </w:tcPr>
                <w:p w14:paraId="3C97DD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295BAF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50</w:t>
                  </w:r>
                </w:p>
              </w:tc>
              <w:tc>
                <w:tcPr>
                  <w:tcW w:w="854" w:type="dxa"/>
                  <w:vMerge w:val="continue"/>
                  <w:noWrap w:val="0"/>
                  <w:vAlign w:val="center"/>
                </w:tcPr>
                <w:p w14:paraId="61CE73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3CAC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1E468A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11</w:t>
                  </w:r>
                </w:p>
              </w:tc>
              <w:tc>
                <w:tcPr>
                  <w:tcW w:w="2275" w:type="dxa"/>
                  <w:noWrap w:val="0"/>
                  <w:vAlign w:val="center"/>
                </w:tcPr>
                <w:p w14:paraId="486947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分液漏斗</w:t>
                  </w:r>
                </w:p>
              </w:tc>
              <w:tc>
                <w:tcPr>
                  <w:tcW w:w="2685" w:type="dxa"/>
                  <w:noWrap w:val="0"/>
                  <w:vAlign w:val="center"/>
                </w:tcPr>
                <w:p w14:paraId="231034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分液操作，分离互不相溶的液体</w:t>
                  </w:r>
                </w:p>
              </w:tc>
              <w:tc>
                <w:tcPr>
                  <w:tcW w:w="913" w:type="dxa"/>
                  <w:noWrap w:val="0"/>
                  <w:vAlign w:val="center"/>
                </w:tcPr>
                <w:p w14:paraId="49AEFB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386239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50</w:t>
                  </w:r>
                </w:p>
              </w:tc>
              <w:tc>
                <w:tcPr>
                  <w:tcW w:w="854" w:type="dxa"/>
                  <w:vMerge w:val="continue"/>
                  <w:noWrap w:val="0"/>
                  <w:vAlign w:val="center"/>
                </w:tcPr>
                <w:p w14:paraId="4FCFF0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117D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0EFED7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12</w:t>
                  </w:r>
                </w:p>
              </w:tc>
              <w:tc>
                <w:tcPr>
                  <w:tcW w:w="2275" w:type="dxa"/>
                  <w:noWrap w:val="0"/>
                  <w:vAlign w:val="center"/>
                </w:tcPr>
                <w:p w14:paraId="1E9924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冷凝管（直形/球形）</w:t>
                  </w:r>
                </w:p>
              </w:tc>
              <w:tc>
                <w:tcPr>
                  <w:tcW w:w="2685" w:type="dxa"/>
                  <w:noWrap w:val="0"/>
                  <w:vAlign w:val="center"/>
                </w:tcPr>
                <w:p w14:paraId="3D2732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冷凝蒸气，用于蒸馏或回流</w:t>
                  </w:r>
                </w:p>
              </w:tc>
              <w:tc>
                <w:tcPr>
                  <w:tcW w:w="913" w:type="dxa"/>
                  <w:noWrap w:val="0"/>
                  <w:vAlign w:val="center"/>
                </w:tcPr>
                <w:p w14:paraId="6D6F03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4CFA82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80</w:t>
                  </w:r>
                </w:p>
              </w:tc>
              <w:tc>
                <w:tcPr>
                  <w:tcW w:w="854" w:type="dxa"/>
                  <w:vMerge w:val="continue"/>
                  <w:noWrap w:val="0"/>
                  <w:vAlign w:val="center"/>
                </w:tcPr>
                <w:p w14:paraId="3615ED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5572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3851B3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13</w:t>
                  </w:r>
                </w:p>
              </w:tc>
              <w:tc>
                <w:tcPr>
                  <w:tcW w:w="2275" w:type="dxa"/>
                  <w:noWrap w:val="0"/>
                  <w:vAlign w:val="center"/>
                </w:tcPr>
                <w:p w14:paraId="5952AD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蒸发皿</w:t>
                  </w:r>
                </w:p>
              </w:tc>
              <w:tc>
                <w:tcPr>
                  <w:tcW w:w="2685" w:type="dxa"/>
                  <w:noWrap w:val="0"/>
                  <w:vAlign w:val="center"/>
                </w:tcPr>
                <w:p w14:paraId="383869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蒸发浓缩溶液，瓷质</w:t>
                  </w:r>
                </w:p>
              </w:tc>
              <w:tc>
                <w:tcPr>
                  <w:tcW w:w="913" w:type="dxa"/>
                  <w:noWrap w:val="0"/>
                  <w:vAlign w:val="center"/>
                </w:tcPr>
                <w:p w14:paraId="442E09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77C39B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50</w:t>
                  </w:r>
                </w:p>
              </w:tc>
              <w:tc>
                <w:tcPr>
                  <w:tcW w:w="854" w:type="dxa"/>
                  <w:vMerge w:val="continue"/>
                  <w:noWrap w:val="0"/>
                  <w:vAlign w:val="center"/>
                </w:tcPr>
                <w:p w14:paraId="5CB8EA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538D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338DAD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14</w:t>
                  </w:r>
                </w:p>
              </w:tc>
              <w:tc>
                <w:tcPr>
                  <w:tcW w:w="2275" w:type="dxa"/>
                  <w:noWrap w:val="0"/>
                  <w:vAlign w:val="center"/>
                </w:tcPr>
                <w:p w14:paraId="395009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坩埚</w:t>
                  </w:r>
                </w:p>
              </w:tc>
              <w:tc>
                <w:tcPr>
                  <w:tcW w:w="2685" w:type="dxa"/>
                  <w:noWrap w:val="0"/>
                  <w:vAlign w:val="center"/>
                </w:tcPr>
                <w:p w14:paraId="2175CC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高温灼烧固体物质，瓷质或金属质</w:t>
                  </w:r>
                </w:p>
              </w:tc>
              <w:tc>
                <w:tcPr>
                  <w:tcW w:w="913" w:type="dxa"/>
                  <w:noWrap w:val="0"/>
                  <w:vAlign w:val="center"/>
                </w:tcPr>
                <w:p w14:paraId="301B29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06E3DF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50</w:t>
                  </w:r>
                </w:p>
              </w:tc>
              <w:tc>
                <w:tcPr>
                  <w:tcW w:w="854" w:type="dxa"/>
                  <w:vMerge w:val="continue"/>
                  <w:noWrap w:val="0"/>
                  <w:vAlign w:val="center"/>
                </w:tcPr>
                <w:p w14:paraId="6900B3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00B6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600646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15</w:t>
                  </w:r>
                </w:p>
              </w:tc>
              <w:tc>
                <w:tcPr>
                  <w:tcW w:w="2275" w:type="dxa"/>
                  <w:noWrap w:val="0"/>
                  <w:vAlign w:val="center"/>
                </w:tcPr>
                <w:p w14:paraId="1CEF25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干燥器</w:t>
                  </w:r>
                </w:p>
              </w:tc>
              <w:tc>
                <w:tcPr>
                  <w:tcW w:w="2685" w:type="dxa"/>
                  <w:noWrap w:val="0"/>
                  <w:vAlign w:val="center"/>
                </w:tcPr>
                <w:p w14:paraId="61A0AF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保持物质干燥</w:t>
                  </w:r>
                </w:p>
              </w:tc>
              <w:tc>
                <w:tcPr>
                  <w:tcW w:w="913" w:type="dxa"/>
                  <w:noWrap w:val="0"/>
                  <w:vAlign w:val="center"/>
                </w:tcPr>
                <w:p w14:paraId="79417E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3DED9D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50</w:t>
                  </w:r>
                </w:p>
              </w:tc>
              <w:tc>
                <w:tcPr>
                  <w:tcW w:w="854" w:type="dxa"/>
                  <w:vMerge w:val="continue"/>
                  <w:noWrap w:val="0"/>
                  <w:vAlign w:val="center"/>
                </w:tcPr>
                <w:p w14:paraId="50F4C3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406D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6DE4D7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16</w:t>
                  </w:r>
                </w:p>
              </w:tc>
              <w:tc>
                <w:tcPr>
                  <w:tcW w:w="2275" w:type="dxa"/>
                  <w:noWrap w:val="0"/>
                  <w:vAlign w:val="center"/>
                </w:tcPr>
                <w:p w14:paraId="2156D9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滴瓶</w:t>
                  </w:r>
                </w:p>
              </w:tc>
              <w:tc>
                <w:tcPr>
                  <w:tcW w:w="2685" w:type="dxa"/>
                  <w:noWrap w:val="0"/>
                  <w:vAlign w:val="center"/>
                </w:tcPr>
                <w:p w14:paraId="64934D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存放指示剂等常用液体试剂</w:t>
                  </w:r>
                </w:p>
              </w:tc>
              <w:tc>
                <w:tcPr>
                  <w:tcW w:w="913" w:type="dxa"/>
                  <w:noWrap w:val="0"/>
                  <w:vAlign w:val="center"/>
                </w:tcPr>
                <w:p w14:paraId="786071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083A75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50</w:t>
                  </w:r>
                </w:p>
              </w:tc>
              <w:tc>
                <w:tcPr>
                  <w:tcW w:w="854" w:type="dxa"/>
                  <w:vMerge w:val="continue"/>
                  <w:noWrap w:val="0"/>
                  <w:vAlign w:val="center"/>
                </w:tcPr>
                <w:p w14:paraId="66D1A1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7054F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758550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17</w:t>
                  </w:r>
                </w:p>
              </w:tc>
              <w:tc>
                <w:tcPr>
                  <w:tcW w:w="2275" w:type="dxa"/>
                  <w:noWrap w:val="0"/>
                  <w:vAlign w:val="center"/>
                </w:tcPr>
                <w:p w14:paraId="65C2AF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集气瓶</w:t>
                  </w:r>
                </w:p>
              </w:tc>
              <w:tc>
                <w:tcPr>
                  <w:tcW w:w="2685" w:type="dxa"/>
                  <w:noWrap w:val="0"/>
                  <w:vAlign w:val="center"/>
                </w:tcPr>
                <w:p w14:paraId="35884B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收集和储存气体</w:t>
                  </w:r>
                </w:p>
              </w:tc>
              <w:tc>
                <w:tcPr>
                  <w:tcW w:w="913" w:type="dxa"/>
                  <w:noWrap w:val="0"/>
                  <w:vAlign w:val="center"/>
                </w:tcPr>
                <w:p w14:paraId="60BF50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35B814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60</w:t>
                  </w:r>
                </w:p>
              </w:tc>
              <w:tc>
                <w:tcPr>
                  <w:tcW w:w="854" w:type="dxa"/>
                  <w:vMerge w:val="continue"/>
                  <w:noWrap w:val="0"/>
                  <w:vAlign w:val="center"/>
                </w:tcPr>
                <w:p w14:paraId="192F0D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55C9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1C435E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18</w:t>
                  </w:r>
                </w:p>
              </w:tc>
              <w:tc>
                <w:tcPr>
                  <w:tcW w:w="2275" w:type="dxa"/>
                  <w:noWrap w:val="0"/>
                  <w:vAlign w:val="center"/>
                </w:tcPr>
                <w:p w14:paraId="4D0F2B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玻璃棒</w:t>
                  </w:r>
                </w:p>
              </w:tc>
              <w:tc>
                <w:tcPr>
                  <w:tcW w:w="2685" w:type="dxa"/>
                  <w:noWrap w:val="0"/>
                  <w:vAlign w:val="center"/>
                </w:tcPr>
                <w:p w14:paraId="74A7A6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搅拌、引流</w:t>
                  </w:r>
                </w:p>
              </w:tc>
              <w:tc>
                <w:tcPr>
                  <w:tcW w:w="913" w:type="dxa"/>
                  <w:noWrap w:val="0"/>
                  <w:vAlign w:val="center"/>
                </w:tcPr>
                <w:p w14:paraId="460BB3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467F11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80</w:t>
                  </w:r>
                </w:p>
              </w:tc>
              <w:tc>
                <w:tcPr>
                  <w:tcW w:w="854" w:type="dxa"/>
                  <w:vMerge w:val="continue"/>
                  <w:noWrap w:val="0"/>
                  <w:vAlign w:val="center"/>
                </w:tcPr>
                <w:p w14:paraId="7E3AC8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5504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27" w:type="dxa"/>
                  <w:noWrap w:val="0"/>
                  <w:vAlign w:val="center"/>
                </w:tcPr>
                <w:p w14:paraId="41BA4C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19</w:t>
                  </w:r>
                </w:p>
              </w:tc>
              <w:tc>
                <w:tcPr>
                  <w:tcW w:w="2275" w:type="dxa"/>
                  <w:noWrap w:val="0"/>
                  <w:vAlign w:val="center"/>
                </w:tcPr>
                <w:p w14:paraId="668730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酒精灯</w:t>
                  </w:r>
                </w:p>
              </w:tc>
              <w:tc>
                <w:tcPr>
                  <w:tcW w:w="2685" w:type="dxa"/>
                  <w:noWrap w:val="0"/>
                  <w:vAlign w:val="center"/>
                </w:tcPr>
                <w:p w14:paraId="36C2F5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加热仪器，盛装酒精</w:t>
                  </w:r>
                </w:p>
              </w:tc>
              <w:tc>
                <w:tcPr>
                  <w:tcW w:w="913" w:type="dxa"/>
                  <w:noWrap w:val="0"/>
                  <w:vAlign w:val="center"/>
                </w:tcPr>
                <w:p w14:paraId="4F73F5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3" w:type="dxa"/>
                  <w:noWrap w:val="0"/>
                  <w:vAlign w:val="center"/>
                </w:tcPr>
                <w:p w14:paraId="358EF1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45</w:t>
                  </w:r>
                </w:p>
              </w:tc>
              <w:tc>
                <w:tcPr>
                  <w:tcW w:w="854" w:type="dxa"/>
                  <w:vMerge w:val="continue"/>
                  <w:noWrap w:val="0"/>
                  <w:vAlign w:val="center"/>
                </w:tcPr>
                <w:p w14:paraId="75AA41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bl>
          <w:p w14:paraId="0C585C8B">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表2-6生物实验室主要设备一览表</w:t>
            </w:r>
          </w:p>
          <w:tbl>
            <w:tblPr>
              <w:tblStyle w:val="23"/>
              <w:tblW w:w="7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3115"/>
              <w:gridCol w:w="889"/>
              <w:gridCol w:w="1572"/>
              <w:gridCol w:w="1572"/>
            </w:tblGrid>
            <w:tr w14:paraId="6375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12" w:type="dxa"/>
                  <w:noWrap w:val="0"/>
                  <w:vAlign w:val="center"/>
                </w:tcPr>
                <w:p w14:paraId="550481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序号</w:t>
                  </w:r>
                </w:p>
              </w:tc>
              <w:tc>
                <w:tcPr>
                  <w:tcW w:w="3115" w:type="dxa"/>
                  <w:noWrap w:val="0"/>
                  <w:vAlign w:val="center"/>
                </w:tcPr>
                <w:p w14:paraId="784D65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器材名称</w:t>
                  </w:r>
                </w:p>
              </w:tc>
              <w:tc>
                <w:tcPr>
                  <w:tcW w:w="889" w:type="dxa"/>
                  <w:noWrap w:val="0"/>
                  <w:vAlign w:val="center"/>
                </w:tcPr>
                <w:p w14:paraId="078E3F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计量单位</w:t>
                  </w:r>
                </w:p>
              </w:tc>
              <w:tc>
                <w:tcPr>
                  <w:tcW w:w="1572" w:type="dxa"/>
                  <w:noWrap w:val="0"/>
                  <w:vAlign w:val="center"/>
                </w:tcPr>
                <w:p w14:paraId="4C3F32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入库数量</w:t>
                  </w:r>
                </w:p>
              </w:tc>
              <w:tc>
                <w:tcPr>
                  <w:tcW w:w="1572" w:type="dxa"/>
                  <w:noWrap w:val="0"/>
                  <w:vAlign w:val="center"/>
                </w:tcPr>
                <w:p w14:paraId="3B2B46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存放地点</w:t>
                  </w:r>
                </w:p>
              </w:tc>
            </w:tr>
            <w:tr w14:paraId="3F8C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12" w:type="dxa"/>
                  <w:noWrap/>
                  <w:vAlign w:val="center"/>
                </w:tcPr>
                <w:p w14:paraId="731DBB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3115" w:type="dxa"/>
                  <w:noWrap/>
                  <w:vAlign w:val="center"/>
                </w:tcPr>
                <w:p w14:paraId="038EA6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洗眼器</w:t>
                  </w:r>
                </w:p>
              </w:tc>
              <w:tc>
                <w:tcPr>
                  <w:tcW w:w="889" w:type="dxa"/>
                  <w:noWrap/>
                  <w:vAlign w:val="center"/>
                </w:tcPr>
                <w:p w14:paraId="5ABF0C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0796FE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restart"/>
                  <w:noWrap/>
                  <w:vAlign w:val="center"/>
                </w:tcPr>
                <w:p w14:paraId="03B894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仪器库</w:t>
                  </w:r>
                </w:p>
              </w:tc>
            </w:tr>
            <w:tr w14:paraId="5738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3BC645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3115" w:type="dxa"/>
                  <w:noWrap/>
                  <w:vAlign w:val="center"/>
                </w:tcPr>
                <w:p w14:paraId="5048F9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护目镜</w:t>
                  </w:r>
                </w:p>
              </w:tc>
              <w:tc>
                <w:tcPr>
                  <w:tcW w:w="889" w:type="dxa"/>
                  <w:noWrap/>
                  <w:vAlign w:val="center"/>
                </w:tcPr>
                <w:p w14:paraId="515C8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47574F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w:t>
                  </w:r>
                </w:p>
              </w:tc>
              <w:tc>
                <w:tcPr>
                  <w:tcW w:w="1572" w:type="dxa"/>
                  <w:vMerge w:val="continue"/>
                  <w:noWrap/>
                  <w:vAlign w:val="center"/>
                </w:tcPr>
                <w:p w14:paraId="66DA9A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D0D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3CF0B6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3115" w:type="dxa"/>
                  <w:noWrap/>
                  <w:vAlign w:val="center"/>
                </w:tcPr>
                <w:p w14:paraId="200715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工作服</w:t>
                  </w:r>
                </w:p>
              </w:tc>
              <w:tc>
                <w:tcPr>
                  <w:tcW w:w="889" w:type="dxa"/>
                  <w:noWrap/>
                  <w:vAlign w:val="center"/>
                </w:tcPr>
                <w:p w14:paraId="1991F7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件</w:t>
                  </w:r>
                </w:p>
              </w:tc>
              <w:tc>
                <w:tcPr>
                  <w:tcW w:w="1572" w:type="dxa"/>
                  <w:noWrap/>
                  <w:vAlign w:val="center"/>
                </w:tcPr>
                <w:p w14:paraId="3261CE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w:t>
                  </w:r>
                </w:p>
              </w:tc>
              <w:tc>
                <w:tcPr>
                  <w:tcW w:w="1572" w:type="dxa"/>
                  <w:vMerge w:val="continue"/>
                  <w:noWrap/>
                  <w:vAlign w:val="center"/>
                </w:tcPr>
                <w:p w14:paraId="6C2394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75DC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25040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w:t>
                  </w:r>
                </w:p>
              </w:tc>
              <w:tc>
                <w:tcPr>
                  <w:tcW w:w="3115" w:type="dxa"/>
                  <w:noWrap/>
                  <w:vAlign w:val="center"/>
                </w:tcPr>
                <w:p w14:paraId="16E29E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植物组织培养基试剂盒</w:t>
                  </w:r>
                </w:p>
              </w:tc>
              <w:tc>
                <w:tcPr>
                  <w:tcW w:w="889" w:type="dxa"/>
                  <w:noWrap/>
                  <w:vAlign w:val="center"/>
                </w:tcPr>
                <w:p w14:paraId="1E995F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6C9901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0D7300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87D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B9533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w:t>
                  </w:r>
                </w:p>
              </w:tc>
              <w:tc>
                <w:tcPr>
                  <w:tcW w:w="3115" w:type="dxa"/>
                  <w:noWrap/>
                  <w:vAlign w:val="center"/>
                </w:tcPr>
                <w:p w14:paraId="22F09F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定性滤纸</w:t>
                  </w:r>
                </w:p>
              </w:tc>
              <w:tc>
                <w:tcPr>
                  <w:tcW w:w="889" w:type="dxa"/>
                  <w:noWrap/>
                  <w:vAlign w:val="center"/>
                </w:tcPr>
                <w:p w14:paraId="70F3C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盒</w:t>
                  </w:r>
                </w:p>
              </w:tc>
              <w:tc>
                <w:tcPr>
                  <w:tcW w:w="1572" w:type="dxa"/>
                  <w:noWrap/>
                  <w:vAlign w:val="center"/>
                </w:tcPr>
                <w:p w14:paraId="004974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w:t>
                  </w:r>
                </w:p>
              </w:tc>
              <w:tc>
                <w:tcPr>
                  <w:tcW w:w="1572" w:type="dxa"/>
                  <w:vMerge w:val="continue"/>
                  <w:noWrap/>
                  <w:vAlign w:val="center"/>
                </w:tcPr>
                <w:p w14:paraId="4B95B5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D1F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93FAE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w:t>
                  </w:r>
                </w:p>
              </w:tc>
              <w:tc>
                <w:tcPr>
                  <w:tcW w:w="3115" w:type="dxa"/>
                  <w:noWrap/>
                  <w:vAlign w:val="center"/>
                </w:tcPr>
                <w:p w14:paraId="2505DB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pH试纸</w:t>
                  </w:r>
                </w:p>
              </w:tc>
              <w:tc>
                <w:tcPr>
                  <w:tcW w:w="889" w:type="dxa"/>
                  <w:noWrap/>
                  <w:vAlign w:val="center"/>
                </w:tcPr>
                <w:p w14:paraId="0A897A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本</w:t>
                  </w:r>
                </w:p>
              </w:tc>
              <w:tc>
                <w:tcPr>
                  <w:tcW w:w="1572" w:type="dxa"/>
                  <w:noWrap/>
                  <w:vAlign w:val="center"/>
                </w:tcPr>
                <w:p w14:paraId="54588B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7EDEAF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F26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07480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w:t>
                  </w:r>
                </w:p>
              </w:tc>
              <w:tc>
                <w:tcPr>
                  <w:tcW w:w="3115" w:type="dxa"/>
                  <w:noWrap/>
                  <w:vAlign w:val="center"/>
                </w:tcPr>
                <w:p w14:paraId="71C408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棉纱缸</w:t>
                  </w:r>
                </w:p>
              </w:tc>
              <w:tc>
                <w:tcPr>
                  <w:tcW w:w="889" w:type="dxa"/>
                  <w:noWrap/>
                  <w:vAlign w:val="center"/>
                </w:tcPr>
                <w:p w14:paraId="4E9315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5973F5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lang w:val="en-US" w:eastAsia="zh-CN"/>
                    </w:rPr>
                  </w:pPr>
                  <w:r>
                    <w:rPr>
                      <w:rFonts w:hint="eastAsia" w:cs="Times New Roman"/>
                      <w:i w:val="0"/>
                      <w:iCs w:val="0"/>
                      <w:color w:val="auto"/>
                      <w:sz w:val="24"/>
                      <w:szCs w:val="24"/>
                      <w:highlight w:val="none"/>
                      <w:u w:val="none"/>
                      <w:lang w:val="en-US" w:eastAsia="zh-CN"/>
                    </w:rPr>
                    <w:t>10</w:t>
                  </w:r>
                </w:p>
              </w:tc>
              <w:tc>
                <w:tcPr>
                  <w:tcW w:w="1572" w:type="dxa"/>
                  <w:vMerge w:val="continue"/>
                  <w:noWrap/>
                  <w:vAlign w:val="center"/>
                </w:tcPr>
                <w:p w14:paraId="26BF32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067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7A17DF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w:t>
                  </w:r>
                </w:p>
              </w:tc>
              <w:tc>
                <w:tcPr>
                  <w:tcW w:w="3115" w:type="dxa"/>
                  <w:noWrap/>
                  <w:vAlign w:val="center"/>
                </w:tcPr>
                <w:p w14:paraId="23D705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研钵</w:t>
                  </w:r>
                </w:p>
              </w:tc>
              <w:tc>
                <w:tcPr>
                  <w:tcW w:w="889" w:type="dxa"/>
                  <w:noWrap/>
                  <w:vAlign w:val="center"/>
                </w:tcPr>
                <w:p w14:paraId="0B1306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4046D0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78</w:t>
                  </w:r>
                </w:p>
              </w:tc>
              <w:tc>
                <w:tcPr>
                  <w:tcW w:w="1572" w:type="dxa"/>
                  <w:vMerge w:val="continue"/>
                  <w:noWrap/>
                  <w:vAlign w:val="center"/>
                </w:tcPr>
                <w:p w14:paraId="6CA3E8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8A8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3A79D4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w:t>
                  </w:r>
                </w:p>
              </w:tc>
              <w:tc>
                <w:tcPr>
                  <w:tcW w:w="3115" w:type="dxa"/>
                  <w:noWrap/>
                  <w:vAlign w:val="center"/>
                </w:tcPr>
                <w:p w14:paraId="7040D1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培养皿1</w:t>
                  </w:r>
                  <w:r>
                    <w:rPr>
                      <w:rFonts w:hint="eastAsia" w:ascii="Times New Roman" w:hAnsi="Times New Roman" w:cs="Times New Roman"/>
                      <w:i w:val="0"/>
                      <w:iCs w:val="0"/>
                      <w:color w:val="auto"/>
                      <w:kern w:val="0"/>
                      <w:sz w:val="24"/>
                      <w:szCs w:val="24"/>
                      <w:highlight w:val="none"/>
                      <w:u w:val="none"/>
                      <w:lang w:val="en-US" w:eastAsia="zh-CN" w:bidi="ar"/>
                    </w:rPr>
                    <w:t>20m</w:t>
                  </w:r>
                  <w:r>
                    <w:rPr>
                      <w:rFonts w:hint="default" w:ascii="Times New Roman" w:hAnsi="Times New Roman" w:eastAsia="宋体" w:cs="Times New Roman"/>
                      <w:i w:val="0"/>
                      <w:iCs w:val="0"/>
                      <w:color w:val="auto"/>
                      <w:kern w:val="0"/>
                      <w:sz w:val="24"/>
                      <w:szCs w:val="24"/>
                      <w:highlight w:val="none"/>
                      <w:u w:val="none"/>
                      <w:lang w:val="en-US" w:eastAsia="zh-CN" w:bidi="ar"/>
                    </w:rPr>
                    <w:t>m</w:t>
                  </w:r>
                </w:p>
              </w:tc>
              <w:tc>
                <w:tcPr>
                  <w:tcW w:w="889" w:type="dxa"/>
                  <w:noWrap/>
                  <w:vAlign w:val="center"/>
                </w:tcPr>
                <w:p w14:paraId="62682E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72BD19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400</w:t>
                  </w:r>
                </w:p>
              </w:tc>
              <w:tc>
                <w:tcPr>
                  <w:tcW w:w="1572" w:type="dxa"/>
                  <w:vMerge w:val="continue"/>
                  <w:noWrap/>
                  <w:vAlign w:val="center"/>
                </w:tcPr>
                <w:p w14:paraId="4A974C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87E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8D0D2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w:t>
                  </w:r>
                </w:p>
              </w:tc>
              <w:tc>
                <w:tcPr>
                  <w:tcW w:w="3115" w:type="dxa"/>
                  <w:noWrap/>
                  <w:vAlign w:val="center"/>
                </w:tcPr>
                <w:p w14:paraId="406558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培养皿60mm</w:t>
                  </w:r>
                </w:p>
              </w:tc>
              <w:tc>
                <w:tcPr>
                  <w:tcW w:w="889" w:type="dxa"/>
                  <w:noWrap/>
                  <w:vAlign w:val="center"/>
                </w:tcPr>
                <w:p w14:paraId="549832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293008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w:t>
                  </w:r>
                </w:p>
              </w:tc>
              <w:tc>
                <w:tcPr>
                  <w:tcW w:w="1572" w:type="dxa"/>
                  <w:vMerge w:val="continue"/>
                  <w:noWrap/>
                  <w:vAlign w:val="center"/>
                </w:tcPr>
                <w:p w14:paraId="052EEB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2B5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305C6A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w:t>
                  </w:r>
                </w:p>
              </w:tc>
              <w:tc>
                <w:tcPr>
                  <w:tcW w:w="3115" w:type="dxa"/>
                  <w:noWrap/>
                  <w:vAlign w:val="center"/>
                </w:tcPr>
                <w:p w14:paraId="1C293A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洗耳球</w:t>
                  </w:r>
                </w:p>
              </w:tc>
              <w:tc>
                <w:tcPr>
                  <w:tcW w:w="889" w:type="dxa"/>
                  <w:noWrap/>
                  <w:vAlign w:val="center"/>
                </w:tcPr>
                <w:p w14:paraId="409031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28CBD8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w:t>
                  </w:r>
                </w:p>
              </w:tc>
              <w:tc>
                <w:tcPr>
                  <w:tcW w:w="1572" w:type="dxa"/>
                  <w:vMerge w:val="continue"/>
                  <w:noWrap/>
                  <w:vAlign w:val="center"/>
                </w:tcPr>
                <w:p w14:paraId="1FF700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5FD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52146D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w:t>
                  </w:r>
                </w:p>
              </w:tc>
              <w:tc>
                <w:tcPr>
                  <w:tcW w:w="3115" w:type="dxa"/>
                  <w:noWrap/>
                  <w:vAlign w:val="center"/>
                </w:tcPr>
                <w:p w14:paraId="5D4279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玻璃棒</w:t>
                  </w:r>
                </w:p>
              </w:tc>
              <w:tc>
                <w:tcPr>
                  <w:tcW w:w="889" w:type="dxa"/>
                  <w:noWrap/>
                  <w:vAlign w:val="center"/>
                </w:tcPr>
                <w:p w14:paraId="4C094A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千克</w:t>
                  </w:r>
                </w:p>
              </w:tc>
              <w:tc>
                <w:tcPr>
                  <w:tcW w:w="1572" w:type="dxa"/>
                  <w:noWrap/>
                  <w:vAlign w:val="center"/>
                </w:tcPr>
                <w:p w14:paraId="5EA5DC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81</w:t>
                  </w:r>
                </w:p>
              </w:tc>
              <w:tc>
                <w:tcPr>
                  <w:tcW w:w="1572" w:type="dxa"/>
                  <w:vMerge w:val="continue"/>
                  <w:noWrap/>
                  <w:vAlign w:val="center"/>
                </w:tcPr>
                <w:p w14:paraId="713A09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DAF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692556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w:t>
                  </w:r>
                </w:p>
              </w:tc>
              <w:tc>
                <w:tcPr>
                  <w:tcW w:w="3115" w:type="dxa"/>
                  <w:noWrap/>
                  <w:vAlign w:val="center"/>
                </w:tcPr>
                <w:p w14:paraId="46596F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药匙</w:t>
                  </w:r>
                </w:p>
              </w:tc>
              <w:tc>
                <w:tcPr>
                  <w:tcW w:w="889" w:type="dxa"/>
                  <w:noWrap/>
                  <w:vAlign w:val="center"/>
                </w:tcPr>
                <w:p w14:paraId="5F4107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把</w:t>
                  </w:r>
                </w:p>
              </w:tc>
              <w:tc>
                <w:tcPr>
                  <w:tcW w:w="1572" w:type="dxa"/>
                  <w:noWrap/>
                  <w:vAlign w:val="center"/>
                </w:tcPr>
                <w:p w14:paraId="3F0309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w:t>
                  </w:r>
                </w:p>
              </w:tc>
              <w:tc>
                <w:tcPr>
                  <w:tcW w:w="1572" w:type="dxa"/>
                  <w:vMerge w:val="continue"/>
                  <w:noWrap/>
                  <w:vAlign w:val="center"/>
                </w:tcPr>
                <w:p w14:paraId="20B60F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817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693DFA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w:t>
                  </w:r>
                </w:p>
              </w:tc>
              <w:tc>
                <w:tcPr>
                  <w:tcW w:w="3115" w:type="dxa"/>
                  <w:noWrap/>
                  <w:vAlign w:val="center"/>
                </w:tcPr>
                <w:p w14:paraId="40B362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石棉网</w:t>
                  </w:r>
                </w:p>
              </w:tc>
              <w:tc>
                <w:tcPr>
                  <w:tcW w:w="889" w:type="dxa"/>
                  <w:noWrap/>
                  <w:vAlign w:val="center"/>
                </w:tcPr>
                <w:p w14:paraId="26BE8F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7B786F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65</w:t>
                  </w:r>
                </w:p>
              </w:tc>
              <w:tc>
                <w:tcPr>
                  <w:tcW w:w="1572" w:type="dxa"/>
                  <w:vMerge w:val="continue"/>
                  <w:noWrap/>
                  <w:vAlign w:val="center"/>
                </w:tcPr>
                <w:p w14:paraId="342003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EF0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33FCFB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w:t>
                  </w:r>
                </w:p>
              </w:tc>
              <w:tc>
                <w:tcPr>
                  <w:tcW w:w="3115" w:type="dxa"/>
                  <w:noWrap/>
                  <w:vAlign w:val="center"/>
                </w:tcPr>
                <w:p w14:paraId="33E026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试管夹</w:t>
                  </w:r>
                </w:p>
              </w:tc>
              <w:tc>
                <w:tcPr>
                  <w:tcW w:w="889" w:type="dxa"/>
                  <w:noWrap/>
                  <w:vAlign w:val="center"/>
                </w:tcPr>
                <w:p w14:paraId="023517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把</w:t>
                  </w:r>
                </w:p>
              </w:tc>
              <w:tc>
                <w:tcPr>
                  <w:tcW w:w="1572" w:type="dxa"/>
                  <w:noWrap/>
                  <w:vAlign w:val="center"/>
                </w:tcPr>
                <w:p w14:paraId="0A5DD9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175</w:t>
                  </w:r>
                </w:p>
              </w:tc>
              <w:tc>
                <w:tcPr>
                  <w:tcW w:w="1572" w:type="dxa"/>
                  <w:vMerge w:val="continue"/>
                  <w:noWrap/>
                  <w:vAlign w:val="center"/>
                </w:tcPr>
                <w:p w14:paraId="6A30CB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E48B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1286C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w:t>
                  </w:r>
                </w:p>
              </w:tc>
              <w:tc>
                <w:tcPr>
                  <w:tcW w:w="3115" w:type="dxa"/>
                  <w:noWrap/>
                  <w:vAlign w:val="center"/>
                </w:tcPr>
                <w:p w14:paraId="388C77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滴瓶茶色30mL</w:t>
                  </w:r>
                </w:p>
              </w:tc>
              <w:tc>
                <w:tcPr>
                  <w:tcW w:w="889" w:type="dxa"/>
                  <w:noWrap/>
                  <w:vAlign w:val="center"/>
                </w:tcPr>
                <w:p w14:paraId="08B7F3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600612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250</w:t>
                  </w:r>
                </w:p>
              </w:tc>
              <w:tc>
                <w:tcPr>
                  <w:tcW w:w="1572" w:type="dxa"/>
                  <w:vMerge w:val="continue"/>
                  <w:noWrap/>
                  <w:vAlign w:val="center"/>
                </w:tcPr>
                <w:p w14:paraId="592E35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74D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7AB6C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w:t>
                  </w:r>
                </w:p>
              </w:tc>
              <w:tc>
                <w:tcPr>
                  <w:tcW w:w="3115" w:type="dxa"/>
                  <w:noWrap/>
                  <w:vAlign w:val="center"/>
                </w:tcPr>
                <w:p w14:paraId="74ADB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滴瓶茶色60mL</w:t>
                  </w:r>
                </w:p>
              </w:tc>
              <w:tc>
                <w:tcPr>
                  <w:tcW w:w="889" w:type="dxa"/>
                  <w:noWrap/>
                  <w:vAlign w:val="center"/>
                </w:tcPr>
                <w:p w14:paraId="71D929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7281A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250</w:t>
                  </w:r>
                </w:p>
              </w:tc>
              <w:tc>
                <w:tcPr>
                  <w:tcW w:w="1572" w:type="dxa"/>
                  <w:vMerge w:val="continue"/>
                  <w:noWrap/>
                  <w:vAlign w:val="center"/>
                </w:tcPr>
                <w:p w14:paraId="248034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1FB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7882C1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w:t>
                  </w:r>
                </w:p>
              </w:tc>
              <w:tc>
                <w:tcPr>
                  <w:tcW w:w="3115" w:type="dxa"/>
                  <w:noWrap/>
                  <w:vAlign w:val="center"/>
                </w:tcPr>
                <w:p w14:paraId="7B1A0C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滴瓶白色60mL</w:t>
                  </w:r>
                </w:p>
              </w:tc>
              <w:tc>
                <w:tcPr>
                  <w:tcW w:w="889" w:type="dxa"/>
                  <w:noWrap/>
                  <w:vAlign w:val="center"/>
                </w:tcPr>
                <w:p w14:paraId="62BE9B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7F8488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300</w:t>
                  </w:r>
                </w:p>
              </w:tc>
              <w:tc>
                <w:tcPr>
                  <w:tcW w:w="1572" w:type="dxa"/>
                  <w:vMerge w:val="continue"/>
                  <w:noWrap/>
                  <w:vAlign w:val="center"/>
                </w:tcPr>
                <w:p w14:paraId="20A3A9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EA5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BB3C7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w:t>
                  </w:r>
                </w:p>
              </w:tc>
              <w:tc>
                <w:tcPr>
                  <w:tcW w:w="3115" w:type="dxa"/>
                  <w:noWrap/>
                  <w:vAlign w:val="center"/>
                </w:tcPr>
                <w:p w14:paraId="426C47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滴瓶白色30mL</w:t>
                  </w:r>
                </w:p>
              </w:tc>
              <w:tc>
                <w:tcPr>
                  <w:tcW w:w="889" w:type="dxa"/>
                  <w:noWrap/>
                  <w:vAlign w:val="center"/>
                </w:tcPr>
                <w:p w14:paraId="3C7E3F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7E31DA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900</w:t>
                  </w:r>
                </w:p>
              </w:tc>
              <w:tc>
                <w:tcPr>
                  <w:tcW w:w="1572" w:type="dxa"/>
                  <w:vMerge w:val="continue"/>
                  <w:noWrap/>
                  <w:vAlign w:val="center"/>
                </w:tcPr>
                <w:p w14:paraId="78B91D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566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DDC7B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w:t>
                  </w:r>
                </w:p>
              </w:tc>
              <w:tc>
                <w:tcPr>
                  <w:tcW w:w="3115" w:type="dxa"/>
                  <w:noWrap/>
                  <w:vAlign w:val="center"/>
                </w:tcPr>
                <w:p w14:paraId="2EBA27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细口瓶250ml</w:t>
                  </w:r>
                </w:p>
              </w:tc>
              <w:tc>
                <w:tcPr>
                  <w:tcW w:w="889" w:type="dxa"/>
                  <w:noWrap/>
                  <w:vAlign w:val="center"/>
                </w:tcPr>
                <w:p w14:paraId="0904F1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5C4A2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w:t>
                  </w:r>
                </w:p>
              </w:tc>
              <w:tc>
                <w:tcPr>
                  <w:tcW w:w="1572" w:type="dxa"/>
                  <w:vMerge w:val="continue"/>
                  <w:noWrap/>
                  <w:vAlign w:val="center"/>
                </w:tcPr>
                <w:p w14:paraId="5C523C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DDE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294F9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w:t>
                  </w:r>
                </w:p>
              </w:tc>
              <w:tc>
                <w:tcPr>
                  <w:tcW w:w="3115" w:type="dxa"/>
                  <w:noWrap/>
                  <w:vAlign w:val="center"/>
                </w:tcPr>
                <w:p w14:paraId="12A699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细口瓶500ml</w:t>
                  </w:r>
                </w:p>
              </w:tc>
              <w:tc>
                <w:tcPr>
                  <w:tcW w:w="889" w:type="dxa"/>
                  <w:noWrap/>
                  <w:vAlign w:val="center"/>
                </w:tcPr>
                <w:p w14:paraId="38CDEF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13803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w:t>
                  </w:r>
                </w:p>
              </w:tc>
              <w:tc>
                <w:tcPr>
                  <w:tcW w:w="1572" w:type="dxa"/>
                  <w:vMerge w:val="continue"/>
                  <w:noWrap/>
                  <w:vAlign w:val="center"/>
                </w:tcPr>
                <w:p w14:paraId="7C7668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60D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D509D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w:t>
                  </w:r>
                </w:p>
              </w:tc>
              <w:tc>
                <w:tcPr>
                  <w:tcW w:w="3115" w:type="dxa"/>
                  <w:noWrap/>
                  <w:vAlign w:val="center"/>
                </w:tcPr>
                <w:p w14:paraId="2FDB8D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细口瓶1000ml</w:t>
                  </w:r>
                </w:p>
              </w:tc>
              <w:tc>
                <w:tcPr>
                  <w:tcW w:w="889" w:type="dxa"/>
                  <w:noWrap/>
                  <w:vAlign w:val="center"/>
                </w:tcPr>
                <w:p w14:paraId="0E73D7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1EFB6D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w:t>
                  </w:r>
                </w:p>
              </w:tc>
              <w:tc>
                <w:tcPr>
                  <w:tcW w:w="1572" w:type="dxa"/>
                  <w:vMerge w:val="continue"/>
                  <w:noWrap/>
                  <w:vAlign w:val="center"/>
                </w:tcPr>
                <w:p w14:paraId="621123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342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0BCD3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w:t>
                  </w:r>
                </w:p>
              </w:tc>
              <w:tc>
                <w:tcPr>
                  <w:tcW w:w="3115" w:type="dxa"/>
                  <w:noWrap/>
                  <w:vAlign w:val="center"/>
                </w:tcPr>
                <w:p w14:paraId="1664F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广口瓶</w:t>
                  </w:r>
                </w:p>
              </w:tc>
              <w:tc>
                <w:tcPr>
                  <w:tcW w:w="889" w:type="dxa"/>
                  <w:noWrap/>
                  <w:vAlign w:val="center"/>
                </w:tcPr>
                <w:p w14:paraId="7BA66C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4D4042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w:t>
                  </w:r>
                </w:p>
              </w:tc>
              <w:tc>
                <w:tcPr>
                  <w:tcW w:w="1572" w:type="dxa"/>
                  <w:vMerge w:val="continue"/>
                  <w:noWrap/>
                  <w:vAlign w:val="center"/>
                </w:tcPr>
                <w:p w14:paraId="4E412E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1CE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5C116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w:t>
                  </w:r>
                </w:p>
              </w:tc>
              <w:tc>
                <w:tcPr>
                  <w:tcW w:w="3115" w:type="dxa"/>
                  <w:noWrap/>
                  <w:vAlign w:val="center"/>
                </w:tcPr>
                <w:p w14:paraId="5A2CC2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比色管</w:t>
                  </w:r>
                </w:p>
              </w:tc>
              <w:tc>
                <w:tcPr>
                  <w:tcW w:w="889" w:type="dxa"/>
                  <w:noWrap/>
                  <w:vAlign w:val="center"/>
                </w:tcPr>
                <w:p w14:paraId="72BA2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5A1069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w:t>
                  </w:r>
                </w:p>
              </w:tc>
              <w:tc>
                <w:tcPr>
                  <w:tcW w:w="1572" w:type="dxa"/>
                  <w:vMerge w:val="continue"/>
                  <w:noWrap/>
                  <w:vAlign w:val="center"/>
                </w:tcPr>
                <w:p w14:paraId="232E33C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6EB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054135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w:t>
                  </w:r>
                </w:p>
              </w:tc>
              <w:tc>
                <w:tcPr>
                  <w:tcW w:w="3115" w:type="dxa"/>
                  <w:noWrap/>
                  <w:vAlign w:val="center"/>
                </w:tcPr>
                <w:p w14:paraId="60C165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滴管</w:t>
                  </w:r>
                </w:p>
              </w:tc>
              <w:tc>
                <w:tcPr>
                  <w:tcW w:w="889" w:type="dxa"/>
                  <w:noWrap/>
                  <w:vAlign w:val="center"/>
                </w:tcPr>
                <w:p w14:paraId="311C6F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36A48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180</w:t>
                  </w:r>
                </w:p>
              </w:tc>
              <w:tc>
                <w:tcPr>
                  <w:tcW w:w="1572" w:type="dxa"/>
                  <w:vMerge w:val="continue"/>
                  <w:noWrap/>
                  <w:vAlign w:val="center"/>
                </w:tcPr>
                <w:p w14:paraId="364720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333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354604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w:t>
                  </w:r>
                </w:p>
              </w:tc>
              <w:tc>
                <w:tcPr>
                  <w:tcW w:w="3115" w:type="dxa"/>
                  <w:noWrap/>
                  <w:vAlign w:val="center"/>
                </w:tcPr>
                <w:p w14:paraId="47BCBA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滴管</w:t>
                  </w:r>
                </w:p>
              </w:tc>
              <w:tc>
                <w:tcPr>
                  <w:tcW w:w="889" w:type="dxa"/>
                  <w:noWrap/>
                  <w:vAlign w:val="center"/>
                </w:tcPr>
                <w:p w14:paraId="62591A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7795CB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w:t>
                  </w:r>
                </w:p>
              </w:tc>
              <w:tc>
                <w:tcPr>
                  <w:tcW w:w="1572" w:type="dxa"/>
                  <w:vMerge w:val="continue"/>
                  <w:noWrap/>
                  <w:vAlign w:val="center"/>
                </w:tcPr>
                <w:p w14:paraId="5D680E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2BE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13D1D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w:t>
                  </w:r>
                </w:p>
              </w:tc>
              <w:tc>
                <w:tcPr>
                  <w:tcW w:w="3115" w:type="dxa"/>
                  <w:noWrap/>
                  <w:vAlign w:val="center"/>
                </w:tcPr>
                <w:p w14:paraId="0EA517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漏斗60mm</w:t>
                  </w:r>
                </w:p>
              </w:tc>
              <w:tc>
                <w:tcPr>
                  <w:tcW w:w="889" w:type="dxa"/>
                  <w:noWrap/>
                  <w:vAlign w:val="center"/>
                </w:tcPr>
                <w:p w14:paraId="75FB5F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5909C9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w:t>
                  </w:r>
                </w:p>
              </w:tc>
              <w:tc>
                <w:tcPr>
                  <w:tcW w:w="1572" w:type="dxa"/>
                  <w:vMerge w:val="continue"/>
                  <w:noWrap/>
                  <w:vAlign w:val="center"/>
                </w:tcPr>
                <w:p w14:paraId="6E9462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C89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AEA91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w:t>
                  </w:r>
                </w:p>
              </w:tc>
              <w:tc>
                <w:tcPr>
                  <w:tcW w:w="3115" w:type="dxa"/>
                  <w:noWrap/>
                  <w:vAlign w:val="center"/>
                </w:tcPr>
                <w:p w14:paraId="1DFEEC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漏斗90mm</w:t>
                  </w:r>
                </w:p>
              </w:tc>
              <w:tc>
                <w:tcPr>
                  <w:tcW w:w="889" w:type="dxa"/>
                  <w:noWrap/>
                  <w:vAlign w:val="center"/>
                </w:tcPr>
                <w:p w14:paraId="251969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352DB5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47CAD9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441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5B5301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w:t>
                  </w:r>
                </w:p>
              </w:tc>
              <w:tc>
                <w:tcPr>
                  <w:tcW w:w="3115" w:type="dxa"/>
                  <w:noWrap/>
                  <w:vAlign w:val="center"/>
                </w:tcPr>
                <w:p w14:paraId="3262D9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冷凝器</w:t>
                  </w:r>
                </w:p>
              </w:tc>
              <w:tc>
                <w:tcPr>
                  <w:tcW w:w="889" w:type="dxa"/>
                  <w:noWrap/>
                  <w:vAlign w:val="center"/>
                </w:tcPr>
                <w:p w14:paraId="351449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153E43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39</w:t>
                  </w:r>
                </w:p>
              </w:tc>
              <w:tc>
                <w:tcPr>
                  <w:tcW w:w="1572" w:type="dxa"/>
                  <w:vMerge w:val="continue"/>
                  <w:noWrap/>
                  <w:vAlign w:val="center"/>
                </w:tcPr>
                <w:p w14:paraId="2AC00A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385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A75A0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w:t>
                  </w:r>
                </w:p>
              </w:tc>
              <w:tc>
                <w:tcPr>
                  <w:tcW w:w="3115" w:type="dxa"/>
                  <w:noWrap/>
                  <w:vAlign w:val="center"/>
                </w:tcPr>
                <w:p w14:paraId="7CE4A1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蒸馏水瓶</w:t>
                  </w:r>
                </w:p>
              </w:tc>
              <w:tc>
                <w:tcPr>
                  <w:tcW w:w="889" w:type="dxa"/>
                  <w:noWrap/>
                  <w:vAlign w:val="center"/>
                </w:tcPr>
                <w:p w14:paraId="757797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51C5BC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42B7AC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28D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5034C0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w:t>
                  </w:r>
                </w:p>
              </w:tc>
              <w:tc>
                <w:tcPr>
                  <w:tcW w:w="3115" w:type="dxa"/>
                  <w:noWrap/>
                  <w:vAlign w:val="center"/>
                </w:tcPr>
                <w:p w14:paraId="7B0B38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干燥器</w:t>
                  </w:r>
                </w:p>
              </w:tc>
              <w:tc>
                <w:tcPr>
                  <w:tcW w:w="889" w:type="dxa"/>
                  <w:noWrap/>
                  <w:vAlign w:val="center"/>
                </w:tcPr>
                <w:p w14:paraId="647B52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693D3C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1785E2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8D5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6AD0E8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w:t>
                  </w:r>
                </w:p>
              </w:tc>
              <w:tc>
                <w:tcPr>
                  <w:tcW w:w="3115" w:type="dxa"/>
                  <w:noWrap/>
                  <w:vAlign w:val="center"/>
                </w:tcPr>
                <w:p w14:paraId="001DB5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酒精灯</w:t>
                  </w:r>
                </w:p>
              </w:tc>
              <w:tc>
                <w:tcPr>
                  <w:tcW w:w="889" w:type="dxa"/>
                  <w:noWrap/>
                  <w:vAlign w:val="center"/>
                </w:tcPr>
                <w:p w14:paraId="38B49A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5FA7F5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63</w:t>
                  </w:r>
                </w:p>
              </w:tc>
              <w:tc>
                <w:tcPr>
                  <w:tcW w:w="1572" w:type="dxa"/>
                  <w:vMerge w:val="continue"/>
                  <w:noWrap/>
                  <w:vAlign w:val="center"/>
                </w:tcPr>
                <w:p w14:paraId="282A16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EC0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01A0E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33</w:t>
                  </w:r>
                </w:p>
              </w:tc>
              <w:tc>
                <w:tcPr>
                  <w:tcW w:w="3115" w:type="dxa"/>
                  <w:noWrap/>
                  <w:vAlign w:val="center"/>
                </w:tcPr>
                <w:p w14:paraId="600AEA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蒸馏烧瓶</w:t>
                  </w:r>
                </w:p>
              </w:tc>
              <w:tc>
                <w:tcPr>
                  <w:tcW w:w="889" w:type="dxa"/>
                  <w:noWrap/>
                  <w:vAlign w:val="center"/>
                </w:tcPr>
                <w:p w14:paraId="2ED962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410DA4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w:t>
                  </w:r>
                </w:p>
              </w:tc>
              <w:tc>
                <w:tcPr>
                  <w:tcW w:w="1572" w:type="dxa"/>
                  <w:vMerge w:val="continue"/>
                  <w:noWrap/>
                  <w:vAlign w:val="center"/>
                </w:tcPr>
                <w:p w14:paraId="1CC7E3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642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59AFD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34</w:t>
                  </w:r>
                </w:p>
              </w:tc>
              <w:tc>
                <w:tcPr>
                  <w:tcW w:w="3115" w:type="dxa"/>
                  <w:noWrap/>
                  <w:vAlign w:val="center"/>
                </w:tcPr>
                <w:p w14:paraId="10DB18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锥形瓶50ml</w:t>
                  </w:r>
                </w:p>
              </w:tc>
              <w:tc>
                <w:tcPr>
                  <w:tcW w:w="889" w:type="dxa"/>
                  <w:noWrap/>
                  <w:vAlign w:val="center"/>
                </w:tcPr>
                <w:p w14:paraId="2C0440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7752A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w:t>
                  </w:r>
                </w:p>
              </w:tc>
              <w:tc>
                <w:tcPr>
                  <w:tcW w:w="1572" w:type="dxa"/>
                  <w:vMerge w:val="continue"/>
                  <w:noWrap/>
                  <w:vAlign w:val="center"/>
                </w:tcPr>
                <w:p w14:paraId="7C9AF1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C02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29F18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w:t>
                  </w:r>
                </w:p>
              </w:tc>
              <w:tc>
                <w:tcPr>
                  <w:tcW w:w="3115" w:type="dxa"/>
                  <w:noWrap/>
                  <w:vAlign w:val="center"/>
                </w:tcPr>
                <w:p w14:paraId="7868C8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锥形瓶100ml</w:t>
                  </w:r>
                </w:p>
              </w:tc>
              <w:tc>
                <w:tcPr>
                  <w:tcW w:w="889" w:type="dxa"/>
                  <w:noWrap/>
                  <w:vAlign w:val="center"/>
                </w:tcPr>
                <w:p w14:paraId="635EFF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0"/>
                  <w:vAlign w:val="center"/>
                </w:tcPr>
                <w:p w14:paraId="597A66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250</w:t>
                  </w:r>
                </w:p>
              </w:tc>
              <w:tc>
                <w:tcPr>
                  <w:tcW w:w="1572" w:type="dxa"/>
                  <w:vMerge w:val="continue"/>
                  <w:noWrap/>
                  <w:vAlign w:val="center"/>
                </w:tcPr>
                <w:p w14:paraId="4ABA65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617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147FCA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36</w:t>
                  </w:r>
                </w:p>
              </w:tc>
              <w:tc>
                <w:tcPr>
                  <w:tcW w:w="3115" w:type="dxa"/>
                  <w:noWrap/>
                  <w:vAlign w:val="center"/>
                </w:tcPr>
                <w:p w14:paraId="5D1A70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锥形瓶250ml</w:t>
                  </w:r>
                </w:p>
              </w:tc>
              <w:tc>
                <w:tcPr>
                  <w:tcW w:w="889" w:type="dxa"/>
                  <w:noWrap/>
                  <w:vAlign w:val="center"/>
                </w:tcPr>
                <w:p w14:paraId="1AC221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19D74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w:t>
                  </w:r>
                </w:p>
              </w:tc>
              <w:tc>
                <w:tcPr>
                  <w:tcW w:w="1572" w:type="dxa"/>
                  <w:vMerge w:val="continue"/>
                  <w:noWrap/>
                  <w:vAlign w:val="center"/>
                </w:tcPr>
                <w:p w14:paraId="079A9C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194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8E26A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w:t>
                  </w:r>
                </w:p>
              </w:tc>
              <w:tc>
                <w:tcPr>
                  <w:tcW w:w="3115" w:type="dxa"/>
                  <w:noWrap/>
                  <w:vAlign w:val="center"/>
                </w:tcPr>
                <w:p w14:paraId="241D14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锥形瓶500ml</w:t>
                  </w:r>
                </w:p>
              </w:tc>
              <w:tc>
                <w:tcPr>
                  <w:tcW w:w="889" w:type="dxa"/>
                  <w:noWrap/>
                  <w:vAlign w:val="center"/>
                </w:tcPr>
                <w:p w14:paraId="7C1024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0"/>
                  <w:vAlign w:val="center"/>
                </w:tcPr>
                <w:p w14:paraId="472F2F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w:t>
                  </w:r>
                </w:p>
              </w:tc>
              <w:tc>
                <w:tcPr>
                  <w:tcW w:w="1572" w:type="dxa"/>
                  <w:vMerge w:val="continue"/>
                  <w:noWrap/>
                  <w:vAlign w:val="center"/>
                </w:tcPr>
                <w:p w14:paraId="00F99E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97B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3DEA0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w:t>
                  </w:r>
                </w:p>
              </w:tc>
              <w:tc>
                <w:tcPr>
                  <w:tcW w:w="3115" w:type="dxa"/>
                  <w:noWrap/>
                  <w:vAlign w:val="center"/>
                </w:tcPr>
                <w:p w14:paraId="024A0D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烧杯50ml</w:t>
                  </w:r>
                </w:p>
              </w:tc>
              <w:tc>
                <w:tcPr>
                  <w:tcW w:w="889" w:type="dxa"/>
                  <w:noWrap/>
                  <w:vAlign w:val="center"/>
                </w:tcPr>
                <w:p w14:paraId="33890E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780B17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376</w:t>
                  </w:r>
                </w:p>
              </w:tc>
              <w:tc>
                <w:tcPr>
                  <w:tcW w:w="1572" w:type="dxa"/>
                  <w:vMerge w:val="continue"/>
                  <w:noWrap/>
                  <w:vAlign w:val="center"/>
                </w:tcPr>
                <w:p w14:paraId="33E745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DD1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3BFF9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39</w:t>
                  </w:r>
                </w:p>
              </w:tc>
              <w:tc>
                <w:tcPr>
                  <w:tcW w:w="3115" w:type="dxa"/>
                  <w:noWrap/>
                  <w:vAlign w:val="center"/>
                </w:tcPr>
                <w:p w14:paraId="6D26D9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烧杯100ml</w:t>
                  </w:r>
                </w:p>
              </w:tc>
              <w:tc>
                <w:tcPr>
                  <w:tcW w:w="889" w:type="dxa"/>
                  <w:noWrap/>
                  <w:vAlign w:val="center"/>
                </w:tcPr>
                <w:p w14:paraId="23A716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3D2C63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360</w:t>
                  </w:r>
                </w:p>
              </w:tc>
              <w:tc>
                <w:tcPr>
                  <w:tcW w:w="1572" w:type="dxa"/>
                  <w:vMerge w:val="continue"/>
                  <w:noWrap/>
                  <w:vAlign w:val="center"/>
                </w:tcPr>
                <w:p w14:paraId="036A45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0A3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0A222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w:t>
                  </w:r>
                </w:p>
              </w:tc>
              <w:tc>
                <w:tcPr>
                  <w:tcW w:w="3115" w:type="dxa"/>
                  <w:noWrap/>
                  <w:vAlign w:val="center"/>
                </w:tcPr>
                <w:p w14:paraId="23ABCF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烧杯250ml</w:t>
                  </w:r>
                </w:p>
              </w:tc>
              <w:tc>
                <w:tcPr>
                  <w:tcW w:w="889" w:type="dxa"/>
                  <w:noWrap/>
                  <w:vAlign w:val="center"/>
                </w:tcPr>
                <w:p w14:paraId="6B9AFD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151E4C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w:t>
                  </w:r>
                </w:p>
              </w:tc>
              <w:tc>
                <w:tcPr>
                  <w:tcW w:w="1572" w:type="dxa"/>
                  <w:vMerge w:val="continue"/>
                  <w:noWrap/>
                  <w:vAlign w:val="center"/>
                </w:tcPr>
                <w:p w14:paraId="6830D1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925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2ED2B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w:t>
                  </w:r>
                </w:p>
              </w:tc>
              <w:tc>
                <w:tcPr>
                  <w:tcW w:w="3115" w:type="dxa"/>
                  <w:noWrap/>
                  <w:vAlign w:val="center"/>
                </w:tcPr>
                <w:p w14:paraId="37C4E6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烧杯500ml</w:t>
                  </w:r>
                </w:p>
              </w:tc>
              <w:tc>
                <w:tcPr>
                  <w:tcW w:w="889" w:type="dxa"/>
                  <w:noWrap/>
                  <w:vAlign w:val="center"/>
                </w:tcPr>
                <w:p w14:paraId="5B64E8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7EA78B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200</w:t>
                  </w:r>
                </w:p>
              </w:tc>
              <w:tc>
                <w:tcPr>
                  <w:tcW w:w="1572" w:type="dxa"/>
                  <w:vMerge w:val="continue"/>
                  <w:noWrap/>
                  <w:vAlign w:val="center"/>
                </w:tcPr>
                <w:p w14:paraId="786412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167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EB940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w:t>
                  </w:r>
                </w:p>
              </w:tc>
              <w:tc>
                <w:tcPr>
                  <w:tcW w:w="3115" w:type="dxa"/>
                  <w:noWrap/>
                  <w:vAlign w:val="center"/>
                </w:tcPr>
                <w:p w14:paraId="336E26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烧杯1000ml</w:t>
                  </w:r>
                </w:p>
              </w:tc>
              <w:tc>
                <w:tcPr>
                  <w:tcW w:w="889" w:type="dxa"/>
                  <w:noWrap/>
                  <w:vAlign w:val="center"/>
                </w:tcPr>
                <w:p w14:paraId="018405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6BF5DB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65</w:t>
                  </w:r>
                </w:p>
              </w:tc>
              <w:tc>
                <w:tcPr>
                  <w:tcW w:w="1572" w:type="dxa"/>
                  <w:vMerge w:val="continue"/>
                  <w:noWrap/>
                  <w:vAlign w:val="center"/>
                </w:tcPr>
                <w:p w14:paraId="4910F0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FF3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9A90B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43</w:t>
                  </w:r>
                </w:p>
              </w:tc>
              <w:tc>
                <w:tcPr>
                  <w:tcW w:w="3115" w:type="dxa"/>
                  <w:noWrap/>
                  <w:vAlign w:val="center"/>
                </w:tcPr>
                <w:p w14:paraId="5F3B8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试管φ15mm×150mm</w:t>
                  </w:r>
                </w:p>
              </w:tc>
              <w:tc>
                <w:tcPr>
                  <w:tcW w:w="889" w:type="dxa"/>
                  <w:noWrap/>
                  <w:vAlign w:val="center"/>
                </w:tcPr>
                <w:p w14:paraId="7F2005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6126A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500</w:t>
                  </w:r>
                </w:p>
              </w:tc>
              <w:tc>
                <w:tcPr>
                  <w:tcW w:w="1572" w:type="dxa"/>
                  <w:vMerge w:val="continue"/>
                  <w:noWrap/>
                  <w:vAlign w:val="center"/>
                </w:tcPr>
                <w:p w14:paraId="32D2F7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248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4FED5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44</w:t>
                  </w:r>
                </w:p>
              </w:tc>
              <w:tc>
                <w:tcPr>
                  <w:tcW w:w="3115" w:type="dxa"/>
                  <w:noWrap/>
                  <w:vAlign w:val="center"/>
                </w:tcPr>
                <w:p w14:paraId="4FC707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移液管1ml</w:t>
                  </w:r>
                </w:p>
              </w:tc>
              <w:tc>
                <w:tcPr>
                  <w:tcW w:w="889" w:type="dxa"/>
                  <w:noWrap/>
                  <w:vAlign w:val="center"/>
                </w:tcPr>
                <w:p w14:paraId="01268F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633FA7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w:t>
                  </w:r>
                </w:p>
              </w:tc>
              <w:tc>
                <w:tcPr>
                  <w:tcW w:w="1572" w:type="dxa"/>
                  <w:vMerge w:val="continue"/>
                  <w:noWrap/>
                  <w:vAlign w:val="center"/>
                </w:tcPr>
                <w:p w14:paraId="6B8BDE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867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D5DE2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w:t>
                  </w:r>
                </w:p>
              </w:tc>
              <w:tc>
                <w:tcPr>
                  <w:tcW w:w="3115" w:type="dxa"/>
                  <w:noWrap/>
                  <w:vAlign w:val="center"/>
                </w:tcPr>
                <w:p w14:paraId="0D38B3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移液管2ml</w:t>
                  </w:r>
                </w:p>
              </w:tc>
              <w:tc>
                <w:tcPr>
                  <w:tcW w:w="889" w:type="dxa"/>
                  <w:noWrap/>
                  <w:vAlign w:val="center"/>
                </w:tcPr>
                <w:p w14:paraId="53D46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11A42E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w:t>
                  </w:r>
                </w:p>
              </w:tc>
              <w:tc>
                <w:tcPr>
                  <w:tcW w:w="1572" w:type="dxa"/>
                  <w:vMerge w:val="continue"/>
                  <w:noWrap/>
                  <w:vAlign w:val="center"/>
                </w:tcPr>
                <w:p w14:paraId="370628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949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2CFD4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46</w:t>
                  </w:r>
                </w:p>
              </w:tc>
              <w:tc>
                <w:tcPr>
                  <w:tcW w:w="3115" w:type="dxa"/>
                  <w:noWrap/>
                  <w:vAlign w:val="center"/>
                </w:tcPr>
                <w:p w14:paraId="3FE274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移液管5ml</w:t>
                  </w:r>
                </w:p>
              </w:tc>
              <w:tc>
                <w:tcPr>
                  <w:tcW w:w="889" w:type="dxa"/>
                  <w:noWrap/>
                  <w:vAlign w:val="center"/>
                </w:tcPr>
                <w:p w14:paraId="2A5360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23F322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w:t>
                  </w:r>
                </w:p>
              </w:tc>
              <w:tc>
                <w:tcPr>
                  <w:tcW w:w="1572" w:type="dxa"/>
                  <w:vMerge w:val="continue"/>
                  <w:noWrap/>
                  <w:vAlign w:val="center"/>
                </w:tcPr>
                <w:p w14:paraId="0FD80F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FCE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C86B5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47</w:t>
                  </w:r>
                </w:p>
              </w:tc>
              <w:tc>
                <w:tcPr>
                  <w:tcW w:w="3115" w:type="dxa"/>
                  <w:noWrap/>
                  <w:vAlign w:val="center"/>
                </w:tcPr>
                <w:p w14:paraId="6C57B6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移液管10ml</w:t>
                  </w:r>
                </w:p>
              </w:tc>
              <w:tc>
                <w:tcPr>
                  <w:tcW w:w="889" w:type="dxa"/>
                  <w:noWrap/>
                  <w:vAlign w:val="center"/>
                </w:tcPr>
                <w:p w14:paraId="2E6A92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23A3E8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w:t>
                  </w:r>
                </w:p>
              </w:tc>
              <w:tc>
                <w:tcPr>
                  <w:tcW w:w="1572" w:type="dxa"/>
                  <w:vMerge w:val="continue"/>
                  <w:noWrap/>
                  <w:vAlign w:val="center"/>
                </w:tcPr>
                <w:p w14:paraId="3108A1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53B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0F1CA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48</w:t>
                  </w:r>
                </w:p>
              </w:tc>
              <w:tc>
                <w:tcPr>
                  <w:tcW w:w="3115" w:type="dxa"/>
                  <w:noWrap/>
                  <w:vAlign w:val="center"/>
                </w:tcPr>
                <w:p w14:paraId="32F712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移液管</w:t>
                  </w:r>
                  <w:r>
                    <w:rPr>
                      <w:rFonts w:hint="eastAsia" w:ascii="Times New Roman" w:hAnsi="Times New Roman" w:cs="Times New Roman"/>
                      <w:i w:val="0"/>
                      <w:iCs w:val="0"/>
                      <w:color w:val="auto"/>
                      <w:kern w:val="0"/>
                      <w:sz w:val="24"/>
                      <w:szCs w:val="24"/>
                      <w:highlight w:val="none"/>
                      <w:u w:val="none"/>
                      <w:lang w:val="en-US" w:eastAsia="zh-CN" w:bidi="ar"/>
                    </w:rPr>
                    <w:t>20m</w:t>
                  </w:r>
                  <w:r>
                    <w:rPr>
                      <w:rFonts w:hint="default" w:ascii="Times New Roman" w:hAnsi="Times New Roman" w:eastAsia="宋体" w:cs="Times New Roman"/>
                      <w:i w:val="0"/>
                      <w:iCs w:val="0"/>
                      <w:color w:val="auto"/>
                      <w:kern w:val="0"/>
                      <w:sz w:val="24"/>
                      <w:szCs w:val="24"/>
                      <w:highlight w:val="none"/>
                      <w:u w:val="none"/>
                      <w:lang w:val="en-US" w:eastAsia="zh-CN" w:bidi="ar"/>
                    </w:rPr>
                    <w:t>l</w:t>
                  </w:r>
                </w:p>
              </w:tc>
              <w:tc>
                <w:tcPr>
                  <w:tcW w:w="889" w:type="dxa"/>
                  <w:noWrap/>
                  <w:vAlign w:val="center"/>
                </w:tcPr>
                <w:p w14:paraId="0249D6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665310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w:t>
                  </w:r>
                </w:p>
              </w:tc>
              <w:tc>
                <w:tcPr>
                  <w:tcW w:w="1572" w:type="dxa"/>
                  <w:vMerge w:val="continue"/>
                  <w:noWrap/>
                  <w:vAlign w:val="center"/>
                </w:tcPr>
                <w:p w14:paraId="09D7EF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73A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1C0F1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w:t>
                  </w:r>
                </w:p>
              </w:tc>
              <w:tc>
                <w:tcPr>
                  <w:tcW w:w="3115" w:type="dxa"/>
                  <w:noWrap/>
                  <w:vAlign w:val="center"/>
                </w:tcPr>
                <w:p w14:paraId="49088E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容量瓶</w:t>
                  </w:r>
                  <w:r>
                    <w:rPr>
                      <w:rFonts w:hint="eastAsia" w:ascii="Times New Roman" w:hAnsi="Times New Roman" w:cs="Times New Roman"/>
                      <w:i w:val="0"/>
                      <w:iCs w:val="0"/>
                      <w:color w:val="auto"/>
                      <w:kern w:val="0"/>
                      <w:sz w:val="24"/>
                      <w:szCs w:val="24"/>
                      <w:highlight w:val="none"/>
                      <w:u w:val="none"/>
                      <w:lang w:val="en-US" w:eastAsia="zh-CN" w:bidi="ar"/>
                    </w:rPr>
                    <w:t>20m</w:t>
                  </w:r>
                  <w:r>
                    <w:rPr>
                      <w:rFonts w:hint="default" w:ascii="Times New Roman" w:hAnsi="Times New Roman" w:eastAsia="宋体" w:cs="Times New Roman"/>
                      <w:i w:val="0"/>
                      <w:iCs w:val="0"/>
                      <w:color w:val="auto"/>
                      <w:kern w:val="0"/>
                      <w:sz w:val="24"/>
                      <w:szCs w:val="24"/>
                      <w:highlight w:val="none"/>
                      <w:u w:val="none"/>
                      <w:lang w:val="en-US" w:eastAsia="zh-CN" w:bidi="ar"/>
                    </w:rPr>
                    <w:t>l</w:t>
                  </w:r>
                </w:p>
              </w:tc>
              <w:tc>
                <w:tcPr>
                  <w:tcW w:w="889" w:type="dxa"/>
                  <w:noWrap/>
                  <w:vAlign w:val="center"/>
                </w:tcPr>
                <w:p w14:paraId="52CFBE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28FCF1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w:t>
                  </w:r>
                </w:p>
              </w:tc>
              <w:tc>
                <w:tcPr>
                  <w:tcW w:w="1572" w:type="dxa"/>
                  <w:vMerge w:val="continue"/>
                  <w:noWrap/>
                  <w:vAlign w:val="center"/>
                </w:tcPr>
                <w:p w14:paraId="308F74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C14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738E9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w:t>
                  </w:r>
                </w:p>
              </w:tc>
              <w:tc>
                <w:tcPr>
                  <w:tcW w:w="3115" w:type="dxa"/>
                  <w:noWrap/>
                  <w:vAlign w:val="center"/>
                </w:tcPr>
                <w:p w14:paraId="795D3B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容量瓶100ml</w:t>
                  </w:r>
                </w:p>
              </w:tc>
              <w:tc>
                <w:tcPr>
                  <w:tcW w:w="889" w:type="dxa"/>
                  <w:noWrap/>
                  <w:vAlign w:val="center"/>
                </w:tcPr>
                <w:p w14:paraId="1EFD6B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30F4D4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w:t>
                  </w:r>
                </w:p>
              </w:tc>
              <w:tc>
                <w:tcPr>
                  <w:tcW w:w="1572" w:type="dxa"/>
                  <w:vMerge w:val="continue"/>
                  <w:noWrap/>
                  <w:vAlign w:val="center"/>
                </w:tcPr>
                <w:p w14:paraId="4D04A5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5BF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7B7A44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51</w:t>
                  </w:r>
                </w:p>
              </w:tc>
              <w:tc>
                <w:tcPr>
                  <w:tcW w:w="3115" w:type="dxa"/>
                  <w:noWrap/>
                  <w:vAlign w:val="center"/>
                </w:tcPr>
                <w:p w14:paraId="20E121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容量瓶250ml</w:t>
                  </w:r>
                </w:p>
              </w:tc>
              <w:tc>
                <w:tcPr>
                  <w:tcW w:w="889" w:type="dxa"/>
                  <w:noWrap/>
                  <w:vAlign w:val="center"/>
                </w:tcPr>
                <w:p w14:paraId="1635B6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A077B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w:t>
                  </w:r>
                </w:p>
              </w:tc>
              <w:tc>
                <w:tcPr>
                  <w:tcW w:w="1572" w:type="dxa"/>
                  <w:vMerge w:val="continue"/>
                  <w:noWrap/>
                  <w:vAlign w:val="center"/>
                </w:tcPr>
                <w:p w14:paraId="5F13307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AFF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89169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w:t>
                  </w:r>
                </w:p>
              </w:tc>
              <w:tc>
                <w:tcPr>
                  <w:tcW w:w="3115" w:type="dxa"/>
                  <w:noWrap/>
                  <w:vAlign w:val="center"/>
                </w:tcPr>
                <w:p w14:paraId="1D321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容量瓶500ml</w:t>
                  </w:r>
                </w:p>
              </w:tc>
              <w:tc>
                <w:tcPr>
                  <w:tcW w:w="889" w:type="dxa"/>
                  <w:noWrap/>
                  <w:vAlign w:val="center"/>
                </w:tcPr>
                <w:p w14:paraId="65A89E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36FC05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w:t>
                  </w:r>
                </w:p>
              </w:tc>
              <w:tc>
                <w:tcPr>
                  <w:tcW w:w="1572" w:type="dxa"/>
                  <w:vMerge w:val="continue"/>
                  <w:noWrap/>
                  <w:vAlign w:val="center"/>
                </w:tcPr>
                <w:p w14:paraId="44D867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AA4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5EA9F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53</w:t>
                  </w:r>
                </w:p>
              </w:tc>
              <w:tc>
                <w:tcPr>
                  <w:tcW w:w="3115" w:type="dxa"/>
                  <w:noWrap/>
                  <w:vAlign w:val="center"/>
                </w:tcPr>
                <w:p w14:paraId="173452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容量瓶1000ml</w:t>
                  </w:r>
                </w:p>
              </w:tc>
              <w:tc>
                <w:tcPr>
                  <w:tcW w:w="889" w:type="dxa"/>
                  <w:noWrap/>
                  <w:vAlign w:val="center"/>
                </w:tcPr>
                <w:p w14:paraId="40480A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78C6DD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w:t>
                  </w:r>
                </w:p>
              </w:tc>
              <w:tc>
                <w:tcPr>
                  <w:tcW w:w="1572" w:type="dxa"/>
                  <w:vMerge w:val="continue"/>
                  <w:noWrap/>
                  <w:vAlign w:val="center"/>
                </w:tcPr>
                <w:p w14:paraId="793120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B07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7AD849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54</w:t>
                  </w:r>
                </w:p>
              </w:tc>
              <w:tc>
                <w:tcPr>
                  <w:tcW w:w="3115" w:type="dxa"/>
                  <w:noWrap/>
                  <w:vAlign w:val="center"/>
                </w:tcPr>
                <w:p w14:paraId="20487A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量筒10ml</w:t>
                  </w:r>
                </w:p>
              </w:tc>
              <w:tc>
                <w:tcPr>
                  <w:tcW w:w="889" w:type="dxa"/>
                  <w:noWrap/>
                  <w:vAlign w:val="center"/>
                </w:tcPr>
                <w:p w14:paraId="7F2577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700DEE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168</w:t>
                  </w:r>
                </w:p>
              </w:tc>
              <w:tc>
                <w:tcPr>
                  <w:tcW w:w="1572" w:type="dxa"/>
                  <w:vMerge w:val="continue"/>
                  <w:noWrap/>
                  <w:vAlign w:val="center"/>
                </w:tcPr>
                <w:p w14:paraId="0B1808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97A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12" w:type="dxa"/>
                  <w:noWrap/>
                  <w:vAlign w:val="center"/>
                </w:tcPr>
                <w:p w14:paraId="030181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w:t>
                  </w:r>
                </w:p>
              </w:tc>
              <w:tc>
                <w:tcPr>
                  <w:tcW w:w="3115" w:type="dxa"/>
                  <w:noWrap/>
                  <w:vAlign w:val="center"/>
                </w:tcPr>
                <w:p w14:paraId="01FD78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量筒</w:t>
                  </w:r>
                  <w:r>
                    <w:rPr>
                      <w:rFonts w:hint="eastAsia" w:ascii="Times New Roman" w:hAnsi="Times New Roman" w:cs="Times New Roman"/>
                      <w:i w:val="0"/>
                      <w:iCs w:val="0"/>
                      <w:color w:val="auto"/>
                      <w:kern w:val="0"/>
                      <w:sz w:val="24"/>
                      <w:szCs w:val="24"/>
                      <w:highlight w:val="none"/>
                      <w:u w:val="none"/>
                      <w:lang w:val="en-US" w:eastAsia="zh-CN" w:bidi="ar"/>
                    </w:rPr>
                    <w:t>20m</w:t>
                  </w:r>
                  <w:r>
                    <w:rPr>
                      <w:rFonts w:hint="default" w:ascii="Times New Roman" w:hAnsi="Times New Roman" w:eastAsia="宋体" w:cs="Times New Roman"/>
                      <w:i w:val="0"/>
                      <w:iCs w:val="0"/>
                      <w:color w:val="auto"/>
                      <w:kern w:val="0"/>
                      <w:sz w:val="24"/>
                      <w:szCs w:val="24"/>
                      <w:highlight w:val="none"/>
                      <w:u w:val="none"/>
                      <w:lang w:val="en-US" w:eastAsia="zh-CN" w:bidi="ar"/>
                    </w:rPr>
                    <w:t>l</w:t>
                  </w:r>
                </w:p>
              </w:tc>
              <w:tc>
                <w:tcPr>
                  <w:tcW w:w="889" w:type="dxa"/>
                  <w:noWrap/>
                  <w:vAlign w:val="center"/>
                </w:tcPr>
                <w:p w14:paraId="5377F3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5F1319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w:t>
                  </w:r>
                </w:p>
              </w:tc>
              <w:tc>
                <w:tcPr>
                  <w:tcW w:w="1572" w:type="dxa"/>
                  <w:vMerge w:val="continue"/>
                  <w:noWrap/>
                  <w:vAlign w:val="center"/>
                </w:tcPr>
                <w:p w14:paraId="397D28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1B4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C7F15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56</w:t>
                  </w:r>
                </w:p>
              </w:tc>
              <w:tc>
                <w:tcPr>
                  <w:tcW w:w="3115" w:type="dxa"/>
                  <w:noWrap/>
                  <w:vAlign w:val="center"/>
                </w:tcPr>
                <w:p w14:paraId="5D9939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量筒50ml</w:t>
                  </w:r>
                </w:p>
              </w:tc>
              <w:tc>
                <w:tcPr>
                  <w:tcW w:w="889" w:type="dxa"/>
                  <w:noWrap/>
                  <w:vAlign w:val="center"/>
                </w:tcPr>
                <w:p w14:paraId="3911DB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023C2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w:t>
                  </w:r>
                </w:p>
              </w:tc>
              <w:tc>
                <w:tcPr>
                  <w:tcW w:w="1572" w:type="dxa"/>
                  <w:vMerge w:val="continue"/>
                  <w:noWrap/>
                  <w:vAlign w:val="center"/>
                </w:tcPr>
                <w:p w14:paraId="06C0E4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BBE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67D432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w:t>
                  </w:r>
                </w:p>
              </w:tc>
              <w:tc>
                <w:tcPr>
                  <w:tcW w:w="3115" w:type="dxa"/>
                  <w:noWrap/>
                  <w:vAlign w:val="center"/>
                </w:tcPr>
                <w:p w14:paraId="6BBDC4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量筒100ml</w:t>
                  </w:r>
                </w:p>
              </w:tc>
              <w:tc>
                <w:tcPr>
                  <w:tcW w:w="889" w:type="dxa"/>
                  <w:noWrap/>
                  <w:vAlign w:val="center"/>
                </w:tcPr>
                <w:p w14:paraId="42D97D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55DF89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75</w:t>
                  </w:r>
                </w:p>
              </w:tc>
              <w:tc>
                <w:tcPr>
                  <w:tcW w:w="1572" w:type="dxa"/>
                  <w:vMerge w:val="continue"/>
                  <w:noWrap/>
                  <w:vAlign w:val="center"/>
                </w:tcPr>
                <w:p w14:paraId="5F0C16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1AB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80CBD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w:t>
                  </w:r>
                </w:p>
              </w:tc>
              <w:tc>
                <w:tcPr>
                  <w:tcW w:w="3115" w:type="dxa"/>
                  <w:noWrap/>
                  <w:vAlign w:val="center"/>
                </w:tcPr>
                <w:p w14:paraId="260315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量筒500ml</w:t>
                  </w:r>
                </w:p>
              </w:tc>
              <w:tc>
                <w:tcPr>
                  <w:tcW w:w="889" w:type="dxa"/>
                  <w:noWrap/>
                  <w:vAlign w:val="center"/>
                </w:tcPr>
                <w:p w14:paraId="6BC8FD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18591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w:t>
                  </w:r>
                </w:p>
              </w:tc>
              <w:tc>
                <w:tcPr>
                  <w:tcW w:w="1572" w:type="dxa"/>
                  <w:vMerge w:val="continue"/>
                  <w:noWrap/>
                  <w:vAlign w:val="center"/>
                </w:tcPr>
                <w:p w14:paraId="62BA23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81C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E6DD9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w:t>
                  </w:r>
                </w:p>
              </w:tc>
              <w:tc>
                <w:tcPr>
                  <w:tcW w:w="3115" w:type="dxa"/>
                  <w:noWrap/>
                  <w:vAlign w:val="center"/>
                </w:tcPr>
                <w:p w14:paraId="2320BD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量筒1000ml</w:t>
                  </w:r>
                </w:p>
              </w:tc>
              <w:tc>
                <w:tcPr>
                  <w:tcW w:w="889" w:type="dxa"/>
                  <w:noWrap/>
                  <w:vAlign w:val="center"/>
                </w:tcPr>
                <w:p w14:paraId="141BC0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26FB20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27A595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C81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73EC42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3115" w:type="dxa"/>
                  <w:noWrap/>
                  <w:vAlign w:val="center"/>
                </w:tcPr>
                <w:p w14:paraId="0C4D3D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量筒1000ml</w:t>
                  </w:r>
                </w:p>
              </w:tc>
              <w:tc>
                <w:tcPr>
                  <w:tcW w:w="889" w:type="dxa"/>
                  <w:noWrap/>
                  <w:vAlign w:val="center"/>
                </w:tcPr>
                <w:p w14:paraId="2A545E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6217E5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w:t>
                  </w:r>
                </w:p>
              </w:tc>
              <w:tc>
                <w:tcPr>
                  <w:tcW w:w="1572" w:type="dxa"/>
                  <w:vMerge w:val="continue"/>
                  <w:noWrap/>
                  <w:vAlign w:val="center"/>
                </w:tcPr>
                <w:p w14:paraId="57BD2F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F49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66B27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w:t>
                  </w:r>
                </w:p>
              </w:tc>
              <w:tc>
                <w:tcPr>
                  <w:tcW w:w="3115" w:type="dxa"/>
                  <w:noWrap/>
                  <w:vAlign w:val="center"/>
                </w:tcPr>
                <w:p w14:paraId="4EDEE4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现代生物科技专题教学挂图</w:t>
                  </w:r>
                </w:p>
              </w:tc>
              <w:tc>
                <w:tcPr>
                  <w:tcW w:w="889" w:type="dxa"/>
                  <w:noWrap/>
                  <w:vAlign w:val="center"/>
                </w:tcPr>
                <w:p w14:paraId="09983F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3AEB13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1DBA5A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EAB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734BD7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62</w:t>
                  </w:r>
                </w:p>
              </w:tc>
              <w:tc>
                <w:tcPr>
                  <w:tcW w:w="3115" w:type="dxa"/>
                  <w:noWrap/>
                  <w:vAlign w:val="center"/>
                </w:tcPr>
                <w:p w14:paraId="47CA4E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生物科学与社会教学挂图</w:t>
                  </w:r>
                </w:p>
              </w:tc>
              <w:tc>
                <w:tcPr>
                  <w:tcW w:w="889" w:type="dxa"/>
                  <w:noWrap/>
                  <w:vAlign w:val="center"/>
                </w:tcPr>
                <w:p w14:paraId="2BF2FB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500338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1ED377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0AD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DF721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63</w:t>
                  </w:r>
                </w:p>
              </w:tc>
              <w:tc>
                <w:tcPr>
                  <w:tcW w:w="3115" w:type="dxa"/>
                  <w:noWrap/>
                  <w:vAlign w:val="center"/>
                </w:tcPr>
                <w:p w14:paraId="34C1A3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生物技术实践教学挂图</w:t>
                  </w:r>
                </w:p>
              </w:tc>
              <w:tc>
                <w:tcPr>
                  <w:tcW w:w="889" w:type="dxa"/>
                  <w:noWrap/>
                  <w:vAlign w:val="center"/>
                </w:tcPr>
                <w:p w14:paraId="046949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7BC18B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249D1C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687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CC882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64</w:t>
                  </w:r>
                </w:p>
              </w:tc>
              <w:tc>
                <w:tcPr>
                  <w:tcW w:w="3115" w:type="dxa"/>
                  <w:noWrap/>
                  <w:vAlign w:val="center"/>
                </w:tcPr>
                <w:p w14:paraId="7D9473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稳态与环境教学挂图</w:t>
                  </w:r>
                </w:p>
              </w:tc>
              <w:tc>
                <w:tcPr>
                  <w:tcW w:w="889" w:type="dxa"/>
                  <w:noWrap/>
                  <w:vAlign w:val="center"/>
                </w:tcPr>
                <w:p w14:paraId="7830AF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623801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2CAF61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E8B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7FEC33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65</w:t>
                  </w:r>
                </w:p>
              </w:tc>
              <w:tc>
                <w:tcPr>
                  <w:tcW w:w="3115" w:type="dxa"/>
                  <w:noWrap/>
                  <w:vAlign w:val="center"/>
                </w:tcPr>
                <w:p w14:paraId="1DBEC0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遗传与进化教学挂图</w:t>
                  </w:r>
                </w:p>
              </w:tc>
              <w:tc>
                <w:tcPr>
                  <w:tcW w:w="889" w:type="dxa"/>
                  <w:noWrap/>
                  <w:vAlign w:val="center"/>
                </w:tcPr>
                <w:p w14:paraId="5CF35F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442588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214D87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C6C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FF96A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66</w:t>
                  </w:r>
                </w:p>
              </w:tc>
              <w:tc>
                <w:tcPr>
                  <w:tcW w:w="3115" w:type="dxa"/>
                  <w:noWrap/>
                  <w:vAlign w:val="center"/>
                </w:tcPr>
                <w:p w14:paraId="59B71A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分子与细胞教学挂图</w:t>
                  </w:r>
                </w:p>
              </w:tc>
              <w:tc>
                <w:tcPr>
                  <w:tcW w:w="889" w:type="dxa"/>
                  <w:noWrap/>
                  <w:vAlign w:val="center"/>
                </w:tcPr>
                <w:p w14:paraId="337F03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038E77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2097ED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DE1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A4116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67</w:t>
                  </w:r>
                </w:p>
              </w:tc>
              <w:tc>
                <w:tcPr>
                  <w:tcW w:w="3115" w:type="dxa"/>
                  <w:noWrap/>
                  <w:vAlign w:val="center"/>
                </w:tcPr>
                <w:p w14:paraId="17400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线粒体切片</w:t>
                  </w:r>
                </w:p>
              </w:tc>
              <w:tc>
                <w:tcPr>
                  <w:tcW w:w="889" w:type="dxa"/>
                  <w:noWrap/>
                  <w:vAlign w:val="center"/>
                </w:tcPr>
                <w:p w14:paraId="099C6B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755DDF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w:t>
                  </w:r>
                </w:p>
              </w:tc>
              <w:tc>
                <w:tcPr>
                  <w:tcW w:w="1572" w:type="dxa"/>
                  <w:vMerge w:val="continue"/>
                  <w:noWrap/>
                  <w:vAlign w:val="center"/>
                </w:tcPr>
                <w:p w14:paraId="16F32E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03B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EE21C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68</w:t>
                  </w:r>
                </w:p>
              </w:tc>
              <w:tc>
                <w:tcPr>
                  <w:tcW w:w="3115" w:type="dxa"/>
                  <w:noWrap/>
                  <w:vAlign w:val="center"/>
                </w:tcPr>
                <w:p w14:paraId="14FC60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正常人染色体装片</w:t>
                  </w:r>
                </w:p>
              </w:tc>
              <w:tc>
                <w:tcPr>
                  <w:tcW w:w="889" w:type="dxa"/>
                  <w:noWrap/>
                  <w:vAlign w:val="center"/>
                </w:tcPr>
                <w:p w14:paraId="2440C9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3587D4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w:t>
                  </w:r>
                </w:p>
              </w:tc>
              <w:tc>
                <w:tcPr>
                  <w:tcW w:w="1572" w:type="dxa"/>
                  <w:vMerge w:val="continue"/>
                  <w:noWrap/>
                  <w:vAlign w:val="center"/>
                </w:tcPr>
                <w:p w14:paraId="37D788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177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E92C2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69</w:t>
                  </w:r>
                </w:p>
              </w:tc>
              <w:tc>
                <w:tcPr>
                  <w:tcW w:w="3115" w:type="dxa"/>
                  <w:noWrap/>
                  <w:vAlign w:val="center"/>
                </w:tcPr>
                <w:p w14:paraId="7CA18D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正常人染色体装片</w:t>
                  </w:r>
                </w:p>
              </w:tc>
              <w:tc>
                <w:tcPr>
                  <w:tcW w:w="889" w:type="dxa"/>
                  <w:noWrap/>
                  <w:vAlign w:val="center"/>
                </w:tcPr>
                <w:p w14:paraId="2DEAAF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0B34F2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w:t>
                  </w:r>
                </w:p>
              </w:tc>
              <w:tc>
                <w:tcPr>
                  <w:tcW w:w="1572" w:type="dxa"/>
                  <w:vMerge w:val="continue"/>
                  <w:noWrap/>
                  <w:vAlign w:val="center"/>
                </w:tcPr>
                <w:p w14:paraId="04483E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0B3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5B9E6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70</w:t>
                  </w:r>
                </w:p>
              </w:tc>
              <w:tc>
                <w:tcPr>
                  <w:tcW w:w="3115" w:type="dxa"/>
                  <w:noWrap/>
                  <w:vAlign w:val="center"/>
                </w:tcPr>
                <w:p w14:paraId="7D24C0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胰腺切片</w:t>
                  </w:r>
                  <w:r>
                    <w:rPr>
                      <w:rFonts w:hint="default" w:ascii="Times New Roman" w:hAnsi="Times New Roman" w:cs="Times New Roman"/>
                      <w:i w:val="0"/>
                      <w:iCs w:val="0"/>
                      <w:color w:val="auto"/>
                      <w:kern w:val="0"/>
                      <w:sz w:val="24"/>
                      <w:szCs w:val="24"/>
                      <w:highlight w:val="none"/>
                      <w:u w:val="none"/>
                      <w:lang w:val="en-US" w:eastAsia="zh-CN" w:bidi="ar"/>
                    </w:rPr>
                    <w:t>（</w:t>
                  </w:r>
                  <w:r>
                    <w:rPr>
                      <w:rFonts w:hint="default" w:ascii="Times New Roman" w:hAnsi="Times New Roman" w:eastAsia="宋体" w:cs="Times New Roman"/>
                      <w:i w:val="0"/>
                      <w:iCs w:val="0"/>
                      <w:color w:val="auto"/>
                      <w:kern w:val="0"/>
                      <w:sz w:val="24"/>
                      <w:szCs w:val="24"/>
                      <w:highlight w:val="none"/>
                      <w:u w:val="none"/>
                      <w:lang w:val="en-US" w:eastAsia="zh-CN" w:bidi="ar"/>
                    </w:rPr>
                    <w:t>示胰岛</w:t>
                  </w:r>
                  <w:r>
                    <w:rPr>
                      <w:rFonts w:hint="default" w:ascii="Times New Roman" w:hAnsi="Times New Roman" w:cs="Times New Roman"/>
                      <w:i w:val="0"/>
                      <w:iCs w:val="0"/>
                      <w:color w:val="auto"/>
                      <w:kern w:val="0"/>
                      <w:sz w:val="24"/>
                      <w:szCs w:val="24"/>
                      <w:highlight w:val="none"/>
                      <w:u w:val="none"/>
                      <w:lang w:val="en-US" w:eastAsia="zh-CN" w:bidi="ar"/>
                    </w:rPr>
                    <w:t>）</w:t>
                  </w:r>
                </w:p>
              </w:tc>
              <w:tc>
                <w:tcPr>
                  <w:tcW w:w="889" w:type="dxa"/>
                  <w:noWrap/>
                  <w:vAlign w:val="center"/>
                </w:tcPr>
                <w:p w14:paraId="6D7A02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27EC6A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lang w:val="en-US" w:eastAsia="zh-CN"/>
                    </w:rPr>
                  </w:pPr>
                  <w:r>
                    <w:rPr>
                      <w:rFonts w:hint="default" w:ascii="Times New Roman" w:hAnsi="Times New Roman" w:eastAsia="宋体" w:cs="Times New Roman"/>
                      <w:i w:val="0"/>
                      <w:iCs w:val="0"/>
                      <w:color w:val="auto"/>
                      <w:sz w:val="24"/>
                      <w:szCs w:val="24"/>
                      <w:highlight w:val="none"/>
                      <w:u w:val="none"/>
                      <w:lang w:val="en-US" w:eastAsia="zh-CN"/>
                    </w:rPr>
                    <w:t>30</w:t>
                  </w:r>
                </w:p>
              </w:tc>
              <w:tc>
                <w:tcPr>
                  <w:tcW w:w="1572" w:type="dxa"/>
                  <w:vMerge w:val="continue"/>
                  <w:noWrap/>
                  <w:vAlign w:val="center"/>
                </w:tcPr>
                <w:p w14:paraId="0A0B0E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A5B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87BF4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71</w:t>
                  </w:r>
                </w:p>
              </w:tc>
              <w:tc>
                <w:tcPr>
                  <w:tcW w:w="3115" w:type="dxa"/>
                  <w:noWrap/>
                  <w:vAlign w:val="center"/>
                </w:tcPr>
                <w:p w14:paraId="7A7480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运动神经元装片</w:t>
                  </w:r>
                </w:p>
              </w:tc>
              <w:tc>
                <w:tcPr>
                  <w:tcW w:w="889" w:type="dxa"/>
                  <w:noWrap/>
                  <w:vAlign w:val="center"/>
                </w:tcPr>
                <w:p w14:paraId="5554D7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60ECF2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w:t>
                  </w:r>
                </w:p>
              </w:tc>
              <w:tc>
                <w:tcPr>
                  <w:tcW w:w="1572" w:type="dxa"/>
                  <w:vMerge w:val="continue"/>
                  <w:noWrap/>
                  <w:vAlign w:val="center"/>
                </w:tcPr>
                <w:p w14:paraId="35A933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5F8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8298C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72</w:t>
                  </w:r>
                </w:p>
              </w:tc>
              <w:tc>
                <w:tcPr>
                  <w:tcW w:w="3115" w:type="dxa"/>
                  <w:noWrap/>
                  <w:vAlign w:val="center"/>
                </w:tcPr>
                <w:p w14:paraId="21D4BC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心肌切片</w:t>
                  </w:r>
                </w:p>
              </w:tc>
              <w:tc>
                <w:tcPr>
                  <w:tcW w:w="889" w:type="dxa"/>
                  <w:noWrap/>
                  <w:vAlign w:val="center"/>
                </w:tcPr>
                <w:p w14:paraId="0223EB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381720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w:t>
                  </w:r>
                </w:p>
              </w:tc>
              <w:tc>
                <w:tcPr>
                  <w:tcW w:w="1572" w:type="dxa"/>
                  <w:vMerge w:val="continue"/>
                  <w:noWrap/>
                  <w:vAlign w:val="center"/>
                </w:tcPr>
                <w:p w14:paraId="1026FF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AAC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79904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73</w:t>
                  </w:r>
                </w:p>
              </w:tc>
              <w:tc>
                <w:tcPr>
                  <w:tcW w:w="3115" w:type="dxa"/>
                  <w:noWrap/>
                  <w:vAlign w:val="center"/>
                </w:tcPr>
                <w:p w14:paraId="49A6FD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平滑肌分离装片</w:t>
                  </w:r>
                </w:p>
              </w:tc>
              <w:tc>
                <w:tcPr>
                  <w:tcW w:w="889" w:type="dxa"/>
                  <w:noWrap/>
                  <w:vAlign w:val="center"/>
                </w:tcPr>
                <w:p w14:paraId="295359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75B3E0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77D459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BD4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A841D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74</w:t>
                  </w:r>
                </w:p>
              </w:tc>
              <w:tc>
                <w:tcPr>
                  <w:tcW w:w="3115" w:type="dxa"/>
                  <w:noWrap/>
                  <w:vAlign w:val="center"/>
                </w:tcPr>
                <w:p w14:paraId="32388D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平滑肌分离装片</w:t>
                  </w:r>
                </w:p>
              </w:tc>
              <w:tc>
                <w:tcPr>
                  <w:tcW w:w="889" w:type="dxa"/>
                  <w:noWrap/>
                  <w:vAlign w:val="center"/>
                </w:tcPr>
                <w:p w14:paraId="7295DA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165DAE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3C9C2F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78F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8B41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75</w:t>
                  </w:r>
                </w:p>
              </w:tc>
              <w:tc>
                <w:tcPr>
                  <w:tcW w:w="3115" w:type="dxa"/>
                  <w:noWrap/>
                  <w:vAlign w:val="center"/>
                </w:tcPr>
                <w:p w14:paraId="023659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骨骼肌纵横切</w:t>
                  </w:r>
                </w:p>
              </w:tc>
              <w:tc>
                <w:tcPr>
                  <w:tcW w:w="889" w:type="dxa"/>
                  <w:noWrap/>
                  <w:vAlign w:val="center"/>
                </w:tcPr>
                <w:p w14:paraId="2C5639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3FD0E4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w:t>
                  </w:r>
                </w:p>
              </w:tc>
              <w:tc>
                <w:tcPr>
                  <w:tcW w:w="1572" w:type="dxa"/>
                  <w:vMerge w:val="continue"/>
                  <w:noWrap/>
                  <w:vAlign w:val="center"/>
                </w:tcPr>
                <w:p w14:paraId="0ADA5B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CA0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E0120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76</w:t>
                  </w:r>
                </w:p>
              </w:tc>
              <w:tc>
                <w:tcPr>
                  <w:tcW w:w="3115" w:type="dxa"/>
                  <w:noWrap/>
                  <w:vAlign w:val="center"/>
                </w:tcPr>
                <w:p w14:paraId="11B39B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骨骼肌纵横切</w:t>
                  </w:r>
                </w:p>
              </w:tc>
              <w:tc>
                <w:tcPr>
                  <w:tcW w:w="889" w:type="dxa"/>
                  <w:noWrap/>
                  <w:vAlign w:val="center"/>
                </w:tcPr>
                <w:p w14:paraId="4487FE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4CDC22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7A262E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1B0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05200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77</w:t>
                  </w:r>
                </w:p>
              </w:tc>
              <w:tc>
                <w:tcPr>
                  <w:tcW w:w="3115" w:type="dxa"/>
                  <w:noWrap/>
                  <w:vAlign w:val="center"/>
                </w:tcPr>
                <w:p w14:paraId="64A4E9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表皮细胞装片</w:t>
                  </w:r>
                </w:p>
              </w:tc>
              <w:tc>
                <w:tcPr>
                  <w:tcW w:w="889" w:type="dxa"/>
                  <w:noWrap/>
                  <w:vAlign w:val="center"/>
                </w:tcPr>
                <w:p w14:paraId="5FC48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0D7633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w:t>
                  </w:r>
                </w:p>
              </w:tc>
              <w:tc>
                <w:tcPr>
                  <w:tcW w:w="1572" w:type="dxa"/>
                  <w:vMerge w:val="continue"/>
                  <w:noWrap/>
                  <w:vAlign w:val="center"/>
                </w:tcPr>
                <w:p w14:paraId="6CBB2D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806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25EC6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78</w:t>
                  </w:r>
                </w:p>
              </w:tc>
              <w:tc>
                <w:tcPr>
                  <w:tcW w:w="3115" w:type="dxa"/>
                  <w:noWrap/>
                  <w:vAlign w:val="center"/>
                </w:tcPr>
                <w:p w14:paraId="134B11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蛙血涂片</w:t>
                  </w:r>
                </w:p>
              </w:tc>
              <w:tc>
                <w:tcPr>
                  <w:tcW w:w="889" w:type="dxa"/>
                  <w:noWrap/>
                  <w:vAlign w:val="center"/>
                </w:tcPr>
                <w:p w14:paraId="676810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4CBBBD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w:t>
                  </w:r>
                </w:p>
              </w:tc>
              <w:tc>
                <w:tcPr>
                  <w:tcW w:w="1572" w:type="dxa"/>
                  <w:vMerge w:val="continue"/>
                  <w:noWrap/>
                  <w:vAlign w:val="center"/>
                </w:tcPr>
                <w:p w14:paraId="73F9B1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41C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72915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79</w:t>
                  </w:r>
                </w:p>
              </w:tc>
              <w:tc>
                <w:tcPr>
                  <w:tcW w:w="3115" w:type="dxa"/>
                  <w:noWrap/>
                  <w:vAlign w:val="center"/>
                </w:tcPr>
                <w:p w14:paraId="58A5FA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草履虫分裂生殖装片</w:t>
                  </w:r>
                </w:p>
              </w:tc>
              <w:tc>
                <w:tcPr>
                  <w:tcW w:w="889" w:type="dxa"/>
                  <w:noWrap/>
                  <w:vAlign w:val="center"/>
                </w:tcPr>
                <w:p w14:paraId="0A9023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356DEC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w:t>
                  </w:r>
                </w:p>
              </w:tc>
              <w:tc>
                <w:tcPr>
                  <w:tcW w:w="1572" w:type="dxa"/>
                  <w:vMerge w:val="continue"/>
                  <w:noWrap/>
                  <w:vAlign w:val="center"/>
                </w:tcPr>
                <w:p w14:paraId="050D73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CE9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27914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80</w:t>
                  </w:r>
                </w:p>
              </w:tc>
              <w:tc>
                <w:tcPr>
                  <w:tcW w:w="3115" w:type="dxa"/>
                  <w:noWrap/>
                  <w:vAlign w:val="center"/>
                </w:tcPr>
                <w:p w14:paraId="1AF47A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草履虫分裂生殖装片</w:t>
                  </w:r>
                </w:p>
              </w:tc>
              <w:tc>
                <w:tcPr>
                  <w:tcW w:w="889" w:type="dxa"/>
                  <w:noWrap/>
                  <w:vAlign w:val="center"/>
                </w:tcPr>
                <w:p w14:paraId="7BA58E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18B496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w:t>
                  </w:r>
                </w:p>
              </w:tc>
              <w:tc>
                <w:tcPr>
                  <w:tcW w:w="1572" w:type="dxa"/>
                  <w:vMerge w:val="continue"/>
                  <w:noWrap/>
                  <w:vAlign w:val="center"/>
                </w:tcPr>
                <w:p w14:paraId="1B594A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9FB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12" w:type="dxa"/>
                  <w:noWrap/>
                  <w:vAlign w:val="center"/>
                </w:tcPr>
                <w:p w14:paraId="58C90C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81</w:t>
                  </w:r>
                </w:p>
              </w:tc>
              <w:tc>
                <w:tcPr>
                  <w:tcW w:w="3115" w:type="dxa"/>
                  <w:noWrap/>
                  <w:vAlign w:val="center"/>
                </w:tcPr>
                <w:p w14:paraId="5A21E1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动物细胞有丝分裂</w:t>
                  </w:r>
                  <w:r>
                    <w:rPr>
                      <w:rFonts w:hint="default" w:ascii="Times New Roman" w:hAnsi="Times New Roman" w:cs="Times New Roman"/>
                      <w:i w:val="0"/>
                      <w:iCs w:val="0"/>
                      <w:color w:val="auto"/>
                      <w:kern w:val="0"/>
                      <w:sz w:val="24"/>
                      <w:szCs w:val="24"/>
                      <w:highlight w:val="none"/>
                      <w:u w:val="none"/>
                      <w:lang w:val="en-US" w:eastAsia="zh-CN" w:bidi="ar"/>
                    </w:rPr>
                    <w:t>（</w:t>
                  </w:r>
                  <w:r>
                    <w:rPr>
                      <w:rFonts w:hint="default" w:ascii="Times New Roman" w:hAnsi="Times New Roman" w:eastAsia="宋体" w:cs="Times New Roman"/>
                      <w:i w:val="0"/>
                      <w:iCs w:val="0"/>
                      <w:color w:val="auto"/>
                      <w:kern w:val="0"/>
                      <w:sz w:val="24"/>
                      <w:szCs w:val="24"/>
                      <w:highlight w:val="none"/>
                      <w:u w:val="none"/>
                      <w:lang w:val="en-US" w:eastAsia="zh-CN" w:bidi="ar"/>
                    </w:rPr>
                    <w:t>马蛔虫受精卵切片</w:t>
                  </w:r>
                  <w:r>
                    <w:rPr>
                      <w:rFonts w:hint="default" w:ascii="Times New Roman" w:hAnsi="Times New Roman" w:cs="Times New Roman"/>
                      <w:i w:val="0"/>
                      <w:iCs w:val="0"/>
                      <w:color w:val="auto"/>
                      <w:kern w:val="0"/>
                      <w:sz w:val="24"/>
                      <w:szCs w:val="24"/>
                      <w:highlight w:val="none"/>
                      <w:u w:val="none"/>
                      <w:lang w:val="en-US" w:eastAsia="zh-CN" w:bidi="ar"/>
                    </w:rPr>
                    <w:t>）</w:t>
                  </w:r>
                </w:p>
              </w:tc>
              <w:tc>
                <w:tcPr>
                  <w:tcW w:w="889" w:type="dxa"/>
                  <w:noWrap/>
                  <w:vAlign w:val="center"/>
                </w:tcPr>
                <w:p w14:paraId="38319F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624DD3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531E80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70C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12" w:type="dxa"/>
                  <w:noWrap/>
                  <w:vAlign w:val="center"/>
                </w:tcPr>
                <w:p w14:paraId="096318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82</w:t>
                  </w:r>
                </w:p>
              </w:tc>
              <w:tc>
                <w:tcPr>
                  <w:tcW w:w="3115" w:type="dxa"/>
                  <w:noWrap/>
                  <w:vAlign w:val="center"/>
                </w:tcPr>
                <w:p w14:paraId="0D7399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动物细胞有丝分裂</w:t>
                  </w:r>
                  <w:r>
                    <w:rPr>
                      <w:rFonts w:hint="default" w:ascii="Times New Roman" w:hAnsi="Times New Roman" w:cs="Times New Roman"/>
                      <w:i w:val="0"/>
                      <w:iCs w:val="0"/>
                      <w:color w:val="auto"/>
                      <w:kern w:val="0"/>
                      <w:sz w:val="24"/>
                      <w:szCs w:val="24"/>
                      <w:highlight w:val="none"/>
                      <w:u w:val="none"/>
                      <w:lang w:val="en-US" w:eastAsia="zh-CN" w:bidi="ar"/>
                    </w:rPr>
                    <w:t>（</w:t>
                  </w:r>
                  <w:r>
                    <w:rPr>
                      <w:rFonts w:hint="default" w:ascii="Times New Roman" w:hAnsi="Times New Roman" w:eastAsia="宋体" w:cs="Times New Roman"/>
                      <w:i w:val="0"/>
                      <w:iCs w:val="0"/>
                      <w:color w:val="auto"/>
                      <w:kern w:val="0"/>
                      <w:sz w:val="24"/>
                      <w:szCs w:val="24"/>
                      <w:highlight w:val="none"/>
                      <w:u w:val="none"/>
                      <w:lang w:val="en-US" w:eastAsia="zh-CN" w:bidi="ar"/>
                    </w:rPr>
                    <w:t>马蛔虫受精卵切片</w:t>
                  </w:r>
                  <w:r>
                    <w:rPr>
                      <w:rFonts w:hint="default" w:ascii="Times New Roman" w:hAnsi="Times New Roman" w:cs="Times New Roman"/>
                      <w:i w:val="0"/>
                      <w:iCs w:val="0"/>
                      <w:color w:val="auto"/>
                      <w:kern w:val="0"/>
                      <w:sz w:val="24"/>
                      <w:szCs w:val="24"/>
                      <w:highlight w:val="none"/>
                      <w:u w:val="none"/>
                      <w:lang w:val="en-US" w:eastAsia="zh-CN" w:bidi="ar"/>
                    </w:rPr>
                    <w:t>）</w:t>
                  </w:r>
                </w:p>
              </w:tc>
              <w:tc>
                <w:tcPr>
                  <w:tcW w:w="889" w:type="dxa"/>
                  <w:noWrap/>
                  <w:vAlign w:val="center"/>
                </w:tcPr>
                <w:p w14:paraId="0B6B51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150375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6CCE29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40F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BB5F8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83</w:t>
                  </w:r>
                </w:p>
              </w:tc>
              <w:tc>
                <w:tcPr>
                  <w:tcW w:w="3115" w:type="dxa"/>
                  <w:noWrap/>
                  <w:vAlign w:val="center"/>
                </w:tcPr>
                <w:p w14:paraId="63BB9B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大肠杆菌涂片</w:t>
                  </w:r>
                </w:p>
              </w:tc>
              <w:tc>
                <w:tcPr>
                  <w:tcW w:w="889" w:type="dxa"/>
                  <w:noWrap/>
                  <w:vAlign w:val="center"/>
                </w:tcPr>
                <w:p w14:paraId="33B745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358770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w:t>
                  </w:r>
                </w:p>
              </w:tc>
              <w:tc>
                <w:tcPr>
                  <w:tcW w:w="1572" w:type="dxa"/>
                  <w:vMerge w:val="continue"/>
                  <w:noWrap/>
                  <w:vAlign w:val="center"/>
                </w:tcPr>
                <w:p w14:paraId="458212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A2F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A9D38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84</w:t>
                  </w:r>
                </w:p>
              </w:tc>
              <w:tc>
                <w:tcPr>
                  <w:tcW w:w="3115" w:type="dxa"/>
                  <w:noWrap/>
                  <w:vAlign w:val="center"/>
                </w:tcPr>
                <w:p w14:paraId="40A4C6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水绵装片</w:t>
                  </w:r>
                </w:p>
              </w:tc>
              <w:tc>
                <w:tcPr>
                  <w:tcW w:w="889" w:type="dxa"/>
                  <w:noWrap/>
                  <w:vAlign w:val="center"/>
                </w:tcPr>
                <w:p w14:paraId="6C97B8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0BB0D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317CA0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6F9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D1F43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85</w:t>
                  </w:r>
                </w:p>
              </w:tc>
              <w:tc>
                <w:tcPr>
                  <w:tcW w:w="3115" w:type="dxa"/>
                  <w:noWrap/>
                  <w:vAlign w:val="center"/>
                </w:tcPr>
                <w:p w14:paraId="119771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酵母菌装片</w:t>
                  </w:r>
                </w:p>
              </w:tc>
              <w:tc>
                <w:tcPr>
                  <w:tcW w:w="889" w:type="dxa"/>
                  <w:noWrap/>
                  <w:vAlign w:val="center"/>
                </w:tcPr>
                <w:p w14:paraId="500E9F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45956D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w:t>
                  </w:r>
                </w:p>
              </w:tc>
              <w:tc>
                <w:tcPr>
                  <w:tcW w:w="1572" w:type="dxa"/>
                  <w:vMerge w:val="continue"/>
                  <w:noWrap/>
                  <w:vAlign w:val="center"/>
                </w:tcPr>
                <w:p w14:paraId="5EC85D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CCD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A0D51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86</w:t>
                  </w:r>
                </w:p>
              </w:tc>
              <w:tc>
                <w:tcPr>
                  <w:tcW w:w="3115" w:type="dxa"/>
                  <w:noWrap/>
                  <w:vAlign w:val="center"/>
                </w:tcPr>
                <w:p w14:paraId="7C11FE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黑藻叶装片</w:t>
                  </w:r>
                </w:p>
              </w:tc>
              <w:tc>
                <w:tcPr>
                  <w:tcW w:w="889" w:type="dxa"/>
                  <w:noWrap/>
                  <w:vAlign w:val="center"/>
                </w:tcPr>
                <w:p w14:paraId="5B12DD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285D46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3248CF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5B1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E0C10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w:t>
                  </w:r>
                </w:p>
              </w:tc>
              <w:tc>
                <w:tcPr>
                  <w:tcW w:w="3115" w:type="dxa"/>
                  <w:noWrap/>
                  <w:vAlign w:val="center"/>
                </w:tcPr>
                <w:p w14:paraId="44D6B4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胞间连丝切片</w:t>
                  </w:r>
                </w:p>
              </w:tc>
              <w:tc>
                <w:tcPr>
                  <w:tcW w:w="889" w:type="dxa"/>
                  <w:noWrap/>
                  <w:vAlign w:val="center"/>
                </w:tcPr>
                <w:p w14:paraId="4971B7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33D57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2B6E6D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E9D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2E04D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88</w:t>
                  </w:r>
                </w:p>
              </w:tc>
              <w:tc>
                <w:tcPr>
                  <w:tcW w:w="3115" w:type="dxa"/>
                  <w:noWrap/>
                  <w:vAlign w:val="center"/>
                </w:tcPr>
                <w:p w14:paraId="620DFA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植物细胞有丝分裂</w:t>
                  </w:r>
                </w:p>
              </w:tc>
              <w:tc>
                <w:tcPr>
                  <w:tcW w:w="889" w:type="dxa"/>
                  <w:noWrap/>
                  <w:vAlign w:val="center"/>
                </w:tcPr>
                <w:p w14:paraId="3217C9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07E960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w:t>
                  </w:r>
                </w:p>
              </w:tc>
              <w:tc>
                <w:tcPr>
                  <w:tcW w:w="1572" w:type="dxa"/>
                  <w:vMerge w:val="continue"/>
                  <w:noWrap/>
                  <w:vAlign w:val="center"/>
                </w:tcPr>
                <w:p w14:paraId="2CE2B8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0D47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5EACD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89</w:t>
                  </w:r>
                </w:p>
              </w:tc>
              <w:tc>
                <w:tcPr>
                  <w:tcW w:w="3115" w:type="dxa"/>
                  <w:noWrap/>
                  <w:vAlign w:val="center"/>
                </w:tcPr>
                <w:p w14:paraId="353712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蚕豆叶下表皮装片</w:t>
                  </w:r>
                </w:p>
              </w:tc>
              <w:tc>
                <w:tcPr>
                  <w:tcW w:w="889" w:type="dxa"/>
                  <w:noWrap/>
                  <w:vAlign w:val="center"/>
                </w:tcPr>
                <w:p w14:paraId="149830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01A3F8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1572" w:type="dxa"/>
                  <w:vMerge w:val="continue"/>
                  <w:noWrap/>
                  <w:vAlign w:val="center"/>
                </w:tcPr>
                <w:p w14:paraId="713F36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963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712" w:type="dxa"/>
                  <w:noWrap/>
                  <w:vAlign w:val="center"/>
                </w:tcPr>
                <w:p w14:paraId="2271ED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w:t>
                  </w:r>
                </w:p>
              </w:tc>
              <w:tc>
                <w:tcPr>
                  <w:tcW w:w="3115" w:type="dxa"/>
                  <w:noWrap/>
                  <w:vAlign w:val="center"/>
                </w:tcPr>
                <w:p w14:paraId="44AC3A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DNA双螺旋结构模型组件</w:t>
                  </w:r>
                </w:p>
              </w:tc>
              <w:tc>
                <w:tcPr>
                  <w:tcW w:w="889" w:type="dxa"/>
                  <w:noWrap/>
                  <w:vAlign w:val="center"/>
                </w:tcPr>
                <w:p w14:paraId="64659B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27BD5C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81</w:t>
                  </w:r>
                </w:p>
              </w:tc>
              <w:tc>
                <w:tcPr>
                  <w:tcW w:w="1572" w:type="dxa"/>
                  <w:vMerge w:val="continue"/>
                  <w:noWrap/>
                  <w:vAlign w:val="center"/>
                </w:tcPr>
                <w:p w14:paraId="5E2E13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A49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2B7F1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91</w:t>
                  </w:r>
                </w:p>
              </w:tc>
              <w:tc>
                <w:tcPr>
                  <w:tcW w:w="3115" w:type="dxa"/>
                  <w:noWrap/>
                  <w:vAlign w:val="center"/>
                </w:tcPr>
                <w:p w14:paraId="269018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DNA结构模型</w:t>
                  </w:r>
                </w:p>
              </w:tc>
              <w:tc>
                <w:tcPr>
                  <w:tcW w:w="889" w:type="dxa"/>
                  <w:noWrap/>
                  <w:vAlign w:val="center"/>
                </w:tcPr>
                <w:p w14:paraId="4B478B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62C97C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1572" w:type="dxa"/>
                  <w:vMerge w:val="continue"/>
                  <w:noWrap/>
                  <w:vAlign w:val="center"/>
                </w:tcPr>
                <w:p w14:paraId="2E0611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6507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1A3C4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92</w:t>
                  </w:r>
                </w:p>
              </w:tc>
              <w:tc>
                <w:tcPr>
                  <w:tcW w:w="3115" w:type="dxa"/>
                  <w:noWrap/>
                  <w:vAlign w:val="center"/>
                </w:tcPr>
                <w:p w14:paraId="26BC29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细胞膜流动镶嵌模型组件</w:t>
                  </w:r>
                </w:p>
              </w:tc>
              <w:tc>
                <w:tcPr>
                  <w:tcW w:w="889" w:type="dxa"/>
                  <w:noWrap/>
                  <w:vAlign w:val="center"/>
                </w:tcPr>
                <w:p w14:paraId="77E259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12517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w:t>
                  </w:r>
                </w:p>
              </w:tc>
              <w:tc>
                <w:tcPr>
                  <w:tcW w:w="1572" w:type="dxa"/>
                  <w:vMerge w:val="continue"/>
                  <w:noWrap/>
                  <w:vAlign w:val="center"/>
                </w:tcPr>
                <w:p w14:paraId="4D32CB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89B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4B132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93</w:t>
                  </w:r>
                </w:p>
              </w:tc>
              <w:tc>
                <w:tcPr>
                  <w:tcW w:w="3115" w:type="dxa"/>
                  <w:noWrap/>
                  <w:vAlign w:val="center"/>
                </w:tcPr>
                <w:p w14:paraId="6FAD09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细胞膜结构模型</w:t>
                  </w:r>
                </w:p>
              </w:tc>
              <w:tc>
                <w:tcPr>
                  <w:tcW w:w="889" w:type="dxa"/>
                  <w:noWrap/>
                  <w:vAlign w:val="center"/>
                </w:tcPr>
                <w:p w14:paraId="3BF529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40FFEA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w:t>
                  </w:r>
                </w:p>
              </w:tc>
              <w:tc>
                <w:tcPr>
                  <w:tcW w:w="1572" w:type="dxa"/>
                  <w:vMerge w:val="continue"/>
                  <w:noWrap/>
                  <w:vAlign w:val="center"/>
                </w:tcPr>
                <w:p w14:paraId="5DFF96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D1C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CA838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94</w:t>
                  </w:r>
                </w:p>
              </w:tc>
              <w:tc>
                <w:tcPr>
                  <w:tcW w:w="3115" w:type="dxa"/>
                  <w:noWrap/>
                  <w:vAlign w:val="center"/>
                </w:tcPr>
                <w:p w14:paraId="31CF8E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始祖鸟化石及复原模型</w:t>
                  </w:r>
                </w:p>
              </w:tc>
              <w:tc>
                <w:tcPr>
                  <w:tcW w:w="889" w:type="dxa"/>
                  <w:noWrap/>
                  <w:vAlign w:val="center"/>
                </w:tcPr>
                <w:p w14:paraId="7286B8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48CDD0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42025B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E14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161BE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95</w:t>
                  </w:r>
                </w:p>
              </w:tc>
              <w:tc>
                <w:tcPr>
                  <w:tcW w:w="3115" w:type="dxa"/>
                  <w:noWrap/>
                  <w:vAlign w:val="center"/>
                </w:tcPr>
                <w:p w14:paraId="7F8F93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始祖鸟化石及复原模型</w:t>
                  </w:r>
                </w:p>
              </w:tc>
              <w:tc>
                <w:tcPr>
                  <w:tcW w:w="889" w:type="dxa"/>
                  <w:noWrap/>
                  <w:vAlign w:val="center"/>
                </w:tcPr>
                <w:p w14:paraId="2E2E6C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40E56C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54A885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40A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BF8BC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96</w:t>
                  </w:r>
                </w:p>
              </w:tc>
              <w:tc>
                <w:tcPr>
                  <w:tcW w:w="3115" w:type="dxa"/>
                  <w:noWrap/>
                  <w:vAlign w:val="center"/>
                </w:tcPr>
                <w:p w14:paraId="6F6BB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玻璃三角刮刀</w:t>
                  </w:r>
                  <w:r>
                    <w:rPr>
                      <w:rFonts w:hint="default" w:ascii="Times New Roman" w:hAnsi="Times New Roman" w:cs="Times New Roman"/>
                      <w:i w:val="0"/>
                      <w:iCs w:val="0"/>
                      <w:color w:val="auto"/>
                      <w:kern w:val="0"/>
                      <w:sz w:val="24"/>
                      <w:szCs w:val="24"/>
                      <w:highlight w:val="none"/>
                      <w:u w:val="none"/>
                      <w:lang w:val="en-US" w:eastAsia="zh-CN" w:bidi="ar"/>
                    </w:rPr>
                    <w:t>（</w:t>
                  </w:r>
                  <w:r>
                    <w:rPr>
                      <w:rFonts w:hint="default" w:ascii="Times New Roman" w:hAnsi="Times New Roman" w:eastAsia="宋体" w:cs="Times New Roman"/>
                      <w:i w:val="0"/>
                      <w:iCs w:val="0"/>
                      <w:color w:val="auto"/>
                      <w:kern w:val="0"/>
                      <w:sz w:val="24"/>
                      <w:szCs w:val="24"/>
                      <w:highlight w:val="none"/>
                      <w:u w:val="none"/>
                      <w:lang w:val="en-US" w:eastAsia="zh-CN" w:bidi="ar"/>
                    </w:rPr>
                    <w:t>涂布器</w:t>
                  </w:r>
                  <w:r>
                    <w:rPr>
                      <w:rFonts w:hint="default" w:ascii="Times New Roman" w:hAnsi="Times New Roman" w:cs="Times New Roman"/>
                      <w:i w:val="0"/>
                      <w:iCs w:val="0"/>
                      <w:color w:val="auto"/>
                      <w:kern w:val="0"/>
                      <w:sz w:val="24"/>
                      <w:szCs w:val="24"/>
                      <w:highlight w:val="none"/>
                      <w:u w:val="none"/>
                      <w:lang w:val="en-US" w:eastAsia="zh-CN" w:bidi="ar"/>
                    </w:rPr>
                    <w:t>）</w:t>
                  </w:r>
                </w:p>
              </w:tc>
              <w:tc>
                <w:tcPr>
                  <w:tcW w:w="889" w:type="dxa"/>
                  <w:noWrap/>
                  <w:vAlign w:val="center"/>
                </w:tcPr>
                <w:p w14:paraId="7E5375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470136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w:t>
                  </w:r>
                </w:p>
              </w:tc>
              <w:tc>
                <w:tcPr>
                  <w:tcW w:w="1572" w:type="dxa"/>
                  <w:vMerge w:val="continue"/>
                  <w:noWrap/>
                  <w:vAlign w:val="center"/>
                </w:tcPr>
                <w:p w14:paraId="2BE33D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106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DC9D8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97</w:t>
                  </w:r>
                </w:p>
              </w:tc>
              <w:tc>
                <w:tcPr>
                  <w:tcW w:w="3115" w:type="dxa"/>
                  <w:noWrap/>
                  <w:vAlign w:val="center"/>
                </w:tcPr>
                <w:p w14:paraId="75B9F1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玻璃三角刮刀</w:t>
                  </w:r>
                  <w:r>
                    <w:rPr>
                      <w:rFonts w:hint="default" w:ascii="Times New Roman" w:hAnsi="Times New Roman" w:cs="Times New Roman"/>
                      <w:i w:val="0"/>
                      <w:iCs w:val="0"/>
                      <w:color w:val="auto"/>
                      <w:kern w:val="0"/>
                      <w:sz w:val="24"/>
                      <w:szCs w:val="24"/>
                      <w:highlight w:val="none"/>
                      <w:u w:val="none"/>
                      <w:lang w:val="en-US" w:eastAsia="zh-CN" w:bidi="ar"/>
                    </w:rPr>
                    <w:t>（</w:t>
                  </w:r>
                  <w:r>
                    <w:rPr>
                      <w:rFonts w:hint="default" w:ascii="Times New Roman" w:hAnsi="Times New Roman" w:eastAsia="宋体" w:cs="Times New Roman"/>
                      <w:i w:val="0"/>
                      <w:iCs w:val="0"/>
                      <w:color w:val="auto"/>
                      <w:kern w:val="0"/>
                      <w:sz w:val="24"/>
                      <w:szCs w:val="24"/>
                      <w:highlight w:val="none"/>
                      <w:u w:val="none"/>
                      <w:lang w:val="en-US" w:eastAsia="zh-CN" w:bidi="ar"/>
                    </w:rPr>
                    <w:t>涂布器</w:t>
                  </w:r>
                  <w:r>
                    <w:rPr>
                      <w:rFonts w:hint="default" w:ascii="Times New Roman" w:hAnsi="Times New Roman" w:cs="Times New Roman"/>
                      <w:i w:val="0"/>
                      <w:iCs w:val="0"/>
                      <w:color w:val="auto"/>
                      <w:kern w:val="0"/>
                      <w:sz w:val="24"/>
                      <w:szCs w:val="24"/>
                      <w:highlight w:val="none"/>
                      <w:u w:val="none"/>
                      <w:lang w:val="en-US" w:eastAsia="zh-CN" w:bidi="ar"/>
                    </w:rPr>
                    <w:t>）</w:t>
                  </w:r>
                </w:p>
              </w:tc>
              <w:tc>
                <w:tcPr>
                  <w:tcW w:w="889" w:type="dxa"/>
                  <w:noWrap/>
                  <w:vAlign w:val="center"/>
                </w:tcPr>
                <w:p w14:paraId="64B405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620471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w:t>
                  </w:r>
                </w:p>
              </w:tc>
              <w:tc>
                <w:tcPr>
                  <w:tcW w:w="1572" w:type="dxa"/>
                  <w:vMerge w:val="continue"/>
                  <w:noWrap/>
                  <w:vAlign w:val="center"/>
                </w:tcPr>
                <w:p w14:paraId="6B1733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206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280DD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98</w:t>
                  </w:r>
                </w:p>
              </w:tc>
              <w:tc>
                <w:tcPr>
                  <w:tcW w:w="3115" w:type="dxa"/>
                  <w:noWrap/>
                  <w:vAlign w:val="center"/>
                </w:tcPr>
                <w:p w14:paraId="46AE12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果酒果醋发酵装置</w:t>
                  </w:r>
                </w:p>
              </w:tc>
              <w:tc>
                <w:tcPr>
                  <w:tcW w:w="889" w:type="dxa"/>
                  <w:noWrap/>
                  <w:vAlign w:val="center"/>
                </w:tcPr>
                <w:p w14:paraId="0F109D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69A26E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w:t>
                  </w:r>
                </w:p>
              </w:tc>
              <w:tc>
                <w:tcPr>
                  <w:tcW w:w="1572" w:type="dxa"/>
                  <w:vMerge w:val="continue"/>
                  <w:noWrap/>
                  <w:vAlign w:val="center"/>
                </w:tcPr>
                <w:p w14:paraId="7CCCCF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067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30B3A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99</w:t>
                  </w:r>
                </w:p>
              </w:tc>
              <w:tc>
                <w:tcPr>
                  <w:tcW w:w="3115" w:type="dxa"/>
                  <w:noWrap/>
                  <w:vAlign w:val="center"/>
                </w:tcPr>
                <w:p w14:paraId="05991E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组织捣碎匀浆机</w:t>
                  </w:r>
                </w:p>
              </w:tc>
              <w:tc>
                <w:tcPr>
                  <w:tcW w:w="889" w:type="dxa"/>
                  <w:noWrap/>
                  <w:vAlign w:val="center"/>
                </w:tcPr>
                <w:p w14:paraId="0E556B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18E1CF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3CA738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25F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13069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w:t>
                  </w:r>
                </w:p>
              </w:tc>
              <w:tc>
                <w:tcPr>
                  <w:tcW w:w="3115" w:type="dxa"/>
                  <w:noWrap/>
                  <w:vAlign w:val="center"/>
                </w:tcPr>
                <w:p w14:paraId="5BDD29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精油提取器</w:t>
                  </w:r>
                </w:p>
              </w:tc>
              <w:tc>
                <w:tcPr>
                  <w:tcW w:w="889" w:type="dxa"/>
                  <w:noWrap/>
                  <w:vAlign w:val="center"/>
                </w:tcPr>
                <w:p w14:paraId="41CA81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7DD255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w:t>
                  </w:r>
                </w:p>
              </w:tc>
              <w:tc>
                <w:tcPr>
                  <w:tcW w:w="1572" w:type="dxa"/>
                  <w:vMerge w:val="continue"/>
                  <w:noWrap/>
                  <w:vAlign w:val="center"/>
                </w:tcPr>
                <w:p w14:paraId="074705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901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F7EE4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w:t>
                  </w:r>
                </w:p>
              </w:tc>
              <w:tc>
                <w:tcPr>
                  <w:tcW w:w="3115" w:type="dxa"/>
                  <w:noWrap/>
                  <w:vAlign w:val="center"/>
                </w:tcPr>
                <w:p w14:paraId="5C6329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光照培养架</w:t>
                  </w:r>
                </w:p>
              </w:tc>
              <w:tc>
                <w:tcPr>
                  <w:tcW w:w="889" w:type="dxa"/>
                  <w:noWrap/>
                  <w:vAlign w:val="center"/>
                </w:tcPr>
                <w:p w14:paraId="24270F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2BFC70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1ABDA7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D90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55088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w:t>
                  </w:r>
                </w:p>
              </w:tc>
              <w:tc>
                <w:tcPr>
                  <w:tcW w:w="3115" w:type="dxa"/>
                  <w:noWrap/>
                  <w:vAlign w:val="center"/>
                </w:tcPr>
                <w:p w14:paraId="396B14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研磨过滤器</w:t>
                  </w:r>
                </w:p>
              </w:tc>
              <w:tc>
                <w:tcPr>
                  <w:tcW w:w="889" w:type="dxa"/>
                  <w:noWrap/>
                  <w:vAlign w:val="center"/>
                </w:tcPr>
                <w:p w14:paraId="0B2CA1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405BAA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w:t>
                  </w:r>
                </w:p>
              </w:tc>
              <w:tc>
                <w:tcPr>
                  <w:tcW w:w="1572" w:type="dxa"/>
                  <w:vMerge w:val="continue"/>
                  <w:noWrap/>
                  <w:vAlign w:val="center"/>
                </w:tcPr>
                <w:p w14:paraId="5E7093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7C4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62CB99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w:t>
                  </w:r>
                </w:p>
              </w:tc>
              <w:tc>
                <w:tcPr>
                  <w:tcW w:w="3115" w:type="dxa"/>
                  <w:noWrap/>
                  <w:vAlign w:val="center"/>
                </w:tcPr>
                <w:p w14:paraId="20B94A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接种环</w:t>
                  </w:r>
                </w:p>
              </w:tc>
              <w:tc>
                <w:tcPr>
                  <w:tcW w:w="889" w:type="dxa"/>
                  <w:noWrap/>
                  <w:vAlign w:val="center"/>
                </w:tcPr>
                <w:p w14:paraId="6B6425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541D7F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w:t>
                  </w:r>
                </w:p>
              </w:tc>
              <w:tc>
                <w:tcPr>
                  <w:tcW w:w="1572" w:type="dxa"/>
                  <w:vMerge w:val="continue"/>
                  <w:noWrap/>
                  <w:vAlign w:val="center"/>
                </w:tcPr>
                <w:p w14:paraId="24749A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2CC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1213C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w:t>
                  </w:r>
                </w:p>
              </w:tc>
              <w:tc>
                <w:tcPr>
                  <w:tcW w:w="3115" w:type="dxa"/>
                  <w:noWrap/>
                  <w:vAlign w:val="center"/>
                </w:tcPr>
                <w:p w14:paraId="43ACE7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接种环</w:t>
                  </w:r>
                </w:p>
              </w:tc>
              <w:tc>
                <w:tcPr>
                  <w:tcW w:w="889" w:type="dxa"/>
                  <w:noWrap/>
                  <w:vAlign w:val="center"/>
                </w:tcPr>
                <w:p w14:paraId="0BB862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3DE948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w:t>
                  </w:r>
                </w:p>
              </w:tc>
              <w:tc>
                <w:tcPr>
                  <w:tcW w:w="1572" w:type="dxa"/>
                  <w:vMerge w:val="continue"/>
                  <w:noWrap/>
                  <w:vAlign w:val="center"/>
                </w:tcPr>
                <w:p w14:paraId="002AC5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0D5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16DF6D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w:t>
                  </w:r>
                </w:p>
              </w:tc>
              <w:tc>
                <w:tcPr>
                  <w:tcW w:w="3115" w:type="dxa"/>
                  <w:noWrap/>
                  <w:vAlign w:val="center"/>
                </w:tcPr>
                <w:p w14:paraId="2E289C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计数器</w:t>
                  </w:r>
                </w:p>
              </w:tc>
              <w:tc>
                <w:tcPr>
                  <w:tcW w:w="889" w:type="dxa"/>
                  <w:noWrap/>
                  <w:vAlign w:val="center"/>
                </w:tcPr>
                <w:p w14:paraId="3E4AF6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130608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w:t>
                  </w:r>
                </w:p>
              </w:tc>
              <w:tc>
                <w:tcPr>
                  <w:tcW w:w="1572" w:type="dxa"/>
                  <w:vMerge w:val="continue"/>
                  <w:noWrap/>
                  <w:vAlign w:val="center"/>
                </w:tcPr>
                <w:p w14:paraId="2385AA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AE6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07C69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w:t>
                  </w:r>
                </w:p>
              </w:tc>
              <w:tc>
                <w:tcPr>
                  <w:tcW w:w="3115" w:type="dxa"/>
                  <w:noWrap/>
                  <w:vAlign w:val="center"/>
                </w:tcPr>
                <w:p w14:paraId="3053C1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血球计数板</w:t>
                  </w:r>
                </w:p>
              </w:tc>
              <w:tc>
                <w:tcPr>
                  <w:tcW w:w="889" w:type="dxa"/>
                  <w:noWrap/>
                  <w:vAlign w:val="center"/>
                </w:tcPr>
                <w:p w14:paraId="108297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片</w:t>
                  </w:r>
                </w:p>
              </w:tc>
              <w:tc>
                <w:tcPr>
                  <w:tcW w:w="1572" w:type="dxa"/>
                  <w:noWrap/>
                  <w:vAlign w:val="center"/>
                </w:tcPr>
                <w:p w14:paraId="0E8215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w:t>
                  </w:r>
                </w:p>
              </w:tc>
              <w:tc>
                <w:tcPr>
                  <w:tcW w:w="1572" w:type="dxa"/>
                  <w:vMerge w:val="continue"/>
                  <w:noWrap/>
                  <w:vAlign w:val="center"/>
                </w:tcPr>
                <w:p w14:paraId="2378F7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55B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34E76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w:t>
                  </w:r>
                </w:p>
              </w:tc>
              <w:tc>
                <w:tcPr>
                  <w:tcW w:w="3115" w:type="dxa"/>
                  <w:noWrap/>
                  <w:vAlign w:val="center"/>
                </w:tcPr>
                <w:p w14:paraId="04BADE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酸度计</w:t>
                  </w:r>
                  <w:r>
                    <w:rPr>
                      <w:rFonts w:hint="default" w:ascii="Times New Roman" w:hAnsi="Times New Roman" w:cs="Times New Roman"/>
                      <w:i w:val="0"/>
                      <w:iCs w:val="0"/>
                      <w:color w:val="auto"/>
                      <w:kern w:val="0"/>
                      <w:sz w:val="24"/>
                      <w:szCs w:val="24"/>
                      <w:highlight w:val="none"/>
                      <w:u w:val="none"/>
                      <w:lang w:val="en-US" w:eastAsia="zh-CN" w:bidi="ar"/>
                    </w:rPr>
                    <w:t>（</w:t>
                  </w:r>
                  <w:r>
                    <w:rPr>
                      <w:rFonts w:hint="default" w:ascii="Times New Roman" w:hAnsi="Times New Roman" w:eastAsia="宋体" w:cs="Times New Roman"/>
                      <w:i w:val="0"/>
                      <w:iCs w:val="0"/>
                      <w:color w:val="auto"/>
                      <w:kern w:val="0"/>
                      <w:sz w:val="24"/>
                      <w:szCs w:val="24"/>
                      <w:highlight w:val="none"/>
                      <w:u w:val="none"/>
                      <w:lang w:val="en-US" w:eastAsia="zh-CN" w:bidi="ar"/>
                    </w:rPr>
                    <w:t>pH计</w:t>
                  </w:r>
                  <w:r>
                    <w:rPr>
                      <w:rFonts w:hint="default" w:ascii="Times New Roman" w:hAnsi="Times New Roman" w:cs="Times New Roman"/>
                      <w:i w:val="0"/>
                      <w:iCs w:val="0"/>
                      <w:color w:val="auto"/>
                      <w:kern w:val="0"/>
                      <w:sz w:val="24"/>
                      <w:szCs w:val="24"/>
                      <w:highlight w:val="none"/>
                      <w:u w:val="none"/>
                      <w:lang w:val="en-US" w:eastAsia="zh-CN" w:bidi="ar"/>
                    </w:rPr>
                    <w:t>）</w:t>
                  </w:r>
                </w:p>
              </w:tc>
              <w:tc>
                <w:tcPr>
                  <w:tcW w:w="889" w:type="dxa"/>
                  <w:noWrap/>
                  <w:vAlign w:val="center"/>
                </w:tcPr>
                <w:p w14:paraId="29D47A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27FAB1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w:t>
                  </w:r>
                </w:p>
              </w:tc>
              <w:tc>
                <w:tcPr>
                  <w:tcW w:w="1572" w:type="dxa"/>
                  <w:vMerge w:val="continue"/>
                  <w:noWrap/>
                  <w:vAlign w:val="center"/>
                </w:tcPr>
                <w:p w14:paraId="5F8359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F26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5201F4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w:t>
                  </w:r>
                </w:p>
              </w:tc>
              <w:tc>
                <w:tcPr>
                  <w:tcW w:w="3115" w:type="dxa"/>
                  <w:noWrap/>
                  <w:vAlign w:val="center"/>
                </w:tcPr>
                <w:p w14:paraId="0D20AC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温度计</w:t>
                  </w:r>
                </w:p>
              </w:tc>
              <w:tc>
                <w:tcPr>
                  <w:tcW w:w="889" w:type="dxa"/>
                  <w:noWrap/>
                  <w:vAlign w:val="center"/>
                </w:tcPr>
                <w:p w14:paraId="0461C4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支</w:t>
                  </w:r>
                </w:p>
              </w:tc>
              <w:tc>
                <w:tcPr>
                  <w:tcW w:w="1572" w:type="dxa"/>
                  <w:noWrap/>
                  <w:vAlign w:val="center"/>
                </w:tcPr>
                <w:p w14:paraId="5F66AF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97</w:t>
                  </w:r>
                </w:p>
              </w:tc>
              <w:tc>
                <w:tcPr>
                  <w:tcW w:w="1572" w:type="dxa"/>
                  <w:vMerge w:val="continue"/>
                  <w:noWrap/>
                  <w:vAlign w:val="center"/>
                </w:tcPr>
                <w:p w14:paraId="154F80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A17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591E4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w:t>
                  </w:r>
                </w:p>
              </w:tc>
              <w:tc>
                <w:tcPr>
                  <w:tcW w:w="3115" w:type="dxa"/>
                  <w:noWrap/>
                  <w:vAlign w:val="center"/>
                </w:tcPr>
                <w:p w14:paraId="4087FF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分析天平</w:t>
                  </w:r>
                </w:p>
              </w:tc>
              <w:tc>
                <w:tcPr>
                  <w:tcW w:w="889" w:type="dxa"/>
                  <w:noWrap/>
                  <w:vAlign w:val="center"/>
                </w:tcPr>
                <w:p w14:paraId="293B8B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5A8584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1572" w:type="dxa"/>
                  <w:vMerge w:val="continue"/>
                  <w:noWrap/>
                  <w:vAlign w:val="center"/>
                </w:tcPr>
                <w:p w14:paraId="2C7030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3BB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4E18F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w:t>
                  </w:r>
                </w:p>
              </w:tc>
              <w:tc>
                <w:tcPr>
                  <w:tcW w:w="3115" w:type="dxa"/>
                  <w:noWrap/>
                  <w:vAlign w:val="center"/>
                </w:tcPr>
                <w:p w14:paraId="34B367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电子天平</w:t>
                  </w:r>
                </w:p>
              </w:tc>
              <w:tc>
                <w:tcPr>
                  <w:tcW w:w="889" w:type="dxa"/>
                  <w:noWrap/>
                  <w:vAlign w:val="center"/>
                </w:tcPr>
                <w:p w14:paraId="437090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02FACE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cs="Times New Roman"/>
                      <w:i w:val="0"/>
                      <w:iCs w:val="0"/>
                      <w:color w:val="auto"/>
                      <w:kern w:val="0"/>
                      <w:sz w:val="24"/>
                      <w:szCs w:val="24"/>
                      <w:highlight w:val="none"/>
                      <w:u w:val="none"/>
                      <w:lang w:val="en-US" w:eastAsia="zh-CN" w:bidi="ar"/>
                    </w:rPr>
                    <w:t>5</w:t>
                  </w:r>
                </w:p>
              </w:tc>
              <w:tc>
                <w:tcPr>
                  <w:tcW w:w="1572" w:type="dxa"/>
                  <w:vMerge w:val="continue"/>
                  <w:noWrap/>
                  <w:vAlign w:val="center"/>
                </w:tcPr>
                <w:p w14:paraId="198748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B20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98BE9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w:t>
                  </w:r>
                </w:p>
              </w:tc>
              <w:tc>
                <w:tcPr>
                  <w:tcW w:w="3115" w:type="dxa"/>
                  <w:noWrap/>
                  <w:vAlign w:val="center"/>
                </w:tcPr>
                <w:p w14:paraId="70988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托盘天平</w:t>
                  </w:r>
                </w:p>
              </w:tc>
              <w:tc>
                <w:tcPr>
                  <w:tcW w:w="889" w:type="dxa"/>
                  <w:noWrap/>
                  <w:vAlign w:val="center"/>
                </w:tcPr>
                <w:p w14:paraId="75CE26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0F682B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w:t>
                  </w:r>
                </w:p>
              </w:tc>
              <w:tc>
                <w:tcPr>
                  <w:tcW w:w="1572" w:type="dxa"/>
                  <w:vMerge w:val="continue"/>
                  <w:noWrap/>
                  <w:vAlign w:val="center"/>
                </w:tcPr>
                <w:p w14:paraId="4A272E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7A4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C0BA0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w:t>
                  </w:r>
                </w:p>
              </w:tc>
              <w:tc>
                <w:tcPr>
                  <w:tcW w:w="3115" w:type="dxa"/>
                  <w:noWrap/>
                  <w:vAlign w:val="center"/>
                </w:tcPr>
                <w:p w14:paraId="465F61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试管架</w:t>
                  </w:r>
                </w:p>
              </w:tc>
              <w:tc>
                <w:tcPr>
                  <w:tcW w:w="889" w:type="dxa"/>
                  <w:noWrap/>
                  <w:vAlign w:val="center"/>
                </w:tcPr>
                <w:p w14:paraId="2CDC93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6045D5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65</w:t>
                  </w:r>
                </w:p>
              </w:tc>
              <w:tc>
                <w:tcPr>
                  <w:tcW w:w="1572" w:type="dxa"/>
                  <w:vMerge w:val="continue"/>
                  <w:noWrap/>
                  <w:vAlign w:val="center"/>
                </w:tcPr>
                <w:p w14:paraId="3AD6FC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70D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3F20AE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w:t>
                  </w:r>
                </w:p>
              </w:tc>
              <w:tc>
                <w:tcPr>
                  <w:tcW w:w="3115" w:type="dxa"/>
                  <w:noWrap/>
                  <w:vAlign w:val="center"/>
                </w:tcPr>
                <w:p w14:paraId="224C01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试管架</w:t>
                  </w:r>
                </w:p>
              </w:tc>
              <w:tc>
                <w:tcPr>
                  <w:tcW w:w="889" w:type="dxa"/>
                  <w:noWrap/>
                  <w:vAlign w:val="center"/>
                </w:tcPr>
                <w:p w14:paraId="182D48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3A9574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w:t>
                  </w:r>
                </w:p>
              </w:tc>
              <w:tc>
                <w:tcPr>
                  <w:tcW w:w="1572" w:type="dxa"/>
                  <w:vMerge w:val="continue"/>
                  <w:noWrap/>
                  <w:vAlign w:val="center"/>
                </w:tcPr>
                <w:p w14:paraId="462BCA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E34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77241F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w:t>
                  </w:r>
                </w:p>
              </w:tc>
              <w:tc>
                <w:tcPr>
                  <w:tcW w:w="3115" w:type="dxa"/>
                  <w:noWrap/>
                  <w:vAlign w:val="center"/>
                </w:tcPr>
                <w:p w14:paraId="47D603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三脚架</w:t>
                  </w:r>
                </w:p>
              </w:tc>
              <w:tc>
                <w:tcPr>
                  <w:tcW w:w="889" w:type="dxa"/>
                  <w:noWrap/>
                  <w:vAlign w:val="center"/>
                </w:tcPr>
                <w:p w14:paraId="177908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663467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64</w:t>
                  </w:r>
                </w:p>
              </w:tc>
              <w:tc>
                <w:tcPr>
                  <w:tcW w:w="1572" w:type="dxa"/>
                  <w:vMerge w:val="continue"/>
                  <w:noWrap/>
                  <w:vAlign w:val="center"/>
                </w:tcPr>
                <w:p w14:paraId="64C74F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D99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63B6E4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w:t>
                  </w:r>
                </w:p>
              </w:tc>
              <w:tc>
                <w:tcPr>
                  <w:tcW w:w="3115" w:type="dxa"/>
                  <w:noWrap/>
                  <w:vAlign w:val="center"/>
                </w:tcPr>
                <w:p w14:paraId="2B0829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方座支架</w:t>
                  </w:r>
                </w:p>
              </w:tc>
              <w:tc>
                <w:tcPr>
                  <w:tcW w:w="889" w:type="dxa"/>
                  <w:noWrap/>
                  <w:vAlign w:val="center"/>
                </w:tcPr>
                <w:p w14:paraId="7DCE07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6EB34E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w:t>
                  </w:r>
                </w:p>
              </w:tc>
              <w:tc>
                <w:tcPr>
                  <w:tcW w:w="1572" w:type="dxa"/>
                  <w:vMerge w:val="continue"/>
                  <w:noWrap/>
                  <w:vAlign w:val="center"/>
                </w:tcPr>
                <w:p w14:paraId="72EC17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1AB4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F9C18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w:t>
                  </w:r>
                </w:p>
              </w:tc>
              <w:tc>
                <w:tcPr>
                  <w:tcW w:w="3115" w:type="dxa"/>
                  <w:noWrap/>
                  <w:vAlign w:val="center"/>
                </w:tcPr>
                <w:p w14:paraId="39DF69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塑料洗瓶</w:t>
                  </w:r>
                </w:p>
              </w:tc>
              <w:tc>
                <w:tcPr>
                  <w:tcW w:w="889" w:type="dxa"/>
                  <w:noWrap/>
                  <w:vAlign w:val="center"/>
                </w:tcPr>
                <w:p w14:paraId="61132F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285520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w:t>
                  </w:r>
                </w:p>
              </w:tc>
              <w:tc>
                <w:tcPr>
                  <w:tcW w:w="1572" w:type="dxa"/>
                  <w:vMerge w:val="continue"/>
                  <w:noWrap/>
                  <w:vAlign w:val="center"/>
                </w:tcPr>
                <w:p w14:paraId="02DFEF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FAE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A89F4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w:t>
                  </w:r>
                </w:p>
              </w:tc>
              <w:tc>
                <w:tcPr>
                  <w:tcW w:w="3115" w:type="dxa"/>
                  <w:noWrap/>
                  <w:vAlign w:val="center"/>
                </w:tcPr>
                <w:p w14:paraId="1B50D0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整理箱</w:t>
                  </w:r>
                </w:p>
              </w:tc>
              <w:tc>
                <w:tcPr>
                  <w:tcW w:w="889" w:type="dxa"/>
                  <w:noWrap/>
                  <w:vAlign w:val="center"/>
                </w:tcPr>
                <w:p w14:paraId="0C8941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AA1DB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w:t>
                  </w:r>
                </w:p>
              </w:tc>
              <w:tc>
                <w:tcPr>
                  <w:tcW w:w="1572" w:type="dxa"/>
                  <w:vMerge w:val="continue"/>
                  <w:noWrap/>
                  <w:vAlign w:val="center"/>
                </w:tcPr>
                <w:p w14:paraId="0E9808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69B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75CECB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w:t>
                  </w:r>
                </w:p>
              </w:tc>
              <w:tc>
                <w:tcPr>
                  <w:tcW w:w="3115" w:type="dxa"/>
                  <w:noWrap/>
                  <w:vAlign w:val="center"/>
                </w:tcPr>
                <w:p w14:paraId="065EC6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超净工作台</w:t>
                  </w:r>
                </w:p>
              </w:tc>
              <w:tc>
                <w:tcPr>
                  <w:tcW w:w="889" w:type="dxa"/>
                  <w:noWrap/>
                  <w:vAlign w:val="center"/>
                </w:tcPr>
                <w:p w14:paraId="6C8728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78D64F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6AB7B9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3FE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DCBE9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w:t>
                  </w:r>
                </w:p>
              </w:tc>
              <w:tc>
                <w:tcPr>
                  <w:tcW w:w="3115" w:type="dxa"/>
                  <w:noWrap/>
                  <w:vAlign w:val="center"/>
                </w:tcPr>
                <w:p w14:paraId="64621E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光照培养箱</w:t>
                  </w:r>
                </w:p>
              </w:tc>
              <w:tc>
                <w:tcPr>
                  <w:tcW w:w="889" w:type="dxa"/>
                  <w:noWrap/>
                  <w:vAlign w:val="center"/>
                </w:tcPr>
                <w:p w14:paraId="60FF61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6B6C6D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10CD39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C4F4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5A5ABE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w:t>
                  </w:r>
                </w:p>
              </w:tc>
              <w:tc>
                <w:tcPr>
                  <w:tcW w:w="3115" w:type="dxa"/>
                  <w:noWrap/>
                  <w:vAlign w:val="center"/>
                </w:tcPr>
                <w:p w14:paraId="125D54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恒温培养箱</w:t>
                  </w:r>
                </w:p>
              </w:tc>
              <w:tc>
                <w:tcPr>
                  <w:tcW w:w="889" w:type="dxa"/>
                  <w:noWrap/>
                  <w:vAlign w:val="center"/>
                </w:tcPr>
                <w:p w14:paraId="41C29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6E2C91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5BD7C1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352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840DC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w:t>
                  </w:r>
                </w:p>
              </w:tc>
              <w:tc>
                <w:tcPr>
                  <w:tcW w:w="3115" w:type="dxa"/>
                  <w:noWrap/>
                  <w:vAlign w:val="center"/>
                </w:tcPr>
                <w:p w14:paraId="6C00D9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恒温培养箱</w:t>
                  </w:r>
                </w:p>
              </w:tc>
              <w:tc>
                <w:tcPr>
                  <w:tcW w:w="889" w:type="dxa"/>
                  <w:noWrap/>
                  <w:vAlign w:val="center"/>
                </w:tcPr>
                <w:p w14:paraId="510795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330504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21FBF9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DAA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3094F9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w:t>
                  </w:r>
                </w:p>
              </w:tc>
              <w:tc>
                <w:tcPr>
                  <w:tcW w:w="3115" w:type="dxa"/>
                  <w:noWrap/>
                  <w:vAlign w:val="center"/>
                </w:tcPr>
                <w:p w14:paraId="463088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恒温培养箱</w:t>
                  </w:r>
                </w:p>
              </w:tc>
              <w:tc>
                <w:tcPr>
                  <w:tcW w:w="889" w:type="dxa"/>
                  <w:noWrap/>
                  <w:vAlign w:val="center"/>
                </w:tcPr>
                <w:p w14:paraId="4C876D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4FB1FD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307B57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E2F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71F02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w:t>
                  </w:r>
                </w:p>
              </w:tc>
              <w:tc>
                <w:tcPr>
                  <w:tcW w:w="3115" w:type="dxa"/>
                  <w:noWrap/>
                  <w:vAlign w:val="center"/>
                </w:tcPr>
                <w:p w14:paraId="2BE967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电冰箱</w:t>
                  </w:r>
                </w:p>
              </w:tc>
              <w:tc>
                <w:tcPr>
                  <w:tcW w:w="889" w:type="dxa"/>
                  <w:noWrap/>
                  <w:vAlign w:val="center"/>
                </w:tcPr>
                <w:p w14:paraId="180134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1EE965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7DF15F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658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36F3E6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w:t>
                  </w:r>
                </w:p>
              </w:tc>
              <w:tc>
                <w:tcPr>
                  <w:tcW w:w="3115" w:type="dxa"/>
                  <w:noWrap/>
                  <w:vAlign w:val="center"/>
                </w:tcPr>
                <w:p w14:paraId="3D0962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烘干箱</w:t>
                  </w:r>
                </w:p>
              </w:tc>
              <w:tc>
                <w:tcPr>
                  <w:tcW w:w="889" w:type="dxa"/>
                  <w:noWrap/>
                  <w:vAlign w:val="center"/>
                </w:tcPr>
                <w:p w14:paraId="4101A5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39B946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1747A5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C6B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2DF61B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w:t>
                  </w:r>
                </w:p>
              </w:tc>
              <w:tc>
                <w:tcPr>
                  <w:tcW w:w="3115" w:type="dxa"/>
                  <w:noWrap/>
                  <w:vAlign w:val="center"/>
                </w:tcPr>
                <w:p w14:paraId="0F64D4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恒温水浴锅</w:t>
                  </w:r>
                </w:p>
              </w:tc>
              <w:tc>
                <w:tcPr>
                  <w:tcW w:w="889" w:type="dxa"/>
                  <w:noWrap/>
                  <w:vAlign w:val="center"/>
                </w:tcPr>
                <w:p w14:paraId="64218D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20B8B3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2C8177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E40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57705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w:t>
                  </w:r>
                </w:p>
              </w:tc>
              <w:tc>
                <w:tcPr>
                  <w:tcW w:w="3115" w:type="dxa"/>
                  <w:noWrap/>
                  <w:vAlign w:val="center"/>
                </w:tcPr>
                <w:p w14:paraId="3683E3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恒温水浴锅</w:t>
                  </w:r>
                </w:p>
              </w:tc>
              <w:tc>
                <w:tcPr>
                  <w:tcW w:w="889" w:type="dxa"/>
                  <w:noWrap/>
                  <w:vAlign w:val="center"/>
                </w:tcPr>
                <w:p w14:paraId="37769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2DC23D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1572" w:type="dxa"/>
                  <w:vMerge w:val="continue"/>
                  <w:noWrap/>
                  <w:vAlign w:val="center"/>
                </w:tcPr>
                <w:p w14:paraId="176098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14A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2DE87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w:t>
                  </w:r>
                </w:p>
              </w:tc>
              <w:tc>
                <w:tcPr>
                  <w:tcW w:w="3115" w:type="dxa"/>
                  <w:noWrap/>
                  <w:vAlign w:val="center"/>
                </w:tcPr>
                <w:p w14:paraId="34B646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高压灭菌锅</w:t>
                  </w:r>
                </w:p>
              </w:tc>
              <w:tc>
                <w:tcPr>
                  <w:tcW w:w="889" w:type="dxa"/>
                  <w:noWrap/>
                  <w:vAlign w:val="center"/>
                </w:tcPr>
                <w:p w14:paraId="1F4A1C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406238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1572" w:type="dxa"/>
                  <w:vMerge w:val="continue"/>
                  <w:noWrap/>
                  <w:vAlign w:val="center"/>
                </w:tcPr>
                <w:p w14:paraId="1B5657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4D69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BD44D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w:t>
                  </w:r>
                </w:p>
              </w:tc>
              <w:tc>
                <w:tcPr>
                  <w:tcW w:w="3115" w:type="dxa"/>
                  <w:noWrap/>
                  <w:vAlign w:val="center"/>
                </w:tcPr>
                <w:p w14:paraId="236D57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磁力加热搅拌器</w:t>
                  </w:r>
                </w:p>
              </w:tc>
              <w:tc>
                <w:tcPr>
                  <w:tcW w:w="889" w:type="dxa"/>
                  <w:noWrap/>
                  <w:vAlign w:val="center"/>
                </w:tcPr>
                <w:p w14:paraId="542FA3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518FBA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1572" w:type="dxa"/>
                  <w:vMerge w:val="continue"/>
                  <w:noWrap/>
                  <w:vAlign w:val="center"/>
                </w:tcPr>
                <w:p w14:paraId="48985E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369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D3F03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w:t>
                  </w:r>
                </w:p>
              </w:tc>
              <w:tc>
                <w:tcPr>
                  <w:tcW w:w="3115" w:type="dxa"/>
                  <w:noWrap/>
                  <w:vAlign w:val="center"/>
                </w:tcPr>
                <w:p w14:paraId="2F9D6D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电动离心机</w:t>
                  </w:r>
                </w:p>
              </w:tc>
              <w:tc>
                <w:tcPr>
                  <w:tcW w:w="889" w:type="dxa"/>
                  <w:noWrap/>
                  <w:vAlign w:val="center"/>
                </w:tcPr>
                <w:p w14:paraId="5607E5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437115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289C29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C7E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AC56D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w:t>
                  </w:r>
                </w:p>
              </w:tc>
              <w:tc>
                <w:tcPr>
                  <w:tcW w:w="3115" w:type="dxa"/>
                  <w:noWrap/>
                  <w:vAlign w:val="center"/>
                </w:tcPr>
                <w:p w14:paraId="5748F7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电动离心机</w:t>
                  </w:r>
                </w:p>
              </w:tc>
              <w:tc>
                <w:tcPr>
                  <w:tcW w:w="889" w:type="dxa"/>
                  <w:noWrap/>
                  <w:vAlign w:val="center"/>
                </w:tcPr>
                <w:p w14:paraId="46B918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23D6D9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0495E6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588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192579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w:t>
                  </w:r>
                </w:p>
              </w:tc>
              <w:tc>
                <w:tcPr>
                  <w:tcW w:w="3115" w:type="dxa"/>
                  <w:noWrap/>
                  <w:vAlign w:val="center"/>
                </w:tcPr>
                <w:p w14:paraId="31E709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放大镜</w:t>
                  </w:r>
                </w:p>
              </w:tc>
              <w:tc>
                <w:tcPr>
                  <w:tcW w:w="889" w:type="dxa"/>
                  <w:noWrap/>
                  <w:vAlign w:val="center"/>
                </w:tcPr>
                <w:p w14:paraId="4FA5BB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个</w:t>
                  </w:r>
                </w:p>
              </w:tc>
              <w:tc>
                <w:tcPr>
                  <w:tcW w:w="1572" w:type="dxa"/>
                  <w:noWrap/>
                  <w:vAlign w:val="center"/>
                </w:tcPr>
                <w:p w14:paraId="030FA0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w:t>
                  </w:r>
                </w:p>
              </w:tc>
              <w:tc>
                <w:tcPr>
                  <w:tcW w:w="1572" w:type="dxa"/>
                  <w:vMerge w:val="continue"/>
                  <w:noWrap/>
                  <w:vAlign w:val="center"/>
                </w:tcPr>
                <w:p w14:paraId="321E37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642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3D9739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w:t>
                  </w:r>
                </w:p>
              </w:tc>
              <w:tc>
                <w:tcPr>
                  <w:tcW w:w="3115" w:type="dxa"/>
                  <w:noWrap/>
                  <w:vAlign w:val="center"/>
                </w:tcPr>
                <w:p w14:paraId="5C4943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生物显微镜</w:t>
                  </w:r>
                </w:p>
              </w:tc>
              <w:tc>
                <w:tcPr>
                  <w:tcW w:w="889" w:type="dxa"/>
                  <w:noWrap/>
                  <w:vAlign w:val="center"/>
                </w:tcPr>
                <w:p w14:paraId="238F34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06D5A8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w:t>
                  </w:r>
                </w:p>
              </w:tc>
              <w:tc>
                <w:tcPr>
                  <w:tcW w:w="1572" w:type="dxa"/>
                  <w:vMerge w:val="continue"/>
                  <w:noWrap/>
                  <w:vAlign w:val="center"/>
                </w:tcPr>
                <w:p w14:paraId="74B35F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71E0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47A4C7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w:t>
                  </w:r>
                </w:p>
              </w:tc>
              <w:tc>
                <w:tcPr>
                  <w:tcW w:w="3115" w:type="dxa"/>
                  <w:noWrap/>
                  <w:vAlign w:val="center"/>
                </w:tcPr>
                <w:p w14:paraId="564CEB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生物显微镜</w:t>
                  </w:r>
                </w:p>
              </w:tc>
              <w:tc>
                <w:tcPr>
                  <w:tcW w:w="889" w:type="dxa"/>
                  <w:noWrap/>
                  <w:vAlign w:val="center"/>
                </w:tcPr>
                <w:p w14:paraId="4C5153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58D8EE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1572" w:type="dxa"/>
                  <w:vMerge w:val="continue"/>
                  <w:noWrap/>
                  <w:vAlign w:val="center"/>
                </w:tcPr>
                <w:p w14:paraId="225A1D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9FA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00DE45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w:t>
                  </w:r>
                </w:p>
              </w:tc>
              <w:tc>
                <w:tcPr>
                  <w:tcW w:w="3115" w:type="dxa"/>
                  <w:noWrap/>
                  <w:vAlign w:val="center"/>
                </w:tcPr>
                <w:p w14:paraId="31A2D8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生物显微镜</w:t>
                  </w:r>
                </w:p>
              </w:tc>
              <w:tc>
                <w:tcPr>
                  <w:tcW w:w="889" w:type="dxa"/>
                  <w:noWrap/>
                  <w:vAlign w:val="center"/>
                </w:tcPr>
                <w:p w14:paraId="3ED02C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09B4A4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w:t>
                  </w:r>
                </w:p>
              </w:tc>
              <w:tc>
                <w:tcPr>
                  <w:tcW w:w="1572" w:type="dxa"/>
                  <w:vMerge w:val="continue"/>
                  <w:noWrap/>
                  <w:vAlign w:val="center"/>
                </w:tcPr>
                <w:p w14:paraId="7640AF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C80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6BAE8B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w:t>
                  </w:r>
                </w:p>
              </w:tc>
              <w:tc>
                <w:tcPr>
                  <w:tcW w:w="3115" w:type="dxa"/>
                  <w:noWrap/>
                  <w:vAlign w:val="center"/>
                </w:tcPr>
                <w:p w14:paraId="7D6A02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双目生物显微镜</w:t>
                  </w:r>
                </w:p>
              </w:tc>
              <w:tc>
                <w:tcPr>
                  <w:tcW w:w="889" w:type="dxa"/>
                  <w:noWrap/>
                  <w:vAlign w:val="center"/>
                </w:tcPr>
                <w:p w14:paraId="6CEA0C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231AC0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7E3425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005D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712" w:type="dxa"/>
                  <w:noWrap/>
                  <w:vAlign w:val="center"/>
                </w:tcPr>
                <w:p w14:paraId="716BB9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w:t>
                  </w:r>
                </w:p>
              </w:tc>
              <w:tc>
                <w:tcPr>
                  <w:tcW w:w="3115" w:type="dxa"/>
                  <w:noWrap/>
                  <w:vAlign w:val="center"/>
                </w:tcPr>
                <w:p w14:paraId="5E2849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生物显微镜</w:t>
                  </w:r>
                </w:p>
              </w:tc>
              <w:tc>
                <w:tcPr>
                  <w:tcW w:w="889" w:type="dxa"/>
                  <w:noWrap/>
                  <w:vAlign w:val="center"/>
                </w:tcPr>
                <w:p w14:paraId="6DDE1D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34681D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w:t>
                  </w:r>
                </w:p>
              </w:tc>
              <w:tc>
                <w:tcPr>
                  <w:tcW w:w="1572" w:type="dxa"/>
                  <w:vMerge w:val="continue"/>
                  <w:noWrap/>
                  <w:vAlign w:val="center"/>
                </w:tcPr>
                <w:p w14:paraId="4A3F2D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23F5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81896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w:t>
                  </w:r>
                </w:p>
              </w:tc>
              <w:tc>
                <w:tcPr>
                  <w:tcW w:w="3115" w:type="dxa"/>
                  <w:noWrap/>
                  <w:vAlign w:val="center"/>
                </w:tcPr>
                <w:p w14:paraId="59A069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生物显微镜</w:t>
                  </w:r>
                </w:p>
              </w:tc>
              <w:tc>
                <w:tcPr>
                  <w:tcW w:w="889" w:type="dxa"/>
                  <w:noWrap/>
                  <w:vAlign w:val="center"/>
                </w:tcPr>
                <w:p w14:paraId="4BC0ED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6BA9DD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63</w:t>
                  </w:r>
                </w:p>
              </w:tc>
              <w:tc>
                <w:tcPr>
                  <w:tcW w:w="1572" w:type="dxa"/>
                  <w:vMerge w:val="continue"/>
                  <w:noWrap/>
                  <w:vAlign w:val="center"/>
                </w:tcPr>
                <w:p w14:paraId="046D9C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57F6D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noWrap/>
                  <w:vAlign w:val="center"/>
                </w:tcPr>
                <w:p w14:paraId="247488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w:t>
                  </w:r>
                </w:p>
              </w:tc>
              <w:tc>
                <w:tcPr>
                  <w:tcW w:w="3115" w:type="dxa"/>
                  <w:noWrap/>
                  <w:vAlign w:val="center"/>
                </w:tcPr>
                <w:p w14:paraId="3FF636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仪器车</w:t>
                  </w:r>
                </w:p>
              </w:tc>
              <w:tc>
                <w:tcPr>
                  <w:tcW w:w="889" w:type="dxa"/>
                  <w:noWrap/>
                  <w:vAlign w:val="center"/>
                </w:tcPr>
                <w:p w14:paraId="308D44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辆</w:t>
                  </w:r>
                </w:p>
              </w:tc>
              <w:tc>
                <w:tcPr>
                  <w:tcW w:w="1572" w:type="dxa"/>
                  <w:noWrap/>
                  <w:vAlign w:val="center"/>
                </w:tcPr>
                <w:p w14:paraId="51C224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1572" w:type="dxa"/>
                  <w:vMerge w:val="continue"/>
                  <w:noWrap/>
                  <w:vAlign w:val="center"/>
                </w:tcPr>
                <w:p w14:paraId="557131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37CD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728913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w:t>
                  </w:r>
                </w:p>
              </w:tc>
              <w:tc>
                <w:tcPr>
                  <w:tcW w:w="3115" w:type="dxa"/>
                  <w:noWrap/>
                  <w:vAlign w:val="center"/>
                </w:tcPr>
                <w:p w14:paraId="2AD7E5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仪器车</w:t>
                  </w:r>
                </w:p>
              </w:tc>
              <w:tc>
                <w:tcPr>
                  <w:tcW w:w="889" w:type="dxa"/>
                  <w:noWrap/>
                  <w:vAlign w:val="center"/>
                </w:tcPr>
                <w:p w14:paraId="3603B6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辆</w:t>
                  </w:r>
                </w:p>
              </w:tc>
              <w:tc>
                <w:tcPr>
                  <w:tcW w:w="1572" w:type="dxa"/>
                  <w:noWrap/>
                  <w:vAlign w:val="center"/>
                </w:tcPr>
                <w:p w14:paraId="54CBED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01CFF9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1D96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6C359C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w:t>
                  </w:r>
                </w:p>
              </w:tc>
              <w:tc>
                <w:tcPr>
                  <w:tcW w:w="3115" w:type="dxa"/>
                  <w:noWrap/>
                  <w:vAlign w:val="center"/>
                </w:tcPr>
                <w:p w14:paraId="1AB90B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打孔器</w:t>
                  </w:r>
                </w:p>
              </w:tc>
              <w:tc>
                <w:tcPr>
                  <w:tcW w:w="889" w:type="dxa"/>
                  <w:noWrap/>
                  <w:vAlign w:val="center"/>
                </w:tcPr>
                <w:p w14:paraId="67A2C5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套</w:t>
                  </w:r>
                </w:p>
              </w:tc>
              <w:tc>
                <w:tcPr>
                  <w:tcW w:w="1572" w:type="dxa"/>
                  <w:noWrap/>
                  <w:vAlign w:val="center"/>
                </w:tcPr>
                <w:p w14:paraId="4E2BC6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1572" w:type="dxa"/>
                  <w:vMerge w:val="continue"/>
                  <w:noWrap/>
                  <w:vAlign w:val="center"/>
                </w:tcPr>
                <w:p w14:paraId="35F666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r w14:paraId="6927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12" w:type="dxa"/>
                  <w:noWrap/>
                  <w:vAlign w:val="center"/>
                </w:tcPr>
                <w:p w14:paraId="7D84DB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w:t>
                  </w:r>
                </w:p>
              </w:tc>
              <w:tc>
                <w:tcPr>
                  <w:tcW w:w="3115" w:type="dxa"/>
                  <w:noWrap/>
                  <w:vAlign w:val="center"/>
                </w:tcPr>
                <w:p w14:paraId="3CAC55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视频展示台</w:t>
                  </w:r>
                </w:p>
              </w:tc>
              <w:tc>
                <w:tcPr>
                  <w:tcW w:w="889" w:type="dxa"/>
                  <w:noWrap/>
                  <w:vAlign w:val="center"/>
                </w:tcPr>
                <w:p w14:paraId="55963D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台</w:t>
                  </w:r>
                </w:p>
              </w:tc>
              <w:tc>
                <w:tcPr>
                  <w:tcW w:w="1572" w:type="dxa"/>
                  <w:noWrap/>
                  <w:vAlign w:val="center"/>
                </w:tcPr>
                <w:p w14:paraId="5D0D4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1572" w:type="dxa"/>
                  <w:vMerge w:val="continue"/>
                  <w:noWrap/>
                  <w:vAlign w:val="center"/>
                </w:tcPr>
                <w:p w14:paraId="1532D7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i w:val="0"/>
                      <w:iCs w:val="0"/>
                      <w:color w:val="auto"/>
                      <w:sz w:val="24"/>
                      <w:szCs w:val="24"/>
                      <w:highlight w:val="none"/>
                      <w:u w:val="none"/>
                    </w:rPr>
                  </w:pPr>
                </w:p>
              </w:tc>
            </w:tr>
          </w:tbl>
          <w:p w14:paraId="384B1505">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表2-7地理实验室主要设备一览表</w:t>
            </w:r>
          </w:p>
          <w:tbl>
            <w:tblPr>
              <w:tblStyle w:val="24"/>
              <w:tblW w:w="7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454"/>
              <w:gridCol w:w="3766"/>
              <w:gridCol w:w="750"/>
              <w:gridCol w:w="721"/>
              <w:gridCol w:w="778"/>
            </w:tblGrid>
            <w:tr w14:paraId="7BAF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28" w:type="dxa"/>
                  <w:noWrap w:val="0"/>
                  <w:vAlign w:val="center"/>
                </w:tcPr>
                <w:p w14:paraId="3ED15F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序号</w:t>
                  </w:r>
                </w:p>
              </w:tc>
              <w:tc>
                <w:tcPr>
                  <w:tcW w:w="1454" w:type="dxa"/>
                  <w:noWrap w:val="0"/>
                  <w:vAlign w:val="center"/>
                </w:tcPr>
                <w:p w14:paraId="0BE586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器材名称</w:t>
                  </w:r>
                </w:p>
              </w:tc>
              <w:tc>
                <w:tcPr>
                  <w:tcW w:w="3766" w:type="dxa"/>
                  <w:noWrap w:val="0"/>
                  <w:vAlign w:val="center"/>
                </w:tcPr>
                <w:p w14:paraId="1CF9C9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规格/品名/教学性能要求</w:t>
                  </w:r>
                </w:p>
              </w:tc>
              <w:tc>
                <w:tcPr>
                  <w:tcW w:w="750" w:type="dxa"/>
                  <w:noWrap w:val="0"/>
                  <w:vAlign w:val="center"/>
                </w:tcPr>
                <w:p w14:paraId="7179E6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计量单位</w:t>
                  </w:r>
                </w:p>
              </w:tc>
              <w:tc>
                <w:tcPr>
                  <w:tcW w:w="721" w:type="dxa"/>
                  <w:noWrap w:val="0"/>
                  <w:vAlign w:val="center"/>
                </w:tcPr>
                <w:p w14:paraId="63FC5C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lang w:val="en-US" w:eastAsia="zh-CN"/>
                    </w:rPr>
                    <w:t>数量</w:t>
                  </w:r>
                </w:p>
              </w:tc>
              <w:tc>
                <w:tcPr>
                  <w:tcW w:w="778" w:type="dxa"/>
                  <w:noWrap w:val="0"/>
                  <w:vAlign w:val="center"/>
                </w:tcPr>
                <w:p w14:paraId="77B011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存储位置</w:t>
                  </w:r>
                </w:p>
              </w:tc>
            </w:tr>
            <w:tr w14:paraId="6E8B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528" w:type="dxa"/>
                  <w:noWrap w:val="0"/>
                  <w:vAlign w:val="center"/>
                </w:tcPr>
                <w:p w14:paraId="0E7583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1454" w:type="dxa"/>
                  <w:noWrap w:val="0"/>
                  <w:vAlign w:val="center"/>
                </w:tcPr>
                <w:p w14:paraId="3669EE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多媒体球幕投影演示仪（数字星球）</w:t>
                  </w:r>
                </w:p>
              </w:tc>
              <w:tc>
                <w:tcPr>
                  <w:tcW w:w="3766" w:type="dxa"/>
                  <w:noWrap w:val="0"/>
                  <w:vAlign w:val="center"/>
                </w:tcPr>
                <w:p w14:paraId="754BBE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核心演示设备，可动态模拟大气环流、洋流运动、板块构造、天体运行等宏观地理过程，将抽象知识立体化、动态化</w:t>
                  </w:r>
                </w:p>
              </w:tc>
              <w:tc>
                <w:tcPr>
                  <w:tcW w:w="750" w:type="dxa"/>
                  <w:noWrap w:val="0"/>
                  <w:vAlign w:val="center"/>
                </w:tcPr>
                <w:p w14:paraId="31DA60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2F9D51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778" w:type="dxa"/>
                  <w:vMerge w:val="restart"/>
                  <w:noWrap w:val="0"/>
                  <w:vAlign w:val="center"/>
                </w:tcPr>
                <w:p w14:paraId="7E0AF7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color w:val="auto"/>
                      <w:sz w:val="24"/>
                      <w:szCs w:val="24"/>
                      <w:highlight w:val="none"/>
                      <w:lang w:val="en-US" w:eastAsia="zh-CN"/>
                    </w:rPr>
                    <w:t>地理数字化实验室</w:t>
                  </w:r>
                </w:p>
              </w:tc>
            </w:tr>
            <w:tr w14:paraId="0BE8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528" w:type="dxa"/>
                  <w:noWrap w:val="0"/>
                  <w:vAlign w:val="center"/>
                </w:tcPr>
                <w:p w14:paraId="4BB5E2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2</w:t>
                  </w:r>
                </w:p>
              </w:tc>
              <w:tc>
                <w:tcPr>
                  <w:tcW w:w="1454" w:type="dxa"/>
                  <w:noWrap w:val="0"/>
                  <w:vAlign w:val="center"/>
                </w:tcPr>
                <w:p w14:paraId="59EE41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eastAsia="宋体" w:cs="Times New Roman"/>
                      <w:b w:val="0"/>
                      <w:bCs w:val="0"/>
                      <w:i w:val="0"/>
                      <w:color w:val="auto"/>
                      <w:spacing w:val="0"/>
                      <w:sz w:val="24"/>
                      <w:highlight w:val="none"/>
                    </w:rPr>
                    <w:t>交互式智能平板/智慧黑板</w:t>
                  </w:r>
                </w:p>
              </w:tc>
              <w:tc>
                <w:tcPr>
                  <w:tcW w:w="3766" w:type="dxa"/>
                  <w:noWrap w:val="0"/>
                  <w:vAlign w:val="center"/>
                </w:tcPr>
                <w:p w14:paraId="0F10C7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作为教学交互中心，集成多媒体播放、电子板书、触控操作等功能，支持与数字星球等设备的联动</w:t>
                  </w:r>
                </w:p>
              </w:tc>
              <w:tc>
                <w:tcPr>
                  <w:tcW w:w="750" w:type="dxa"/>
                  <w:noWrap w:val="0"/>
                  <w:vAlign w:val="center"/>
                </w:tcPr>
                <w:p w14:paraId="6D7F4E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330C17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778" w:type="dxa"/>
                  <w:vMerge w:val="continue"/>
                  <w:noWrap w:val="0"/>
                  <w:vAlign w:val="center"/>
                </w:tcPr>
                <w:p w14:paraId="204D38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2215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8" w:type="dxa"/>
                  <w:noWrap w:val="0"/>
                  <w:vAlign w:val="center"/>
                </w:tcPr>
                <w:p w14:paraId="576B58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3</w:t>
                  </w:r>
                </w:p>
              </w:tc>
              <w:tc>
                <w:tcPr>
                  <w:tcW w:w="1454" w:type="dxa"/>
                  <w:noWrap w:val="0"/>
                  <w:vAlign w:val="center"/>
                </w:tcPr>
                <w:p w14:paraId="16CB35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AR地理沙盘</w:t>
                  </w:r>
                </w:p>
              </w:tc>
              <w:tc>
                <w:tcPr>
                  <w:tcW w:w="3766" w:type="dxa"/>
                  <w:noWrap w:val="0"/>
                  <w:vAlign w:val="center"/>
                </w:tcPr>
                <w:p w14:paraId="2BA446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结合实体沙盘与增强现实（AR）技术，学生可亲手塑造地形，系统实时生成等高线并模拟降水、河流侵蚀等过程，直观理解地貌演变</w:t>
                  </w:r>
                </w:p>
              </w:tc>
              <w:tc>
                <w:tcPr>
                  <w:tcW w:w="750" w:type="dxa"/>
                  <w:noWrap w:val="0"/>
                  <w:vAlign w:val="center"/>
                </w:tcPr>
                <w:p w14:paraId="6FBE0A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5F4380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778" w:type="dxa"/>
                  <w:vMerge w:val="continue"/>
                  <w:noWrap w:val="0"/>
                  <w:vAlign w:val="center"/>
                </w:tcPr>
                <w:p w14:paraId="34B066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36C2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528" w:type="dxa"/>
                  <w:noWrap w:val="0"/>
                  <w:vAlign w:val="center"/>
                </w:tcPr>
                <w:p w14:paraId="745228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4</w:t>
                  </w:r>
                </w:p>
              </w:tc>
              <w:tc>
                <w:tcPr>
                  <w:tcW w:w="1454" w:type="dxa"/>
                  <w:noWrap w:val="0"/>
                  <w:vAlign w:val="center"/>
                </w:tcPr>
                <w:p w14:paraId="76A6AF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裸眼3D全息投影仪</w:t>
                  </w:r>
                </w:p>
              </w:tc>
              <w:tc>
                <w:tcPr>
                  <w:tcW w:w="3766" w:type="dxa"/>
                  <w:noWrap w:val="0"/>
                  <w:vAlign w:val="center"/>
                </w:tcPr>
                <w:p w14:paraId="16E87B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无需佩戴设备即可呈现立体的地球地貌、气候分布、城市规划等模型，提供沉浸式的视觉体验</w:t>
                  </w:r>
                </w:p>
              </w:tc>
              <w:tc>
                <w:tcPr>
                  <w:tcW w:w="750" w:type="dxa"/>
                  <w:noWrap w:val="0"/>
                  <w:vAlign w:val="center"/>
                </w:tcPr>
                <w:p w14:paraId="7D9A5D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5F5042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778" w:type="dxa"/>
                  <w:vMerge w:val="continue"/>
                  <w:noWrap w:val="0"/>
                  <w:vAlign w:val="center"/>
                </w:tcPr>
                <w:p w14:paraId="4AA537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6B4E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528" w:type="dxa"/>
                  <w:noWrap w:val="0"/>
                  <w:vAlign w:val="center"/>
                </w:tcPr>
                <w:p w14:paraId="4D88E2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w:t>
                  </w:r>
                </w:p>
              </w:tc>
              <w:tc>
                <w:tcPr>
                  <w:tcW w:w="1454" w:type="dxa"/>
                  <w:noWrap w:val="0"/>
                  <w:vAlign w:val="center"/>
                </w:tcPr>
                <w:p w14:paraId="5F479A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VR虚拟现实学习终端</w:t>
                  </w:r>
                </w:p>
              </w:tc>
              <w:tc>
                <w:tcPr>
                  <w:tcW w:w="3766" w:type="dxa"/>
                  <w:noWrap w:val="0"/>
                  <w:vAlign w:val="center"/>
                </w:tcPr>
                <w:p w14:paraId="670311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配备多台高性能VR一体机，支持学生进行虚拟野外考察，如深入喀斯特地貌、探访火山内部、观察冰川形成等，突破时空限制。</w:t>
                  </w:r>
                </w:p>
              </w:tc>
              <w:tc>
                <w:tcPr>
                  <w:tcW w:w="750" w:type="dxa"/>
                  <w:noWrap w:val="0"/>
                  <w:vAlign w:val="center"/>
                </w:tcPr>
                <w:p w14:paraId="04AFE0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2CB390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778" w:type="dxa"/>
                  <w:vMerge w:val="continue"/>
                  <w:noWrap w:val="0"/>
                  <w:vAlign w:val="center"/>
                </w:tcPr>
                <w:p w14:paraId="352B74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3DEA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528" w:type="dxa"/>
                  <w:noWrap w:val="0"/>
                  <w:vAlign w:val="center"/>
                </w:tcPr>
                <w:p w14:paraId="5033BA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6</w:t>
                  </w:r>
                </w:p>
              </w:tc>
              <w:tc>
                <w:tcPr>
                  <w:tcW w:w="1454" w:type="dxa"/>
                  <w:noWrap w:val="0"/>
                  <w:vAlign w:val="center"/>
                </w:tcPr>
                <w:p w14:paraId="61B15F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地理虚拟实验演示教学系统</w:t>
                  </w:r>
                </w:p>
              </w:tc>
              <w:tc>
                <w:tcPr>
                  <w:tcW w:w="3766" w:type="dxa"/>
                  <w:noWrap w:val="0"/>
                  <w:vAlign w:val="center"/>
                </w:tcPr>
                <w:p w14:paraId="49AF98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eastAsia="宋体" w:cs="Times New Roman"/>
                      <w:b w:val="0"/>
                      <w:i w:val="0"/>
                      <w:color w:val="auto"/>
                      <w:spacing w:val="0"/>
                      <w:sz w:val="24"/>
                      <w:highlight w:val="none"/>
                    </w:rPr>
                    <w:t>配套软件平台，内含覆盖自然与人文地理的40+主题虚拟实验，如四季成因、月相变化、农业区位选择等，支持学生自主探究</w:t>
                  </w:r>
                </w:p>
              </w:tc>
              <w:tc>
                <w:tcPr>
                  <w:tcW w:w="750" w:type="dxa"/>
                  <w:noWrap w:val="0"/>
                  <w:vAlign w:val="center"/>
                </w:tcPr>
                <w:p w14:paraId="6784C9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29A650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778" w:type="dxa"/>
                  <w:vMerge w:val="continue"/>
                  <w:noWrap w:val="0"/>
                  <w:vAlign w:val="center"/>
                </w:tcPr>
                <w:p w14:paraId="54CABB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1F76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28" w:type="dxa"/>
                  <w:noWrap w:val="0"/>
                  <w:vAlign w:val="center"/>
                </w:tcPr>
                <w:p w14:paraId="4E825E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7</w:t>
                  </w:r>
                </w:p>
              </w:tc>
              <w:tc>
                <w:tcPr>
                  <w:tcW w:w="1454" w:type="dxa"/>
                  <w:noWrap w:val="0"/>
                  <w:vAlign w:val="center"/>
                </w:tcPr>
                <w:p w14:paraId="7ECA49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互动实验工作台</w:t>
                  </w:r>
                </w:p>
              </w:tc>
              <w:tc>
                <w:tcPr>
                  <w:tcW w:w="3766" w:type="dxa"/>
                  <w:noWrap w:val="0"/>
                  <w:vAlign w:val="center"/>
                </w:tcPr>
                <w:p w14:paraId="1F9DD4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集成多种传感器接口，可连接环境监测套件，进行温度、湿度、光照、P㎡</w:t>
                  </w:r>
                  <w:r>
                    <w:rPr>
                      <w:rFonts w:hint="default" w:ascii="Times New Roman" w:hAnsi="Times New Roman" w:cs="Times New Roman"/>
                      <w:b w:val="0"/>
                      <w:bCs w:val="0"/>
                      <w:color w:val="auto"/>
                      <w:highlight w:val="none"/>
                      <w:vertAlign w:val="subscript"/>
                      <w:lang w:val="en-US" w:eastAsia="zh-CN"/>
                    </w:rPr>
                    <w:t>.5</w:t>
                  </w:r>
                  <w:r>
                    <w:rPr>
                      <w:rFonts w:hint="default" w:ascii="Times New Roman" w:hAnsi="Times New Roman" w:cs="Times New Roman"/>
                      <w:b w:val="0"/>
                      <w:bCs w:val="0"/>
                      <w:color w:val="auto"/>
                      <w:highlight w:val="none"/>
                      <w:vertAlign w:val="baseline"/>
                      <w:lang w:val="en-US" w:eastAsia="zh-CN"/>
                    </w:rPr>
                    <w:t>等数据的实时采集与分析</w:t>
                  </w:r>
                </w:p>
              </w:tc>
              <w:tc>
                <w:tcPr>
                  <w:tcW w:w="750" w:type="dxa"/>
                  <w:noWrap w:val="0"/>
                  <w:vAlign w:val="center"/>
                </w:tcPr>
                <w:p w14:paraId="3E0205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746A99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2</w:t>
                  </w:r>
                </w:p>
              </w:tc>
              <w:tc>
                <w:tcPr>
                  <w:tcW w:w="778" w:type="dxa"/>
                  <w:vMerge w:val="continue"/>
                  <w:noWrap w:val="0"/>
                  <w:vAlign w:val="center"/>
                </w:tcPr>
                <w:p w14:paraId="5E95AB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799B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528" w:type="dxa"/>
                  <w:noWrap w:val="0"/>
                  <w:vAlign w:val="center"/>
                </w:tcPr>
                <w:p w14:paraId="0C1D0C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w:t>
                  </w:r>
                </w:p>
              </w:tc>
              <w:tc>
                <w:tcPr>
                  <w:tcW w:w="1454" w:type="dxa"/>
                  <w:noWrap w:val="0"/>
                  <w:vAlign w:val="center"/>
                </w:tcPr>
                <w:p w14:paraId="1625D9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地理实验箱</w:t>
                  </w:r>
                </w:p>
              </w:tc>
              <w:tc>
                <w:tcPr>
                  <w:tcW w:w="3766" w:type="dxa"/>
                  <w:noWrap w:val="0"/>
                  <w:vAlign w:val="center"/>
                </w:tcPr>
                <w:p w14:paraId="0EF9EE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包含热力环流、温室效应、水循环、土壤剖面、密度流、上升补偿流等一系列物理模型实验器材，支持学生动手验证地理原理</w:t>
                  </w:r>
                </w:p>
              </w:tc>
              <w:tc>
                <w:tcPr>
                  <w:tcW w:w="750" w:type="dxa"/>
                  <w:noWrap w:val="0"/>
                  <w:vAlign w:val="center"/>
                </w:tcPr>
                <w:p w14:paraId="5A09EE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7CB047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3</w:t>
                  </w:r>
                </w:p>
              </w:tc>
              <w:tc>
                <w:tcPr>
                  <w:tcW w:w="778" w:type="dxa"/>
                  <w:vMerge w:val="continue"/>
                  <w:noWrap w:val="0"/>
                  <w:vAlign w:val="center"/>
                </w:tcPr>
                <w:p w14:paraId="2F052F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1D73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28" w:type="dxa"/>
                  <w:noWrap w:val="0"/>
                  <w:vAlign w:val="center"/>
                </w:tcPr>
                <w:p w14:paraId="219768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9</w:t>
                  </w:r>
                </w:p>
              </w:tc>
              <w:tc>
                <w:tcPr>
                  <w:tcW w:w="1454" w:type="dxa"/>
                  <w:noWrap w:val="0"/>
                  <w:vAlign w:val="center"/>
                </w:tcPr>
                <w:p w14:paraId="24C241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便携式GNSS接收机/经纬仪模型</w:t>
                  </w:r>
                </w:p>
              </w:tc>
              <w:tc>
                <w:tcPr>
                  <w:tcW w:w="3766" w:type="dxa"/>
                  <w:noWrap w:val="0"/>
                  <w:vAlign w:val="center"/>
                </w:tcPr>
                <w:p w14:paraId="599F0A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eastAsia="宋体" w:cs="Times New Roman"/>
                      <w:b w:val="0"/>
                      <w:i w:val="0"/>
                      <w:color w:val="auto"/>
                      <w:spacing w:val="0"/>
                      <w:sz w:val="24"/>
                      <w:highlight w:val="none"/>
                    </w:rPr>
                    <w:t>用于校园或户外地理实践活动，进行定位、测量与地图绘制</w:t>
                  </w:r>
                </w:p>
              </w:tc>
              <w:tc>
                <w:tcPr>
                  <w:tcW w:w="750" w:type="dxa"/>
                  <w:noWrap w:val="0"/>
                  <w:vAlign w:val="center"/>
                </w:tcPr>
                <w:p w14:paraId="27EAE2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673301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3</w:t>
                  </w:r>
                </w:p>
              </w:tc>
              <w:tc>
                <w:tcPr>
                  <w:tcW w:w="778" w:type="dxa"/>
                  <w:vMerge w:val="continue"/>
                  <w:noWrap w:val="0"/>
                  <w:vAlign w:val="center"/>
                </w:tcPr>
                <w:p w14:paraId="1CBD25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6938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528" w:type="dxa"/>
                  <w:noWrap w:val="0"/>
                  <w:vAlign w:val="center"/>
                </w:tcPr>
                <w:p w14:paraId="71622D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10</w:t>
                  </w:r>
                </w:p>
              </w:tc>
              <w:tc>
                <w:tcPr>
                  <w:tcW w:w="1454" w:type="dxa"/>
                  <w:noWrap w:val="0"/>
                  <w:vAlign w:val="center"/>
                </w:tcPr>
                <w:p w14:paraId="1D82A2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语音立体地形图</w:t>
                  </w:r>
                </w:p>
              </w:tc>
              <w:tc>
                <w:tcPr>
                  <w:tcW w:w="3766" w:type="dxa"/>
                  <w:noWrap w:val="0"/>
                  <w:vAlign w:val="center"/>
                </w:tcPr>
                <w:p w14:paraId="373D20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eastAsia="宋体" w:cs="Times New Roman"/>
                      <w:b w:val="0"/>
                      <w:i w:val="0"/>
                      <w:color w:val="auto"/>
                      <w:spacing w:val="0"/>
                      <w:sz w:val="24"/>
                      <w:highlight w:val="none"/>
                    </w:rPr>
                    <w:t>包括世界与中国地形图，采用高精度浮雕工艺，配合点读笔可实现“指哪读哪”的交互式学习</w:t>
                  </w:r>
                </w:p>
              </w:tc>
              <w:tc>
                <w:tcPr>
                  <w:tcW w:w="750" w:type="dxa"/>
                  <w:noWrap w:val="0"/>
                  <w:vAlign w:val="center"/>
                </w:tcPr>
                <w:p w14:paraId="628D77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2CA6B3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2</w:t>
                  </w:r>
                </w:p>
              </w:tc>
              <w:tc>
                <w:tcPr>
                  <w:tcW w:w="778" w:type="dxa"/>
                  <w:vMerge w:val="continue"/>
                  <w:noWrap w:val="0"/>
                  <w:vAlign w:val="center"/>
                </w:tcPr>
                <w:p w14:paraId="7BEFDD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62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528" w:type="dxa"/>
                  <w:noWrap w:val="0"/>
                  <w:vAlign w:val="center"/>
                </w:tcPr>
                <w:p w14:paraId="0A4DCD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11</w:t>
                  </w:r>
                </w:p>
              </w:tc>
              <w:tc>
                <w:tcPr>
                  <w:tcW w:w="1454" w:type="dxa"/>
                  <w:noWrap w:val="0"/>
                  <w:vAlign w:val="center"/>
                </w:tcPr>
                <w:p w14:paraId="255428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8D立体晶雕世界地图墙</w:t>
                  </w:r>
                </w:p>
              </w:tc>
              <w:tc>
                <w:tcPr>
                  <w:tcW w:w="3766" w:type="dxa"/>
                  <w:noWrap w:val="0"/>
                  <w:vAlign w:val="center"/>
                </w:tcPr>
                <w:p w14:paraId="18C222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eastAsia="宋体" w:cs="Times New Roman"/>
                      <w:b w:val="0"/>
                      <w:i w:val="0"/>
                      <w:color w:val="auto"/>
                      <w:spacing w:val="0"/>
                      <w:sz w:val="24"/>
                      <w:highlight w:val="none"/>
                    </w:rPr>
                    <w:t>作为教室背景，以立体、全景的形式清晰呈现全球山脉、河流、洋流等地理要素</w:t>
                  </w:r>
                </w:p>
              </w:tc>
              <w:tc>
                <w:tcPr>
                  <w:tcW w:w="750" w:type="dxa"/>
                  <w:noWrap w:val="0"/>
                  <w:vAlign w:val="center"/>
                </w:tcPr>
                <w:p w14:paraId="680760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57F3F3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778" w:type="dxa"/>
                  <w:vMerge w:val="continue"/>
                  <w:noWrap w:val="0"/>
                  <w:vAlign w:val="center"/>
                </w:tcPr>
                <w:p w14:paraId="5C5D6E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4A0D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528" w:type="dxa"/>
                  <w:noWrap w:val="0"/>
                  <w:vAlign w:val="center"/>
                </w:tcPr>
                <w:p w14:paraId="12DE99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12</w:t>
                  </w:r>
                </w:p>
              </w:tc>
              <w:tc>
                <w:tcPr>
                  <w:tcW w:w="1454" w:type="dxa"/>
                  <w:noWrap w:val="0"/>
                  <w:vAlign w:val="center"/>
                </w:tcPr>
                <w:p w14:paraId="5C6B30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可移动组合智慧桌椅</w:t>
                  </w:r>
                </w:p>
              </w:tc>
              <w:tc>
                <w:tcPr>
                  <w:tcW w:w="3766" w:type="dxa"/>
                  <w:noWrap w:val="0"/>
                  <w:vAlign w:val="center"/>
                </w:tcPr>
                <w:p w14:paraId="5F62D6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支持小组合作、项目式学习等多种教学模式，方便灵活布置学习空间</w:t>
                  </w:r>
                </w:p>
              </w:tc>
              <w:tc>
                <w:tcPr>
                  <w:tcW w:w="750" w:type="dxa"/>
                  <w:noWrap w:val="0"/>
                  <w:vAlign w:val="center"/>
                </w:tcPr>
                <w:p w14:paraId="23FF6A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2CB3B6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9</w:t>
                  </w:r>
                </w:p>
              </w:tc>
              <w:tc>
                <w:tcPr>
                  <w:tcW w:w="778" w:type="dxa"/>
                  <w:vMerge w:val="continue"/>
                  <w:noWrap w:val="0"/>
                  <w:vAlign w:val="center"/>
                </w:tcPr>
                <w:p w14:paraId="37DF53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55BD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528" w:type="dxa"/>
                  <w:noWrap w:val="0"/>
                  <w:vAlign w:val="center"/>
                </w:tcPr>
                <w:p w14:paraId="2008DB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13</w:t>
                  </w:r>
                </w:p>
              </w:tc>
              <w:tc>
                <w:tcPr>
                  <w:tcW w:w="1454" w:type="dxa"/>
                  <w:noWrap w:val="0"/>
                  <w:vAlign w:val="center"/>
                </w:tcPr>
                <w:p w14:paraId="70AD3B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岩石与矿物标本</w:t>
                  </w:r>
                </w:p>
              </w:tc>
              <w:tc>
                <w:tcPr>
                  <w:tcW w:w="3766" w:type="dxa"/>
                  <w:noWrap w:val="0"/>
                  <w:vAlign w:val="center"/>
                </w:tcPr>
                <w:p w14:paraId="74309E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陈列各类典型岩石（如石灰岩、红色砂岩）与矿物标本，供学生观察与鉴别</w:t>
                  </w:r>
                </w:p>
              </w:tc>
              <w:tc>
                <w:tcPr>
                  <w:tcW w:w="750" w:type="dxa"/>
                  <w:noWrap w:val="0"/>
                  <w:vAlign w:val="center"/>
                </w:tcPr>
                <w:p w14:paraId="6FAD4E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个</w:t>
                  </w:r>
                </w:p>
              </w:tc>
              <w:tc>
                <w:tcPr>
                  <w:tcW w:w="721" w:type="dxa"/>
                  <w:noWrap w:val="0"/>
                  <w:vAlign w:val="center"/>
                </w:tcPr>
                <w:p w14:paraId="7B5188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10</w:t>
                  </w:r>
                </w:p>
              </w:tc>
              <w:tc>
                <w:tcPr>
                  <w:tcW w:w="778" w:type="dxa"/>
                  <w:vMerge w:val="continue"/>
                  <w:noWrap w:val="0"/>
                  <w:vAlign w:val="center"/>
                </w:tcPr>
                <w:p w14:paraId="50FE8D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bl>
          <w:p w14:paraId="5DF07B77">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5.公用工程</w:t>
            </w:r>
          </w:p>
          <w:p w14:paraId="1211D23E">
            <w:pPr>
              <w:bidi w:val="0"/>
              <w:rPr>
                <w:rFonts w:hint="default"/>
                <w:color w:val="auto"/>
                <w:highlight w:val="none"/>
                <w:lang w:val="en-US" w:eastAsia="zh-CN"/>
              </w:rPr>
            </w:pPr>
            <w:r>
              <w:rPr>
                <w:rFonts w:hint="default"/>
                <w:color w:val="auto"/>
                <w:highlight w:val="none"/>
                <w:lang w:val="en-US" w:eastAsia="zh-CN"/>
              </w:rPr>
              <w:t>本项目实验室用水主要为化学实验室、生物实验室、物理实验室用水</w:t>
            </w:r>
            <w:r>
              <w:rPr>
                <w:rFonts w:hint="eastAsia"/>
                <w:color w:val="auto"/>
                <w:highlight w:val="none"/>
                <w:lang w:val="en-US" w:eastAsia="zh-CN"/>
              </w:rPr>
              <w:t>及生活用水，</w:t>
            </w:r>
            <w:r>
              <w:rPr>
                <w:rFonts w:hint="default"/>
                <w:color w:val="auto"/>
                <w:highlight w:val="none"/>
                <w:lang w:val="en-US" w:eastAsia="zh-CN"/>
              </w:rPr>
              <w:t>地理实验不涉及用水</w:t>
            </w:r>
            <w:r>
              <w:rPr>
                <w:rFonts w:hint="eastAsia"/>
                <w:color w:val="auto"/>
                <w:highlight w:val="none"/>
                <w:lang w:val="en-US" w:eastAsia="zh-CN"/>
              </w:rPr>
              <w:t>。</w:t>
            </w:r>
            <w:r>
              <w:rPr>
                <w:rFonts w:hint="default"/>
                <w:color w:val="auto"/>
                <w:highlight w:val="none"/>
                <w:lang w:val="en-US" w:eastAsia="zh-CN"/>
              </w:rPr>
              <w:t>每组实验按20组/节计（学校班级人数40人，2人一组）。年课时数：化学60节/年，生物40节/年，物理50节/年，地理30节/年。</w:t>
            </w:r>
          </w:p>
          <w:p w14:paraId="4A740509">
            <w:pPr>
              <w:bidi w:val="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（1）</w:t>
            </w:r>
            <w:r>
              <w:rPr>
                <w:rFonts w:hint="default" w:ascii="Times New Roman" w:hAnsi="Times New Roman" w:cs="Times New Roman"/>
                <w:b/>
                <w:bCs/>
                <w:color w:val="auto"/>
                <w:highlight w:val="none"/>
                <w:lang w:val="en-US" w:eastAsia="zh-CN"/>
              </w:rPr>
              <w:t>化学实验室给排水</w:t>
            </w:r>
          </w:p>
          <w:p w14:paraId="7366936C">
            <w:pPr>
              <w:bidi w:val="0"/>
              <w:rPr>
                <w:rFonts w:hint="default"/>
                <w:color w:val="auto"/>
                <w:highlight w:val="none"/>
                <w:lang w:val="en-US" w:eastAsia="zh-CN"/>
              </w:rPr>
            </w:pPr>
            <w:r>
              <w:rPr>
                <w:rFonts w:hint="eastAsia"/>
                <w:color w:val="auto"/>
                <w:highlight w:val="none"/>
                <w:lang w:val="en-US" w:eastAsia="zh-CN"/>
              </w:rPr>
              <w:t>①实验前用水与排水</w:t>
            </w:r>
          </w:p>
          <w:p w14:paraId="77BE53D1">
            <w:pPr>
              <w:bidi w:val="0"/>
              <w:rPr>
                <w:rFonts w:hint="default"/>
                <w:color w:val="auto"/>
                <w:highlight w:val="none"/>
                <w:lang w:val="en-US" w:eastAsia="zh-CN"/>
              </w:rPr>
            </w:pPr>
            <w:r>
              <w:rPr>
                <w:rFonts w:hint="default"/>
                <w:color w:val="auto"/>
                <w:highlight w:val="none"/>
                <w:lang w:val="en-US" w:eastAsia="zh-CN"/>
              </w:rPr>
              <w:t>实验前用纯水润洗器皿（去除灰尘等）。每组约20个器皿（试管、烧杯等），每个器皿容积约50mL，润洗水为容积的10%，即5mL/个。单节用水量=20组×20个/组×0.005L/个=2L/节。用水量=2L/节×60节=0.12m³/a。</w:t>
            </w:r>
            <w:r>
              <w:rPr>
                <w:rFonts w:hint="eastAsia"/>
                <w:color w:val="auto"/>
                <w:highlight w:val="none"/>
                <w:lang w:val="en-US" w:eastAsia="zh-CN"/>
              </w:rPr>
              <w:t>排放水量按照用水量的90%计算，则</w:t>
            </w:r>
            <w:r>
              <w:rPr>
                <w:rFonts w:hint="default"/>
                <w:color w:val="auto"/>
                <w:highlight w:val="none"/>
                <w:lang w:val="en-US" w:eastAsia="zh-CN"/>
              </w:rPr>
              <w:t>排水量</w:t>
            </w:r>
            <w:r>
              <w:rPr>
                <w:rFonts w:hint="eastAsia"/>
                <w:color w:val="auto"/>
                <w:highlight w:val="none"/>
                <w:lang w:val="en-US" w:eastAsia="zh-CN"/>
              </w:rPr>
              <w:t>为</w:t>
            </w:r>
            <w:r>
              <w:rPr>
                <w:rFonts w:hint="default"/>
                <w:color w:val="auto"/>
                <w:highlight w:val="none"/>
                <w:lang w:val="en-US" w:eastAsia="zh-CN"/>
              </w:rPr>
              <w:t>0.12×0.9=0.10</w:t>
            </w:r>
            <w:r>
              <w:rPr>
                <w:rFonts w:hint="eastAsia"/>
                <w:color w:val="auto"/>
                <w:highlight w:val="none"/>
                <w:lang w:val="en-US" w:eastAsia="zh-CN"/>
              </w:rPr>
              <w:t>8m³</w:t>
            </w:r>
            <w:r>
              <w:rPr>
                <w:rFonts w:hint="default"/>
                <w:color w:val="auto"/>
                <w:highlight w:val="none"/>
                <w:lang w:val="en-US" w:eastAsia="zh-CN"/>
              </w:rPr>
              <w:t>/a</w:t>
            </w:r>
            <w:r>
              <w:rPr>
                <w:rFonts w:hint="eastAsia"/>
                <w:color w:val="auto"/>
                <w:highlight w:val="none"/>
                <w:lang w:val="en-US" w:eastAsia="zh-CN"/>
              </w:rPr>
              <w:t>，排水为普通清洗废水，化粪池（16m³）收集沉淀后，进入市政管网</w:t>
            </w:r>
            <w:r>
              <w:rPr>
                <w:rFonts w:hint="default"/>
                <w:color w:val="auto"/>
                <w:highlight w:val="none"/>
                <w:lang w:val="en-US" w:eastAsia="zh-CN"/>
              </w:rPr>
              <w:t>。</w:t>
            </w:r>
          </w:p>
          <w:p w14:paraId="6E47A3C6">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②实验中用水与排水</w:t>
            </w:r>
          </w:p>
          <w:p w14:paraId="5FAFC96C">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实验中用水主要包括</w:t>
            </w:r>
            <w:r>
              <w:rPr>
                <w:rFonts w:hint="default" w:ascii="Times New Roman" w:hAnsi="Times New Roman" w:cs="Times New Roman"/>
                <w:color w:val="auto"/>
                <w:highlight w:val="none"/>
                <w:lang w:val="en-US" w:eastAsia="zh-CN"/>
              </w:rPr>
              <w:t>试剂配制、冷凝冷却等。</w:t>
            </w:r>
          </w:p>
          <w:p w14:paraId="543AD5B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试剂配制：使用纯水，用量约1L/节（配制标准溶液等）。用水量=1×60=0.06m³/a。该部分水进入实验废液，作为危险废物，不外排。</w:t>
            </w:r>
          </w:p>
          <w:p w14:paraId="424EDB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冷凝冷却：使用自来水，直冷式，用量约5L/节</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用水量=5×60=0.3</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m³/a。排水量</w:t>
            </w:r>
            <w:r>
              <w:rPr>
                <w:rFonts w:hint="eastAsia" w:cs="Times New Roman"/>
                <w:color w:val="auto"/>
                <w:highlight w:val="none"/>
                <w:lang w:val="en-US" w:eastAsia="zh-CN"/>
              </w:rPr>
              <w:t>按照用水量的90%计，则排水量为</w:t>
            </w:r>
            <w:r>
              <w:rPr>
                <w:rFonts w:hint="default" w:ascii="Times New Roman" w:hAnsi="Times New Roman" w:cs="Times New Roman"/>
                <w:color w:val="auto"/>
                <w:highlight w:val="none"/>
                <w:lang w:val="en-US" w:eastAsia="zh-CN"/>
              </w:rPr>
              <w:t>0.3×0.9=0.27m³/a</w:t>
            </w:r>
            <w:r>
              <w:rPr>
                <w:rFonts w:hint="eastAsia" w:cs="Times New Roman"/>
                <w:color w:val="auto"/>
                <w:highlight w:val="none"/>
                <w:lang w:val="en-US" w:eastAsia="zh-CN"/>
              </w:rPr>
              <w:t>，实验中冷却用水排放废水含有微量矿物质，pH7.0~8.0，COD≤20mg/L，SS≤10mg/L，总硬度≤200mg/L，排水为普通清洗废水，化粪池（16m³）收集沉淀后，进入市政管网。</w:t>
            </w:r>
          </w:p>
          <w:p w14:paraId="2FA289B3">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③实验后用水及排水</w:t>
            </w:r>
          </w:p>
          <w:p w14:paraId="4EB6F454">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实验后实验使用器皿需要清洗，共清洗5次，前两次使用自来水冲洗，第三次及以后冲洗使用纯水润洗。</w:t>
            </w:r>
          </w:p>
          <w:p w14:paraId="5B12367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第1~</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次清洗：使用自来水，</w:t>
            </w:r>
            <w:r>
              <w:rPr>
                <w:rFonts w:hint="eastAsia" w:cs="Times New Roman"/>
                <w:color w:val="auto"/>
                <w:highlight w:val="none"/>
                <w:lang w:val="en-US" w:eastAsia="zh-CN"/>
              </w:rPr>
              <w:t>排水</w:t>
            </w:r>
            <w:r>
              <w:rPr>
                <w:rFonts w:hint="default" w:ascii="Times New Roman" w:hAnsi="Times New Roman" w:cs="Times New Roman"/>
                <w:color w:val="auto"/>
                <w:highlight w:val="none"/>
                <w:lang w:val="en-US" w:eastAsia="zh-CN"/>
              </w:rPr>
              <w:t>为高浓度清洗废水，作为危险</w:t>
            </w:r>
            <w:r>
              <w:rPr>
                <w:rFonts w:hint="eastAsia" w:cs="Times New Roman"/>
                <w:color w:val="auto"/>
                <w:highlight w:val="none"/>
                <w:lang w:val="en-US" w:eastAsia="zh-CN"/>
              </w:rPr>
              <w:t>废物处置，</w:t>
            </w:r>
            <w:r>
              <w:rPr>
                <w:rFonts w:hint="default" w:ascii="Times New Roman" w:hAnsi="Times New Roman" w:cs="Times New Roman"/>
                <w:color w:val="auto"/>
                <w:highlight w:val="none"/>
                <w:lang w:val="en-US" w:eastAsia="zh-CN"/>
              </w:rPr>
              <w:t>单次用水量按2L/组计（每组器皿多），</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次共</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L/组。单节用水量=20组×</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L/组=</w:t>
            </w:r>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0L/节</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用水量=</w:t>
            </w:r>
            <w:r>
              <w:rPr>
                <w:rFonts w:hint="eastAsia" w:cs="Times New Roman"/>
                <w:color w:val="auto"/>
                <w:highlight w:val="none"/>
                <w:lang w:val="en-US" w:eastAsia="zh-CN"/>
              </w:rPr>
              <w:t>8</w:t>
            </w:r>
            <w:r>
              <w:rPr>
                <w:rFonts w:hint="default" w:ascii="Times New Roman" w:hAnsi="Times New Roman" w:cs="Times New Roman"/>
                <w:color w:val="auto"/>
                <w:highlight w:val="none"/>
                <w:lang w:val="en-US" w:eastAsia="zh-CN"/>
              </w:rPr>
              <w:t>0×60=</w:t>
            </w:r>
            <w:r>
              <w:rPr>
                <w:rFonts w:hint="eastAsia" w:cs="Times New Roman"/>
                <w:color w:val="auto"/>
                <w:highlight w:val="none"/>
                <w:lang w:val="en-US" w:eastAsia="zh-CN"/>
              </w:rPr>
              <w:t>4.80m³</w:t>
            </w:r>
            <w:r>
              <w:rPr>
                <w:rFonts w:hint="default" w:ascii="Times New Roman" w:hAnsi="Times New Roman" w:cs="Times New Roman"/>
                <w:color w:val="auto"/>
                <w:highlight w:val="none"/>
                <w:lang w:val="en-US" w:eastAsia="zh-CN"/>
              </w:rPr>
              <w:t>/a（自来水）。全部作为危险废物</w:t>
            </w:r>
            <w:r>
              <w:rPr>
                <w:rFonts w:hint="eastAsia" w:cs="Times New Roman"/>
                <w:color w:val="auto"/>
                <w:highlight w:val="none"/>
                <w:lang w:val="en-US" w:eastAsia="zh-CN"/>
              </w:rPr>
              <w:t>进行处理，收集至PE桶内，定期交由有资质单位进行处置。</w:t>
            </w:r>
          </w:p>
          <w:p w14:paraId="5469A8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第</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~5次清洗：使用纯水</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单次用水量0.5L/组，</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次共</w:t>
            </w:r>
            <w:r>
              <w:rPr>
                <w:rFonts w:hint="eastAsia" w:cs="Times New Roman"/>
                <w:color w:val="auto"/>
                <w:highlight w:val="none"/>
                <w:lang w:val="en-US" w:eastAsia="zh-CN"/>
              </w:rPr>
              <w:t>1.5</w:t>
            </w:r>
            <w:r>
              <w:rPr>
                <w:rFonts w:hint="default" w:ascii="Times New Roman" w:hAnsi="Times New Roman" w:cs="Times New Roman"/>
                <w:color w:val="auto"/>
                <w:highlight w:val="none"/>
                <w:lang w:val="en-US" w:eastAsia="zh-CN"/>
              </w:rPr>
              <w:t>L/组。单节用水量=20组×1</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L/组=</w:t>
            </w:r>
            <w:r>
              <w:rPr>
                <w:rFonts w:hint="eastAsia" w:cs="Times New Roman"/>
                <w:color w:val="auto"/>
                <w:highlight w:val="none"/>
                <w:lang w:val="en-US" w:eastAsia="zh-CN"/>
              </w:rPr>
              <w:t>30</w:t>
            </w:r>
            <w:r>
              <w:rPr>
                <w:rFonts w:hint="default" w:ascii="Times New Roman" w:hAnsi="Times New Roman" w:cs="Times New Roman"/>
                <w:color w:val="auto"/>
                <w:highlight w:val="none"/>
                <w:lang w:val="en-US" w:eastAsia="zh-CN"/>
              </w:rPr>
              <w:t>L/节</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用水量=</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0×60=1.</w:t>
            </w:r>
            <w:r>
              <w:rPr>
                <w:rFonts w:hint="eastAsia" w:cs="Times New Roman"/>
                <w:color w:val="auto"/>
                <w:highlight w:val="none"/>
                <w:lang w:val="en-US" w:eastAsia="zh-CN"/>
              </w:rPr>
              <w:t>16m³</w:t>
            </w:r>
            <w:r>
              <w:rPr>
                <w:rFonts w:hint="default" w:ascii="Times New Roman" w:hAnsi="Times New Roman" w:cs="Times New Roman"/>
                <w:color w:val="auto"/>
                <w:highlight w:val="none"/>
                <w:lang w:val="en-US" w:eastAsia="zh-CN"/>
              </w:rPr>
              <w:t>/a（纯水）</w:t>
            </w:r>
            <w:r>
              <w:rPr>
                <w:rFonts w:hint="eastAsia" w:cs="Times New Roman"/>
                <w:color w:val="auto"/>
                <w:highlight w:val="none"/>
                <w:lang w:val="en-US" w:eastAsia="zh-CN"/>
              </w:rPr>
              <w:t>，清洗</w:t>
            </w:r>
            <w:r>
              <w:rPr>
                <w:rFonts w:hint="default" w:ascii="Times New Roman" w:hAnsi="Times New Roman" w:cs="Times New Roman"/>
                <w:color w:val="auto"/>
                <w:highlight w:val="none"/>
                <w:lang w:val="en-US" w:eastAsia="zh-CN"/>
              </w:rPr>
              <w:t>排水量</w:t>
            </w:r>
            <w:r>
              <w:rPr>
                <w:rFonts w:hint="eastAsia" w:cs="Times New Roman"/>
                <w:color w:val="auto"/>
                <w:highlight w:val="none"/>
                <w:lang w:val="en-US" w:eastAsia="zh-CN"/>
              </w:rPr>
              <w:t>按照用水量的90%计，则第3</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5次清洗废水排放量为1.8</w:t>
            </w: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9=1.62</w:t>
            </w:r>
            <w:r>
              <w:rPr>
                <w:rFonts w:hint="default" w:ascii="Times New Roman" w:hAnsi="Times New Roman" w:cs="Times New Roman"/>
                <w:color w:val="auto"/>
                <w:highlight w:val="none"/>
                <w:lang w:val="en-US" w:eastAsia="zh-CN"/>
              </w:rPr>
              <w:t>m³/a。</w:t>
            </w:r>
            <w:r>
              <w:rPr>
                <w:rFonts w:hint="eastAsia" w:cs="Times New Roman"/>
                <w:color w:val="auto"/>
                <w:highlight w:val="none"/>
                <w:lang w:val="en-US" w:eastAsia="zh-CN"/>
              </w:rPr>
              <w:t>废水中含有微量残留的酸、碱、盐及少量有机试剂（已在前两次大量去除），为普通清洗废水，化粪池（16m³）收集沉淀后，进入市政管网</w:t>
            </w:r>
            <w:r>
              <w:rPr>
                <w:rFonts w:hint="default" w:ascii="Times New Roman" w:hAnsi="Times New Roman" w:cs="Times New Roman"/>
                <w:color w:val="auto"/>
                <w:highlight w:val="none"/>
                <w:lang w:val="en-US" w:eastAsia="zh-CN"/>
              </w:rPr>
              <w:t>。</w:t>
            </w:r>
          </w:p>
          <w:p w14:paraId="2777AE3E">
            <w:pPr>
              <w:bidi w:val="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（2）生物实验室给排水</w:t>
            </w:r>
          </w:p>
          <w:p w14:paraId="3861EF04">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①实验前用水与排水</w:t>
            </w:r>
          </w:p>
          <w:p w14:paraId="671BE89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与化学实验室类似：纯水润洗器皿，参数相同。单节用水量2L/节，年40节，用水量0.0</w:t>
            </w:r>
            <w:r>
              <w:rPr>
                <w:rFonts w:hint="eastAsia" w:cs="Times New Roman"/>
                <w:color w:val="auto"/>
                <w:highlight w:val="none"/>
                <w:lang w:val="en-US" w:eastAsia="zh-CN"/>
              </w:rPr>
              <w:t>8m³</w:t>
            </w:r>
            <w:r>
              <w:rPr>
                <w:rFonts w:hint="default" w:ascii="Times New Roman" w:hAnsi="Times New Roman" w:cs="Times New Roman"/>
                <w:color w:val="auto"/>
                <w:highlight w:val="none"/>
                <w:lang w:val="en-US" w:eastAsia="zh-CN"/>
              </w:rPr>
              <w:t>/a。排放水量按照用水量的90%计算，则排水量为0.</w:t>
            </w:r>
            <w:r>
              <w:rPr>
                <w:rFonts w:hint="eastAsia" w:cs="Times New Roman"/>
                <w:color w:val="auto"/>
                <w:highlight w:val="none"/>
                <w:lang w:val="en-US" w:eastAsia="zh-CN"/>
              </w:rPr>
              <w:t>08</w:t>
            </w:r>
            <w:r>
              <w:rPr>
                <w:rFonts w:hint="default" w:ascii="Times New Roman" w:hAnsi="Times New Roman" w:cs="Times New Roman"/>
                <w:color w:val="auto"/>
                <w:highlight w:val="none"/>
                <w:lang w:val="en-US" w:eastAsia="zh-CN"/>
              </w:rPr>
              <w:t>×0.9=0.</w:t>
            </w:r>
            <w:r>
              <w:rPr>
                <w:rFonts w:hint="eastAsia" w:cs="Times New Roman"/>
                <w:color w:val="auto"/>
                <w:highlight w:val="none"/>
                <w:lang w:val="en-US" w:eastAsia="zh-CN"/>
              </w:rPr>
              <w:t>072</w:t>
            </w:r>
            <w:r>
              <w:rPr>
                <w:rFonts w:hint="default" w:ascii="Times New Roman" w:hAnsi="Times New Roman" w:cs="Times New Roman"/>
                <w:color w:val="auto"/>
                <w:highlight w:val="none"/>
                <w:lang w:val="en-US" w:eastAsia="zh-CN"/>
              </w:rPr>
              <w:t>m³/a。润洗废水</w:t>
            </w:r>
            <w:r>
              <w:rPr>
                <w:rFonts w:hint="eastAsia" w:cs="Times New Roman"/>
                <w:color w:val="auto"/>
                <w:highlight w:val="none"/>
                <w:lang w:val="en-US" w:eastAsia="zh-CN"/>
              </w:rPr>
              <w:t>含有极微量灰尘，为普通清洗废水，化粪池（16m³）收集沉淀后，进入市政管网。</w:t>
            </w:r>
          </w:p>
          <w:p w14:paraId="20F88C72">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②实验中用水与排水</w:t>
            </w:r>
          </w:p>
          <w:p w14:paraId="65F3377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培养基/试剂配制：使用纯水，用量约2L/节。用水量=2×40=0.0</w:t>
            </w:r>
            <w:r>
              <w:rPr>
                <w:rFonts w:hint="eastAsia" w:cs="Times New Roman"/>
                <w:color w:val="auto"/>
                <w:highlight w:val="none"/>
                <w:lang w:val="en-US" w:eastAsia="zh-CN"/>
              </w:rPr>
              <w:t>8m³</w:t>
            </w:r>
            <w:r>
              <w:rPr>
                <w:rFonts w:hint="default" w:ascii="Times New Roman" w:hAnsi="Times New Roman" w:cs="Times New Roman"/>
                <w:color w:val="auto"/>
                <w:highlight w:val="none"/>
                <w:lang w:val="en-US" w:eastAsia="zh-CN"/>
              </w:rPr>
              <w:t>/a。全部进入培养基或废液，为危险废物（</w:t>
            </w:r>
            <w:r>
              <w:rPr>
                <w:rFonts w:hint="eastAsia" w:cs="Times New Roman"/>
                <w:color w:val="auto"/>
                <w:highlight w:val="none"/>
                <w:lang w:val="en-US" w:eastAsia="zh-CN"/>
              </w:rPr>
              <w:t>灭活废弃培养基</w:t>
            </w:r>
            <w:r>
              <w:rPr>
                <w:rFonts w:hint="default" w:ascii="Times New Roman" w:hAnsi="Times New Roman" w:cs="Times New Roman"/>
                <w:color w:val="auto"/>
                <w:highlight w:val="none"/>
                <w:lang w:val="en-US" w:eastAsia="zh-CN"/>
              </w:rPr>
              <w:t>+残留液）。</w:t>
            </w:r>
          </w:p>
          <w:p w14:paraId="0C96A60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高压灭菌锅用水：使用自来水，每批次加水约5L（灭菌过程中部分蒸发）。用水量=5×40=0.2</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m³/a。灭菌后废水含少量营养物，灭活后的培养基残液、微生物代谢产物、营养盐</w:t>
            </w:r>
            <w:r>
              <w:rPr>
                <w:rFonts w:hint="eastAsia" w:cs="Times New Roman"/>
                <w:color w:val="auto"/>
                <w:highlight w:val="none"/>
                <w:lang w:val="en-US" w:eastAsia="zh-CN"/>
              </w:rPr>
              <w:t>，必须经高压灭菌（121℃、20min），确保病原微生物灭活，</w:t>
            </w:r>
            <w:r>
              <w:rPr>
                <w:rFonts w:hint="default" w:ascii="Times New Roman" w:hAnsi="Times New Roman" w:cs="Times New Roman"/>
                <w:color w:val="auto"/>
                <w:highlight w:val="none"/>
                <w:lang w:val="en-US" w:eastAsia="zh-CN"/>
              </w:rPr>
              <w:t>经灭活后排入</w:t>
            </w:r>
            <w:r>
              <w:rPr>
                <w:rFonts w:hint="eastAsia" w:cs="Times New Roman"/>
                <w:color w:val="auto"/>
                <w:highlight w:val="none"/>
                <w:lang w:val="en-US" w:eastAsia="zh-CN"/>
              </w:rPr>
              <w:t>化粪池收集沉淀后进入</w:t>
            </w:r>
            <w:r>
              <w:rPr>
                <w:rFonts w:hint="default" w:ascii="Times New Roman" w:hAnsi="Times New Roman" w:cs="Times New Roman"/>
                <w:color w:val="auto"/>
                <w:highlight w:val="none"/>
                <w:lang w:val="en-US" w:eastAsia="zh-CN"/>
              </w:rPr>
              <w:t>市政管网。排水量</w:t>
            </w:r>
            <w:r>
              <w:rPr>
                <w:rFonts w:hint="eastAsia" w:cs="Times New Roman"/>
                <w:color w:val="auto"/>
                <w:highlight w:val="none"/>
                <w:lang w:val="en-US" w:eastAsia="zh-CN"/>
              </w:rPr>
              <w:t>按照用水量的90%计算，则排水量为</w:t>
            </w:r>
            <w:r>
              <w:rPr>
                <w:rFonts w:hint="default" w:ascii="Times New Roman" w:hAnsi="Times New Roman" w:cs="Times New Roman"/>
                <w:color w:val="auto"/>
                <w:highlight w:val="none"/>
                <w:lang w:val="en-US" w:eastAsia="zh-CN"/>
              </w:rPr>
              <w:t>0.2×0.9=0.1</w:t>
            </w:r>
            <w:r>
              <w:rPr>
                <w:rFonts w:hint="eastAsia" w:cs="Times New Roman"/>
                <w:color w:val="auto"/>
                <w:highlight w:val="none"/>
                <w:lang w:val="en-US" w:eastAsia="zh-CN"/>
              </w:rPr>
              <w:t>8m³</w:t>
            </w:r>
            <w:r>
              <w:rPr>
                <w:rFonts w:hint="default" w:ascii="Times New Roman" w:hAnsi="Times New Roman" w:cs="Times New Roman"/>
                <w:color w:val="auto"/>
                <w:highlight w:val="none"/>
                <w:lang w:val="en-US" w:eastAsia="zh-CN"/>
              </w:rPr>
              <w:t>/a。</w:t>
            </w:r>
          </w:p>
          <w:p w14:paraId="0803F323">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③实验后用水与排水</w:t>
            </w:r>
          </w:p>
          <w:p w14:paraId="3A6D054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器皿清洗（5次）：参数同化学实验室，但因生物实验器皿数量略少，调整。</w:t>
            </w:r>
          </w:p>
          <w:p w14:paraId="0782184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第1~</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次（自来水）：按</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L/组计（</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次总量）。单节用水量=20组×</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0L/节</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用水量=</w:t>
            </w:r>
            <w:r>
              <w:rPr>
                <w:rFonts w:hint="eastAsia" w:cs="Times New Roman"/>
                <w:color w:val="auto"/>
                <w:highlight w:val="none"/>
                <w:lang w:val="en-US" w:eastAsia="zh-CN"/>
              </w:rPr>
              <w:t>4</w:t>
            </w:r>
            <w:r>
              <w:rPr>
                <w:rFonts w:hint="default" w:ascii="Times New Roman" w:hAnsi="Times New Roman" w:cs="Times New Roman"/>
                <w:color w:val="auto"/>
                <w:highlight w:val="none"/>
                <w:lang w:val="en-US" w:eastAsia="zh-CN"/>
              </w:rPr>
              <w:t>0×40=</w:t>
            </w:r>
            <w:r>
              <w:rPr>
                <w:rFonts w:hint="eastAsia" w:cs="Times New Roman"/>
                <w:color w:val="auto"/>
                <w:highlight w:val="none"/>
                <w:lang w:val="en-US" w:eastAsia="zh-CN"/>
              </w:rPr>
              <w:t>1.6</w:t>
            </w:r>
            <w:r>
              <w:rPr>
                <w:rFonts w:hint="default" w:ascii="Times New Roman" w:hAnsi="Times New Roman" w:cs="Times New Roman"/>
                <w:color w:val="auto"/>
                <w:highlight w:val="none"/>
                <w:lang w:val="en-US" w:eastAsia="zh-CN"/>
              </w:rPr>
              <w:t>m³/a，作为危险废物</w:t>
            </w:r>
            <w:r>
              <w:rPr>
                <w:rFonts w:hint="eastAsia" w:cs="Times New Roman"/>
                <w:color w:val="auto"/>
                <w:highlight w:val="none"/>
                <w:lang w:val="en-US" w:eastAsia="zh-CN"/>
              </w:rPr>
              <w:t>处置，PE桶收集，暂存于危险废物暂存库内，定期交由有资质单位进行处置。</w:t>
            </w:r>
          </w:p>
          <w:p w14:paraId="174D585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第</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~5次（纯水）：按</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L/组计（</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次总量）。单节用水量=20×</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60</w:t>
            </w:r>
            <w:r>
              <w:rPr>
                <w:rFonts w:hint="default" w:ascii="Times New Roman" w:hAnsi="Times New Roman" w:cs="Times New Roman"/>
                <w:color w:val="auto"/>
                <w:highlight w:val="none"/>
                <w:lang w:val="en-US" w:eastAsia="zh-CN"/>
              </w:rPr>
              <w:t>L/节</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用水量=</w:t>
            </w:r>
            <w:r>
              <w:rPr>
                <w:rFonts w:hint="eastAsia" w:cs="Times New Roman"/>
                <w:color w:val="auto"/>
                <w:highlight w:val="none"/>
                <w:lang w:val="en-US" w:eastAsia="zh-CN"/>
              </w:rPr>
              <w:t>60</w:t>
            </w:r>
            <w:r>
              <w:rPr>
                <w:rFonts w:hint="default" w:ascii="Times New Roman" w:hAnsi="Times New Roman" w:cs="Times New Roman"/>
                <w:color w:val="auto"/>
                <w:highlight w:val="none"/>
                <w:lang w:val="en-US" w:eastAsia="zh-CN"/>
              </w:rPr>
              <w:t>×40=</w:t>
            </w:r>
            <w:r>
              <w:rPr>
                <w:rFonts w:hint="eastAsia" w:cs="Times New Roman"/>
                <w:color w:val="auto"/>
                <w:highlight w:val="none"/>
                <w:lang w:val="en-US" w:eastAsia="zh-CN"/>
              </w:rPr>
              <w:t>2.4</w:t>
            </w:r>
            <w:r>
              <w:rPr>
                <w:rFonts w:hint="default" w:ascii="Times New Roman" w:hAnsi="Times New Roman" w:cs="Times New Roman"/>
                <w:color w:val="auto"/>
                <w:highlight w:val="none"/>
                <w:lang w:val="en-US" w:eastAsia="zh-CN"/>
              </w:rPr>
              <w:t>m³/a。</w:t>
            </w:r>
            <w:r>
              <w:rPr>
                <w:rFonts w:hint="eastAsia" w:cs="Times New Roman"/>
                <w:color w:val="auto"/>
                <w:highlight w:val="none"/>
                <w:lang w:val="en-US" w:eastAsia="zh-CN"/>
              </w:rPr>
              <w:t>排水量按用水量的90%计，则</w:t>
            </w:r>
            <w:r>
              <w:rPr>
                <w:rFonts w:hint="default" w:ascii="Times New Roman" w:hAnsi="Times New Roman" w:cs="Times New Roman"/>
                <w:color w:val="auto"/>
                <w:highlight w:val="none"/>
                <w:lang w:val="en-US" w:eastAsia="zh-CN"/>
              </w:rPr>
              <w:t>排水量</w:t>
            </w:r>
            <w:r>
              <w:rPr>
                <w:rFonts w:hint="eastAsia" w:cs="Times New Roman"/>
                <w:color w:val="auto"/>
                <w:highlight w:val="none"/>
                <w:lang w:val="en-US" w:eastAsia="zh-CN"/>
              </w:rPr>
              <w:t>为2.4</w:t>
            </w: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9=2.16</w:t>
            </w:r>
            <w:r>
              <w:rPr>
                <w:rFonts w:hint="default" w:ascii="Times New Roman" w:hAnsi="Times New Roman" w:cs="Times New Roman"/>
                <w:color w:val="auto"/>
                <w:highlight w:val="none"/>
                <w:lang w:val="en-US" w:eastAsia="zh-CN"/>
              </w:rPr>
              <w:t>m³/a</w:t>
            </w:r>
            <w:r>
              <w:rPr>
                <w:rFonts w:hint="eastAsia" w:cs="Times New Roman"/>
                <w:color w:val="auto"/>
                <w:highlight w:val="none"/>
                <w:lang w:val="en-US" w:eastAsia="zh-CN"/>
              </w:rPr>
              <w:t>，废水含微量染液、培养基残留、盐类，为普通清洗废水，化粪池（16m³）收集沉淀后，进入市政管网</w:t>
            </w:r>
            <w:r>
              <w:rPr>
                <w:rFonts w:hint="default" w:ascii="Times New Roman" w:hAnsi="Times New Roman" w:cs="Times New Roman"/>
                <w:color w:val="auto"/>
                <w:highlight w:val="none"/>
                <w:lang w:val="en-US" w:eastAsia="zh-CN"/>
              </w:rPr>
              <w:t>。</w:t>
            </w:r>
          </w:p>
          <w:p w14:paraId="01C2F390">
            <w:pPr>
              <w:bidi w:val="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（3）物理实验室给排水</w:t>
            </w:r>
          </w:p>
          <w:p w14:paraId="2CB33E9A">
            <w:pPr>
              <w:bidi w:val="0"/>
              <w:rPr>
                <w:rFonts w:hint="default"/>
                <w:color w:val="auto"/>
                <w:highlight w:val="none"/>
                <w:lang w:val="en-US" w:eastAsia="zh-CN"/>
              </w:rPr>
            </w:pPr>
            <w:r>
              <w:rPr>
                <w:rFonts w:hint="default"/>
                <w:color w:val="auto"/>
                <w:highlight w:val="none"/>
                <w:lang w:val="en-US" w:eastAsia="zh-CN"/>
              </w:rPr>
              <w:t>物理实验基本不产生污染性废水，主要为少量清洗用水和冷却水。</w:t>
            </w:r>
          </w:p>
          <w:p w14:paraId="2C44A604">
            <w:pPr>
              <w:bidi w:val="0"/>
              <w:rPr>
                <w:rFonts w:hint="default"/>
                <w:color w:val="auto"/>
                <w:highlight w:val="none"/>
                <w:lang w:val="en-US" w:eastAsia="zh-CN"/>
              </w:rPr>
            </w:pPr>
            <w:r>
              <w:rPr>
                <w:rFonts w:hint="eastAsia"/>
                <w:color w:val="auto"/>
                <w:highlight w:val="none"/>
                <w:lang w:val="en-US" w:eastAsia="zh-CN"/>
              </w:rPr>
              <w:t>①</w:t>
            </w:r>
            <w:r>
              <w:rPr>
                <w:rFonts w:hint="default"/>
                <w:color w:val="auto"/>
                <w:highlight w:val="none"/>
                <w:lang w:val="en-US" w:eastAsia="zh-CN"/>
              </w:rPr>
              <w:t>实验前用水与排水</w:t>
            </w:r>
          </w:p>
          <w:p w14:paraId="196F3839">
            <w:pPr>
              <w:bidi w:val="0"/>
              <w:rPr>
                <w:rFonts w:hint="default" w:ascii="Times New Roman" w:hAnsi="Times New Roman" w:cs="Times New Roman"/>
                <w:color w:val="auto"/>
                <w:highlight w:val="none"/>
                <w:lang w:val="en-US" w:eastAsia="zh-CN"/>
              </w:rPr>
            </w:pPr>
            <w:r>
              <w:rPr>
                <w:rFonts w:hint="default"/>
                <w:color w:val="auto"/>
                <w:highlight w:val="none"/>
                <w:lang w:val="en-US" w:eastAsia="zh-CN"/>
              </w:rPr>
              <w:t>简单冲洗器皿（量筒、烧杯等），使用</w:t>
            </w:r>
            <w:r>
              <w:rPr>
                <w:rFonts w:hint="eastAsia"/>
                <w:color w:val="auto"/>
                <w:highlight w:val="none"/>
                <w:lang w:val="en-US" w:eastAsia="zh-CN"/>
              </w:rPr>
              <w:t>纯水</w:t>
            </w:r>
            <w:r>
              <w:rPr>
                <w:rFonts w:hint="default"/>
                <w:color w:val="auto"/>
                <w:highlight w:val="none"/>
                <w:lang w:val="en-US" w:eastAsia="zh-CN"/>
              </w:rPr>
              <w:t>。单节用水量约</w:t>
            </w:r>
            <w:r>
              <w:rPr>
                <w:rFonts w:hint="eastAsia"/>
                <w:color w:val="auto"/>
                <w:highlight w:val="none"/>
                <w:lang w:val="en-US" w:eastAsia="zh-CN"/>
              </w:rPr>
              <w:t>2</w:t>
            </w:r>
            <w:r>
              <w:rPr>
                <w:rFonts w:hint="default"/>
                <w:color w:val="auto"/>
                <w:highlight w:val="none"/>
                <w:lang w:val="en-US" w:eastAsia="zh-CN"/>
              </w:rPr>
              <w:t>L/节</w:t>
            </w:r>
            <w:r>
              <w:rPr>
                <w:rFonts w:hint="eastAsia"/>
                <w:color w:val="auto"/>
                <w:highlight w:val="none"/>
                <w:lang w:val="en-US" w:eastAsia="zh-CN"/>
              </w:rPr>
              <w:t>，</w:t>
            </w:r>
            <w:r>
              <w:rPr>
                <w:rFonts w:hint="default"/>
                <w:color w:val="auto"/>
                <w:highlight w:val="none"/>
                <w:lang w:val="en-US" w:eastAsia="zh-CN"/>
              </w:rPr>
              <w:t>用水量=</w:t>
            </w:r>
            <w:r>
              <w:rPr>
                <w:rFonts w:hint="eastAsia"/>
                <w:color w:val="auto"/>
                <w:highlight w:val="none"/>
                <w:lang w:val="en-US" w:eastAsia="zh-CN"/>
              </w:rPr>
              <w:t>2</w:t>
            </w:r>
            <w:r>
              <w:rPr>
                <w:rFonts w:hint="default"/>
                <w:color w:val="auto"/>
                <w:highlight w:val="none"/>
                <w:lang w:val="en-US" w:eastAsia="zh-CN"/>
              </w:rPr>
              <w:t>×50=</w:t>
            </w:r>
            <w:r>
              <w:rPr>
                <w:rFonts w:hint="eastAsia"/>
                <w:color w:val="auto"/>
                <w:highlight w:val="none"/>
                <w:lang w:val="en-US" w:eastAsia="zh-CN"/>
              </w:rPr>
              <w:t>0.1</w:t>
            </w:r>
            <w:r>
              <w:rPr>
                <w:rFonts w:hint="default"/>
                <w:color w:val="auto"/>
                <w:highlight w:val="none"/>
                <w:lang w:val="en-US" w:eastAsia="zh-CN"/>
              </w:rPr>
              <w:t>m³/a</w:t>
            </w:r>
            <w:r>
              <w:rPr>
                <w:rFonts w:hint="eastAsia"/>
                <w:color w:val="auto"/>
                <w:highlight w:val="none"/>
                <w:lang w:val="en-US" w:eastAsia="zh-CN"/>
              </w:rPr>
              <w:t>，</w:t>
            </w:r>
            <w:r>
              <w:rPr>
                <w:rFonts w:hint="default"/>
                <w:color w:val="auto"/>
                <w:highlight w:val="none"/>
                <w:lang w:val="en-US" w:eastAsia="zh-CN"/>
              </w:rPr>
              <w:t>排水量</w:t>
            </w:r>
            <w:r>
              <w:rPr>
                <w:rFonts w:hint="eastAsia"/>
                <w:color w:val="auto"/>
                <w:highlight w:val="none"/>
                <w:lang w:val="en-US" w:eastAsia="zh-CN"/>
              </w:rPr>
              <w:t>按用水量的90%计，则排水量为</w:t>
            </w:r>
            <w:r>
              <w:rPr>
                <w:rFonts w:hint="default"/>
                <w:color w:val="auto"/>
                <w:highlight w:val="none"/>
                <w:lang w:val="en-US" w:eastAsia="zh-CN"/>
              </w:rPr>
              <w:t>0.</w:t>
            </w:r>
            <w:r>
              <w:rPr>
                <w:rFonts w:hint="eastAsia"/>
                <w:color w:val="auto"/>
                <w:highlight w:val="none"/>
                <w:lang w:val="en-US" w:eastAsia="zh-CN"/>
              </w:rPr>
              <w:t>1</w:t>
            </w:r>
            <w:r>
              <w:rPr>
                <w:rFonts w:hint="default"/>
                <w:color w:val="auto"/>
                <w:highlight w:val="none"/>
                <w:lang w:val="en-US" w:eastAsia="zh-CN"/>
              </w:rPr>
              <w:t>×0.9=0.</w:t>
            </w:r>
            <w:r>
              <w:rPr>
                <w:rFonts w:hint="eastAsia"/>
                <w:color w:val="auto"/>
                <w:highlight w:val="none"/>
                <w:lang w:val="en-US" w:eastAsia="zh-CN"/>
              </w:rPr>
              <w:t>09</w:t>
            </w:r>
            <w:r>
              <w:rPr>
                <w:rFonts w:hint="default"/>
                <w:color w:val="auto"/>
                <w:highlight w:val="none"/>
                <w:lang w:val="en-US" w:eastAsia="zh-CN"/>
              </w:rPr>
              <w:t>m³/a</w:t>
            </w:r>
            <w:r>
              <w:rPr>
                <w:rFonts w:hint="eastAsia"/>
                <w:color w:val="auto"/>
                <w:highlight w:val="none"/>
                <w:lang w:val="en-US" w:eastAsia="zh-CN"/>
              </w:rPr>
              <w:t>，</w:t>
            </w:r>
            <w:r>
              <w:rPr>
                <w:rFonts w:hint="default" w:ascii="Times New Roman" w:hAnsi="Times New Roman" w:cs="Times New Roman"/>
                <w:color w:val="auto"/>
                <w:highlight w:val="none"/>
                <w:lang w:val="en-US" w:eastAsia="zh-CN"/>
              </w:rPr>
              <w:t>润洗废水</w:t>
            </w:r>
            <w:r>
              <w:rPr>
                <w:rFonts w:hint="eastAsia" w:cs="Times New Roman"/>
                <w:color w:val="auto"/>
                <w:highlight w:val="none"/>
                <w:lang w:val="en-US" w:eastAsia="zh-CN"/>
              </w:rPr>
              <w:t>为普通清洗废水，化粪池（16m³）收集沉淀后，进入市政管网。</w:t>
            </w:r>
          </w:p>
          <w:p w14:paraId="69C5A569">
            <w:pPr>
              <w:bidi w:val="0"/>
              <w:rPr>
                <w:rFonts w:hint="default"/>
                <w:color w:val="auto"/>
                <w:highlight w:val="none"/>
                <w:lang w:val="en-US" w:eastAsia="zh-CN"/>
              </w:rPr>
            </w:pPr>
            <w:r>
              <w:rPr>
                <w:rFonts w:hint="eastAsia"/>
                <w:color w:val="auto"/>
                <w:highlight w:val="none"/>
                <w:lang w:val="en-US" w:eastAsia="zh-CN"/>
              </w:rPr>
              <w:t>②</w:t>
            </w:r>
            <w:r>
              <w:rPr>
                <w:rFonts w:hint="default"/>
                <w:color w:val="auto"/>
                <w:highlight w:val="none"/>
                <w:lang w:val="en-US" w:eastAsia="zh-CN"/>
              </w:rPr>
              <w:t>实验中用水与排水</w:t>
            </w:r>
          </w:p>
          <w:p w14:paraId="4352989E">
            <w:pPr>
              <w:bidi w:val="0"/>
              <w:rPr>
                <w:rFonts w:hint="default"/>
                <w:color w:val="auto"/>
                <w:highlight w:val="none"/>
                <w:lang w:val="en-US" w:eastAsia="zh-CN"/>
              </w:rPr>
            </w:pPr>
            <w:r>
              <w:rPr>
                <w:rFonts w:hint="default"/>
                <w:color w:val="auto"/>
                <w:highlight w:val="none"/>
                <w:lang w:val="en-US" w:eastAsia="zh-CN"/>
              </w:rPr>
              <w:t>冷却水（热学实验等）：使用自来水，循环或直冷。按平均</w:t>
            </w:r>
            <w:r>
              <w:rPr>
                <w:rFonts w:hint="eastAsia"/>
                <w:color w:val="auto"/>
                <w:highlight w:val="none"/>
                <w:lang w:val="en-US" w:eastAsia="zh-CN"/>
              </w:rPr>
              <w:t>5</w:t>
            </w:r>
            <w:r>
              <w:rPr>
                <w:rFonts w:hint="default"/>
                <w:color w:val="auto"/>
                <w:highlight w:val="none"/>
                <w:lang w:val="en-US" w:eastAsia="zh-CN"/>
              </w:rPr>
              <w:t>L/节计</w:t>
            </w:r>
            <w:r>
              <w:rPr>
                <w:rFonts w:hint="eastAsia"/>
                <w:color w:val="auto"/>
                <w:highlight w:val="none"/>
                <w:lang w:val="en-US" w:eastAsia="zh-CN"/>
              </w:rPr>
              <w:t>，</w:t>
            </w:r>
            <w:r>
              <w:rPr>
                <w:rFonts w:hint="default"/>
                <w:color w:val="auto"/>
                <w:highlight w:val="none"/>
                <w:lang w:val="en-US" w:eastAsia="zh-CN"/>
              </w:rPr>
              <w:t>用水量=</w:t>
            </w:r>
            <w:r>
              <w:rPr>
                <w:rFonts w:hint="eastAsia"/>
                <w:color w:val="auto"/>
                <w:highlight w:val="none"/>
                <w:lang w:val="en-US" w:eastAsia="zh-CN"/>
              </w:rPr>
              <w:t>5</w:t>
            </w:r>
            <w:r>
              <w:rPr>
                <w:rFonts w:hint="default"/>
                <w:color w:val="auto"/>
                <w:highlight w:val="none"/>
                <w:lang w:val="en-US" w:eastAsia="zh-CN"/>
              </w:rPr>
              <w:t>×50=0.</w:t>
            </w:r>
            <w:r>
              <w:rPr>
                <w:rFonts w:hint="eastAsia"/>
                <w:color w:val="auto"/>
                <w:highlight w:val="none"/>
                <w:lang w:val="en-US" w:eastAsia="zh-CN"/>
              </w:rPr>
              <w:t>2</w:t>
            </w:r>
            <w:r>
              <w:rPr>
                <w:rFonts w:hint="default"/>
                <w:color w:val="auto"/>
                <w:highlight w:val="none"/>
                <w:lang w:val="en-US" w:eastAsia="zh-CN"/>
              </w:rPr>
              <w:t>5m³/a</w:t>
            </w:r>
            <w:r>
              <w:rPr>
                <w:rFonts w:hint="eastAsia"/>
                <w:color w:val="auto"/>
                <w:highlight w:val="none"/>
                <w:lang w:val="en-US" w:eastAsia="zh-CN"/>
              </w:rPr>
              <w:t>，</w:t>
            </w:r>
            <w:r>
              <w:rPr>
                <w:rFonts w:hint="default"/>
                <w:color w:val="auto"/>
                <w:highlight w:val="none"/>
                <w:lang w:val="en-US" w:eastAsia="zh-CN"/>
              </w:rPr>
              <w:t>排水量</w:t>
            </w:r>
            <w:r>
              <w:rPr>
                <w:rFonts w:hint="eastAsia"/>
                <w:color w:val="auto"/>
                <w:highlight w:val="none"/>
                <w:lang w:val="en-US" w:eastAsia="zh-CN"/>
              </w:rPr>
              <w:t>为</w:t>
            </w:r>
            <w:r>
              <w:rPr>
                <w:rFonts w:hint="default"/>
                <w:color w:val="auto"/>
                <w:highlight w:val="none"/>
                <w:lang w:val="en-US" w:eastAsia="zh-CN"/>
              </w:rPr>
              <w:t>0.</w:t>
            </w:r>
            <w:r>
              <w:rPr>
                <w:rFonts w:hint="eastAsia"/>
                <w:color w:val="auto"/>
                <w:highlight w:val="none"/>
                <w:lang w:val="en-US" w:eastAsia="zh-CN"/>
              </w:rPr>
              <w:t>2</w:t>
            </w:r>
            <w:r>
              <w:rPr>
                <w:rFonts w:hint="default"/>
                <w:color w:val="auto"/>
                <w:highlight w:val="none"/>
                <w:lang w:val="en-US" w:eastAsia="zh-CN"/>
              </w:rPr>
              <w:t>5×0.9=0.</w:t>
            </w:r>
            <w:r>
              <w:rPr>
                <w:rFonts w:hint="eastAsia"/>
                <w:color w:val="auto"/>
                <w:highlight w:val="none"/>
                <w:lang w:val="en-US" w:eastAsia="zh-CN"/>
              </w:rPr>
              <w:t>22</w:t>
            </w:r>
            <w:r>
              <w:rPr>
                <w:rFonts w:hint="default"/>
                <w:color w:val="auto"/>
                <w:highlight w:val="none"/>
                <w:lang w:val="en-US" w:eastAsia="zh-CN"/>
              </w:rPr>
              <w:t>5m³/a</w:t>
            </w:r>
            <w:r>
              <w:rPr>
                <w:rFonts w:hint="eastAsia"/>
                <w:color w:val="auto"/>
                <w:highlight w:val="none"/>
                <w:lang w:val="en-US" w:eastAsia="zh-CN"/>
              </w:rPr>
              <w:t>，为普通清洗废水，化粪池（16m³）收集沉淀后，进入市政管网</w:t>
            </w:r>
            <w:r>
              <w:rPr>
                <w:rFonts w:hint="default"/>
                <w:color w:val="auto"/>
                <w:highlight w:val="none"/>
                <w:lang w:val="en-US" w:eastAsia="zh-CN"/>
              </w:rPr>
              <w:t>。</w:t>
            </w:r>
          </w:p>
          <w:p w14:paraId="5B421AB0">
            <w:pPr>
              <w:bidi w:val="0"/>
              <w:rPr>
                <w:rFonts w:hint="default"/>
                <w:color w:val="auto"/>
                <w:highlight w:val="none"/>
                <w:lang w:val="en-US" w:eastAsia="zh-CN"/>
              </w:rPr>
            </w:pPr>
            <w:r>
              <w:rPr>
                <w:rFonts w:hint="eastAsia"/>
                <w:color w:val="auto"/>
                <w:highlight w:val="none"/>
                <w:lang w:val="en-US" w:eastAsia="zh-CN"/>
              </w:rPr>
              <w:t>③</w:t>
            </w:r>
            <w:r>
              <w:rPr>
                <w:rFonts w:hint="default"/>
                <w:color w:val="auto"/>
                <w:highlight w:val="none"/>
                <w:lang w:val="en-US" w:eastAsia="zh-CN"/>
              </w:rPr>
              <w:t>实验后用水与排水</w:t>
            </w:r>
          </w:p>
          <w:p w14:paraId="75AF7B49">
            <w:pPr>
              <w:bidi w:val="0"/>
              <w:rPr>
                <w:rFonts w:hint="default" w:ascii="Times New Roman" w:hAnsi="Times New Roman" w:cs="Times New Roman"/>
                <w:color w:val="auto"/>
                <w:highlight w:val="none"/>
                <w:lang w:val="en-US" w:eastAsia="zh-CN"/>
              </w:rPr>
            </w:pPr>
            <w:r>
              <w:rPr>
                <w:rFonts w:hint="default"/>
                <w:color w:val="auto"/>
                <w:highlight w:val="none"/>
                <w:lang w:val="en-US" w:eastAsia="zh-CN"/>
              </w:rPr>
              <w:t>器皿清洗：使用自来水，单节用水量约</w:t>
            </w:r>
            <w:r>
              <w:rPr>
                <w:rFonts w:hint="eastAsia"/>
                <w:color w:val="auto"/>
                <w:highlight w:val="none"/>
                <w:lang w:val="en-US" w:eastAsia="zh-CN"/>
              </w:rPr>
              <w:t>4</w:t>
            </w:r>
            <w:r>
              <w:rPr>
                <w:rFonts w:hint="default"/>
                <w:color w:val="auto"/>
                <w:highlight w:val="none"/>
                <w:lang w:val="en-US" w:eastAsia="zh-CN"/>
              </w:rPr>
              <w:t>L/节</w:t>
            </w:r>
            <w:r>
              <w:rPr>
                <w:rFonts w:hint="eastAsia"/>
                <w:color w:val="auto"/>
                <w:highlight w:val="none"/>
                <w:lang w:val="en-US" w:eastAsia="zh-CN"/>
              </w:rPr>
              <w:t>，</w:t>
            </w:r>
            <w:r>
              <w:rPr>
                <w:rFonts w:hint="default"/>
                <w:color w:val="auto"/>
                <w:highlight w:val="none"/>
                <w:lang w:val="en-US" w:eastAsia="zh-CN"/>
              </w:rPr>
              <w:t>用水量=</w:t>
            </w:r>
            <w:r>
              <w:rPr>
                <w:rFonts w:hint="eastAsia"/>
                <w:color w:val="auto"/>
                <w:highlight w:val="none"/>
                <w:lang w:val="en-US" w:eastAsia="zh-CN"/>
              </w:rPr>
              <w:t>4</w:t>
            </w:r>
            <w:r>
              <w:rPr>
                <w:rFonts w:hint="default"/>
                <w:color w:val="auto"/>
                <w:highlight w:val="none"/>
                <w:lang w:val="en-US" w:eastAsia="zh-CN"/>
              </w:rPr>
              <w:t>×50=0.</w:t>
            </w:r>
            <w:r>
              <w:rPr>
                <w:rFonts w:hint="eastAsia"/>
                <w:color w:val="auto"/>
                <w:highlight w:val="none"/>
                <w:lang w:val="en-US" w:eastAsia="zh-CN"/>
              </w:rPr>
              <w:t>2</w:t>
            </w:r>
            <w:r>
              <w:rPr>
                <w:rFonts w:hint="default"/>
                <w:color w:val="auto"/>
                <w:highlight w:val="none"/>
                <w:lang w:val="en-US" w:eastAsia="zh-CN"/>
              </w:rPr>
              <w:t>m³/a。排水量=0.</w:t>
            </w:r>
            <w:r>
              <w:rPr>
                <w:rFonts w:hint="eastAsia"/>
                <w:color w:val="auto"/>
                <w:highlight w:val="none"/>
                <w:lang w:val="en-US" w:eastAsia="zh-CN"/>
              </w:rPr>
              <w:t>2</w:t>
            </w:r>
            <w:r>
              <w:rPr>
                <w:rFonts w:hint="default"/>
                <w:color w:val="auto"/>
                <w:highlight w:val="none"/>
                <w:lang w:val="en-US" w:eastAsia="zh-CN"/>
              </w:rPr>
              <w:t>×0.9=0.</w:t>
            </w:r>
            <w:r>
              <w:rPr>
                <w:rFonts w:hint="eastAsia"/>
                <w:color w:val="auto"/>
                <w:highlight w:val="none"/>
                <w:lang w:val="en-US" w:eastAsia="zh-CN"/>
              </w:rPr>
              <w:t>18m³</w:t>
            </w:r>
            <w:r>
              <w:rPr>
                <w:rFonts w:hint="default"/>
                <w:color w:val="auto"/>
                <w:highlight w:val="none"/>
                <w:lang w:val="en-US" w:eastAsia="zh-CN"/>
              </w:rPr>
              <w:t>/a</w:t>
            </w:r>
            <w:r>
              <w:rPr>
                <w:rFonts w:hint="eastAsia"/>
                <w:color w:val="auto"/>
                <w:highlight w:val="none"/>
                <w:lang w:val="en-US" w:eastAsia="zh-CN"/>
              </w:rPr>
              <w:t>，</w:t>
            </w:r>
            <w:r>
              <w:rPr>
                <w:rFonts w:hint="default" w:ascii="Times New Roman" w:hAnsi="Times New Roman" w:cs="Times New Roman"/>
                <w:color w:val="auto"/>
                <w:highlight w:val="none"/>
                <w:lang w:val="en-US" w:eastAsia="zh-CN"/>
              </w:rPr>
              <w:t>物理实验室排水仅含少量悬浮物，COD很低（&lt;50mg/L），pH中性，废水</w:t>
            </w:r>
            <w:r>
              <w:rPr>
                <w:rFonts w:hint="eastAsia" w:cs="Times New Roman"/>
                <w:color w:val="auto"/>
                <w:highlight w:val="none"/>
                <w:lang w:val="en-US" w:eastAsia="zh-CN"/>
              </w:rPr>
              <w:t>为普通清洗废水</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进入化粪池（16m³）收集沉淀后，进入市政管网</w:t>
            </w:r>
            <w:r>
              <w:rPr>
                <w:rFonts w:hint="default" w:ascii="Times New Roman" w:hAnsi="Times New Roman" w:cs="Times New Roman"/>
                <w:color w:val="auto"/>
                <w:highlight w:val="none"/>
                <w:lang w:val="en-US" w:eastAsia="zh-CN"/>
              </w:rPr>
              <w:t>。</w:t>
            </w:r>
          </w:p>
          <w:p w14:paraId="1DC6768C">
            <w:pPr>
              <w:bidi w:val="0"/>
              <w:rPr>
                <w:rFonts w:hint="default"/>
                <w:b/>
                <w:bCs/>
                <w:color w:val="auto"/>
                <w:highlight w:val="none"/>
                <w:lang w:val="en-US" w:eastAsia="zh-CN"/>
              </w:rPr>
            </w:pPr>
            <w:r>
              <w:rPr>
                <w:rFonts w:hint="eastAsia"/>
                <w:b/>
                <w:bCs/>
                <w:color w:val="auto"/>
                <w:highlight w:val="none"/>
                <w:lang w:val="en-US" w:eastAsia="zh-CN"/>
              </w:rPr>
              <w:t>（4）生活用水及排水</w:t>
            </w:r>
          </w:p>
          <w:p w14:paraId="3AD575BD">
            <w:pPr>
              <w:bidi w:val="0"/>
              <w:rPr>
                <w:rFonts w:hint="default"/>
                <w:color w:val="auto"/>
                <w:highlight w:val="none"/>
                <w:lang w:val="en-US" w:eastAsia="zh-CN"/>
              </w:rPr>
            </w:pPr>
            <w:r>
              <w:rPr>
                <w:rFonts w:hint="eastAsia"/>
                <w:color w:val="auto"/>
                <w:highlight w:val="none"/>
                <w:lang w:val="en-US" w:eastAsia="zh-CN"/>
              </w:rPr>
              <w:t>学校师生共计为2700人，年教学时长为200天，依据《内蒙古自治区行业用水定额》（DB15/T385-2025），生活用水量按照120L/人•d计，则生活用水量为324m³/d，年用水量为64800m³/a，生活用水由市政自来水提供。项目生活污水产生量按照用水量的80%计，则生活污水产生量为259.2m³/d，生活污水年产生量为51840m³/a，经化粪池（10m³）收集后，排入市政污水管网。</w:t>
            </w:r>
          </w:p>
          <w:p w14:paraId="7D8CB819">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eastAsia" w:cs="Times New Roman"/>
                <w:b/>
                <w:bCs/>
                <w:color w:val="auto"/>
                <w:highlight w:val="none"/>
                <w:lang w:val="en-US" w:eastAsia="zh-CN"/>
              </w:rPr>
              <w:t>表2-8本项目水平衡一览表</w:t>
            </w:r>
          </w:p>
          <w:tbl>
            <w:tblPr>
              <w:tblStyle w:val="24"/>
              <w:tblW w:w="7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879"/>
              <w:gridCol w:w="1189"/>
              <w:gridCol w:w="1120"/>
              <w:gridCol w:w="1294"/>
              <w:gridCol w:w="1227"/>
              <w:gridCol w:w="1111"/>
            </w:tblGrid>
            <w:tr w14:paraId="120F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115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6E18DA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mc:AlternateContent>
                      <mc:Choice Requires="wpsCustomData">
                        <wpsCustomData:diagonalParaType/>
                      </mc:Choice>
                    </mc:AlternateContent>
                    <w:rPr>
                      <w:rFonts w:hint="default"/>
                      <w:color w:val="auto"/>
                      <w:highlight w:val="none"/>
                      <w:lang w:val="en-US" w:eastAsia="zh-CN"/>
                    </w:rPr>
                  </w:pPr>
                  <w:r>
                    <w:rPr>
                      <w:rFonts w:hint="eastAsia"/>
                      <w:color w:val="auto"/>
                      <w:highlight w:val="none"/>
                      <w:lang w:val="en-US" w:eastAsia="zh-CN"/>
                    </w:rPr>
                    <w:t>序号</w:t>
                  </w:r>
                </w:p>
                <w:p w14:paraId="30C255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用水类型</w:t>
                  </w:r>
                </w:p>
              </w:tc>
              <w:tc>
                <w:tcPr>
                  <w:tcW w:w="879" w:type="dxa"/>
                  <w:vAlign w:val="center"/>
                </w:tcPr>
                <w:p w14:paraId="526B6C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实验室类型</w:t>
                  </w:r>
                </w:p>
              </w:tc>
              <w:tc>
                <w:tcPr>
                  <w:tcW w:w="1189" w:type="dxa"/>
                  <w:vAlign w:val="center"/>
                </w:tcPr>
                <w:p w14:paraId="31A5AB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总用水量（m³/a）</w:t>
                  </w:r>
                </w:p>
              </w:tc>
              <w:tc>
                <w:tcPr>
                  <w:tcW w:w="1120" w:type="dxa"/>
                  <w:vAlign w:val="center"/>
                </w:tcPr>
                <w:p w14:paraId="401C86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损耗量（m³/a）</w:t>
                  </w:r>
                </w:p>
              </w:tc>
              <w:tc>
                <w:tcPr>
                  <w:tcW w:w="1294" w:type="dxa"/>
                  <w:vAlign w:val="center"/>
                </w:tcPr>
                <w:p w14:paraId="283FFD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排水量（m³/a）</w:t>
                  </w:r>
                </w:p>
              </w:tc>
              <w:tc>
                <w:tcPr>
                  <w:tcW w:w="1227" w:type="dxa"/>
                  <w:vAlign w:val="center"/>
                </w:tcPr>
                <w:p w14:paraId="7A576E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最总去向</w:t>
                  </w:r>
                </w:p>
              </w:tc>
              <w:tc>
                <w:tcPr>
                  <w:tcW w:w="1111" w:type="dxa"/>
                  <w:vAlign w:val="center"/>
                </w:tcPr>
                <w:p w14:paraId="462883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危险废物量（m³/a）</w:t>
                  </w:r>
                </w:p>
              </w:tc>
            </w:tr>
            <w:tr w14:paraId="0895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6866" w:type="dxa"/>
                  <w:gridSpan w:val="6"/>
                  <w:vAlign w:val="center"/>
                </w:tcPr>
                <w:p w14:paraId="1C99DB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自来水</w:t>
                  </w:r>
                </w:p>
              </w:tc>
              <w:tc>
                <w:tcPr>
                  <w:tcW w:w="1111" w:type="dxa"/>
                  <w:vAlign w:val="center"/>
                </w:tcPr>
                <w:p w14:paraId="358AC6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p>
              </w:tc>
            </w:tr>
            <w:tr w14:paraId="5C32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157" w:type="dxa"/>
                  <w:vMerge w:val="restart"/>
                  <w:vAlign w:val="center"/>
                </w:tcPr>
                <w:p w14:paraId="61DA6E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w:t>
                  </w:r>
                </w:p>
              </w:tc>
              <w:tc>
                <w:tcPr>
                  <w:tcW w:w="879" w:type="dxa"/>
                  <w:vMerge w:val="restart"/>
                  <w:vAlign w:val="center"/>
                </w:tcPr>
                <w:p w14:paraId="6AE8CE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化学实验室</w:t>
                  </w:r>
                </w:p>
              </w:tc>
              <w:tc>
                <w:tcPr>
                  <w:tcW w:w="1189" w:type="dxa"/>
                  <w:vMerge w:val="restart"/>
                  <w:vAlign w:val="center"/>
                </w:tcPr>
                <w:p w14:paraId="33F661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5.1</w:t>
                  </w:r>
                </w:p>
              </w:tc>
              <w:tc>
                <w:tcPr>
                  <w:tcW w:w="1120" w:type="dxa"/>
                  <w:vAlign w:val="center"/>
                </w:tcPr>
                <w:p w14:paraId="21EE5F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0.03</w:t>
                  </w:r>
                </w:p>
              </w:tc>
              <w:tc>
                <w:tcPr>
                  <w:tcW w:w="1294" w:type="dxa"/>
                  <w:vAlign w:val="center"/>
                </w:tcPr>
                <w:p w14:paraId="7663D2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0.27</w:t>
                  </w:r>
                </w:p>
              </w:tc>
              <w:tc>
                <w:tcPr>
                  <w:tcW w:w="1227" w:type="dxa"/>
                  <w:vAlign w:val="center"/>
                </w:tcPr>
                <w:p w14:paraId="144F75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进入化粪池（16m³）收集沉淀后，进入市政管网</w:t>
                  </w:r>
                </w:p>
              </w:tc>
              <w:tc>
                <w:tcPr>
                  <w:tcW w:w="1111" w:type="dxa"/>
                  <w:vAlign w:val="center"/>
                </w:tcPr>
                <w:p w14:paraId="7E543D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r>
            <w:tr w14:paraId="48E4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157" w:type="dxa"/>
                  <w:vMerge w:val="continue"/>
                  <w:vAlign w:val="center"/>
                </w:tcPr>
                <w:p w14:paraId="06A301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879" w:type="dxa"/>
                  <w:vMerge w:val="continue"/>
                  <w:vAlign w:val="center"/>
                </w:tcPr>
                <w:p w14:paraId="16AA68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1189" w:type="dxa"/>
                  <w:vMerge w:val="continue"/>
                  <w:vAlign w:val="center"/>
                </w:tcPr>
                <w:p w14:paraId="00BEFD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1120" w:type="dxa"/>
                  <w:vAlign w:val="center"/>
                </w:tcPr>
                <w:p w14:paraId="054F1E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lang w:val="en-US" w:eastAsia="zh-CN"/>
                    </w:rPr>
                    <w:t>/</w:t>
                  </w:r>
                </w:p>
              </w:tc>
              <w:tc>
                <w:tcPr>
                  <w:tcW w:w="1294" w:type="dxa"/>
                  <w:vAlign w:val="center"/>
                </w:tcPr>
                <w:p w14:paraId="252068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227" w:type="dxa"/>
                  <w:vAlign w:val="center"/>
                </w:tcPr>
                <w:p w14:paraId="56FA6D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111" w:type="dxa"/>
                  <w:vAlign w:val="center"/>
                </w:tcPr>
                <w:p w14:paraId="629BF3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r>
                    <w:rPr>
                      <w:rFonts w:hint="eastAsia"/>
                      <w:color w:val="auto"/>
                      <w:highlight w:val="none"/>
                      <w:lang w:val="en-US" w:eastAsia="zh-CN"/>
                    </w:rPr>
                    <w:t>4.8</w:t>
                  </w:r>
                </w:p>
              </w:tc>
            </w:tr>
            <w:tr w14:paraId="06C1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157" w:type="dxa"/>
                  <w:vMerge w:val="restart"/>
                  <w:vAlign w:val="center"/>
                </w:tcPr>
                <w:p w14:paraId="3DD3B1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w:t>
                  </w:r>
                </w:p>
              </w:tc>
              <w:tc>
                <w:tcPr>
                  <w:tcW w:w="879" w:type="dxa"/>
                  <w:vMerge w:val="restart"/>
                  <w:vAlign w:val="center"/>
                </w:tcPr>
                <w:p w14:paraId="6B43D1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生物实验室</w:t>
                  </w:r>
                </w:p>
              </w:tc>
              <w:tc>
                <w:tcPr>
                  <w:tcW w:w="1189" w:type="dxa"/>
                  <w:vMerge w:val="restart"/>
                  <w:vAlign w:val="center"/>
                </w:tcPr>
                <w:p w14:paraId="3B1E91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1.8</w:t>
                  </w:r>
                </w:p>
              </w:tc>
              <w:tc>
                <w:tcPr>
                  <w:tcW w:w="1120" w:type="dxa"/>
                  <w:vAlign w:val="center"/>
                </w:tcPr>
                <w:p w14:paraId="11A84E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0.02</w:t>
                  </w:r>
                </w:p>
              </w:tc>
              <w:tc>
                <w:tcPr>
                  <w:tcW w:w="1294" w:type="dxa"/>
                  <w:vAlign w:val="center"/>
                </w:tcPr>
                <w:p w14:paraId="27FC95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0.18</w:t>
                  </w:r>
                </w:p>
              </w:tc>
              <w:tc>
                <w:tcPr>
                  <w:tcW w:w="1227" w:type="dxa"/>
                  <w:vAlign w:val="center"/>
                </w:tcPr>
                <w:p w14:paraId="42631E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进入化粪池（16m³）收集沉淀后，进入市政管网</w:t>
                  </w:r>
                </w:p>
              </w:tc>
              <w:tc>
                <w:tcPr>
                  <w:tcW w:w="1111" w:type="dxa"/>
                  <w:vAlign w:val="center"/>
                </w:tcPr>
                <w:p w14:paraId="1E5BFD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r>
            <w:tr w14:paraId="38BA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157" w:type="dxa"/>
                  <w:vMerge w:val="continue"/>
                  <w:vAlign w:val="center"/>
                </w:tcPr>
                <w:p w14:paraId="7E8711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879" w:type="dxa"/>
                  <w:vMerge w:val="continue"/>
                  <w:vAlign w:val="center"/>
                </w:tcPr>
                <w:p w14:paraId="519D56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1189" w:type="dxa"/>
                  <w:vMerge w:val="continue"/>
                  <w:vAlign w:val="center"/>
                </w:tcPr>
                <w:p w14:paraId="189304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1120" w:type="dxa"/>
                  <w:vAlign w:val="center"/>
                </w:tcPr>
                <w:p w14:paraId="4DAF2E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lang w:val="en-US" w:eastAsia="zh-CN"/>
                    </w:rPr>
                    <w:t>/</w:t>
                  </w:r>
                </w:p>
              </w:tc>
              <w:tc>
                <w:tcPr>
                  <w:tcW w:w="1294" w:type="dxa"/>
                  <w:vAlign w:val="center"/>
                </w:tcPr>
                <w:p w14:paraId="7ED734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227" w:type="dxa"/>
                  <w:vAlign w:val="center"/>
                </w:tcPr>
                <w:p w14:paraId="032F3D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p>
              </w:tc>
              <w:tc>
                <w:tcPr>
                  <w:tcW w:w="1111" w:type="dxa"/>
                  <w:vAlign w:val="center"/>
                </w:tcPr>
                <w:p w14:paraId="5601F2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1.6</w:t>
                  </w:r>
                </w:p>
              </w:tc>
            </w:tr>
            <w:tr w14:paraId="595D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157" w:type="dxa"/>
                  <w:vAlign w:val="center"/>
                </w:tcPr>
                <w:p w14:paraId="4602C3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w:t>
                  </w:r>
                </w:p>
              </w:tc>
              <w:tc>
                <w:tcPr>
                  <w:tcW w:w="879" w:type="dxa"/>
                  <w:vAlign w:val="center"/>
                </w:tcPr>
                <w:p w14:paraId="64B355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物理实验室</w:t>
                  </w:r>
                </w:p>
              </w:tc>
              <w:tc>
                <w:tcPr>
                  <w:tcW w:w="1189" w:type="dxa"/>
                  <w:vAlign w:val="center"/>
                </w:tcPr>
                <w:p w14:paraId="2A83A6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0.45</w:t>
                  </w:r>
                </w:p>
              </w:tc>
              <w:tc>
                <w:tcPr>
                  <w:tcW w:w="1120" w:type="dxa"/>
                  <w:vAlign w:val="center"/>
                </w:tcPr>
                <w:p w14:paraId="2A4F3E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0.045</w:t>
                  </w:r>
                </w:p>
              </w:tc>
              <w:tc>
                <w:tcPr>
                  <w:tcW w:w="1294" w:type="dxa"/>
                  <w:vAlign w:val="center"/>
                </w:tcPr>
                <w:p w14:paraId="764E92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0.405</w:t>
                  </w:r>
                </w:p>
              </w:tc>
              <w:tc>
                <w:tcPr>
                  <w:tcW w:w="1227" w:type="dxa"/>
                  <w:vAlign w:val="center"/>
                </w:tcPr>
                <w:p w14:paraId="3530B7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进入化粪池（16m³）收集沉淀后，进入市政管网</w:t>
                  </w:r>
                </w:p>
              </w:tc>
              <w:tc>
                <w:tcPr>
                  <w:tcW w:w="1111" w:type="dxa"/>
                  <w:vAlign w:val="center"/>
                </w:tcPr>
                <w:p w14:paraId="13DA7B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r>
            <w:tr w14:paraId="7C59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157" w:type="dxa"/>
                  <w:vAlign w:val="center"/>
                </w:tcPr>
                <w:p w14:paraId="73D654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4</w:t>
                  </w:r>
                </w:p>
              </w:tc>
              <w:tc>
                <w:tcPr>
                  <w:tcW w:w="879" w:type="dxa"/>
                  <w:vAlign w:val="center"/>
                </w:tcPr>
                <w:p w14:paraId="4851B7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生活用水</w:t>
                  </w:r>
                </w:p>
              </w:tc>
              <w:tc>
                <w:tcPr>
                  <w:tcW w:w="1189" w:type="dxa"/>
                  <w:vAlign w:val="center"/>
                </w:tcPr>
                <w:p w14:paraId="68FBAA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r>
                    <w:rPr>
                      <w:rFonts w:hint="eastAsia"/>
                      <w:color w:val="auto"/>
                      <w:highlight w:val="none"/>
                      <w:lang w:val="en-US" w:eastAsia="zh-CN"/>
                    </w:rPr>
                    <w:t>64800</w:t>
                  </w:r>
                </w:p>
              </w:tc>
              <w:tc>
                <w:tcPr>
                  <w:tcW w:w="1120" w:type="dxa"/>
                  <w:vAlign w:val="center"/>
                </w:tcPr>
                <w:p w14:paraId="16D618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12960</w:t>
                  </w:r>
                </w:p>
              </w:tc>
              <w:tc>
                <w:tcPr>
                  <w:tcW w:w="1294" w:type="dxa"/>
                  <w:vAlign w:val="center"/>
                </w:tcPr>
                <w:p w14:paraId="29B3C8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r>
                    <w:rPr>
                      <w:rFonts w:hint="eastAsia" w:ascii="Times New Roman" w:eastAsia="宋体"/>
                      <w:color w:val="auto"/>
                      <w:highlight w:val="none"/>
                      <w:lang w:val="en-US" w:eastAsia="zh-CN"/>
                    </w:rPr>
                    <w:t>51840</w:t>
                  </w:r>
                </w:p>
              </w:tc>
              <w:tc>
                <w:tcPr>
                  <w:tcW w:w="1227" w:type="dxa"/>
                  <w:vAlign w:val="center"/>
                </w:tcPr>
                <w:p w14:paraId="7C6ED0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进入化粪池（16m³）收集沉淀后，进入市政管网</w:t>
                  </w:r>
                </w:p>
              </w:tc>
              <w:tc>
                <w:tcPr>
                  <w:tcW w:w="1111" w:type="dxa"/>
                  <w:vAlign w:val="center"/>
                </w:tcPr>
                <w:p w14:paraId="6D02FE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r>
            <w:tr w14:paraId="3D3A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157" w:type="dxa"/>
                  <w:vAlign w:val="center"/>
                </w:tcPr>
                <w:p w14:paraId="13FB06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总计</w:t>
                  </w:r>
                </w:p>
              </w:tc>
              <w:tc>
                <w:tcPr>
                  <w:tcW w:w="879" w:type="dxa"/>
                  <w:vAlign w:val="center"/>
                </w:tcPr>
                <w:p w14:paraId="657080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p>
              </w:tc>
              <w:tc>
                <w:tcPr>
                  <w:tcW w:w="1189" w:type="dxa"/>
                  <w:vAlign w:val="center"/>
                </w:tcPr>
                <w:p w14:paraId="47A3F2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fldChar w:fldCharType="begin"/>
                  </w:r>
                  <w:r>
                    <w:rPr>
                      <w:rFonts w:hint="default"/>
                      <w:color w:val="auto"/>
                      <w:highlight w:val="none"/>
                      <w:lang w:val="en-US" w:eastAsia="zh-CN"/>
                    </w:rPr>
                    <w:instrText xml:space="preserve"> = sum(C3:C8) \* MERGEFORMAT </w:instrText>
                  </w:r>
                  <w:r>
                    <w:rPr>
                      <w:rFonts w:hint="default"/>
                      <w:color w:val="auto"/>
                      <w:highlight w:val="none"/>
                      <w:lang w:val="en-US" w:eastAsia="zh-CN"/>
                    </w:rPr>
                    <w:fldChar w:fldCharType="separate"/>
                  </w:r>
                  <w:r>
                    <w:rPr>
                      <w:rFonts w:hint="default"/>
                      <w:color w:val="auto"/>
                      <w:highlight w:val="none"/>
                      <w:lang w:val="en-US" w:eastAsia="zh-CN"/>
                    </w:rPr>
                    <w:t>64807.35</w:t>
                  </w:r>
                  <w:r>
                    <w:rPr>
                      <w:rFonts w:hint="default"/>
                      <w:color w:val="auto"/>
                      <w:highlight w:val="none"/>
                      <w:lang w:val="en-US" w:eastAsia="zh-CN"/>
                    </w:rPr>
                    <w:fldChar w:fldCharType="end"/>
                  </w:r>
                </w:p>
              </w:tc>
              <w:tc>
                <w:tcPr>
                  <w:tcW w:w="1120" w:type="dxa"/>
                  <w:vAlign w:val="center"/>
                </w:tcPr>
                <w:p w14:paraId="0D1DFE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p>
              </w:tc>
              <w:tc>
                <w:tcPr>
                  <w:tcW w:w="1294" w:type="dxa"/>
                  <w:vAlign w:val="center"/>
                </w:tcPr>
                <w:p w14:paraId="761C75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51844.905</w:t>
                  </w:r>
                </w:p>
              </w:tc>
              <w:tc>
                <w:tcPr>
                  <w:tcW w:w="1227" w:type="dxa"/>
                  <w:vAlign w:val="center"/>
                </w:tcPr>
                <w:p w14:paraId="0B90C2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p>
              </w:tc>
              <w:tc>
                <w:tcPr>
                  <w:tcW w:w="1111" w:type="dxa"/>
                  <w:vAlign w:val="center"/>
                </w:tcPr>
                <w:p w14:paraId="41A198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6.4</w:t>
                  </w:r>
                </w:p>
              </w:tc>
            </w:tr>
            <w:tr w14:paraId="02A0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6866" w:type="dxa"/>
                  <w:gridSpan w:val="6"/>
                  <w:vAlign w:val="center"/>
                </w:tcPr>
                <w:p w14:paraId="079427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纯水</w:t>
                  </w:r>
                </w:p>
              </w:tc>
              <w:tc>
                <w:tcPr>
                  <w:tcW w:w="1111" w:type="dxa"/>
                  <w:vAlign w:val="center"/>
                </w:tcPr>
                <w:p w14:paraId="66082D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p>
              </w:tc>
            </w:tr>
            <w:tr w14:paraId="1BFC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157" w:type="dxa"/>
                  <w:vMerge w:val="restart"/>
                  <w:vAlign w:val="center"/>
                </w:tcPr>
                <w:p w14:paraId="344C69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w:t>
                  </w:r>
                </w:p>
              </w:tc>
              <w:tc>
                <w:tcPr>
                  <w:tcW w:w="879" w:type="dxa"/>
                  <w:vMerge w:val="restart"/>
                  <w:vAlign w:val="center"/>
                </w:tcPr>
                <w:p w14:paraId="63BFD2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化学实验室</w:t>
                  </w:r>
                </w:p>
              </w:tc>
              <w:tc>
                <w:tcPr>
                  <w:tcW w:w="1189" w:type="dxa"/>
                  <w:vMerge w:val="restart"/>
                  <w:vAlign w:val="center"/>
                </w:tcPr>
                <w:p w14:paraId="3AFE49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1.98</w:t>
                  </w:r>
                </w:p>
              </w:tc>
              <w:tc>
                <w:tcPr>
                  <w:tcW w:w="1120" w:type="dxa"/>
                  <w:vAlign w:val="center"/>
                </w:tcPr>
                <w:p w14:paraId="4F2637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0.192</w:t>
                  </w:r>
                </w:p>
              </w:tc>
              <w:tc>
                <w:tcPr>
                  <w:tcW w:w="1294" w:type="dxa"/>
                  <w:vAlign w:val="center"/>
                </w:tcPr>
                <w:p w14:paraId="38A4C7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1.728</w:t>
                  </w:r>
                </w:p>
              </w:tc>
              <w:tc>
                <w:tcPr>
                  <w:tcW w:w="1227" w:type="dxa"/>
                  <w:vAlign w:val="center"/>
                </w:tcPr>
                <w:p w14:paraId="55DECE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进入化粪池（16m³）收集沉淀后，进入市政管网</w:t>
                  </w:r>
                </w:p>
              </w:tc>
              <w:tc>
                <w:tcPr>
                  <w:tcW w:w="1111" w:type="dxa"/>
                  <w:vAlign w:val="center"/>
                </w:tcPr>
                <w:p w14:paraId="4ED2A5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p>
              </w:tc>
            </w:tr>
            <w:tr w14:paraId="76BF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157" w:type="dxa"/>
                  <w:vMerge w:val="continue"/>
                  <w:vAlign w:val="center"/>
                </w:tcPr>
                <w:p w14:paraId="05E4BD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879" w:type="dxa"/>
                  <w:vMerge w:val="continue"/>
                  <w:vAlign w:val="center"/>
                </w:tcPr>
                <w:p w14:paraId="090DB0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1189" w:type="dxa"/>
                  <w:vMerge w:val="continue"/>
                  <w:vAlign w:val="center"/>
                </w:tcPr>
                <w:p w14:paraId="15C509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1120" w:type="dxa"/>
                  <w:vAlign w:val="center"/>
                </w:tcPr>
                <w:p w14:paraId="67EF17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lang w:val="en-US" w:eastAsia="zh-CN"/>
                    </w:rPr>
                    <w:t>/</w:t>
                  </w:r>
                </w:p>
              </w:tc>
              <w:tc>
                <w:tcPr>
                  <w:tcW w:w="1294" w:type="dxa"/>
                  <w:vAlign w:val="center"/>
                </w:tcPr>
                <w:p w14:paraId="63CA6F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227" w:type="dxa"/>
                  <w:vAlign w:val="center"/>
                </w:tcPr>
                <w:p w14:paraId="789B20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111" w:type="dxa"/>
                  <w:vAlign w:val="center"/>
                </w:tcPr>
                <w:p w14:paraId="1A2C23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val="en-US" w:eastAsia="zh-CN"/>
                    </w:rPr>
                  </w:pPr>
                  <w:r>
                    <w:rPr>
                      <w:rFonts w:hint="eastAsia"/>
                      <w:color w:val="auto"/>
                      <w:highlight w:val="none"/>
                      <w:lang w:val="en-US" w:eastAsia="zh-CN"/>
                    </w:rPr>
                    <w:t>0.06</w:t>
                  </w:r>
                </w:p>
              </w:tc>
            </w:tr>
            <w:tr w14:paraId="3B83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157" w:type="dxa"/>
                  <w:vMerge w:val="restart"/>
                  <w:vAlign w:val="center"/>
                </w:tcPr>
                <w:p w14:paraId="3D85F9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w:t>
                  </w:r>
                </w:p>
              </w:tc>
              <w:tc>
                <w:tcPr>
                  <w:tcW w:w="879" w:type="dxa"/>
                  <w:vMerge w:val="restart"/>
                  <w:vAlign w:val="center"/>
                </w:tcPr>
                <w:p w14:paraId="3089A4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生物实验室</w:t>
                  </w:r>
                </w:p>
              </w:tc>
              <w:tc>
                <w:tcPr>
                  <w:tcW w:w="1189" w:type="dxa"/>
                  <w:vMerge w:val="restart"/>
                  <w:vAlign w:val="center"/>
                </w:tcPr>
                <w:p w14:paraId="28D7FA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2.56</w:t>
                  </w:r>
                </w:p>
              </w:tc>
              <w:tc>
                <w:tcPr>
                  <w:tcW w:w="1120" w:type="dxa"/>
                  <w:vAlign w:val="center"/>
                </w:tcPr>
                <w:p w14:paraId="5438F4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0.248</w:t>
                  </w:r>
                </w:p>
              </w:tc>
              <w:tc>
                <w:tcPr>
                  <w:tcW w:w="1294" w:type="dxa"/>
                  <w:vAlign w:val="center"/>
                </w:tcPr>
                <w:p w14:paraId="24DA34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2.232</w:t>
                  </w:r>
                </w:p>
              </w:tc>
              <w:tc>
                <w:tcPr>
                  <w:tcW w:w="1227" w:type="dxa"/>
                  <w:vAlign w:val="center"/>
                </w:tcPr>
                <w:p w14:paraId="38539A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进入化粪池（16m³）收集沉淀后，进入市政管网</w:t>
                  </w:r>
                </w:p>
              </w:tc>
              <w:tc>
                <w:tcPr>
                  <w:tcW w:w="1111" w:type="dxa"/>
                  <w:vAlign w:val="center"/>
                </w:tcPr>
                <w:p w14:paraId="14B386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r>
            <w:tr w14:paraId="5348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157" w:type="dxa"/>
                  <w:vMerge w:val="continue"/>
                  <w:vAlign w:val="center"/>
                </w:tcPr>
                <w:p w14:paraId="2E46D7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879" w:type="dxa"/>
                  <w:vMerge w:val="continue"/>
                  <w:vAlign w:val="center"/>
                </w:tcPr>
                <w:p w14:paraId="59B3E1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1189" w:type="dxa"/>
                  <w:vMerge w:val="continue"/>
                  <w:vAlign w:val="center"/>
                </w:tcPr>
                <w:p w14:paraId="51B5D8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1120" w:type="dxa"/>
                  <w:vAlign w:val="center"/>
                </w:tcPr>
                <w:p w14:paraId="6EC98D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lang w:val="en-US" w:eastAsia="zh-CN"/>
                    </w:rPr>
                    <w:t>/</w:t>
                  </w:r>
                </w:p>
              </w:tc>
              <w:tc>
                <w:tcPr>
                  <w:tcW w:w="1294" w:type="dxa"/>
                  <w:vAlign w:val="center"/>
                </w:tcPr>
                <w:p w14:paraId="4AC5A4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227" w:type="dxa"/>
                  <w:vAlign w:val="center"/>
                </w:tcPr>
                <w:p w14:paraId="439E43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c>
                <w:tcPr>
                  <w:tcW w:w="1111" w:type="dxa"/>
                  <w:vAlign w:val="center"/>
                </w:tcPr>
                <w:p w14:paraId="1B20CE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0.08</w:t>
                  </w:r>
                </w:p>
              </w:tc>
            </w:tr>
            <w:tr w14:paraId="1F67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157" w:type="dxa"/>
                  <w:vAlign w:val="center"/>
                </w:tcPr>
                <w:p w14:paraId="63D87E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w:t>
                  </w:r>
                </w:p>
              </w:tc>
              <w:tc>
                <w:tcPr>
                  <w:tcW w:w="879" w:type="dxa"/>
                  <w:vAlign w:val="center"/>
                </w:tcPr>
                <w:p w14:paraId="16C0D5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物理实验室</w:t>
                  </w:r>
                </w:p>
              </w:tc>
              <w:tc>
                <w:tcPr>
                  <w:tcW w:w="1189" w:type="dxa"/>
                  <w:vAlign w:val="center"/>
                </w:tcPr>
                <w:p w14:paraId="0C8C31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w:t>
                  </w:r>
                </w:p>
              </w:tc>
              <w:tc>
                <w:tcPr>
                  <w:tcW w:w="1120" w:type="dxa"/>
                  <w:vAlign w:val="center"/>
                </w:tcPr>
                <w:p w14:paraId="5E66DA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w:t>
                  </w:r>
                </w:p>
              </w:tc>
              <w:tc>
                <w:tcPr>
                  <w:tcW w:w="1294" w:type="dxa"/>
                  <w:vAlign w:val="center"/>
                </w:tcPr>
                <w:p w14:paraId="7B6A69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0.09</w:t>
                  </w:r>
                </w:p>
              </w:tc>
              <w:tc>
                <w:tcPr>
                  <w:tcW w:w="1227" w:type="dxa"/>
                  <w:vAlign w:val="center"/>
                </w:tcPr>
                <w:p w14:paraId="08198C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进入化粪池（16m³）收集沉淀后，进入市政管网</w:t>
                  </w:r>
                </w:p>
              </w:tc>
              <w:tc>
                <w:tcPr>
                  <w:tcW w:w="1111" w:type="dxa"/>
                  <w:vAlign w:val="center"/>
                </w:tcPr>
                <w:p w14:paraId="51B0E6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w:t>
                  </w:r>
                </w:p>
              </w:tc>
            </w:tr>
            <w:tr w14:paraId="7644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157" w:type="dxa"/>
                  <w:vAlign w:val="center"/>
                </w:tcPr>
                <w:p w14:paraId="0FBDD3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总计</w:t>
                  </w:r>
                </w:p>
              </w:tc>
              <w:tc>
                <w:tcPr>
                  <w:tcW w:w="879" w:type="dxa"/>
                  <w:vAlign w:val="center"/>
                </w:tcPr>
                <w:p w14:paraId="2EEB53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p>
              </w:tc>
              <w:tc>
                <w:tcPr>
                  <w:tcW w:w="1189" w:type="dxa"/>
                  <w:vAlign w:val="center"/>
                </w:tcPr>
                <w:p w14:paraId="256509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fldChar w:fldCharType="begin"/>
                  </w:r>
                  <w:r>
                    <w:rPr>
                      <w:rFonts w:hint="default"/>
                      <w:color w:val="auto"/>
                      <w:highlight w:val="none"/>
                      <w:lang w:val="en-US" w:eastAsia="zh-CN"/>
                    </w:rPr>
                    <w:instrText xml:space="preserve"> = sum(C10:C14) \* MERGEFORMAT </w:instrText>
                  </w:r>
                  <w:r>
                    <w:rPr>
                      <w:rFonts w:hint="default"/>
                      <w:color w:val="auto"/>
                      <w:highlight w:val="none"/>
                      <w:lang w:val="en-US" w:eastAsia="zh-CN"/>
                    </w:rPr>
                    <w:fldChar w:fldCharType="separate"/>
                  </w:r>
                  <w:r>
                    <w:rPr>
                      <w:rFonts w:hint="default"/>
                      <w:color w:val="auto"/>
                      <w:highlight w:val="none"/>
                      <w:lang w:val="en-US" w:eastAsia="zh-CN"/>
                    </w:rPr>
                    <w:t>4.64</w:t>
                  </w:r>
                  <w:r>
                    <w:rPr>
                      <w:rFonts w:hint="default"/>
                      <w:color w:val="auto"/>
                      <w:highlight w:val="none"/>
                      <w:lang w:val="en-US" w:eastAsia="zh-CN"/>
                    </w:rPr>
                    <w:fldChar w:fldCharType="end"/>
                  </w:r>
                </w:p>
              </w:tc>
              <w:tc>
                <w:tcPr>
                  <w:tcW w:w="1120" w:type="dxa"/>
                  <w:vAlign w:val="center"/>
                </w:tcPr>
                <w:p w14:paraId="071AD1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0.45</w:t>
                  </w:r>
                </w:p>
              </w:tc>
              <w:tc>
                <w:tcPr>
                  <w:tcW w:w="1294" w:type="dxa"/>
                  <w:vAlign w:val="center"/>
                </w:tcPr>
                <w:p w14:paraId="68E4BC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fldChar w:fldCharType="begin"/>
                  </w:r>
                  <w:r>
                    <w:rPr>
                      <w:rFonts w:hint="default"/>
                      <w:color w:val="auto"/>
                      <w:highlight w:val="none"/>
                      <w:lang w:val="en-US" w:eastAsia="zh-CN"/>
                    </w:rPr>
                    <w:instrText xml:space="preserve"> = sum(E11:E15) \* MERGEFORMAT </w:instrText>
                  </w:r>
                  <w:r>
                    <w:rPr>
                      <w:rFonts w:hint="default"/>
                      <w:color w:val="auto"/>
                      <w:highlight w:val="none"/>
                      <w:lang w:val="en-US" w:eastAsia="zh-CN"/>
                    </w:rPr>
                    <w:fldChar w:fldCharType="separate"/>
                  </w:r>
                  <w:r>
                    <w:rPr>
                      <w:rFonts w:hint="default"/>
                      <w:color w:val="auto"/>
                      <w:highlight w:val="none"/>
                      <w:lang w:val="en-US" w:eastAsia="zh-CN"/>
                    </w:rPr>
                    <w:t>4.05</w:t>
                  </w:r>
                  <w:r>
                    <w:rPr>
                      <w:rFonts w:hint="default"/>
                      <w:color w:val="auto"/>
                      <w:highlight w:val="none"/>
                      <w:lang w:val="en-US" w:eastAsia="zh-CN"/>
                    </w:rPr>
                    <w:fldChar w:fldCharType="end"/>
                  </w:r>
                </w:p>
              </w:tc>
              <w:tc>
                <w:tcPr>
                  <w:tcW w:w="1227" w:type="dxa"/>
                  <w:vAlign w:val="center"/>
                </w:tcPr>
                <w:p w14:paraId="3A04DB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p>
              </w:tc>
              <w:tc>
                <w:tcPr>
                  <w:tcW w:w="1111" w:type="dxa"/>
                  <w:vAlign w:val="center"/>
                </w:tcPr>
                <w:p w14:paraId="114867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0.14</w:t>
                  </w:r>
                </w:p>
              </w:tc>
            </w:tr>
          </w:tbl>
          <w:p w14:paraId="711CFE77">
            <w:pPr>
              <w:bidi w:val="0"/>
              <w:rPr>
                <w:rFonts w:hint="default"/>
                <w:color w:val="auto"/>
                <w:highlight w:val="none"/>
                <w:lang w:val="en-US" w:eastAsia="zh-CN"/>
              </w:rPr>
            </w:pPr>
            <w:r>
              <w:rPr>
                <w:rFonts w:hint="eastAsia"/>
                <w:color w:val="auto"/>
                <w:highlight w:val="none"/>
                <w:lang w:val="en-US" w:eastAsia="zh-CN"/>
              </w:rPr>
              <w:t>本项目自来水年用水量共计为64807.35m³/a，纯水年用水量为4.64m³/a，直接排至市政管网的洁净废水量为4.905m³/a，排入市政管网的生活污水量为51840m³/a。产生的危险废液量共计为6.54m³/a，作为危险废物进行处理，PE桶收集后暂存于危险废物暂存库内定期交由有资质单位进行处置。</w:t>
            </w:r>
          </w:p>
          <w:p w14:paraId="5A49C66E">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drawing>
                <wp:inline distT="0" distB="0" distL="114300" distR="114300">
                  <wp:extent cx="5037455" cy="3566795"/>
                  <wp:effectExtent l="0" t="0" r="10795" b="14605"/>
                  <wp:docPr id="35" name="E657119C-6982-421D-8BA7-E74DEB70A7D9-1" descr="C:/Users/Lenovo/AppData/Local/Temp/wps.ZaSfEx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657119C-6982-421D-8BA7-E74DEB70A7D9-1" descr="C:/Users/Lenovo/AppData/Local/Temp/wps.ZaSfExwps"/>
                          <pic:cNvPicPr>
                            <a:picLocks noChangeAspect="1"/>
                          </pic:cNvPicPr>
                        </pic:nvPicPr>
                        <pic:blipFill>
                          <a:blip r:embed="rId15"/>
                          <a:stretch>
                            <a:fillRect/>
                          </a:stretch>
                        </pic:blipFill>
                        <pic:spPr>
                          <a:xfrm>
                            <a:off x="0" y="0"/>
                            <a:ext cx="5037455" cy="3566795"/>
                          </a:xfrm>
                          <a:prstGeom prst="rect">
                            <a:avLst/>
                          </a:prstGeom>
                        </pic:spPr>
                      </pic:pic>
                    </a:graphicData>
                  </a:graphic>
                </wp:inline>
              </w:drawing>
            </w:r>
          </w:p>
          <w:p w14:paraId="21B19E05">
            <w:pPr>
              <w:bidi w:val="0"/>
              <w:ind w:left="0" w:leftChars="0" w:firstLine="0" w:firstLineChars="0"/>
              <w:jc w:val="center"/>
              <w:rPr>
                <w:rFonts w:hint="default" w:ascii="Times New Roman" w:hAnsi="Times New Roman" w:cs="Times New Roman"/>
                <w:b/>
                <w:bCs/>
                <w:color w:val="auto"/>
                <w:highlight w:val="none"/>
                <w:lang w:val="en-US" w:eastAsia="zh-CN"/>
              </w:rPr>
            </w:pPr>
          </w:p>
          <w:p w14:paraId="6B867D59">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drawing>
                <wp:inline distT="0" distB="0" distL="114300" distR="114300">
                  <wp:extent cx="5039360" cy="4008755"/>
                  <wp:effectExtent l="0" t="0" r="8890" b="0"/>
                  <wp:docPr id="36" name="E657119C-6982-421D-8BA7-E74DEB70A7D9-2" descr="C:/Users/Lenovo/AppData/Local/Temp/wps.ZibAEo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657119C-6982-421D-8BA7-E74DEB70A7D9-2" descr="C:/Users/Lenovo/AppData/Local/Temp/wps.ZibAEowps"/>
                          <pic:cNvPicPr>
                            <a:picLocks noChangeAspect="1"/>
                          </pic:cNvPicPr>
                        </pic:nvPicPr>
                        <pic:blipFill>
                          <a:blip r:embed="rId16"/>
                          <a:stretch>
                            <a:fillRect/>
                          </a:stretch>
                        </pic:blipFill>
                        <pic:spPr>
                          <a:xfrm>
                            <a:off x="0" y="0"/>
                            <a:ext cx="5039360" cy="4008755"/>
                          </a:xfrm>
                          <a:prstGeom prst="rect">
                            <a:avLst/>
                          </a:prstGeom>
                        </pic:spPr>
                      </pic:pic>
                    </a:graphicData>
                  </a:graphic>
                </wp:inline>
              </w:drawing>
            </w:r>
          </w:p>
          <w:p w14:paraId="6B60D1DB">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drawing>
                <wp:inline distT="0" distB="0" distL="114300" distR="114300">
                  <wp:extent cx="5022850" cy="2418080"/>
                  <wp:effectExtent l="0" t="0" r="6350" b="0"/>
                  <wp:docPr id="37" name="E657119C-6982-421D-8BA7-E74DEB70A7D9-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E657119C-6982-421D-8BA7-E74DEB70A7D9-3" descr="wps"/>
                          <pic:cNvPicPr>
                            <a:picLocks noChangeAspect="1"/>
                          </pic:cNvPicPr>
                        </pic:nvPicPr>
                        <pic:blipFill>
                          <a:blip r:embed="rId17"/>
                          <a:stretch>
                            <a:fillRect/>
                          </a:stretch>
                        </pic:blipFill>
                        <pic:spPr>
                          <a:xfrm>
                            <a:off x="0" y="0"/>
                            <a:ext cx="5022850" cy="2418080"/>
                          </a:xfrm>
                          <a:prstGeom prst="rect">
                            <a:avLst/>
                          </a:prstGeom>
                        </pic:spPr>
                      </pic:pic>
                    </a:graphicData>
                  </a:graphic>
                </wp:inline>
              </w:drawing>
            </w:r>
          </w:p>
          <w:p w14:paraId="454E32D9">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drawing>
                <wp:inline distT="0" distB="0" distL="114300" distR="114300">
                  <wp:extent cx="5039360" cy="941705"/>
                  <wp:effectExtent l="0" t="0" r="0" b="0"/>
                  <wp:docPr id="38" name="E657119C-6982-421D-8BA7-E74DEB70A7D9-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657119C-6982-421D-8BA7-E74DEB70A7D9-4" descr="wps"/>
                          <pic:cNvPicPr>
                            <a:picLocks noChangeAspect="1"/>
                          </pic:cNvPicPr>
                        </pic:nvPicPr>
                        <pic:blipFill>
                          <a:blip r:embed="rId18"/>
                          <a:stretch>
                            <a:fillRect/>
                          </a:stretch>
                        </pic:blipFill>
                        <pic:spPr>
                          <a:xfrm>
                            <a:off x="0" y="0"/>
                            <a:ext cx="5039360" cy="941705"/>
                          </a:xfrm>
                          <a:prstGeom prst="rect">
                            <a:avLst/>
                          </a:prstGeom>
                        </pic:spPr>
                      </pic:pic>
                    </a:graphicData>
                  </a:graphic>
                </wp:inline>
              </w:drawing>
            </w:r>
          </w:p>
          <w:p w14:paraId="041FC35E">
            <w:pPr>
              <w:bidi w:val="0"/>
              <w:jc w:val="center"/>
              <w:rPr>
                <w:rFonts w:hint="default"/>
                <w:b/>
                <w:bCs/>
                <w:color w:val="auto"/>
                <w:highlight w:val="none"/>
                <w:lang w:val="en-US" w:eastAsia="zh-CN"/>
              </w:rPr>
            </w:pPr>
            <w:r>
              <w:rPr>
                <w:rFonts w:hint="eastAsia"/>
                <w:b/>
                <w:bCs/>
                <w:color w:val="auto"/>
                <w:highlight w:val="none"/>
                <w:lang w:val="en-US" w:eastAsia="zh-CN"/>
              </w:rPr>
              <w:t>图2-1水平衡图（单位：m³/a）</w:t>
            </w:r>
          </w:p>
          <w:p w14:paraId="14C53129">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7.劳动定员及工作制度及教学情况</w:t>
            </w:r>
          </w:p>
          <w:p w14:paraId="027BD854">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本项目主要服务于</w:t>
            </w:r>
            <w:r>
              <w:rPr>
                <w:rFonts w:hint="default" w:ascii="Times New Roman" w:hAnsi="Times New Roman" w:cs="Times New Roman"/>
                <w:color w:val="auto"/>
                <w:sz w:val="24"/>
                <w:szCs w:val="24"/>
                <w:highlight w:val="none"/>
                <w:lang w:eastAsia="zh-CN"/>
              </w:rPr>
              <w:t>鄂尔多斯市东胜区东联现代高级中学</w:t>
            </w:r>
            <w:r>
              <w:rPr>
                <w:rFonts w:hint="default" w:ascii="Times New Roman" w:hAnsi="Times New Roman" w:cs="Times New Roman"/>
                <w:color w:val="auto"/>
                <w:sz w:val="24"/>
                <w:szCs w:val="24"/>
                <w:highlight w:val="none"/>
                <w:lang w:val="en-US" w:eastAsia="zh-CN"/>
              </w:rPr>
              <w:t>初高中部实验使用，项目实验室教学总计约200天，学生数量共计2700人。</w:t>
            </w:r>
          </w:p>
          <w:p w14:paraId="35CD866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根据建设方提供资料，学校办学规模为60班，每班40人，共计2400人，本项目教学</w:t>
            </w:r>
            <w:r>
              <w:rPr>
                <w:rFonts w:hint="eastAsia" w:cs="Times New Roman"/>
                <w:color w:val="auto"/>
                <w:highlight w:val="none"/>
                <w:lang w:val="en-US" w:eastAsia="zh-CN"/>
              </w:rPr>
              <w:t>实验室包括</w:t>
            </w:r>
            <w:r>
              <w:rPr>
                <w:rFonts w:hint="default" w:ascii="Times New Roman" w:hAnsi="Times New Roman" w:cs="Times New Roman"/>
                <w:color w:val="auto"/>
                <w:highlight w:val="none"/>
                <w:lang w:val="en-US" w:eastAsia="zh-CN"/>
              </w:rPr>
              <w:t>生物、化学、地理、物理实验课程，年教学约200天，本项目教学情况如下表。</w:t>
            </w:r>
          </w:p>
          <w:p w14:paraId="59DA2A1F">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表2-9项目教学情况一览表</w:t>
            </w:r>
          </w:p>
          <w:tbl>
            <w:tblPr>
              <w:tblStyle w:val="24"/>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8"/>
              <w:gridCol w:w="2532"/>
              <w:gridCol w:w="2515"/>
            </w:tblGrid>
            <w:tr w14:paraId="1DBA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8" w:type="dxa"/>
                  <w:noWrap w:val="0"/>
                  <w:vAlign w:val="center"/>
                </w:tcPr>
                <w:p w14:paraId="78741F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类型</w:t>
                  </w:r>
                </w:p>
              </w:tc>
              <w:tc>
                <w:tcPr>
                  <w:tcW w:w="2532" w:type="dxa"/>
                  <w:noWrap w:val="0"/>
                  <w:vAlign w:val="center"/>
                </w:tcPr>
                <w:p w14:paraId="5D480B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班级和人数</w:t>
                  </w:r>
                </w:p>
              </w:tc>
              <w:tc>
                <w:tcPr>
                  <w:tcW w:w="2515" w:type="dxa"/>
                  <w:noWrap w:val="0"/>
                  <w:vAlign w:val="center"/>
                </w:tcPr>
                <w:p w14:paraId="59A389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教学天数</w:t>
                  </w:r>
                </w:p>
              </w:tc>
            </w:tr>
            <w:tr w14:paraId="772A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898" w:type="dxa"/>
                  <w:noWrap w:val="0"/>
                  <w:vAlign w:val="center"/>
                </w:tcPr>
                <w:p w14:paraId="5A76B5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化学实验</w:t>
                  </w:r>
                </w:p>
              </w:tc>
              <w:tc>
                <w:tcPr>
                  <w:tcW w:w="2532" w:type="dxa"/>
                  <w:vMerge w:val="restart"/>
                  <w:noWrap w:val="0"/>
                  <w:vAlign w:val="center"/>
                </w:tcPr>
                <w:p w14:paraId="577663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60班，每班40人</w:t>
                  </w:r>
                </w:p>
              </w:tc>
              <w:tc>
                <w:tcPr>
                  <w:tcW w:w="2515" w:type="dxa"/>
                  <w:vMerge w:val="restart"/>
                  <w:noWrap w:val="0"/>
                  <w:vAlign w:val="center"/>
                </w:tcPr>
                <w:p w14:paraId="59ADBC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200天</w:t>
                  </w:r>
                </w:p>
              </w:tc>
            </w:tr>
            <w:tr w14:paraId="0065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8" w:type="dxa"/>
                  <w:noWrap w:val="0"/>
                  <w:vAlign w:val="center"/>
                </w:tcPr>
                <w:p w14:paraId="6F77F5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生物实验</w:t>
                  </w:r>
                </w:p>
              </w:tc>
              <w:tc>
                <w:tcPr>
                  <w:tcW w:w="2532" w:type="dxa"/>
                  <w:vMerge w:val="continue"/>
                  <w:noWrap w:val="0"/>
                  <w:vAlign w:val="center"/>
                </w:tcPr>
                <w:p w14:paraId="215864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2515" w:type="dxa"/>
                  <w:vMerge w:val="continue"/>
                  <w:noWrap w:val="0"/>
                  <w:vAlign w:val="center"/>
                </w:tcPr>
                <w:p w14:paraId="6B23BF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5F4F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8" w:type="dxa"/>
                  <w:noWrap w:val="0"/>
                  <w:vAlign w:val="center"/>
                </w:tcPr>
                <w:p w14:paraId="3F965B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地理实验</w:t>
                  </w:r>
                </w:p>
              </w:tc>
              <w:tc>
                <w:tcPr>
                  <w:tcW w:w="2532" w:type="dxa"/>
                  <w:vMerge w:val="continue"/>
                  <w:noWrap w:val="0"/>
                  <w:vAlign w:val="center"/>
                </w:tcPr>
                <w:p w14:paraId="798221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2515" w:type="dxa"/>
                  <w:vMerge w:val="continue"/>
                  <w:noWrap w:val="0"/>
                  <w:vAlign w:val="center"/>
                </w:tcPr>
                <w:p w14:paraId="72DB3D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3B3C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8" w:type="dxa"/>
                  <w:noWrap w:val="0"/>
                  <w:vAlign w:val="center"/>
                </w:tcPr>
                <w:p w14:paraId="708786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物理实验</w:t>
                  </w:r>
                </w:p>
              </w:tc>
              <w:tc>
                <w:tcPr>
                  <w:tcW w:w="2532" w:type="dxa"/>
                  <w:vMerge w:val="continue"/>
                  <w:noWrap w:val="0"/>
                  <w:vAlign w:val="center"/>
                </w:tcPr>
                <w:p w14:paraId="3FDB72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2515" w:type="dxa"/>
                  <w:vMerge w:val="continue"/>
                  <w:noWrap w:val="0"/>
                  <w:vAlign w:val="center"/>
                </w:tcPr>
                <w:p w14:paraId="20E198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bl>
          <w:p w14:paraId="35DC6F99">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教学实验室的设置主要为补充、丰富教学内容，因此不改变校区原有招生计划与教学运营。会产生污染的主要是化学和生物实验，根据教学经验，化学实验室每学年使用频次约60节/年、物理实验室每年使用频次约为50节/年、生物实验室每学年使用频次约40节/年、地理实验室每年使用频次为30次/年，每节实验操作时长约为30分钟，每次仅使用一个实验室，即化学实验室全年实验操作时间合计30小时，物理实验室全年操作时间合计为25小时，生物实验室全年操作时间合计20小时，地理实验室全年操作时间合计为15小时。</w:t>
            </w:r>
          </w:p>
          <w:p w14:paraId="2A6B2F78">
            <w:pPr>
              <w:bidi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8.平面布置图</w:t>
            </w:r>
          </w:p>
          <w:p w14:paraId="730D002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4"/>
                <w:highlight w:val="none"/>
                <w:lang w:val="en-US" w:eastAsia="zh-CN"/>
              </w:rPr>
              <w:t>四楼设有物理实验室4间，建筑面积共计为312㎡；物理仪器库3间，建筑面积共计为160㎡；物理准备室1间（分为准备室里间及外间），建筑面积为40㎡；教师办公室1间，建筑面积40㎡；化学数字化实验室1间，建筑面积为104㎡，生物数字化实验室1间，建筑面积为104㎡。</w:t>
            </w:r>
            <w:r>
              <w:rPr>
                <w:rFonts w:hint="default" w:ascii="Times New Roman" w:hAnsi="Times New Roman" w:cs="Times New Roman"/>
                <w:color w:val="auto"/>
                <w:highlight w:val="none"/>
                <w:lang w:val="en-US" w:eastAsia="zh-CN"/>
              </w:rPr>
              <w:t>五楼设有化学实验室4间，建筑面积共计为312㎡；化学准备室1间，建筑面积为40㎡，准备室内用于仪器存放，准备室内设置1间2.89㎡的危险废物暂存库；生物仪器库1间，建筑面积为40㎡，生物准备室1间，建筑面积为40㎡，生物实验室2间，建筑面积均为80㎡。</w:t>
            </w:r>
            <w:r>
              <w:rPr>
                <w:rFonts w:hint="default" w:ascii="Times New Roman" w:hAnsi="Times New Roman" w:cs="Times New Roman"/>
                <w:color w:val="auto"/>
                <w:sz w:val="24"/>
                <w:szCs w:val="24"/>
                <w:highlight w:val="none"/>
                <w:lang w:val="en-US" w:eastAsia="zh-CN"/>
              </w:rPr>
              <w:t>六楼设有1间物理数字化实验室及1间地理数字化实验室，建筑面积分别为120㎡、110㎡。本项目平面布置图见附图4。</w:t>
            </w:r>
          </w:p>
        </w:tc>
      </w:tr>
      <w:tr w14:paraId="1D1D87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823" w:type="dxa"/>
            <w:noWrap w:val="0"/>
            <w:vAlign w:val="center"/>
          </w:tcPr>
          <w:p w14:paraId="6E5AC290">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工艺流程和产排污环节</w:t>
            </w:r>
          </w:p>
        </w:tc>
        <w:tc>
          <w:tcPr>
            <w:tcW w:w="8161" w:type="dxa"/>
            <w:noWrap w:val="0"/>
            <w:vAlign w:val="top"/>
          </w:tcPr>
          <w:p w14:paraId="2B4FC266">
            <w:pPr>
              <w:adjustRightInd w:val="0"/>
              <w:snapToGrid w:val="0"/>
              <w:rPr>
                <w:rFonts w:hint="default" w:ascii="Times New Roman" w:hAnsi="Times New Roman" w:cs="Times New Roman"/>
                <w:b/>
                <w:bCs w:val="0"/>
                <w:color w:val="auto"/>
                <w:sz w:val="24"/>
                <w:szCs w:val="24"/>
                <w:highlight w:val="none"/>
                <w:lang w:val="en-US"/>
              </w:rPr>
            </w:pPr>
            <w:r>
              <w:rPr>
                <w:rFonts w:hint="default" w:ascii="Times New Roman" w:hAnsi="Times New Roman" w:cs="Times New Roman"/>
                <w:b/>
                <w:bCs w:val="0"/>
                <w:color w:val="auto"/>
                <w:sz w:val="24"/>
                <w:szCs w:val="24"/>
                <w:highlight w:val="none"/>
                <w:lang w:val="en-US" w:eastAsia="zh-CN"/>
              </w:rPr>
              <w:t>1.施工期工艺流程</w:t>
            </w:r>
            <w:r>
              <w:rPr>
                <w:rFonts w:hint="eastAsia" w:ascii="Times New Roman" w:hAnsi="Times New Roman" w:cs="Times New Roman"/>
                <w:b/>
                <w:bCs w:val="0"/>
                <w:color w:val="auto"/>
                <w:sz w:val="24"/>
                <w:szCs w:val="24"/>
                <w:highlight w:val="none"/>
                <w:lang w:val="en-US" w:eastAsia="zh-CN"/>
              </w:rPr>
              <w:t>和产排污环节</w:t>
            </w:r>
          </w:p>
          <w:p w14:paraId="4FF7B5F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本项目已建成，本次评价不涉及施工期影响。</w:t>
            </w:r>
          </w:p>
          <w:p w14:paraId="24658FB7">
            <w:pPr>
              <w:adjustRightInd w:val="0"/>
              <w:snapToGrid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2.营运期工艺流程</w:t>
            </w:r>
          </w:p>
          <w:p w14:paraId="2615798E">
            <w:pPr>
              <w:adjustRightInd w:val="0"/>
              <w:snapToGrid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本项目运营期产污环节主要为实验演示教学。</w:t>
            </w:r>
          </w:p>
          <w:p w14:paraId="5942C1CC">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A.化学实验室：化学实验室主要开展无机化学和有机化学教学演示实验，实验内容为普通中学化学实验，不涉及中试及以上规模合成反应。实验操作均在常压、常温或微加热条件下进行，单次实验时长约30分钟。</w:t>
            </w:r>
          </w:p>
          <w:p w14:paraId="0226F491">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（1）无机实验流程</w:t>
            </w:r>
          </w:p>
          <w:p w14:paraId="1452373C">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试剂领用（从药品库按需领取）→试剂配制（称量、溶解、稀释）→反应实验（酸与金属反应、酸碱中和、氧化还原、沉淀反应等）→产物观察与记录→器皿清洗→实验结束。涉及的主要化学反应类型包括：酸碱反应、置换反应、分解反应、氧化还原反应等，反应过程可能产生少量酸性气体（氯化氢、氮氧化物、硫酸雾）及氨气等。</w:t>
            </w:r>
          </w:p>
          <w:p w14:paraId="18BFBC1B">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（2）有机实验流程</w:t>
            </w:r>
          </w:p>
          <w:p w14:paraId="173FA32D">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试剂领用→有机溶剂配制（乙醇、丙酮、乙醚等）→有机反应演示（萃取、溶解性实验等）→产物观察→有机废液收集→器皿清洗→实验结束。有机试剂在取用、配制及反应过程中会产生挥发性有机物（VOCs，以非甲烷总烃计）。</w:t>
            </w:r>
          </w:p>
          <w:p w14:paraId="0EEE2486">
            <w:pPr>
              <w:adjustRightInd w:val="0"/>
              <w:snapToGrid w:val="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化学实验室内设置2个通风橱，实验过程中产生无机酸性废气、有机废气的实验位于通风橱下进行，废气经通风橱收集后，通</w:t>
            </w:r>
            <w:r>
              <w:rPr>
                <w:rFonts w:hint="eastAsia" w:cs="Times New Roman"/>
                <w:color w:val="auto"/>
                <w:sz w:val="24"/>
                <w:szCs w:val="24"/>
                <w:highlight w:val="none"/>
                <w:lang w:val="en-US" w:eastAsia="zh-CN"/>
              </w:rPr>
              <w:t>过通</w:t>
            </w:r>
            <w:r>
              <w:rPr>
                <w:rFonts w:hint="default" w:ascii="Times New Roman" w:hAnsi="Times New Roman" w:cs="Times New Roman"/>
                <w:color w:val="auto"/>
                <w:sz w:val="24"/>
                <w:szCs w:val="24"/>
                <w:highlight w:val="none"/>
                <w:lang w:val="en-US" w:eastAsia="zh-CN"/>
              </w:rPr>
              <w:t>风管道汇集至楼顶，经活性炭吸附装置（TA001）处理后，最终经楼顶1根20m高排气筒（DA001）排放</w:t>
            </w:r>
            <w:r>
              <w:rPr>
                <w:rFonts w:hint="default" w:ascii="Times New Roman" w:hAnsi="Times New Roman" w:eastAsia="宋体" w:cs="Times New Roman"/>
                <w:bCs/>
                <w:color w:val="auto"/>
                <w:sz w:val="24"/>
                <w:szCs w:val="24"/>
                <w:highlight w:val="none"/>
                <w:lang w:val="en-US" w:eastAsia="zh-CN"/>
              </w:rPr>
              <w:t>。</w:t>
            </w:r>
          </w:p>
          <w:p w14:paraId="0D5471FD">
            <w:pPr>
              <w:adjustRightInd w:val="0"/>
              <w:snapToGrid w:val="0"/>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B.生物实验室</w:t>
            </w:r>
          </w:p>
          <w:p w14:paraId="07A936B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物实验室主要开展普通中学生物教学演示实验，包括植物解剖观察、微生物培养（仅限于普通微生物教学实验，不涉及致病菌）、细胞结构观察、酶促反应等。实验均在BSL-1级实验室条件下进行。主要工艺流程如下：</w:t>
            </w:r>
          </w:p>
          <w:p w14:paraId="792F42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试剂及样品准备→玻片制作（如洋葱表皮细胞观察）→显微镜观察→微生物接种与培养（固体培养基，普通细菌培养）→实验结果记录→灭菌处理（培养皿、接种环经高压灭菌或酒精灼烧）→器皿清洗→实验结束。</w:t>
            </w:r>
          </w:p>
          <w:p w14:paraId="0DD4D550">
            <w:pPr>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实验过程中使用乙醇、盐酸等挥发性试剂，在试剂取用及配制时产生少量VOCs和HCl气体。化学试剂操作产生的少量酸性气体和VOCs</w:t>
            </w:r>
            <w:r>
              <w:rPr>
                <w:rFonts w:hint="eastAsia" w:cs="Times New Roman"/>
                <w:color w:val="auto"/>
                <w:highlight w:val="none"/>
                <w:lang w:val="en-US" w:eastAsia="zh-CN"/>
              </w:rPr>
              <w:t>。</w:t>
            </w:r>
          </w:p>
          <w:p w14:paraId="3C446065">
            <w:pPr>
              <w:bidi w:val="0"/>
              <w:rPr>
                <w:rFonts w:hint="eastAsia" w:cs="Times New Roman"/>
                <w:color w:val="auto"/>
                <w:highlight w:val="none"/>
                <w:lang w:val="en-US" w:eastAsia="zh-CN"/>
              </w:rPr>
            </w:pPr>
            <w:r>
              <w:rPr>
                <w:rFonts w:hint="eastAsia" w:cs="Times New Roman"/>
                <w:color w:val="auto"/>
                <w:highlight w:val="none"/>
                <w:lang w:val="en-US" w:eastAsia="zh-CN"/>
              </w:rPr>
              <w:t>生物实验室产生氯化氢、非甲烷总烃的废气位于通风橱（1个通风橱）下收集，通过通风管道将废气引至楼顶，经楼顶活性炭吸附装（TA001）置处理后，最终由楼顶1根20m高排气筒（DA001）排放。</w:t>
            </w:r>
          </w:p>
          <w:p w14:paraId="107329F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C.物理实验室</w:t>
            </w:r>
          </w:p>
          <w:p w14:paraId="1A6E51B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物理实验室主要开展普通中学物理教学演示实验，包括力学实验、电学实验、光学实验、热学实验及电路连接实验。主要工艺流程如下：</w:t>
            </w:r>
          </w:p>
          <w:p w14:paraId="4E4A0C0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实验器材准备（电源、导线、电阻、灯泡等）→实验装置搭建（如欧姆定律、焦耳定律、电路连接等）→接通电源、测量/观察→记录数据→实验完毕切断电源、拆除装置→器材归位整理。</w:t>
            </w:r>
          </w:p>
          <w:p w14:paraId="05B3F63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涉及的主要实验类型：电路连接与电阻测量、电磁感应演示、力的测量、光学折射与反射实验、温度测量与热传递演示</w:t>
            </w:r>
            <w:r>
              <w:rPr>
                <w:rFonts w:hint="eastAsia" w:cs="Times New Roman"/>
                <w:color w:val="auto"/>
                <w:highlight w:val="none"/>
                <w:lang w:val="en-US" w:eastAsia="zh-CN"/>
              </w:rPr>
              <w:t>，无废气产生</w:t>
            </w:r>
            <w:r>
              <w:rPr>
                <w:rFonts w:hint="default" w:ascii="Times New Roman" w:hAnsi="Times New Roman" w:cs="Times New Roman"/>
                <w:color w:val="auto"/>
                <w:highlight w:val="none"/>
                <w:lang w:val="en-US" w:eastAsia="zh-CN"/>
              </w:rPr>
              <w:t>。</w:t>
            </w:r>
          </w:p>
          <w:p w14:paraId="4837FE3E">
            <w:pPr>
              <w:adjustRightInd w:val="0"/>
              <w:snapToGrid w:val="0"/>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D.地理实验室</w:t>
            </w:r>
          </w:p>
          <w:p w14:paraId="5D62153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地理实验室主要开展普通中学地理教学演示实验，包括矿物岩石鉴别、土壤质地分析、气象观测、地图绘制等。观测实验（风向风速测量、水温测量、地温测量等）不涉及化学品。无废气产生。</w:t>
            </w:r>
          </w:p>
          <w:p w14:paraId="7E8701E4">
            <w:pPr>
              <w:adjustRightInd w:val="0"/>
              <w:snapToGrid w:val="0"/>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3.产污环节</w:t>
            </w:r>
          </w:p>
          <w:p w14:paraId="6D6D44BC">
            <w:pPr>
              <w:adjustRightInd w:val="0"/>
              <w:snapToGrid w:val="0"/>
              <w:ind w:left="0" w:leftChars="0" w:firstLine="0" w:firstLineChars="0"/>
              <w:jc w:val="center"/>
              <w:rPr>
                <w:rFonts w:hint="default" w:ascii="Times New Roman" w:hAnsi="Times New Roman" w:eastAsia="宋体" w:cs="Times New Roman"/>
                <w:b/>
                <w:bCs w:val="0"/>
                <w:color w:val="auto"/>
                <w:sz w:val="24"/>
                <w:szCs w:val="24"/>
                <w:highlight w:val="none"/>
                <w:vertAlign w:val="baseline"/>
                <w:lang w:val="en-US" w:eastAsia="zh-CN"/>
              </w:rPr>
            </w:pPr>
            <w:r>
              <w:rPr>
                <w:rFonts w:hint="default" w:ascii="Times New Roman" w:hAnsi="Times New Roman" w:cs="Times New Roman"/>
                <w:b/>
                <w:bCs w:val="0"/>
                <w:color w:val="auto"/>
                <w:sz w:val="24"/>
                <w:szCs w:val="24"/>
                <w:highlight w:val="none"/>
                <w:lang w:val="en-US" w:eastAsia="zh-CN"/>
              </w:rPr>
              <w:t>表2-</w:t>
            </w:r>
            <w:r>
              <w:rPr>
                <w:rFonts w:hint="eastAsia" w:cs="Times New Roman"/>
                <w:b/>
                <w:bCs w:val="0"/>
                <w:color w:val="auto"/>
                <w:sz w:val="24"/>
                <w:szCs w:val="24"/>
                <w:highlight w:val="none"/>
                <w:lang w:val="en-US" w:eastAsia="zh-CN"/>
              </w:rPr>
              <w:t>10</w:t>
            </w:r>
            <w:r>
              <w:rPr>
                <w:rFonts w:hint="default" w:ascii="Times New Roman" w:hAnsi="Times New Roman" w:cs="Times New Roman"/>
                <w:b/>
                <w:bCs w:val="0"/>
                <w:color w:val="auto"/>
                <w:sz w:val="24"/>
                <w:szCs w:val="24"/>
                <w:highlight w:val="none"/>
                <w:lang w:val="en-US" w:eastAsia="zh-CN"/>
              </w:rPr>
              <w:t>项目产污环节汇总</w:t>
            </w:r>
          </w:p>
          <w:tbl>
            <w:tblPr>
              <w:tblStyle w:val="24"/>
              <w:tblW w:w="7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823"/>
              <w:gridCol w:w="1459"/>
              <w:gridCol w:w="1621"/>
              <w:gridCol w:w="1336"/>
              <w:gridCol w:w="1728"/>
            </w:tblGrid>
            <w:tr w14:paraId="0D51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972" w:type="dxa"/>
                  <w:vAlign w:val="center"/>
                </w:tcPr>
                <w:p w14:paraId="7BC517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实验室</w:t>
                  </w:r>
                </w:p>
              </w:tc>
              <w:tc>
                <w:tcPr>
                  <w:tcW w:w="823" w:type="dxa"/>
                  <w:vAlign w:val="center"/>
                </w:tcPr>
                <w:p w14:paraId="5EB279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污染类型</w:t>
                  </w:r>
                </w:p>
              </w:tc>
              <w:tc>
                <w:tcPr>
                  <w:tcW w:w="1459" w:type="dxa"/>
                  <w:vAlign w:val="center"/>
                </w:tcPr>
                <w:p w14:paraId="28D567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产污环节</w:t>
                  </w:r>
                </w:p>
              </w:tc>
              <w:tc>
                <w:tcPr>
                  <w:tcW w:w="1621" w:type="dxa"/>
                  <w:vAlign w:val="center"/>
                </w:tcPr>
                <w:p w14:paraId="527FB2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污染物名称</w:t>
                  </w:r>
                </w:p>
              </w:tc>
              <w:tc>
                <w:tcPr>
                  <w:tcW w:w="1336" w:type="dxa"/>
                  <w:vAlign w:val="center"/>
                </w:tcPr>
                <w:p w14:paraId="25A87E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主要成分</w:t>
                  </w:r>
                </w:p>
              </w:tc>
              <w:tc>
                <w:tcPr>
                  <w:tcW w:w="1728" w:type="dxa"/>
                  <w:vAlign w:val="center"/>
                </w:tcPr>
                <w:p w14:paraId="397E37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处理措施及去向</w:t>
                  </w:r>
                </w:p>
              </w:tc>
            </w:tr>
            <w:tr w14:paraId="2330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972" w:type="dxa"/>
                  <w:vMerge w:val="restart"/>
                  <w:vAlign w:val="center"/>
                </w:tcPr>
                <w:p w14:paraId="77C8D0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化学实验室</w:t>
                  </w:r>
                </w:p>
              </w:tc>
              <w:tc>
                <w:tcPr>
                  <w:tcW w:w="823" w:type="dxa"/>
                  <w:vAlign w:val="center"/>
                </w:tcPr>
                <w:p w14:paraId="710914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废气</w:t>
                  </w:r>
                </w:p>
              </w:tc>
              <w:tc>
                <w:tcPr>
                  <w:tcW w:w="1459" w:type="dxa"/>
                  <w:vAlign w:val="center"/>
                </w:tcPr>
                <w:p w14:paraId="62B11B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试剂取用、配制、反应（酸、碱、有机溶剂）</w:t>
                  </w:r>
                </w:p>
              </w:tc>
              <w:tc>
                <w:tcPr>
                  <w:tcW w:w="1621" w:type="dxa"/>
                  <w:vAlign w:val="center"/>
                </w:tcPr>
                <w:p w14:paraId="2D86B5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氯化氢</w:t>
                  </w:r>
                  <w:r>
                    <w:rPr>
                      <w:rFonts w:hint="default" w:ascii="Times New Roman" w:hAnsi="Times New Roman" w:cs="Times New Roman"/>
                      <w:b w:val="0"/>
                      <w:bCs/>
                      <w:color w:val="auto"/>
                      <w:sz w:val="24"/>
                      <w:szCs w:val="24"/>
                      <w:highlight w:val="none"/>
                      <w:vertAlign w:val="baseline"/>
                      <w:lang w:val="en-US" w:eastAsia="zh-CN"/>
                    </w:rPr>
                    <w:t>、</w:t>
                  </w:r>
                  <w:r>
                    <w:rPr>
                      <w:rFonts w:hint="eastAsia" w:cs="Times New Roman"/>
                      <w:b w:val="0"/>
                      <w:bCs/>
                      <w:color w:val="auto"/>
                      <w:sz w:val="24"/>
                      <w:szCs w:val="24"/>
                      <w:highlight w:val="none"/>
                      <w:vertAlign w:val="baseline"/>
                      <w:lang w:val="en-US" w:eastAsia="zh-CN"/>
                    </w:rPr>
                    <w:t>硫酸雾、</w:t>
                  </w:r>
                  <w:r>
                    <w:rPr>
                      <w:rFonts w:hint="default" w:ascii="Times New Roman" w:hAnsi="Times New Roman" w:cs="Times New Roman"/>
                      <w:b w:val="0"/>
                      <w:bCs/>
                      <w:color w:val="auto"/>
                      <w:sz w:val="24"/>
                      <w:szCs w:val="24"/>
                      <w:highlight w:val="none"/>
                      <w:vertAlign w:val="baseline"/>
                      <w:lang w:val="en-US" w:eastAsia="zh-CN"/>
                    </w:rPr>
                    <w:t>氮氧化物、非甲烷总烃、氨气</w:t>
                  </w:r>
                </w:p>
              </w:tc>
              <w:tc>
                <w:tcPr>
                  <w:tcW w:w="1336" w:type="dxa"/>
                  <w:vAlign w:val="center"/>
                </w:tcPr>
                <w:p w14:paraId="68176E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酸性气体、乙醇、丙酮、乙醚、氨水、碱性气体等</w:t>
                  </w:r>
                </w:p>
              </w:tc>
              <w:tc>
                <w:tcPr>
                  <w:tcW w:w="1728" w:type="dxa"/>
                  <w:vAlign w:val="center"/>
                </w:tcPr>
                <w:p w14:paraId="003EB4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通风橱</w:t>
                  </w:r>
                  <w:r>
                    <w:rPr>
                      <w:rFonts w:hint="eastAsia" w:cs="Times New Roman"/>
                      <w:b w:val="0"/>
                      <w:bCs/>
                      <w:color w:val="auto"/>
                      <w:sz w:val="24"/>
                      <w:szCs w:val="24"/>
                      <w:highlight w:val="none"/>
                      <w:vertAlign w:val="baseline"/>
                      <w:lang w:val="en-US" w:eastAsia="zh-CN"/>
                    </w:rPr>
                    <w:t>2个+</w:t>
                  </w:r>
                  <w:r>
                    <w:rPr>
                      <w:rFonts w:hint="default" w:ascii="Times New Roman" w:hAnsi="Times New Roman" w:cs="Times New Roman"/>
                      <w:b w:val="0"/>
                      <w:bCs/>
                      <w:color w:val="auto"/>
                      <w:sz w:val="24"/>
                      <w:szCs w:val="24"/>
                      <w:highlight w:val="none"/>
                      <w:vertAlign w:val="baseline"/>
                      <w:lang w:val="en-US" w:eastAsia="zh-CN"/>
                    </w:rPr>
                    <w:t>通风管道+引至楼顶活性炭吸附</w:t>
                  </w:r>
                  <w:r>
                    <w:rPr>
                      <w:rFonts w:hint="eastAsia" w:ascii="Times New Roman" w:hAnsi="Times New Roman" w:cs="Times New Roman"/>
                      <w:b w:val="0"/>
                      <w:bCs/>
                      <w:color w:val="auto"/>
                      <w:sz w:val="24"/>
                      <w:szCs w:val="24"/>
                      <w:highlight w:val="none"/>
                      <w:vertAlign w:val="baseline"/>
                      <w:lang w:val="en-US" w:eastAsia="zh-CN"/>
                    </w:rPr>
                    <w:t>装置（TA001）处置后经1根20m高（DA001）</w:t>
                  </w:r>
                  <w:r>
                    <w:rPr>
                      <w:rFonts w:hint="default" w:ascii="Times New Roman" w:hAnsi="Times New Roman" w:cs="Times New Roman"/>
                      <w:b w:val="0"/>
                      <w:bCs/>
                      <w:color w:val="auto"/>
                      <w:sz w:val="24"/>
                      <w:szCs w:val="24"/>
                      <w:highlight w:val="none"/>
                      <w:vertAlign w:val="baseline"/>
                      <w:lang w:val="en-US" w:eastAsia="zh-CN"/>
                    </w:rPr>
                    <w:t>排气筒排放</w:t>
                  </w:r>
                </w:p>
              </w:tc>
            </w:tr>
            <w:tr w14:paraId="00C9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72" w:type="dxa"/>
                  <w:vMerge w:val="continue"/>
                  <w:vAlign w:val="center"/>
                </w:tcPr>
                <w:p w14:paraId="486B1C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restart"/>
                  <w:vAlign w:val="center"/>
                </w:tcPr>
                <w:p w14:paraId="59C913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废水</w:t>
                  </w:r>
                </w:p>
              </w:tc>
              <w:tc>
                <w:tcPr>
                  <w:tcW w:w="1459" w:type="dxa"/>
                  <w:vAlign w:val="center"/>
                </w:tcPr>
                <w:p w14:paraId="00EC60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实验前器皿</w:t>
                  </w:r>
                  <w:r>
                    <w:rPr>
                      <w:rFonts w:hint="default" w:ascii="Times New Roman" w:hAnsi="Times New Roman" w:eastAsia="宋体" w:cs="Times New Roman"/>
                      <w:b w:val="0"/>
                      <w:bCs/>
                      <w:color w:val="auto"/>
                      <w:sz w:val="24"/>
                      <w:szCs w:val="24"/>
                      <w:highlight w:val="none"/>
                      <w:vertAlign w:val="baseline"/>
                      <w:lang w:val="en-US" w:eastAsia="zh-CN"/>
                    </w:rPr>
                    <w:t>润洗</w:t>
                  </w:r>
                </w:p>
              </w:tc>
              <w:tc>
                <w:tcPr>
                  <w:tcW w:w="1621" w:type="dxa"/>
                  <w:vAlign w:val="center"/>
                </w:tcPr>
                <w:p w14:paraId="5ACBC2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极微量灰尘</w:t>
                  </w:r>
                </w:p>
              </w:tc>
              <w:tc>
                <w:tcPr>
                  <w:tcW w:w="1336" w:type="dxa"/>
                  <w:vAlign w:val="center"/>
                </w:tcPr>
                <w:p w14:paraId="65A500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SS</w:t>
                  </w:r>
                </w:p>
              </w:tc>
              <w:tc>
                <w:tcPr>
                  <w:tcW w:w="1728" w:type="dxa"/>
                  <w:vAlign w:val="center"/>
                </w:tcPr>
                <w:p w14:paraId="5D56EF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进入化粪池（16m³）收集沉淀后，进入市政管网</w:t>
                  </w:r>
                </w:p>
              </w:tc>
            </w:tr>
            <w:tr w14:paraId="20D1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972" w:type="dxa"/>
                  <w:vMerge w:val="continue"/>
                  <w:vAlign w:val="center"/>
                </w:tcPr>
                <w:p w14:paraId="4F561E9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236663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3DD0FC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冷凝冷却</w:t>
                  </w:r>
                </w:p>
              </w:tc>
              <w:tc>
                <w:tcPr>
                  <w:tcW w:w="1621" w:type="dxa"/>
                  <w:vAlign w:val="center"/>
                </w:tcPr>
                <w:p w14:paraId="4DC4F7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微量矿物质</w:t>
                  </w:r>
                </w:p>
              </w:tc>
              <w:tc>
                <w:tcPr>
                  <w:tcW w:w="1336" w:type="dxa"/>
                  <w:vAlign w:val="center"/>
                </w:tcPr>
                <w:p w14:paraId="743589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pH、COD、SS、总硬度</w:t>
                  </w:r>
                </w:p>
              </w:tc>
              <w:tc>
                <w:tcPr>
                  <w:tcW w:w="1728" w:type="dxa"/>
                  <w:vAlign w:val="center"/>
                </w:tcPr>
                <w:p w14:paraId="09914E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进入化粪池（16m³）收集沉淀后，进入市政管网</w:t>
                  </w:r>
                </w:p>
              </w:tc>
            </w:tr>
            <w:tr w14:paraId="6CC5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972" w:type="dxa"/>
                  <w:vMerge w:val="continue"/>
                  <w:vAlign w:val="center"/>
                </w:tcPr>
                <w:p w14:paraId="2AFB15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3FC7F6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321328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实验</w:t>
                  </w:r>
                  <w:r>
                    <w:rPr>
                      <w:rFonts w:hint="eastAsia" w:cs="Times New Roman"/>
                      <w:b w:val="0"/>
                      <w:bCs/>
                      <w:color w:val="auto"/>
                      <w:sz w:val="24"/>
                      <w:szCs w:val="24"/>
                      <w:highlight w:val="none"/>
                      <w:vertAlign w:val="baseline"/>
                      <w:lang w:val="en-US" w:eastAsia="zh-CN"/>
                    </w:rPr>
                    <w:t>后</w:t>
                  </w:r>
                  <w:r>
                    <w:rPr>
                      <w:rFonts w:hint="default" w:ascii="Times New Roman" w:hAnsi="Times New Roman" w:eastAsia="宋体" w:cs="Times New Roman"/>
                      <w:b w:val="0"/>
                      <w:bCs/>
                      <w:color w:val="auto"/>
                      <w:sz w:val="24"/>
                      <w:szCs w:val="24"/>
                      <w:highlight w:val="none"/>
                      <w:vertAlign w:val="baseline"/>
                      <w:lang w:val="en-US" w:eastAsia="zh-CN"/>
                    </w:rPr>
                    <w:t>器皿清洗（</w:t>
                  </w:r>
                  <w:r>
                    <w:rPr>
                      <w:rFonts w:hint="eastAsia" w:cs="Times New Roman"/>
                      <w:b w:val="0"/>
                      <w:bCs/>
                      <w:color w:val="auto"/>
                      <w:sz w:val="24"/>
                      <w:szCs w:val="24"/>
                      <w:highlight w:val="none"/>
                      <w:vertAlign w:val="baseline"/>
                      <w:lang w:val="en-US" w:eastAsia="zh-CN"/>
                    </w:rPr>
                    <w:t>第3~5次清洗废水</w:t>
                  </w:r>
                  <w:r>
                    <w:rPr>
                      <w:rFonts w:hint="default" w:ascii="Times New Roman" w:hAnsi="Times New Roman" w:eastAsia="宋体" w:cs="Times New Roman"/>
                      <w:b w:val="0"/>
                      <w:bCs/>
                      <w:color w:val="auto"/>
                      <w:sz w:val="24"/>
                      <w:szCs w:val="24"/>
                      <w:highlight w:val="none"/>
                      <w:vertAlign w:val="baseline"/>
                      <w:lang w:val="en-US" w:eastAsia="zh-CN"/>
                    </w:rPr>
                    <w:t>）</w:t>
                  </w:r>
                </w:p>
              </w:tc>
              <w:tc>
                <w:tcPr>
                  <w:tcW w:w="1621" w:type="dxa"/>
                  <w:vAlign w:val="center"/>
                </w:tcPr>
                <w:p w14:paraId="5397B7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微量残留的酸、碱、盐及少量有机试剂</w:t>
                  </w:r>
                </w:p>
              </w:tc>
              <w:tc>
                <w:tcPr>
                  <w:tcW w:w="1336" w:type="dxa"/>
                  <w:vAlign w:val="center"/>
                </w:tcPr>
                <w:p w14:paraId="17980A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pH、COD、SS、BOD</w:t>
                  </w:r>
                  <w:r>
                    <w:rPr>
                      <w:rFonts w:hint="eastAsia" w:cs="Times New Roman"/>
                      <w:b w:val="0"/>
                      <w:bCs/>
                      <w:color w:val="auto"/>
                      <w:sz w:val="24"/>
                      <w:szCs w:val="24"/>
                      <w:highlight w:val="none"/>
                      <w:vertAlign w:val="subscript"/>
                      <w:lang w:val="en-US" w:eastAsia="zh-CN"/>
                    </w:rPr>
                    <w:t>5</w:t>
                  </w:r>
                  <w:r>
                    <w:rPr>
                      <w:rFonts w:hint="eastAsia" w:cs="Times New Roman"/>
                      <w:b w:val="0"/>
                      <w:bCs/>
                      <w:color w:val="auto"/>
                      <w:sz w:val="24"/>
                      <w:szCs w:val="24"/>
                      <w:highlight w:val="none"/>
                      <w:vertAlign w:val="baseline"/>
                      <w:lang w:val="en-US" w:eastAsia="zh-CN"/>
                    </w:rPr>
                    <w:t>、氨氮、总磷、铜、锌、铁等</w:t>
                  </w:r>
                </w:p>
              </w:tc>
              <w:tc>
                <w:tcPr>
                  <w:tcW w:w="1728" w:type="dxa"/>
                  <w:vAlign w:val="center"/>
                </w:tcPr>
                <w:p w14:paraId="397A6F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进入化粪池（16m³）收集沉淀后，进入市政管网</w:t>
                  </w:r>
                </w:p>
              </w:tc>
            </w:tr>
            <w:tr w14:paraId="72D7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972" w:type="dxa"/>
                  <w:vMerge w:val="continue"/>
                  <w:vAlign w:val="center"/>
                </w:tcPr>
                <w:p w14:paraId="01B1E1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restart"/>
                  <w:vAlign w:val="center"/>
                </w:tcPr>
                <w:p w14:paraId="11C1A5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固废</w:t>
                  </w:r>
                </w:p>
              </w:tc>
              <w:tc>
                <w:tcPr>
                  <w:tcW w:w="1459" w:type="dxa"/>
                  <w:vAlign w:val="center"/>
                </w:tcPr>
                <w:p w14:paraId="245613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实验</w:t>
                  </w:r>
                  <w:r>
                    <w:rPr>
                      <w:rFonts w:hint="eastAsia" w:cs="Times New Roman"/>
                      <w:b w:val="0"/>
                      <w:bCs/>
                      <w:color w:val="auto"/>
                      <w:sz w:val="24"/>
                      <w:szCs w:val="24"/>
                      <w:highlight w:val="none"/>
                      <w:vertAlign w:val="baseline"/>
                      <w:lang w:val="en-US" w:eastAsia="zh-CN"/>
                    </w:rPr>
                    <w:t>后</w:t>
                  </w:r>
                  <w:r>
                    <w:rPr>
                      <w:rFonts w:hint="default" w:ascii="Times New Roman" w:hAnsi="Times New Roman" w:eastAsia="宋体" w:cs="Times New Roman"/>
                      <w:b w:val="0"/>
                      <w:bCs/>
                      <w:color w:val="auto"/>
                      <w:sz w:val="24"/>
                      <w:szCs w:val="24"/>
                      <w:highlight w:val="none"/>
                      <w:vertAlign w:val="baseline"/>
                      <w:lang w:val="en-US" w:eastAsia="zh-CN"/>
                    </w:rPr>
                    <w:t>器皿清洗（</w:t>
                  </w:r>
                  <w:r>
                    <w:rPr>
                      <w:rFonts w:hint="eastAsia" w:cs="Times New Roman"/>
                      <w:b w:val="0"/>
                      <w:bCs/>
                      <w:color w:val="auto"/>
                      <w:sz w:val="24"/>
                      <w:szCs w:val="24"/>
                      <w:highlight w:val="none"/>
                      <w:vertAlign w:val="baseline"/>
                      <w:lang w:val="en-US" w:eastAsia="zh-CN"/>
                    </w:rPr>
                    <w:t>第1~2次清洗废水</w:t>
                  </w:r>
                  <w:r>
                    <w:rPr>
                      <w:rFonts w:hint="default" w:ascii="Times New Roman" w:hAnsi="Times New Roman" w:eastAsia="宋体" w:cs="Times New Roman"/>
                      <w:b w:val="0"/>
                      <w:bCs/>
                      <w:color w:val="auto"/>
                      <w:sz w:val="24"/>
                      <w:szCs w:val="24"/>
                      <w:highlight w:val="none"/>
                      <w:vertAlign w:val="baseline"/>
                      <w:lang w:val="en-US" w:eastAsia="zh-CN"/>
                    </w:rPr>
                    <w:t>）</w:t>
                  </w:r>
                </w:p>
              </w:tc>
              <w:tc>
                <w:tcPr>
                  <w:tcW w:w="1621" w:type="dxa"/>
                  <w:vAlign w:val="center"/>
                </w:tcPr>
                <w:p w14:paraId="5C15D3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高浓度清洗废液</w:t>
                  </w:r>
                </w:p>
              </w:tc>
              <w:tc>
                <w:tcPr>
                  <w:tcW w:w="1336" w:type="dxa"/>
                  <w:vAlign w:val="center"/>
                </w:tcPr>
                <w:p w14:paraId="62C9BF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残留酸、碱、重金属、有机溶剂</w:t>
                  </w:r>
                </w:p>
              </w:tc>
              <w:tc>
                <w:tcPr>
                  <w:tcW w:w="1728" w:type="dxa"/>
                  <w:vAlign w:val="center"/>
                </w:tcPr>
                <w:p w14:paraId="24C71A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kern w:val="2"/>
                      <w:sz w:val="24"/>
                      <w:szCs w:val="24"/>
                      <w:highlight w:val="none"/>
                      <w:vertAlign w:val="baseline"/>
                      <w:lang w:val="en-US" w:eastAsia="zh-CN" w:bidi="ar-SA"/>
                    </w:rPr>
                    <w:t>作为危险废物进行处理，收集至PE桶内，定期交由有资质单位进行处置</w:t>
                  </w:r>
                </w:p>
              </w:tc>
            </w:tr>
            <w:tr w14:paraId="1BDC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972" w:type="dxa"/>
                  <w:vMerge w:val="continue"/>
                  <w:vAlign w:val="center"/>
                </w:tcPr>
                <w:p w14:paraId="30F5E5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63ACB1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shd w:val="clear" w:color="auto" w:fill="auto"/>
                  <w:vAlign w:val="center"/>
                </w:tcPr>
                <w:p w14:paraId="034C8C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试剂配制</w:t>
                  </w:r>
                </w:p>
              </w:tc>
              <w:tc>
                <w:tcPr>
                  <w:tcW w:w="1621" w:type="dxa"/>
                  <w:shd w:val="clear" w:color="auto" w:fill="auto"/>
                  <w:vAlign w:val="center"/>
                </w:tcPr>
                <w:p w14:paraId="3140AF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实验废液</w:t>
                  </w:r>
                </w:p>
              </w:tc>
              <w:tc>
                <w:tcPr>
                  <w:tcW w:w="1336" w:type="dxa"/>
                  <w:shd w:val="clear" w:color="auto" w:fill="auto"/>
                  <w:vAlign w:val="center"/>
                </w:tcPr>
                <w:p w14:paraId="68A185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化学品</w:t>
                  </w:r>
                </w:p>
              </w:tc>
              <w:tc>
                <w:tcPr>
                  <w:tcW w:w="1728" w:type="dxa"/>
                  <w:shd w:val="clear" w:color="auto" w:fill="auto"/>
                  <w:vAlign w:val="center"/>
                </w:tcPr>
                <w:p w14:paraId="0DD754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PE桶收集后，暂存于危险废物暂存库内，定期交由有资质单位进行处置</w:t>
                  </w:r>
                </w:p>
              </w:tc>
            </w:tr>
            <w:tr w14:paraId="3C344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972" w:type="dxa"/>
                  <w:vMerge w:val="continue"/>
                  <w:vAlign w:val="center"/>
                </w:tcPr>
                <w:p w14:paraId="76E434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22B8AE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shd w:val="clear" w:color="auto" w:fill="auto"/>
                  <w:vAlign w:val="center"/>
                </w:tcPr>
                <w:p w14:paraId="3C04FF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default" w:ascii="Times New Roman" w:hAnsi="Times New Roman" w:eastAsia="宋体" w:cs="Times New Roman"/>
                      <w:b w:val="0"/>
                      <w:bCs/>
                      <w:color w:val="auto"/>
                      <w:sz w:val="24"/>
                      <w:szCs w:val="24"/>
                      <w:highlight w:val="none"/>
                      <w:vertAlign w:val="baseline"/>
                      <w:lang w:val="en-US" w:eastAsia="zh-CN"/>
                    </w:rPr>
                    <w:t>试剂使用完毕</w:t>
                  </w:r>
                </w:p>
              </w:tc>
              <w:tc>
                <w:tcPr>
                  <w:tcW w:w="1621" w:type="dxa"/>
                  <w:shd w:val="clear" w:color="auto" w:fill="auto"/>
                  <w:vAlign w:val="center"/>
                </w:tcPr>
                <w:p w14:paraId="20156E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default" w:ascii="Times New Roman" w:hAnsi="Times New Roman" w:eastAsia="宋体" w:cs="Times New Roman"/>
                      <w:b w:val="0"/>
                      <w:bCs/>
                      <w:color w:val="auto"/>
                      <w:sz w:val="24"/>
                      <w:szCs w:val="24"/>
                      <w:highlight w:val="none"/>
                      <w:vertAlign w:val="baseline"/>
                      <w:lang w:val="en-US" w:eastAsia="zh-CN"/>
                    </w:rPr>
                    <w:t>废试剂瓶</w:t>
                  </w:r>
                </w:p>
              </w:tc>
              <w:tc>
                <w:tcPr>
                  <w:tcW w:w="1336" w:type="dxa"/>
                  <w:shd w:val="clear" w:color="auto" w:fill="auto"/>
                  <w:vAlign w:val="center"/>
                </w:tcPr>
                <w:p w14:paraId="707B24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default" w:ascii="Times New Roman" w:hAnsi="Times New Roman" w:cs="Times New Roman"/>
                      <w:b w:val="0"/>
                      <w:bCs/>
                      <w:color w:val="auto"/>
                      <w:sz w:val="24"/>
                      <w:szCs w:val="24"/>
                      <w:highlight w:val="none"/>
                      <w:vertAlign w:val="baseline"/>
                      <w:lang w:val="en-US" w:eastAsia="zh-CN"/>
                    </w:rPr>
                    <w:t>玻璃/塑料瓶、残留化学品</w:t>
                  </w:r>
                </w:p>
              </w:tc>
              <w:tc>
                <w:tcPr>
                  <w:tcW w:w="1728" w:type="dxa"/>
                  <w:shd w:val="clear" w:color="auto" w:fill="auto"/>
                  <w:vAlign w:val="center"/>
                </w:tcPr>
                <w:p w14:paraId="592715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default" w:ascii="Times New Roman" w:hAnsi="Times New Roman" w:eastAsia="宋体" w:cs="Times New Roman"/>
                      <w:b w:val="0"/>
                      <w:bCs/>
                      <w:color w:val="auto"/>
                      <w:kern w:val="2"/>
                      <w:sz w:val="24"/>
                      <w:szCs w:val="24"/>
                      <w:highlight w:val="none"/>
                      <w:vertAlign w:val="baseline"/>
                      <w:lang w:val="en-US" w:eastAsia="zh-CN" w:bidi="ar-SA"/>
                    </w:rPr>
                    <w:t>加盖后使用大口PE桶集中存放，防止残留液体泄漏，暂存于危险废物暂存库内，定期交由有资质单位进行处置。</w:t>
                  </w:r>
                </w:p>
              </w:tc>
            </w:tr>
            <w:tr w14:paraId="6E7E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2" w:type="dxa"/>
                  <w:vMerge w:val="continue"/>
                  <w:vAlign w:val="center"/>
                </w:tcPr>
                <w:p w14:paraId="0A0813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2A6738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30294F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废气处理</w:t>
                  </w:r>
                  <w:r>
                    <w:rPr>
                      <w:rFonts w:hint="default" w:ascii="Times New Roman" w:hAnsi="Times New Roman" w:cs="Times New Roman"/>
                      <w:b w:val="0"/>
                      <w:bCs/>
                      <w:color w:val="auto"/>
                      <w:sz w:val="24"/>
                      <w:szCs w:val="24"/>
                      <w:highlight w:val="none"/>
                      <w:vertAlign w:val="baseline"/>
                      <w:lang w:val="en-US" w:eastAsia="zh-CN"/>
                    </w:rPr>
                    <w:t>设施</w:t>
                  </w:r>
                </w:p>
              </w:tc>
              <w:tc>
                <w:tcPr>
                  <w:tcW w:w="1621" w:type="dxa"/>
                  <w:vAlign w:val="center"/>
                </w:tcPr>
                <w:p w14:paraId="1E51EC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废活性炭</w:t>
                  </w:r>
                </w:p>
              </w:tc>
              <w:tc>
                <w:tcPr>
                  <w:tcW w:w="1336" w:type="dxa"/>
                  <w:vAlign w:val="center"/>
                </w:tcPr>
                <w:p w14:paraId="415F7E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吸附有机废气后的活性炭</w:t>
                  </w:r>
                </w:p>
              </w:tc>
              <w:tc>
                <w:tcPr>
                  <w:tcW w:w="1728" w:type="dxa"/>
                  <w:vAlign w:val="center"/>
                </w:tcPr>
                <w:p w14:paraId="6E810E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使用防漏塑料袋密封后放入专用纸箱，暂存于危险废物暂存库内，定期交由有资质单位进行处置。</w:t>
                  </w:r>
                </w:p>
              </w:tc>
            </w:tr>
            <w:tr w14:paraId="3093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2" w:type="dxa"/>
                  <w:vMerge w:val="continue"/>
                  <w:vAlign w:val="center"/>
                </w:tcPr>
                <w:p w14:paraId="3A5746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3F8A9E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5A671D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包装材料</w:t>
                  </w:r>
                </w:p>
              </w:tc>
              <w:tc>
                <w:tcPr>
                  <w:tcW w:w="1621" w:type="dxa"/>
                  <w:vAlign w:val="center"/>
                </w:tcPr>
                <w:p w14:paraId="0CA0FA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沾染试剂的废弃包装物</w:t>
                  </w:r>
                </w:p>
              </w:tc>
              <w:tc>
                <w:tcPr>
                  <w:tcW w:w="1336" w:type="dxa"/>
                  <w:vAlign w:val="center"/>
                </w:tcPr>
                <w:p w14:paraId="682703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化学试剂</w:t>
                  </w:r>
                </w:p>
              </w:tc>
              <w:tc>
                <w:tcPr>
                  <w:tcW w:w="1728" w:type="dxa"/>
                  <w:vAlign w:val="center"/>
                </w:tcPr>
                <w:p w14:paraId="6272A2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暂存于危险废物暂存库内，定期交由有资质单位进行处置。</w:t>
                  </w:r>
                </w:p>
              </w:tc>
            </w:tr>
            <w:tr w14:paraId="73FA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2" w:type="dxa"/>
                  <w:vMerge w:val="continue"/>
                  <w:vAlign w:val="center"/>
                </w:tcPr>
                <w:p w14:paraId="5F4C47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396835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2E3E66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val="0"/>
                      <w:bCs/>
                      <w:color w:val="auto"/>
                      <w:sz w:val="24"/>
                      <w:szCs w:val="24"/>
                      <w:highlight w:val="none"/>
                      <w:vertAlign w:val="baseline"/>
                      <w:lang w:val="en-US" w:eastAsia="zh-CN"/>
                    </w:rPr>
                  </w:pPr>
                  <w:r>
                    <w:rPr>
                      <w:rFonts w:hint="default" w:ascii="Times New Roman" w:hAnsi="Times New Roman" w:cs="Times New Roman"/>
                      <w:color w:val="auto"/>
                      <w:highlight w:val="none"/>
                      <w:lang w:val="en-US" w:eastAsia="zh-CN"/>
                    </w:rPr>
                    <w:t>变质或失效的试剂</w:t>
                  </w:r>
                </w:p>
              </w:tc>
              <w:tc>
                <w:tcPr>
                  <w:tcW w:w="1621" w:type="dxa"/>
                  <w:vAlign w:val="center"/>
                </w:tcPr>
                <w:p w14:paraId="68EE5B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val="0"/>
                      <w:bCs/>
                      <w:color w:val="auto"/>
                      <w:sz w:val="24"/>
                      <w:szCs w:val="24"/>
                      <w:highlight w:val="none"/>
                      <w:vertAlign w:val="baseline"/>
                      <w:lang w:val="en-US" w:eastAsia="zh-CN"/>
                    </w:rPr>
                  </w:pPr>
                  <w:r>
                    <w:rPr>
                      <w:rFonts w:hint="default" w:ascii="Times New Roman" w:hAnsi="Times New Roman" w:cs="Times New Roman"/>
                      <w:color w:val="auto"/>
                      <w:highlight w:val="none"/>
                      <w:lang w:val="en-US" w:eastAsia="zh-CN"/>
                    </w:rPr>
                    <w:t>变质或失效的试剂</w:t>
                  </w:r>
                </w:p>
              </w:tc>
              <w:tc>
                <w:tcPr>
                  <w:tcW w:w="1336" w:type="dxa"/>
                  <w:vAlign w:val="center"/>
                </w:tcPr>
                <w:p w14:paraId="5D92BC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废酸、废碱、重金属化合物等</w:t>
                  </w:r>
                </w:p>
              </w:tc>
              <w:tc>
                <w:tcPr>
                  <w:tcW w:w="1728" w:type="dxa"/>
                  <w:vAlign w:val="center"/>
                </w:tcPr>
                <w:p w14:paraId="760A53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作为危险废物处置</w:t>
                  </w:r>
                </w:p>
              </w:tc>
            </w:tr>
            <w:tr w14:paraId="7893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72" w:type="dxa"/>
                  <w:vMerge w:val="continue"/>
                  <w:vAlign w:val="center"/>
                </w:tcPr>
                <w:p w14:paraId="619CF0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0B5DE5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2EAE93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一般实验垃圾</w:t>
                  </w:r>
                </w:p>
              </w:tc>
              <w:tc>
                <w:tcPr>
                  <w:tcW w:w="1621" w:type="dxa"/>
                  <w:vAlign w:val="center"/>
                </w:tcPr>
                <w:p w14:paraId="182031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没有沾染药剂的废包装物</w:t>
                  </w:r>
                </w:p>
              </w:tc>
              <w:tc>
                <w:tcPr>
                  <w:tcW w:w="1336" w:type="dxa"/>
                  <w:vAlign w:val="center"/>
                </w:tcPr>
                <w:p w14:paraId="53B046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普通废物</w:t>
                  </w:r>
                </w:p>
              </w:tc>
              <w:tc>
                <w:tcPr>
                  <w:tcW w:w="1728" w:type="dxa"/>
                  <w:vAlign w:val="center"/>
                </w:tcPr>
                <w:p w14:paraId="000E48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分类收集，按生活垃圾处理</w:t>
                  </w:r>
                </w:p>
              </w:tc>
            </w:tr>
            <w:tr w14:paraId="1013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972" w:type="dxa"/>
                  <w:vMerge w:val="restart"/>
                  <w:vAlign w:val="center"/>
                </w:tcPr>
                <w:p w14:paraId="513D14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生物实验室</w:t>
                  </w:r>
                </w:p>
              </w:tc>
              <w:tc>
                <w:tcPr>
                  <w:tcW w:w="823" w:type="dxa"/>
                  <w:vAlign w:val="center"/>
                </w:tcPr>
                <w:p w14:paraId="0DE47A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废气</w:t>
                  </w:r>
                </w:p>
              </w:tc>
              <w:tc>
                <w:tcPr>
                  <w:tcW w:w="1459" w:type="dxa"/>
                  <w:vAlign w:val="center"/>
                </w:tcPr>
                <w:p w14:paraId="27E4DD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试剂取用（乙醇、盐酸）</w:t>
                  </w:r>
                </w:p>
              </w:tc>
              <w:tc>
                <w:tcPr>
                  <w:tcW w:w="1621" w:type="dxa"/>
                  <w:vAlign w:val="center"/>
                </w:tcPr>
                <w:p w14:paraId="014973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非甲烷总烃</w:t>
                  </w:r>
                  <w:r>
                    <w:rPr>
                      <w:rFonts w:hint="default" w:ascii="Times New Roman" w:hAnsi="Times New Roman" w:eastAsia="宋体" w:cs="Times New Roman"/>
                      <w:b w:val="0"/>
                      <w:bCs/>
                      <w:color w:val="auto"/>
                      <w:sz w:val="24"/>
                      <w:szCs w:val="24"/>
                      <w:highlight w:val="none"/>
                      <w:vertAlign w:val="baseline"/>
                      <w:lang w:val="en-US" w:eastAsia="zh-CN"/>
                    </w:rPr>
                    <w:t>、HCl</w:t>
                  </w:r>
                  <w:r>
                    <w:rPr>
                      <w:rFonts w:hint="eastAsia" w:cs="Times New Roman"/>
                      <w:b w:val="0"/>
                      <w:bCs/>
                      <w:color w:val="auto"/>
                      <w:sz w:val="24"/>
                      <w:szCs w:val="24"/>
                      <w:highlight w:val="none"/>
                      <w:vertAlign w:val="baseline"/>
                      <w:lang w:val="en-US" w:eastAsia="zh-CN"/>
                    </w:rPr>
                    <w:t>、臭气浓度</w:t>
                  </w:r>
                </w:p>
              </w:tc>
              <w:tc>
                <w:tcPr>
                  <w:tcW w:w="1336" w:type="dxa"/>
                  <w:vAlign w:val="center"/>
                </w:tcPr>
                <w:p w14:paraId="77CBF0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default" w:ascii="Times New Roman" w:hAnsi="Times New Roman" w:cs="Times New Roman"/>
                      <w:color w:val="auto"/>
                      <w:highlight w:val="none"/>
                      <w:lang w:val="en-US" w:eastAsia="zh-CN"/>
                    </w:rPr>
                    <w:t>少量</w:t>
                  </w:r>
                </w:p>
              </w:tc>
              <w:tc>
                <w:tcPr>
                  <w:tcW w:w="1728" w:type="dxa"/>
                  <w:shd w:val="clear" w:color="auto" w:fill="auto"/>
                  <w:vAlign w:val="center"/>
                </w:tcPr>
                <w:p w14:paraId="1CE47C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default" w:ascii="Times New Roman" w:hAnsi="Times New Roman" w:cs="Times New Roman"/>
                      <w:b w:val="0"/>
                      <w:bCs/>
                      <w:color w:val="auto"/>
                      <w:sz w:val="24"/>
                      <w:szCs w:val="24"/>
                      <w:highlight w:val="none"/>
                      <w:vertAlign w:val="baseline"/>
                      <w:lang w:val="en-US" w:eastAsia="zh-CN"/>
                    </w:rPr>
                    <w:t>通风橱</w:t>
                  </w:r>
                  <w:r>
                    <w:rPr>
                      <w:rFonts w:hint="eastAsia" w:cs="Times New Roman"/>
                      <w:b w:val="0"/>
                      <w:bCs/>
                      <w:color w:val="auto"/>
                      <w:sz w:val="24"/>
                      <w:szCs w:val="24"/>
                      <w:highlight w:val="none"/>
                      <w:vertAlign w:val="baseline"/>
                      <w:lang w:val="en-US" w:eastAsia="zh-CN"/>
                    </w:rPr>
                    <w:t>1个+</w:t>
                  </w:r>
                  <w:r>
                    <w:rPr>
                      <w:rFonts w:hint="default" w:ascii="Times New Roman" w:hAnsi="Times New Roman" w:cs="Times New Roman"/>
                      <w:b w:val="0"/>
                      <w:bCs/>
                      <w:color w:val="auto"/>
                      <w:sz w:val="24"/>
                      <w:szCs w:val="24"/>
                      <w:highlight w:val="none"/>
                      <w:vertAlign w:val="baseline"/>
                      <w:lang w:val="en-US" w:eastAsia="zh-CN"/>
                    </w:rPr>
                    <w:t>通风管道+引至楼顶活性炭吸附</w:t>
                  </w:r>
                  <w:r>
                    <w:rPr>
                      <w:rFonts w:hint="eastAsia" w:ascii="Times New Roman" w:hAnsi="Times New Roman" w:cs="Times New Roman"/>
                      <w:b w:val="0"/>
                      <w:bCs/>
                      <w:color w:val="auto"/>
                      <w:sz w:val="24"/>
                      <w:szCs w:val="24"/>
                      <w:highlight w:val="none"/>
                      <w:vertAlign w:val="baseline"/>
                      <w:lang w:val="en-US" w:eastAsia="zh-CN"/>
                    </w:rPr>
                    <w:t>装置（TA001）处置后经1根20m高（DA001）</w:t>
                  </w:r>
                  <w:r>
                    <w:rPr>
                      <w:rFonts w:hint="default" w:ascii="Times New Roman" w:hAnsi="Times New Roman" w:cs="Times New Roman"/>
                      <w:b w:val="0"/>
                      <w:bCs/>
                      <w:color w:val="auto"/>
                      <w:sz w:val="24"/>
                      <w:szCs w:val="24"/>
                      <w:highlight w:val="none"/>
                      <w:vertAlign w:val="baseline"/>
                      <w:lang w:val="en-US" w:eastAsia="zh-CN"/>
                    </w:rPr>
                    <w:t>排气筒排放</w:t>
                  </w:r>
                </w:p>
              </w:tc>
            </w:tr>
            <w:tr w14:paraId="60EC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972" w:type="dxa"/>
                  <w:vMerge w:val="continue"/>
                  <w:vAlign w:val="center"/>
                </w:tcPr>
                <w:p w14:paraId="7E0F1A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restart"/>
                  <w:vAlign w:val="center"/>
                </w:tcPr>
                <w:p w14:paraId="7682B3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废水</w:t>
                  </w:r>
                </w:p>
              </w:tc>
              <w:tc>
                <w:tcPr>
                  <w:tcW w:w="1459" w:type="dxa"/>
                  <w:vAlign w:val="center"/>
                </w:tcPr>
                <w:p w14:paraId="7E5F460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实验前器皿</w:t>
                  </w:r>
                  <w:r>
                    <w:rPr>
                      <w:rFonts w:hint="default" w:ascii="Times New Roman" w:hAnsi="Times New Roman" w:eastAsia="宋体" w:cs="Times New Roman"/>
                      <w:b w:val="0"/>
                      <w:bCs/>
                      <w:color w:val="auto"/>
                      <w:sz w:val="24"/>
                      <w:szCs w:val="24"/>
                      <w:highlight w:val="none"/>
                      <w:vertAlign w:val="baseline"/>
                      <w:lang w:val="en-US" w:eastAsia="zh-CN"/>
                    </w:rPr>
                    <w:t>润洗</w:t>
                  </w:r>
                </w:p>
              </w:tc>
              <w:tc>
                <w:tcPr>
                  <w:tcW w:w="1621" w:type="dxa"/>
                  <w:vAlign w:val="center"/>
                </w:tcPr>
                <w:p w14:paraId="068AF6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极微量灰尘</w:t>
                  </w:r>
                </w:p>
              </w:tc>
              <w:tc>
                <w:tcPr>
                  <w:tcW w:w="1336" w:type="dxa"/>
                  <w:vAlign w:val="center"/>
                </w:tcPr>
                <w:p w14:paraId="244B2F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eastAsia" w:cs="Times New Roman"/>
                      <w:b w:val="0"/>
                      <w:bCs/>
                      <w:color w:val="auto"/>
                      <w:sz w:val="24"/>
                      <w:szCs w:val="24"/>
                      <w:highlight w:val="none"/>
                      <w:vertAlign w:val="baseline"/>
                      <w:lang w:val="en-US" w:eastAsia="zh-CN"/>
                    </w:rPr>
                    <w:t>SS</w:t>
                  </w:r>
                </w:p>
              </w:tc>
              <w:tc>
                <w:tcPr>
                  <w:tcW w:w="1728" w:type="dxa"/>
                  <w:vAlign w:val="center"/>
                </w:tcPr>
                <w:p w14:paraId="0C51C0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进入化粪池（16m³）收集沉淀后，进入市政管网</w:t>
                  </w:r>
                </w:p>
              </w:tc>
            </w:tr>
            <w:tr w14:paraId="1459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972" w:type="dxa"/>
                  <w:vMerge w:val="continue"/>
                  <w:vAlign w:val="center"/>
                </w:tcPr>
                <w:p w14:paraId="6D75C3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034405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shd w:val="clear" w:color="auto" w:fill="auto"/>
                  <w:vAlign w:val="center"/>
                </w:tcPr>
                <w:p w14:paraId="0AA9DB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default" w:ascii="Times New Roman" w:hAnsi="Times New Roman" w:eastAsia="宋体" w:cs="Times New Roman"/>
                      <w:b w:val="0"/>
                      <w:bCs/>
                      <w:color w:val="auto"/>
                      <w:kern w:val="2"/>
                      <w:sz w:val="24"/>
                      <w:szCs w:val="24"/>
                      <w:highlight w:val="none"/>
                      <w:vertAlign w:val="baseline"/>
                      <w:lang w:val="en-US" w:eastAsia="zh-CN" w:bidi="ar-SA"/>
                    </w:rPr>
                    <w:t>高压灭菌</w:t>
                  </w:r>
                </w:p>
              </w:tc>
              <w:tc>
                <w:tcPr>
                  <w:tcW w:w="1621" w:type="dxa"/>
                  <w:shd w:val="clear" w:color="auto" w:fill="auto"/>
                  <w:vAlign w:val="center"/>
                </w:tcPr>
                <w:p w14:paraId="7A40ED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eastAsia" w:ascii="Times New Roman" w:hAnsi="Times New Roman" w:eastAsia="宋体" w:cs="Times New Roman"/>
                      <w:b w:val="0"/>
                      <w:bCs/>
                      <w:color w:val="auto"/>
                      <w:kern w:val="2"/>
                      <w:sz w:val="24"/>
                      <w:szCs w:val="24"/>
                      <w:highlight w:val="none"/>
                      <w:vertAlign w:val="baseline"/>
                      <w:lang w:val="en-US" w:eastAsia="zh-CN" w:bidi="ar-SA"/>
                    </w:rPr>
                    <w:t>高压灭菌废水</w:t>
                  </w:r>
                </w:p>
              </w:tc>
              <w:tc>
                <w:tcPr>
                  <w:tcW w:w="1336" w:type="dxa"/>
                  <w:shd w:val="clear" w:color="auto" w:fill="auto"/>
                  <w:vAlign w:val="center"/>
                </w:tcPr>
                <w:p w14:paraId="2C6F7F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default" w:ascii="Times New Roman" w:hAnsi="Times New Roman" w:eastAsia="宋体" w:cs="Times New Roman"/>
                      <w:b w:val="0"/>
                      <w:bCs/>
                      <w:color w:val="auto"/>
                      <w:kern w:val="2"/>
                      <w:sz w:val="24"/>
                      <w:szCs w:val="24"/>
                      <w:highlight w:val="none"/>
                      <w:vertAlign w:val="baseline"/>
                      <w:lang w:val="en-US" w:eastAsia="zh-CN" w:bidi="ar-SA"/>
                    </w:rPr>
                    <w:t>灭活后的培养基残液、微生物代谢产物、营养盐</w:t>
                  </w:r>
                </w:p>
                <w:p w14:paraId="15CD7A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kern w:val="2"/>
                      <w:sz w:val="22"/>
                      <w:szCs w:val="22"/>
                      <w:highlight w:val="none"/>
                      <w:shd w:val="clear" w:fill="FFFFFF"/>
                      <w:lang w:val="en-US" w:eastAsia="zh-CN" w:bidi="ar-SA"/>
                    </w:rPr>
                  </w:pPr>
                  <w:r>
                    <w:rPr>
                      <w:rFonts w:hint="default" w:ascii="Times New Roman" w:hAnsi="Times New Roman" w:eastAsia="宋体" w:cs="Times New Roman"/>
                      <w:b w:val="0"/>
                      <w:bCs/>
                      <w:color w:val="auto"/>
                      <w:kern w:val="2"/>
                      <w:sz w:val="24"/>
                      <w:szCs w:val="24"/>
                      <w:highlight w:val="none"/>
                      <w:vertAlign w:val="baseline"/>
                      <w:lang w:val="en-US" w:eastAsia="zh-CN" w:bidi="ar-SA"/>
                    </w:rPr>
                    <w:t>pH</w:t>
                  </w:r>
                  <w:r>
                    <w:rPr>
                      <w:rFonts w:hint="eastAsia" w:ascii="Times New Roman" w:hAnsi="Times New Roman" w:eastAsia="宋体" w:cs="Times New Roman"/>
                      <w:b w:val="0"/>
                      <w:bCs/>
                      <w:color w:val="auto"/>
                      <w:kern w:val="2"/>
                      <w:sz w:val="24"/>
                      <w:szCs w:val="24"/>
                      <w:highlight w:val="none"/>
                      <w:vertAlign w:val="baseline"/>
                      <w:lang w:val="en-US" w:eastAsia="zh-CN" w:bidi="ar-SA"/>
                    </w:rPr>
                    <w:t>、</w:t>
                  </w:r>
                  <w:r>
                    <w:rPr>
                      <w:rFonts w:hint="default" w:ascii="Times New Roman" w:hAnsi="Times New Roman" w:eastAsia="宋体" w:cs="Times New Roman"/>
                      <w:b w:val="0"/>
                      <w:bCs/>
                      <w:color w:val="auto"/>
                      <w:kern w:val="2"/>
                      <w:sz w:val="24"/>
                      <w:szCs w:val="24"/>
                      <w:highlight w:val="none"/>
                      <w:vertAlign w:val="baseline"/>
                      <w:lang w:val="en-US" w:eastAsia="zh-CN" w:bidi="ar-SA"/>
                    </w:rPr>
                    <w:t>COD</w:t>
                  </w:r>
                  <w:r>
                    <w:rPr>
                      <w:rFonts w:hint="eastAsia" w:ascii="Times New Roman" w:hAnsi="Times New Roman" w:eastAsia="宋体" w:cs="Times New Roman"/>
                      <w:b w:val="0"/>
                      <w:bCs/>
                      <w:color w:val="auto"/>
                      <w:kern w:val="2"/>
                      <w:sz w:val="24"/>
                      <w:szCs w:val="24"/>
                      <w:highlight w:val="none"/>
                      <w:vertAlign w:val="baseline"/>
                      <w:lang w:val="en-US" w:eastAsia="zh-CN" w:bidi="ar-SA"/>
                    </w:rPr>
                    <w:t>、</w:t>
                  </w:r>
                  <w:r>
                    <w:rPr>
                      <w:rFonts w:hint="default" w:ascii="Times New Roman" w:hAnsi="Times New Roman" w:eastAsia="宋体" w:cs="Times New Roman"/>
                      <w:b w:val="0"/>
                      <w:bCs/>
                      <w:color w:val="auto"/>
                      <w:kern w:val="2"/>
                      <w:sz w:val="24"/>
                      <w:szCs w:val="24"/>
                      <w:highlight w:val="none"/>
                      <w:vertAlign w:val="baseline"/>
                      <w:lang w:val="en-US" w:eastAsia="zh-CN" w:bidi="ar-SA"/>
                    </w:rPr>
                    <w:t>BOD₅</w:t>
                  </w:r>
                  <w:r>
                    <w:rPr>
                      <w:rFonts w:hint="eastAsia" w:ascii="Times New Roman" w:hAnsi="Times New Roman" w:eastAsia="宋体" w:cs="Times New Roman"/>
                      <w:b w:val="0"/>
                      <w:bCs/>
                      <w:color w:val="auto"/>
                      <w:kern w:val="2"/>
                      <w:sz w:val="24"/>
                      <w:szCs w:val="24"/>
                      <w:highlight w:val="none"/>
                      <w:vertAlign w:val="baseline"/>
                      <w:lang w:val="en-US" w:eastAsia="zh-CN" w:bidi="ar-SA"/>
                    </w:rPr>
                    <w:t>、</w:t>
                  </w:r>
                  <w:r>
                    <w:rPr>
                      <w:rFonts w:hint="default" w:ascii="Times New Roman" w:hAnsi="Times New Roman" w:eastAsia="宋体" w:cs="Times New Roman"/>
                      <w:b w:val="0"/>
                      <w:bCs/>
                      <w:color w:val="auto"/>
                      <w:kern w:val="2"/>
                      <w:sz w:val="24"/>
                      <w:szCs w:val="24"/>
                      <w:highlight w:val="none"/>
                      <w:vertAlign w:val="baseline"/>
                      <w:lang w:val="en-US" w:eastAsia="zh-CN" w:bidi="ar-SA"/>
                    </w:rPr>
                    <w:t>SS</w:t>
                  </w:r>
                  <w:r>
                    <w:rPr>
                      <w:rFonts w:hint="eastAsia" w:ascii="Times New Roman" w:hAnsi="Times New Roman" w:eastAsia="宋体" w:cs="Times New Roman"/>
                      <w:b w:val="0"/>
                      <w:bCs/>
                      <w:color w:val="auto"/>
                      <w:kern w:val="2"/>
                      <w:sz w:val="24"/>
                      <w:szCs w:val="24"/>
                      <w:highlight w:val="none"/>
                      <w:vertAlign w:val="baseline"/>
                      <w:lang w:val="en-US" w:eastAsia="zh-CN" w:bidi="ar-SA"/>
                    </w:rPr>
                    <w:t>、</w:t>
                  </w:r>
                  <w:r>
                    <w:rPr>
                      <w:rFonts w:hint="default" w:ascii="Times New Roman" w:hAnsi="Times New Roman" w:eastAsia="宋体" w:cs="Times New Roman"/>
                      <w:b w:val="0"/>
                      <w:bCs/>
                      <w:color w:val="auto"/>
                      <w:kern w:val="2"/>
                      <w:sz w:val="24"/>
                      <w:szCs w:val="24"/>
                      <w:highlight w:val="none"/>
                      <w:vertAlign w:val="baseline"/>
                      <w:lang w:val="en-US" w:eastAsia="zh-CN" w:bidi="ar-SA"/>
                    </w:rPr>
                    <w:t>氨氮</w:t>
                  </w:r>
                  <w:r>
                    <w:rPr>
                      <w:rFonts w:hint="eastAsia" w:ascii="Times New Roman" w:hAnsi="Times New Roman" w:eastAsia="宋体" w:cs="Times New Roman"/>
                      <w:b w:val="0"/>
                      <w:bCs/>
                      <w:color w:val="auto"/>
                      <w:kern w:val="2"/>
                      <w:sz w:val="24"/>
                      <w:szCs w:val="24"/>
                      <w:highlight w:val="none"/>
                      <w:vertAlign w:val="baseline"/>
                      <w:lang w:val="en-US" w:eastAsia="zh-CN" w:bidi="ar-SA"/>
                    </w:rPr>
                    <w:t>、</w:t>
                  </w:r>
                  <w:r>
                    <w:rPr>
                      <w:rFonts w:hint="default" w:ascii="Times New Roman" w:hAnsi="Times New Roman" w:eastAsia="宋体" w:cs="Times New Roman"/>
                      <w:b w:val="0"/>
                      <w:bCs/>
                      <w:color w:val="auto"/>
                      <w:kern w:val="2"/>
                      <w:sz w:val="24"/>
                      <w:szCs w:val="24"/>
                      <w:highlight w:val="none"/>
                      <w:vertAlign w:val="baseline"/>
                      <w:lang w:val="en-US" w:eastAsia="zh-CN" w:bidi="ar-SA"/>
                    </w:rPr>
                    <w:t>TP</w:t>
                  </w:r>
                </w:p>
              </w:tc>
              <w:tc>
                <w:tcPr>
                  <w:tcW w:w="1728" w:type="dxa"/>
                  <w:shd w:val="clear" w:color="auto" w:fill="auto"/>
                  <w:vAlign w:val="center"/>
                </w:tcPr>
                <w:p w14:paraId="006692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default" w:ascii="Times New Roman" w:hAnsi="Times New Roman" w:eastAsia="宋体" w:cs="Times New Roman"/>
                      <w:b w:val="0"/>
                      <w:bCs/>
                      <w:color w:val="auto"/>
                      <w:kern w:val="2"/>
                      <w:sz w:val="24"/>
                      <w:szCs w:val="24"/>
                      <w:highlight w:val="none"/>
                      <w:vertAlign w:val="baseline"/>
                      <w:lang w:val="en-US" w:eastAsia="zh-CN" w:bidi="ar-SA"/>
                    </w:rPr>
                    <w:t>经灭活后进入化粪池（16m³）收集沉淀后，进入市政管网</w:t>
                  </w:r>
                </w:p>
              </w:tc>
            </w:tr>
            <w:tr w14:paraId="3AE32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972" w:type="dxa"/>
                  <w:vMerge w:val="continue"/>
                  <w:vAlign w:val="center"/>
                </w:tcPr>
                <w:p w14:paraId="30612E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22CE3E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shd w:val="clear" w:color="auto" w:fill="auto"/>
                  <w:vAlign w:val="center"/>
                </w:tcPr>
                <w:p w14:paraId="4C1DB1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实验后</w:t>
                  </w:r>
                  <w:r>
                    <w:rPr>
                      <w:rFonts w:hint="default" w:ascii="Times New Roman" w:hAnsi="Times New Roman" w:cs="Times New Roman"/>
                      <w:b w:val="0"/>
                      <w:bCs/>
                      <w:color w:val="auto"/>
                      <w:sz w:val="24"/>
                      <w:szCs w:val="24"/>
                      <w:highlight w:val="none"/>
                      <w:vertAlign w:val="baseline"/>
                      <w:lang w:val="en-US" w:eastAsia="zh-CN"/>
                    </w:rPr>
                    <w:t>器皿</w:t>
                  </w:r>
                  <w:r>
                    <w:rPr>
                      <w:rFonts w:hint="eastAsia" w:cs="Times New Roman"/>
                      <w:b w:val="0"/>
                      <w:bCs/>
                      <w:color w:val="auto"/>
                      <w:sz w:val="24"/>
                      <w:szCs w:val="24"/>
                      <w:highlight w:val="none"/>
                      <w:vertAlign w:val="baseline"/>
                      <w:lang w:val="en-US" w:eastAsia="zh-CN"/>
                    </w:rPr>
                    <w:t>第3~5次清洗废水</w:t>
                  </w:r>
                </w:p>
              </w:tc>
              <w:tc>
                <w:tcPr>
                  <w:tcW w:w="1621" w:type="dxa"/>
                  <w:shd w:val="clear" w:color="auto" w:fill="auto"/>
                  <w:vAlign w:val="center"/>
                </w:tcPr>
                <w:p w14:paraId="267E32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default" w:ascii="Times New Roman" w:hAnsi="Times New Roman" w:cs="Times New Roman"/>
                      <w:b w:val="0"/>
                      <w:bCs/>
                      <w:color w:val="auto"/>
                      <w:sz w:val="24"/>
                      <w:szCs w:val="24"/>
                      <w:highlight w:val="none"/>
                      <w:vertAlign w:val="baseline"/>
                      <w:lang w:val="en-US" w:eastAsia="zh-CN"/>
                    </w:rPr>
                    <w:t>器皿清洗</w:t>
                  </w:r>
                  <w:r>
                    <w:rPr>
                      <w:rFonts w:hint="eastAsia" w:cs="Times New Roman"/>
                      <w:b w:val="0"/>
                      <w:bCs/>
                      <w:color w:val="auto"/>
                      <w:sz w:val="24"/>
                      <w:szCs w:val="24"/>
                      <w:highlight w:val="none"/>
                      <w:vertAlign w:val="baseline"/>
                      <w:lang w:val="en-US" w:eastAsia="zh-CN"/>
                    </w:rPr>
                    <w:t>废水</w:t>
                  </w:r>
                </w:p>
              </w:tc>
              <w:tc>
                <w:tcPr>
                  <w:tcW w:w="1336" w:type="dxa"/>
                  <w:shd w:val="clear" w:color="auto" w:fill="auto"/>
                  <w:vAlign w:val="center"/>
                </w:tcPr>
                <w:p w14:paraId="5FF29F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含少量培养基、盐类</w:t>
                  </w:r>
                </w:p>
                <w:p w14:paraId="1E43A3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pH</w:t>
                  </w:r>
                  <w:r>
                    <w:rPr>
                      <w:rFonts w:hint="eastAsia" w:ascii="Times New Roman" w:hAnsi="Times New Roman" w:cs="Times New Roman"/>
                      <w:b w:val="0"/>
                      <w:bCs/>
                      <w:color w:val="auto"/>
                      <w:sz w:val="24"/>
                      <w:szCs w:val="24"/>
                      <w:highlight w:val="none"/>
                      <w:vertAlign w:val="baseline"/>
                      <w:lang w:val="en-US" w:eastAsia="zh-CN"/>
                    </w:rPr>
                    <w:t>、</w:t>
                  </w:r>
                  <w:r>
                    <w:rPr>
                      <w:rFonts w:hint="default" w:ascii="Times New Roman" w:hAnsi="Times New Roman" w:cs="Times New Roman"/>
                      <w:b w:val="0"/>
                      <w:bCs/>
                      <w:color w:val="auto"/>
                      <w:sz w:val="24"/>
                      <w:szCs w:val="24"/>
                      <w:highlight w:val="none"/>
                      <w:vertAlign w:val="baseline"/>
                      <w:lang w:val="en-US" w:eastAsia="zh-CN"/>
                    </w:rPr>
                    <w:t>COD</w:t>
                  </w:r>
                  <w:r>
                    <w:rPr>
                      <w:rFonts w:hint="eastAsia" w:ascii="Times New Roman" w:hAnsi="Times New Roman" w:cs="Times New Roman"/>
                      <w:b w:val="0"/>
                      <w:bCs/>
                      <w:color w:val="auto"/>
                      <w:sz w:val="24"/>
                      <w:szCs w:val="24"/>
                      <w:highlight w:val="none"/>
                      <w:vertAlign w:val="baseline"/>
                      <w:lang w:val="en-US" w:eastAsia="zh-CN"/>
                    </w:rPr>
                    <w:t>、</w:t>
                  </w:r>
                  <w:r>
                    <w:rPr>
                      <w:rFonts w:hint="default" w:ascii="Times New Roman" w:hAnsi="Times New Roman" w:cs="Times New Roman"/>
                      <w:b w:val="0"/>
                      <w:bCs/>
                      <w:color w:val="auto"/>
                      <w:sz w:val="24"/>
                      <w:szCs w:val="24"/>
                      <w:highlight w:val="none"/>
                      <w:vertAlign w:val="baseline"/>
                      <w:lang w:val="en-US" w:eastAsia="zh-CN"/>
                    </w:rPr>
                    <w:t>BOD₅</w:t>
                  </w:r>
                  <w:r>
                    <w:rPr>
                      <w:rFonts w:hint="eastAsia" w:ascii="Times New Roman" w:hAnsi="Times New Roman" w:cs="Times New Roman"/>
                      <w:b w:val="0"/>
                      <w:bCs/>
                      <w:color w:val="auto"/>
                      <w:sz w:val="24"/>
                      <w:szCs w:val="24"/>
                      <w:highlight w:val="none"/>
                      <w:vertAlign w:val="baseline"/>
                      <w:lang w:val="en-US" w:eastAsia="zh-CN"/>
                    </w:rPr>
                    <w:t>、</w:t>
                  </w:r>
                  <w:r>
                    <w:rPr>
                      <w:rFonts w:hint="default" w:ascii="Times New Roman" w:hAnsi="Times New Roman" w:cs="Times New Roman"/>
                      <w:b w:val="0"/>
                      <w:bCs/>
                      <w:color w:val="auto"/>
                      <w:sz w:val="24"/>
                      <w:szCs w:val="24"/>
                      <w:highlight w:val="none"/>
                      <w:vertAlign w:val="baseline"/>
                      <w:lang w:val="en-US" w:eastAsia="zh-CN"/>
                    </w:rPr>
                    <w:t>SS</w:t>
                  </w:r>
                  <w:r>
                    <w:rPr>
                      <w:rFonts w:hint="eastAsia" w:ascii="Times New Roman" w:hAnsi="Times New Roman" w:cs="Times New Roman"/>
                      <w:b w:val="0"/>
                      <w:bCs/>
                      <w:color w:val="auto"/>
                      <w:sz w:val="24"/>
                      <w:szCs w:val="24"/>
                      <w:highlight w:val="none"/>
                      <w:vertAlign w:val="baseline"/>
                      <w:lang w:val="en-US" w:eastAsia="zh-CN"/>
                    </w:rPr>
                    <w:t>、</w:t>
                  </w:r>
                  <w:r>
                    <w:rPr>
                      <w:rFonts w:hint="default" w:ascii="Times New Roman" w:hAnsi="Times New Roman" w:cs="Times New Roman"/>
                      <w:b w:val="0"/>
                      <w:bCs/>
                      <w:color w:val="auto"/>
                      <w:sz w:val="24"/>
                      <w:szCs w:val="24"/>
                      <w:highlight w:val="none"/>
                      <w:vertAlign w:val="baseline"/>
                      <w:lang w:val="en-US" w:eastAsia="zh-CN"/>
                    </w:rPr>
                    <w:t>氨氮</w:t>
                  </w:r>
                  <w:r>
                    <w:rPr>
                      <w:rFonts w:hint="eastAsia" w:ascii="Times New Roman" w:hAnsi="Times New Roman" w:cs="Times New Roman"/>
                      <w:b w:val="0"/>
                      <w:bCs/>
                      <w:color w:val="auto"/>
                      <w:sz w:val="24"/>
                      <w:szCs w:val="24"/>
                      <w:highlight w:val="none"/>
                      <w:vertAlign w:val="baseline"/>
                      <w:lang w:val="en-US" w:eastAsia="zh-CN"/>
                    </w:rPr>
                    <w:t>、</w:t>
                  </w:r>
                  <w:r>
                    <w:rPr>
                      <w:rFonts w:hint="default" w:ascii="Times New Roman" w:hAnsi="Times New Roman" w:cs="Times New Roman"/>
                      <w:b w:val="0"/>
                      <w:bCs/>
                      <w:color w:val="auto"/>
                      <w:sz w:val="24"/>
                      <w:szCs w:val="24"/>
                      <w:highlight w:val="none"/>
                      <w:vertAlign w:val="baseline"/>
                      <w:lang w:val="en-US" w:eastAsia="zh-CN"/>
                    </w:rPr>
                    <w:t>TP</w:t>
                  </w:r>
                  <w:r>
                    <w:rPr>
                      <w:rFonts w:hint="eastAsia" w:ascii="Times New Roman" w:hAnsi="Times New Roman" w:cs="Times New Roman"/>
                      <w:b w:val="0"/>
                      <w:bCs/>
                      <w:color w:val="auto"/>
                      <w:sz w:val="24"/>
                      <w:szCs w:val="24"/>
                      <w:highlight w:val="none"/>
                      <w:vertAlign w:val="baseline"/>
                      <w:lang w:val="en-US" w:eastAsia="zh-CN"/>
                    </w:rPr>
                    <w:t>、</w:t>
                  </w:r>
                </w:p>
                <w:p w14:paraId="327262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kern w:val="2"/>
                      <w:sz w:val="22"/>
                      <w:szCs w:val="22"/>
                      <w:highlight w:val="none"/>
                      <w:shd w:val="clear" w:fill="FFFFFF"/>
                      <w:lang w:val="en-US" w:eastAsia="zh-CN" w:bidi="ar-SA"/>
                    </w:rPr>
                  </w:pPr>
                  <w:r>
                    <w:rPr>
                      <w:rFonts w:hint="default" w:ascii="Times New Roman" w:hAnsi="Times New Roman" w:cs="Times New Roman"/>
                      <w:b w:val="0"/>
                      <w:bCs/>
                      <w:color w:val="auto"/>
                      <w:sz w:val="24"/>
                      <w:szCs w:val="24"/>
                      <w:highlight w:val="none"/>
                      <w:vertAlign w:val="baseline"/>
                      <w:lang w:val="en-US" w:eastAsia="zh-CN"/>
                    </w:rPr>
                    <w:t>色度</w:t>
                  </w:r>
                </w:p>
              </w:tc>
              <w:tc>
                <w:tcPr>
                  <w:tcW w:w="1728" w:type="dxa"/>
                  <w:shd w:val="clear" w:color="auto" w:fill="auto"/>
                  <w:vAlign w:val="center"/>
                </w:tcPr>
                <w:p w14:paraId="0CD61B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进入化粪池（16m³）收集沉淀后，进入市政管网</w:t>
                  </w:r>
                </w:p>
              </w:tc>
            </w:tr>
            <w:tr w14:paraId="0A23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72" w:type="dxa"/>
                  <w:vMerge w:val="continue"/>
                  <w:vAlign w:val="center"/>
                </w:tcPr>
                <w:p w14:paraId="0A3016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restart"/>
                  <w:vAlign w:val="center"/>
                </w:tcPr>
                <w:p w14:paraId="715B04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固废</w:t>
                  </w:r>
                </w:p>
              </w:tc>
              <w:tc>
                <w:tcPr>
                  <w:tcW w:w="1459" w:type="dxa"/>
                  <w:vAlign w:val="center"/>
                </w:tcPr>
                <w:p w14:paraId="08A606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试剂配制</w:t>
                  </w:r>
                </w:p>
              </w:tc>
              <w:tc>
                <w:tcPr>
                  <w:tcW w:w="1621" w:type="dxa"/>
                  <w:vAlign w:val="center"/>
                </w:tcPr>
                <w:p w14:paraId="71B582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实验废液</w:t>
                  </w:r>
                </w:p>
              </w:tc>
              <w:tc>
                <w:tcPr>
                  <w:tcW w:w="1336" w:type="dxa"/>
                  <w:vAlign w:val="center"/>
                </w:tcPr>
                <w:p w14:paraId="67FF81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eastAsia" w:cs="Times New Roman"/>
                      <w:b w:val="0"/>
                      <w:bCs/>
                      <w:color w:val="auto"/>
                      <w:sz w:val="24"/>
                      <w:szCs w:val="24"/>
                      <w:highlight w:val="none"/>
                      <w:vertAlign w:val="baseline"/>
                      <w:lang w:val="en-US" w:eastAsia="zh-CN"/>
                    </w:rPr>
                    <w:t>化学品</w:t>
                  </w:r>
                </w:p>
              </w:tc>
              <w:tc>
                <w:tcPr>
                  <w:tcW w:w="1728" w:type="dxa"/>
                  <w:vAlign w:val="center"/>
                </w:tcPr>
                <w:p w14:paraId="0D374A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PE桶收集后，暂存于危险废物暂存库内，定期交由有资质单位进行处置</w:t>
                  </w:r>
                </w:p>
              </w:tc>
            </w:tr>
            <w:tr w14:paraId="6EEA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72" w:type="dxa"/>
                  <w:vMerge w:val="continue"/>
                  <w:vAlign w:val="center"/>
                </w:tcPr>
                <w:p w14:paraId="53C2F1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383FC1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443C2D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器皿第1~2次清洗废水</w:t>
                  </w:r>
                </w:p>
              </w:tc>
              <w:tc>
                <w:tcPr>
                  <w:tcW w:w="1621" w:type="dxa"/>
                  <w:vAlign w:val="center"/>
                </w:tcPr>
                <w:p w14:paraId="5D6E31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高浓度清洗废水</w:t>
                  </w:r>
                </w:p>
              </w:tc>
              <w:tc>
                <w:tcPr>
                  <w:tcW w:w="1336" w:type="dxa"/>
                  <w:vAlign w:val="center"/>
                </w:tcPr>
                <w:p w14:paraId="372377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eastAsia" w:cs="Times New Roman"/>
                      <w:b w:val="0"/>
                      <w:bCs/>
                      <w:color w:val="auto"/>
                      <w:sz w:val="24"/>
                      <w:szCs w:val="24"/>
                      <w:highlight w:val="none"/>
                      <w:vertAlign w:val="baseline"/>
                      <w:lang w:val="en-US" w:eastAsia="zh-CN"/>
                    </w:rPr>
                    <w:t>化学试剂</w:t>
                  </w:r>
                </w:p>
              </w:tc>
              <w:tc>
                <w:tcPr>
                  <w:tcW w:w="1728" w:type="dxa"/>
                  <w:vAlign w:val="center"/>
                </w:tcPr>
                <w:p w14:paraId="77F041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PE桶收集后，暂存于危险废物暂存库内，定期交由有资质单位进行处置</w:t>
                  </w:r>
                </w:p>
              </w:tc>
            </w:tr>
            <w:tr w14:paraId="5D06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72" w:type="dxa"/>
                  <w:vMerge w:val="continue"/>
                  <w:vAlign w:val="center"/>
                </w:tcPr>
                <w:p w14:paraId="22D623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097C1F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shd w:val="clear" w:color="auto" w:fill="auto"/>
                  <w:vAlign w:val="center"/>
                </w:tcPr>
                <w:p w14:paraId="0D4C5D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培养基</w:t>
                  </w:r>
                </w:p>
              </w:tc>
              <w:tc>
                <w:tcPr>
                  <w:tcW w:w="1621" w:type="dxa"/>
                  <w:shd w:val="clear" w:color="auto" w:fill="auto"/>
                  <w:vAlign w:val="center"/>
                </w:tcPr>
                <w:p w14:paraId="01C416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灭活废弃培养基</w:t>
                  </w:r>
                </w:p>
              </w:tc>
              <w:tc>
                <w:tcPr>
                  <w:tcW w:w="1336" w:type="dxa"/>
                  <w:shd w:val="clear" w:color="auto" w:fill="auto"/>
                  <w:vAlign w:val="center"/>
                </w:tcPr>
                <w:p w14:paraId="292260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含微生物的琼脂平板、培养液</w:t>
                  </w:r>
                </w:p>
              </w:tc>
              <w:tc>
                <w:tcPr>
                  <w:tcW w:w="1728" w:type="dxa"/>
                  <w:shd w:val="clear" w:color="auto" w:fill="auto"/>
                  <w:vAlign w:val="center"/>
                </w:tcPr>
                <w:p w14:paraId="560B11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灭活后的按照一般固废进行处置，与厂区生活垃圾一同处置</w:t>
                  </w:r>
                </w:p>
              </w:tc>
            </w:tr>
            <w:tr w14:paraId="612B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72" w:type="dxa"/>
                  <w:vMerge w:val="continue"/>
                  <w:vAlign w:val="center"/>
                </w:tcPr>
                <w:p w14:paraId="1BAD74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5E3208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15233B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废试剂瓶</w:t>
                  </w:r>
                </w:p>
              </w:tc>
              <w:tc>
                <w:tcPr>
                  <w:tcW w:w="1621" w:type="dxa"/>
                  <w:vAlign w:val="center"/>
                </w:tcPr>
                <w:p w14:paraId="586874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废试剂瓶</w:t>
                  </w:r>
                </w:p>
              </w:tc>
              <w:tc>
                <w:tcPr>
                  <w:tcW w:w="1336" w:type="dxa"/>
                  <w:vAlign w:val="center"/>
                </w:tcPr>
                <w:p w14:paraId="4FF9A9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玻璃/塑料</w:t>
                  </w:r>
                </w:p>
              </w:tc>
              <w:tc>
                <w:tcPr>
                  <w:tcW w:w="1728" w:type="dxa"/>
                  <w:vAlign w:val="center"/>
                </w:tcPr>
                <w:p w14:paraId="6826BA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作为危险废物处置</w:t>
                  </w:r>
                </w:p>
              </w:tc>
            </w:tr>
            <w:tr w14:paraId="6CBC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72" w:type="dxa"/>
                  <w:vMerge w:val="continue"/>
                  <w:vAlign w:val="center"/>
                </w:tcPr>
                <w:p w14:paraId="1615AA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0719A4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6A0CA6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变质或失效的试剂</w:t>
                  </w:r>
                </w:p>
              </w:tc>
              <w:tc>
                <w:tcPr>
                  <w:tcW w:w="1621" w:type="dxa"/>
                  <w:vAlign w:val="center"/>
                </w:tcPr>
                <w:p w14:paraId="18B747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变质或失效的试剂</w:t>
                  </w:r>
                </w:p>
              </w:tc>
              <w:tc>
                <w:tcPr>
                  <w:tcW w:w="1336" w:type="dxa"/>
                  <w:vAlign w:val="center"/>
                </w:tcPr>
                <w:p w14:paraId="1E8F7B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废酸、废碱、重金属化合物等</w:t>
                  </w:r>
                </w:p>
              </w:tc>
              <w:tc>
                <w:tcPr>
                  <w:tcW w:w="1728" w:type="dxa"/>
                  <w:vAlign w:val="center"/>
                </w:tcPr>
                <w:p w14:paraId="2E4101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作为危险废物处置</w:t>
                  </w:r>
                </w:p>
              </w:tc>
            </w:tr>
            <w:tr w14:paraId="579B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72" w:type="dxa"/>
                  <w:vMerge w:val="continue"/>
                  <w:vAlign w:val="center"/>
                </w:tcPr>
                <w:p w14:paraId="2F250C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5FB3A5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6B29E9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包装材料</w:t>
                  </w:r>
                </w:p>
              </w:tc>
              <w:tc>
                <w:tcPr>
                  <w:tcW w:w="1621" w:type="dxa"/>
                  <w:vAlign w:val="center"/>
                </w:tcPr>
                <w:p w14:paraId="1E3A6F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沾染试剂的废弃包装物</w:t>
                  </w:r>
                </w:p>
              </w:tc>
              <w:tc>
                <w:tcPr>
                  <w:tcW w:w="1336" w:type="dxa"/>
                  <w:vAlign w:val="center"/>
                </w:tcPr>
                <w:p w14:paraId="12C83A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eastAsia" w:cs="Times New Roman"/>
                      <w:b w:val="0"/>
                      <w:bCs/>
                      <w:color w:val="auto"/>
                      <w:sz w:val="24"/>
                      <w:szCs w:val="24"/>
                      <w:highlight w:val="none"/>
                      <w:vertAlign w:val="baseline"/>
                      <w:lang w:val="en-US" w:eastAsia="zh-CN"/>
                    </w:rPr>
                    <w:t>化学试剂</w:t>
                  </w:r>
                </w:p>
              </w:tc>
              <w:tc>
                <w:tcPr>
                  <w:tcW w:w="1728" w:type="dxa"/>
                  <w:vAlign w:val="center"/>
                </w:tcPr>
                <w:p w14:paraId="325D0B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暂存于危险废物暂存库内，定期交由有资质单位进行处置。</w:t>
                  </w:r>
                </w:p>
              </w:tc>
            </w:tr>
            <w:tr w14:paraId="5A7E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72" w:type="dxa"/>
                  <w:vMerge w:val="continue"/>
                  <w:vAlign w:val="center"/>
                </w:tcPr>
                <w:p w14:paraId="3681C3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58E163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2A6430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eastAsia="宋体" w:cs="Times New Roman"/>
                      <w:b w:val="0"/>
                      <w:bCs/>
                      <w:color w:val="auto"/>
                      <w:sz w:val="24"/>
                      <w:szCs w:val="24"/>
                      <w:highlight w:val="none"/>
                      <w:vertAlign w:val="baseline"/>
                      <w:lang w:val="en-US" w:eastAsia="zh-CN"/>
                    </w:rPr>
                    <w:t>一般实验垃圾</w:t>
                  </w:r>
                </w:p>
              </w:tc>
              <w:tc>
                <w:tcPr>
                  <w:tcW w:w="1621" w:type="dxa"/>
                  <w:vAlign w:val="center"/>
                </w:tcPr>
                <w:p w14:paraId="5B95B1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没有沾染药剂的废包装物</w:t>
                  </w:r>
                </w:p>
              </w:tc>
              <w:tc>
                <w:tcPr>
                  <w:tcW w:w="1336" w:type="dxa"/>
                  <w:vAlign w:val="center"/>
                </w:tcPr>
                <w:p w14:paraId="15B9E9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default" w:cs="Times New Roman"/>
                      <w:b w:val="0"/>
                      <w:bCs/>
                      <w:color w:val="auto"/>
                      <w:sz w:val="24"/>
                      <w:szCs w:val="24"/>
                      <w:highlight w:val="none"/>
                      <w:vertAlign w:val="baseline"/>
                      <w:lang w:val="en-US" w:eastAsia="zh-CN"/>
                    </w:rPr>
                    <w:t>普通废物</w:t>
                  </w:r>
                </w:p>
              </w:tc>
              <w:tc>
                <w:tcPr>
                  <w:tcW w:w="1728" w:type="dxa"/>
                  <w:vAlign w:val="center"/>
                </w:tcPr>
                <w:p w14:paraId="7B3F25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分类收集，按生活垃圾处理</w:t>
                  </w:r>
                </w:p>
              </w:tc>
            </w:tr>
            <w:tr w14:paraId="3A64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972" w:type="dxa"/>
                  <w:vMerge w:val="restart"/>
                  <w:vAlign w:val="center"/>
                </w:tcPr>
                <w:p w14:paraId="140347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物理实验室</w:t>
                  </w:r>
                </w:p>
              </w:tc>
              <w:tc>
                <w:tcPr>
                  <w:tcW w:w="823" w:type="dxa"/>
                  <w:vAlign w:val="center"/>
                </w:tcPr>
                <w:p w14:paraId="156D79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废气</w:t>
                  </w:r>
                </w:p>
              </w:tc>
              <w:tc>
                <w:tcPr>
                  <w:tcW w:w="1459" w:type="dxa"/>
                  <w:vAlign w:val="center"/>
                </w:tcPr>
                <w:p w14:paraId="5C45DC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w:t>
                  </w:r>
                </w:p>
              </w:tc>
              <w:tc>
                <w:tcPr>
                  <w:tcW w:w="1621" w:type="dxa"/>
                  <w:vAlign w:val="center"/>
                </w:tcPr>
                <w:p w14:paraId="5047E1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w:t>
                  </w:r>
                </w:p>
              </w:tc>
              <w:tc>
                <w:tcPr>
                  <w:tcW w:w="1336" w:type="dxa"/>
                  <w:vAlign w:val="center"/>
                </w:tcPr>
                <w:p w14:paraId="68B78C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eastAsia" w:cs="Times New Roman"/>
                      <w:i w:val="0"/>
                      <w:iCs w:val="0"/>
                      <w:caps w:val="0"/>
                      <w:color w:val="auto"/>
                      <w:spacing w:val="0"/>
                      <w:sz w:val="22"/>
                      <w:szCs w:val="22"/>
                      <w:highlight w:val="none"/>
                      <w:shd w:val="clear" w:fill="FFFFFF"/>
                      <w:lang w:val="en-US" w:eastAsia="zh-CN"/>
                    </w:rPr>
                    <w:t>/</w:t>
                  </w:r>
                </w:p>
              </w:tc>
              <w:tc>
                <w:tcPr>
                  <w:tcW w:w="1728" w:type="dxa"/>
                  <w:vAlign w:val="center"/>
                </w:tcPr>
                <w:p w14:paraId="36529F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w:t>
                  </w:r>
                </w:p>
              </w:tc>
            </w:tr>
            <w:tr w14:paraId="746C4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972" w:type="dxa"/>
                  <w:vMerge w:val="continue"/>
                  <w:vAlign w:val="center"/>
                </w:tcPr>
                <w:p w14:paraId="27CC04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restart"/>
                  <w:vAlign w:val="center"/>
                </w:tcPr>
                <w:p w14:paraId="566F87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废水</w:t>
                  </w:r>
                </w:p>
              </w:tc>
              <w:tc>
                <w:tcPr>
                  <w:tcW w:w="1459" w:type="dxa"/>
                  <w:vAlign w:val="center"/>
                </w:tcPr>
                <w:p w14:paraId="1270E1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实验</w:t>
                  </w:r>
                  <w:r>
                    <w:rPr>
                      <w:rFonts w:hint="eastAsia" w:cs="Times New Roman"/>
                      <w:b w:val="0"/>
                      <w:bCs/>
                      <w:color w:val="auto"/>
                      <w:sz w:val="24"/>
                      <w:szCs w:val="24"/>
                      <w:highlight w:val="none"/>
                      <w:vertAlign w:val="baseline"/>
                      <w:lang w:val="en-US" w:eastAsia="zh-CN"/>
                    </w:rPr>
                    <w:t>前器皿冲洗用水</w:t>
                  </w:r>
                </w:p>
              </w:tc>
              <w:tc>
                <w:tcPr>
                  <w:tcW w:w="1621" w:type="dxa"/>
                  <w:vAlign w:val="center"/>
                </w:tcPr>
                <w:p w14:paraId="6B89BC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清洗废水</w:t>
                  </w:r>
                </w:p>
              </w:tc>
              <w:tc>
                <w:tcPr>
                  <w:tcW w:w="1336" w:type="dxa"/>
                  <w:vAlign w:val="center"/>
                </w:tcPr>
                <w:p w14:paraId="4F125D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极少量盐类、无毒性物质</w:t>
                  </w:r>
                </w:p>
                <w:p w14:paraId="26665D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default" w:cs="Times New Roman"/>
                      <w:b w:val="0"/>
                      <w:bCs/>
                      <w:color w:val="auto"/>
                      <w:sz w:val="24"/>
                      <w:szCs w:val="24"/>
                      <w:highlight w:val="none"/>
                      <w:vertAlign w:val="baseline"/>
                      <w:lang w:val="en-US" w:eastAsia="zh-CN"/>
                    </w:rPr>
                    <w:t>pH</w:t>
                  </w:r>
                  <w:r>
                    <w:rPr>
                      <w:rFonts w:hint="eastAsia" w:cs="Times New Roman"/>
                      <w:b w:val="0"/>
                      <w:bCs/>
                      <w:color w:val="auto"/>
                      <w:sz w:val="24"/>
                      <w:szCs w:val="24"/>
                      <w:highlight w:val="none"/>
                      <w:vertAlign w:val="baseline"/>
                      <w:lang w:val="en-US" w:eastAsia="zh-CN"/>
                    </w:rPr>
                    <w:t>、</w:t>
                  </w:r>
                  <w:r>
                    <w:rPr>
                      <w:rFonts w:hint="default" w:cs="Times New Roman"/>
                      <w:b w:val="0"/>
                      <w:bCs/>
                      <w:color w:val="auto"/>
                      <w:sz w:val="24"/>
                      <w:szCs w:val="24"/>
                      <w:highlight w:val="none"/>
                      <w:vertAlign w:val="baseline"/>
                      <w:lang w:val="en-US" w:eastAsia="zh-CN"/>
                    </w:rPr>
                    <w:t>COD</w:t>
                  </w:r>
                  <w:r>
                    <w:rPr>
                      <w:rFonts w:hint="eastAsia" w:cs="Times New Roman"/>
                      <w:b w:val="0"/>
                      <w:bCs/>
                      <w:color w:val="auto"/>
                      <w:sz w:val="24"/>
                      <w:szCs w:val="24"/>
                      <w:highlight w:val="none"/>
                      <w:vertAlign w:val="baseline"/>
                      <w:lang w:val="en-US" w:eastAsia="zh-CN"/>
                    </w:rPr>
                    <w:t>、</w:t>
                  </w:r>
                  <w:r>
                    <w:rPr>
                      <w:rFonts w:hint="default" w:cs="Times New Roman"/>
                      <w:b w:val="0"/>
                      <w:bCs/>
                      <w:color w:val="auto"/>
                      <w:sz w:val="24"/>
                      <w:szCs w:val="24"/>
                      <w:highlight w:val="none"/>
                      <w:vertAlign w:val="baseline"/>
                      <w:lang w:val="en-US" w:eastAsia="zh-CN"/>
                    </w:rPr>
                    <w:t>BOD₅</w:t>
                  </w:r>
                  <w:r>
                    <w:rPr>
                      <w:rFonts w:hint="eastAsia" w:cs="Times New Roman"/>
                      <w:b w:val="0"/>
                      <w:bCs/>
                      <w:color w:val="auto"/>
                      <w:sz w:val="24"/>
                      <w:szCs w:val="24"/>
                      <w:highlight w:val="none"/>
                      <w:vertAlign w:val="baseline"/>
                      <w:lang w:val="en-US" w:eastAsia="zh-CN"/>
                    </w:rPr>
                    <w:t>、</w:t>
                  </w:r>
                  <w:r>
                    <w:rPr>
                      <w:rFonts w:hint="default" w:cs="Times New Roman"/>
                      <w:b w:val="0"/>
                      <w:bCs/>
                      <w:color w:val="auto"/>
                      <w:sz w:val="24"/>
                      <w:szCs w:val="24"/>
                      <w:highlight w:val="none"/>
                      <w:vertAlign w:val="baseline"/>
                      <w:lang w:val="en-US" w:eastAsia="zh-CN"/>
                    </w:rPr>
                    <w:t>SS</w:t>
                  </w:r>
                </w:p>
              </w:tc>
              <w:tc>
                <w:tcPr>
                  <w:tcW w:w="1728" w:type="dxa"/>
                  <w:vMerge w:val="restart"/>
                  <w:vAlign w:val="center"/>
                </w:tcPr>
                <w:p w14:paraId="3CB08D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进入化粪池（16m³）收集沉淀后，进入市政管网</w:t>
                  </w:r>
                </w:p>
              </w:tc>
            </w:tr>
            <w:tr w14:paraId="2372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972" w:type="dxa"/>
                  <w:vMerge w:val="continue"/>
                  <w:vAlign w:val="center"/>
                </w:tcPr>
                <w:p w14:paraId="40CAB5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63A153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01241B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冷却水</w:t>
                  </w:r>
                </w:p>
              </w:tc>
              <w:tc>
                <w:tcPr>
                  <w:tcW w:w="1621" w:type="dxa"/>
                  <w:vAlign w:val="center"/>
                </w:tcPr>
                <w:p w14:paraId="7C771B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冷却循环系统排污废水</w:t>
                  </w:r>
                </w:p>
              </w:tc>
              <w:tc>
                <w:tcPr>
                  <w:tcW w:w="1336" w:type="dxa"/>
                  <w:vAlign w:val="center"/>
                </w:tcPr>
                <w:p w14:paraId="4E5E77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default" w:ascii="Times New Roman" w:hAnsi="Times New Roman" w:eastAsia="宋体" w:cs="Times New Roman"/>
                      <w:i w:val="0"/>
                      <w:iCs w:val="0"/>
                      <w:caps w:val="0"/>
                      <w:color w:val="auto"/>
                      <w:spacing w:val="0"/>
                      <w:sz w:val="22"/>
                      <w:szCs w:val="22"/>
                      <w:highlight w:val="none"/>
                      <w:shd w:val="clear" w:fill="FFFFFF"/>
                      <w:lang w:val="en-US" w:eastAsia="zh-CN"/>
                    </w:rPr>
                    <w:t>pH</w:t>
                  </w:r>
                  <w:r>
                    <w:rPr>
                      <w:rFonts w:hint="eastAsia" w:cs="Times New Roman"/>
                      <w:i w:val="0"/>
                      <w:iCs w:val="0"/>
                      <w:caps w:val="0"/>
                      <w:color w:val="auto"/>
                      <w:spacing w:val="0"/>
                      <w:sz w:val="22"/>
                      <w:szCs w:val="22"/>
                      <w:highlight w:val="none"/>
                      <w:shd w:val="clear" w:fill="FFFFFF"/>
                      <w:lang w:val="en-US" w:eastAsia="zh-CN"/>
                    </w:rPr>
                    <w:t>、</w:t>
                  </w:r>
                  <w:r>
                    <w:rPr>
                      <w:rFonts w:hint="default" w:ascii="Times New Roman" w:hAnsi="Times New Roman" w:eastAsia="宋体" w:cs="Times New Roman"/>
                      <w:i w:val="0"/>
                      <w:iCs w:val="0"/>
                      <w:caps w:val="0"/>
                      <w:color w:val="auto"/>
                      <w:spacing w:val="0"/>
                      <w:sz w:val="22"/>
                      <w:szCs w:val="22"/>
                      <w:highlight w:val="none"/>
                      <w:shd w:val="clear" w:fill="FFFFFF"/>
                      <w:lang w:val="en-US" w:eastAsia="zh-CN"/>
                    </w:rPr>
                    <w:t>COD</w:t>
                  </w:r>
                  <w:r>
                    <w:rPr>
                      <w:rFonts w:hint="eastAsia" w:cs="Times New Roman"/>
                      <w:i w:val="0"/>
                      <w:iCs w:val="0"/>
                      <w:caps w:val="0"/>
                      <w:color w:val="auto"/>
                      <w:spacing w:val="0"/>
                      <w:sz w:val="22"/>
                      <w:szCs w:val="22"/>
                      <w:highlight w:val="none"/>
                      <w:shd w:val="clear" w:fill="FFFFFF"/>
                      <w:lang w:val="en-US" w:eastAsia="zh-CN"/>
                    </w:rPr>
                    <w:t>、</w:t>
                  </w:r>
                  <w:r>
                    <w:rPr>
                      <w:rFonts w:hint="default" w:ascii="Times New Roman" w:hAnsi="Times New Roman" w:eastAsia="宋体" w:cs="Times New Roman"/>
                      <w:i w:val="0"/>
                      <w:iCs w:val="0"/>
                      <w:caps w:val="0"/>
                      <w:color w:val="auto"/>
                      <w:spacing w:val="0"/>
                      <w:sz w:val="22"/>
                      <w:szCs w:val="22"/>
                      <w:highlight w:val="none"/>
                      <w:shd w:val="clear" w:fill="FFFFFF"/>
                      <w:lang w:val="en-US" w:eastAsia="zh-CN"/>
                    </w:rPr>
                    <w:t>BOD₅</w:t>
                  </w:r>
                  <w:r>
                    <w:rPr>
                      <w:rFonts w:hint="eastAsia" w:cs="Times New Roman"/>
                      <w:i w:val="0"/>
                      <w:iCs w:val="0"/>
                      <w:caps w:val="0"/>
                      <w:color w:val="auto"/>
                      <w:spacing w:val="0"/>
                      <w:sz w:val="22"/>
                      <w:szCs w:val="22"/>
                      <w:highlight w:val="none"/>
                      <w:shd w:val="clear" w:fill="FFFFFF"/>
                      <w:lang w:val="en-US" w:eastAsia="zh-CN"/>
                    </w:rPr>
                    <w:t>、</w:t>
                  </w:r>
                  <w:r>
                    <w:rPr>
                      <w:rFonts w:hint="default" w:ascii="Times New Roman" w:hAnsi="Times New Roman" w:eastAsia="宋体" w:cs="Times New Roman"/>
                      <w:i w:val="0"/>
                      <w:iCs w:val="0"/>
                      <w:caps w:val="0"/>
                      <w:color w:val="auto"/>
                      <w:spacing w:val="0"/>
                      <w:sz w:val="22"/>
                      <w:szCs w:val="22"/>
                      <w:highlight w:val="none"/>
                      <w:shd w:val="clear" w:fill="FFFFFF"/>
                      <w:lang w:val="en-US" w:eastAsia="zh-CN"/>
                    </w:rPr>
                    <w:t>SS</w:t>
                  </w:r>
                </w:p>
              </w:tc>
              <w:tc>
                <w:tcPr>
                  <w:tcW w:w="1728" w:type="dxa"/>
                  <w:vMerge w:val="continue"/>
                  <w:vAlign w:val="center"/>
                </w:tcPr>
                <w:p w14:paraId="07284A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r>
            <w:tr w14:paraId="32E5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972" w:type="dxa"/>
                  <w:vMerge w:val="continue"/>
                  <w:vAlign w:val="center"/>
                </w:tcPr>
                <w:p w14:paraId="6DA9D4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Merge w:val="continue"/>
                  <w:vAlign w:val="center"/>
                </w:tcPr>
                <w:p w14:paraId="591E46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1459" w:type="dxa"/>
                  <w:vAlign w:val="center"/>
                </w:tcPr>
                <w:p w14:paraId="5DCB5B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实验后器皿冲洗</w:t>
                  </w:r>
                </w:p>
              </w:tc>
              <w:tc>
                <w:tcPr>
                  <w:tcW w:w="1621" w:type="dxa"/>
                  <w:vAlign w:val="center"/>
                </w:tcPr>
                <w:p w14:paraId="6C19FC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实验后器皿冲洗废水</w:t>
                  </w:r>
                </w:p>
              </w:tc>
              <w:tc>
                <w:tcPr>
                  <w:tcW w:w="1336" w:type="dxa"/>
                  <w:vAlign w:val="center"/>
                </w:tcPr>
                <w:p w14:paraId="53CDCB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default" w:ascii="Times New Roman" w:hAnsi="Times New Roman" w:eastAsia="宋体" w:cs="Times New Roman"/>
                      <w:i w:val="0"/>
                      <w:iCs w:val="0"/>
                      <w:caps w:val="0"/>
                      <w:color w:val="auto"/>
                      <w:spacing w:val="0"/>
                      <w:sz w:val="22"/>
                      <w:szCs w:val="22"/>
                      <w:highlight w:val="none"/>
                      <w:shd w:val="clear" w:fill="FFFFFF"/>
                      <w:lang w:val="en-US" w:eastAsia="zh-CN"/>
                    </w:rPr>
                    <w:t>pH</w:t>
                  </w:r>
                  <w:r>
                    <w:rPr>
                      <w:rFonts w:hint="eastAsia" w:cs="Times New Roman"/>
                      <w:i w:val="0"/>
                      <w:iCs w:val="0"/>
                      <w:caps w:val="0"/>
                      <w:color w:val="auto"/>
                      <w:spacing w:val="0"/>
                      <w:sz w:val="22"/>
                      <w:szCs w:val="22"/>
                      <w:highlight w:val="none"/>
                      <w:shd w:val="clear" w:fill="FFFFFF"/>
                      <w:lang w:val="en-US" w:eastAsia="zh-CN"/>
                    </w:rPr>
                    <w:t>、</w:t>
                  </w:r>
                  <w:r>
                    <w:rPr>
                      <w:rFonts w:hint="default" w:ascii="Times New Roman" w:hAnsi="Times New Roman" w:eastAsia="宋体" w:cs="Times New Roman"/>
                      <w:i w:val="0"/>
                      <w:iCs w:val="0"/>
                      <w:caps w:val="0"/>
                      <w:color w:val="auto"/>
                      <w:spacing w:val="0"/>
                      <w:sz w:val="22"/>
                      <w:szCs w:val="22"/>
                      <w:highlight w:val="none"/>
                      <w:shd w:val="clear" w:fill="FFFFFF"/>
                      <w:lang w:val="en-US" w:eastAsia="zh-CN"/>
                    </w:rPr>
                    <w:t>COD</w:t>
                  </w:r>
                  <w:r>
                    <w:rPr>
                      <w:rFonts w:hint="eastAsia" w:cs="Times New Roman"/>
                      <w:i w:val="0"/>
                      <w:iCs w:val="0"/>
                      <w:caps w:val="0"/>
                      <w:color w:val="auto"/>
                      <w:spacing w:val="0"/>
                      <w:sz w:val="22"/>
                      <w:szCs w:val="22"/>
                      <w:highlight w:val="none"/>
                      <w:shd w:val="clear" w:fill="FFFFFF"/>
                      <w:lang w:val="en-US" w:eastAsia="zh-CN"/>
                    </w:rPr>
                    <w:t>、</w:t>
                  </w:r>
                  <w:r>
                    <w:rPr>
                      <w:rFonts w:hint="default" w:ascii="Times New Roman" w:hAnsi="Times New Roman" w:eastAsia="宋体" w:cs="Times New Roman"/>
                      <w:i w:val="0"/>
                      <w:iCs w:val="0"/>
                      <w:caps w:val="0"/>
                      <w:color w:val="auto"/>
                      <w:spacing w:val="0"/>
                      <w:sz w:val="22"/>
                      <w:szCs w:val="22"/>
                      <w:highlight w:val="none"/>
                      <w:shd w:val="clear" w:fill="FFFFFF"/>
                      <w:lang w:val="en-US" w:eastAsia="zh-CN"/>
                    </w:rPr>
                    <w:t>BOD₅</w:t>
                  </w:r>
                  <w:r>
                    <w:rPr>
                      <w:rFonts w:hint="eastAsia" w:cs="Times New Roman"/>
                      <w:i w:val="0"/>
                      <w:iCs w:val="0"/>
                      <w:caps w:val="0"/>
                      <w:color w:val="auto"/>
                      <w:spacing w:val="0"/>
                      <w:sz w:val="22"/>
                      <w:szCs w:val="22"/>
                      <w:highlight w:val="none"/>
                      <w:shd w:val="clear" w:fill="FFFFFF"/>
                      <w:lang w:val="en-US" w:eastAsia="zh-CN"/>
                    </w:rPr>
                    <w:t>、</w:t>
                  </w:r>
                  <w:r>
                    <w:rPr>
                      <w:rFonts w:hint="default" w:ascii="Times New Roman" w:hAnsi="Times New Roman" w:eastAsia="宋体" w:cs="Times New Roman"/>
                      <w:i w:val="0"/>
                      <w:iCs w:val="0"/>
                      <w:caps w:val="0"/>
                      <w:color w:val="auto"/>
                      <w:spacing w:val="0"/>
                      <w:sz w:val="22"/>
                      <w:szCs w:val="22"/>
                      <w:highlight w:val="none"/>
                      <w:shd w:val="clear" w:fill="FFFFFF"/>
                      <w:lang w:val="en-US" w:eastAsia="zh-CN"/>
                    </w:rPr>
                    <w:t>SS</w:t>
                  </w:r>
                </w:p>
              </w:tc>
              <w:tc>
                <w:tcPr>
                  <w:tcW w:w="1728" w:type="dxa"/>
                  <w:vMerge w:val="continue"/>
                  <w:vAlign w:val="center"/>
                </w:tcPr>
                <w:p w14:paraId="2ACC1F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r>
            <w:tr w14:paraId="201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72" w:type="dxa"/>
                  <w:vMerge w:val="continue"/>
                  <w:vAlign w:val="center"/>
                </w:tcPr>
                <w:p w14:paraId="46DC7F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Align w:val="center"/>
                </w:tcPr>
                <w:p w14:paraId="76FEC3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固废</w:t>
                  </w:r>
                </w:p>
              </w:tc>
              <w:tc>
                <w:tcPr>
                  <w:tcW w:w="1459" w:type="dxa"/>
                  <w:vAlign w:val="center"/>
                </w:tcPr>
                <w:p w14:paraId="279434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器材</w:t>
                  </w:r>
                  <w:r>
                    <w:rPr>
                      <w:rFonts w:hint="default" w:ascii="Times New Roman" w:hAnsi="Times New Roman" w:cs="Times New Roman"/>
                      <w:b w:val="0"/>
                      <w:bCs/>
                      <w:color w:val="auto"/>
                      <w:sz w:val="24"/>
                      <w:szCs w:val="24"/>
                      <w:highlight w:val="none"/>
                      <w:vertAlign w:val="baseline"/>
                      <w:lang w:val="en-US" w:eastAsia="zh-CN"/>
                    </w:rPr>
                    <w:t>包装纸箱</w:t>
                  </w:r>
                </w:p>
              </w:tc>
              <w:tc>
                <w:tcPr>
                  <w:tcW w:w="1621" w:type="dxa"/>
                  <w:vAlign w:val="center"/>
                </w:tcPr>
                <w:p w14:paraId="1D9CF6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废弃包装物</w:t>
                  </w:r>
                </w:p>
              </w:tc>
              <w:tc>
                <w:tcPr>
                  <w:tcW w:w="1336" w:type="dxa"/>
                  <w:vAlign w:val="center"/>
                </w:tcPr>
                <w:p w14:paraId="7911AD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val="0"/>
                      <w:caps w:val="0"/>
                      <w:color w:val="auto"/>
                      <w:spacing w:val="0"/>
                      <w:sz w:val="22"/>
                      <w:szCs w:val="22"/>
                      <w:highlight w:val="none"/>
                      <w:shd w:val="clear" w:fill="FFFFFF"/>
                      <w:lang w:val="en-US" w:eastAsia="zh-CN"/>
                    </w:rPr>
                  </w:pPr>
                  <w:r>
                    <w:rPr>
                      <w:rFonts w:hint="eastAsia" w:cs="Times New Roman"/>
                      <w:i w:val="0"/>
                      <w:iCs w:val="0"/>
                      <w:caps w:val="0"/>
                      <w:color w:val="auto"/>
                      <w:spacing w:val="0"/>
                      <w:sz w:val="22"/>
                      <w:szCs w:val="22"/>
                      <w:highlight w:val="none"/>
                      <w:shd w:val="clear" w:fill="FFFFFF"/>
                      <w:lang w:val="en-US" w:eastAsia="zh-CN"/>
                    </w:rPr>
                    <w:t>/</w:t>
                  </w:r>
                </w:p>
              </w:tc>
              <w:tc>
                <w:tcPr>
                  <w:tcW w:w="1728" w:type="dxa"/>
                  <w:vAlign w:val="center"/>
                </w:tcPr>
                <w:p w14:paraId="02E237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一般工业固废，与学校内的生活垃圾一同处置</w:t>
                  </w:r>
                </w:p>
              </w:tc>
            </w:tr>
            <w:tr w14:paraId="004B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972" w:type="dxa"/>
                  <w:vMerge w:val="restart"/>
                  <w:vAlign w:val="center"/>
                </w:tcPr>
                <w:p w14:paraId="2B4D70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地理实验室</w:t>
                  </w:r>
                </w:p>
              </w:tc>
              <w:tc>
                <w:tcPr>
                  <w:tcW w:w="823" w:type="dxa"/>
                  <w:vAlign w:val="center"/>
                </w:tcPr>
                <w:p w14:paraId="106032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废气</w:t>
                  </w:r>
                </w:p>
              </w:tc>
              <w:tc>
                <w:tcPr>
                  <w:tcW w:w="6144" w:type="dxa"/>
                  <w:gridSpan w:val="4"/>
                  <w:vAlign w:val="center"/>
                </w:tcPr>
                <w:p w14:paraId="0AD701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无废气产生</w:t>
                  </w:r>
                </w:p>
              </w:tc>
            </w:tr>
            <w:tr w14:paraId="7E07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972" w:type="dxa"/>
                  <w:vMerge w:val="continue"/>
                  <w:vAlign w:val="center"/>
                </w:tcPr>
                <w:p w14:paraId="7F0DDE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Align w:val="center"/>
                </w:tcPr>
                <w:p w14:paraId="528585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废水</w:t>
                  </w:r>
                </w:p>
              </w:tc>
              <w:tc>
                <w:tcPr>
                  <w:tcW w:w="6144" w:type="dxa"/>
                  <w:gridSpan w:val="4"/>
                  <w:vAlign w:val="center"/>
                </w:tcPr>
                <w:p w14:paraId="2E4C98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无废水产生</w:t>
                  </w:r>
                </w:p>
              </w:tc>
            </w:tr>
            <w:tr w14:paraId="3D82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972" w:type="dxa"/>
                  <w:vMerge w:val="continue"/>
                  <w:vAlign w:val="center"/>
                </w:tcPr>
                <w:p w14:paraId="2499DC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p>
              </w:tc>
              <w:tc>
                <w:tcPr>
                  <w:tcW w:w="823" w:type="dxa"/>
                  <w:vAlign w:val="center"/>
                </w:tcPr>
                <w:p w14:paraId="78FCD6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固废</w:t>
                  </w:r>
                </w:p>
              </w:tc>
              <w:tc>
                <w:tcPr>
                  <w:tcW w:w="1459" w:type="dxa"/>
                  <w:vAlign w:val="center"/>
                </w:tcPr>
                <w:p w14:paraId="01C230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default" w:ascii="Times New Roman" w:hAnsi="Times New Roman" w:cs="Times New Roman"/>
                      <w:b w:val="0"/>
                      <w:bCs/>
                      <w:color w:val="auto"/>
                      <w:sz w:val="24"/>
                      <w:szCs w:val="24"/>
                      <w:highlight w:val="none"/>
                      <w:vertAlign w:val="baseline"/>
                      <w:lang w:val="en-US" w:eastAsia="zh-CN"/>
                    </w:rPr>
                    <w:t>废包装物</w:t>
                  </w:r>
                </w:p>
              </w:tc>
              <w:tc>
                <w:tcPr>
                  <w:tcW w:w="4685" w:type="dxa"/>
                  <w:gridSpan w:val="3"/>
                  <w:vAlign w:val="center"/>
                </w:tcPr>
                <w:p w14:paraId="7B3EDE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废弃包装物：</w:t>
                  </w:r>
                  <w:r>
                    <w:rPr>
                      <w:rFonts w:hint="default" w:ascii="Times New Roman" w:hAnsi="Times New Roman" w:cs="Times New Roman"/>
                      <w:b w:val="0"/>
                      <w:bCs/>
                      <w:color w:val="auto"/>
                      <w:sz w:val="24"/>
                      <w:szCs w:val="24"/>
                      <w:highlight w:val="none"/>
                      <w:vertAlign w:val="baseline"/>
                      <w:lang w:val="en-US" w:eastAsia="zh-CN"/>
                    </w:rPr>
                    <w:t>分类收集，</w:t>
                  </w:r>
                  <w:r>
                    <w:rPr>
                      <w:rFonts w:hint="eastAsia" w:cs="Times New Roman"/>
                      <w:b w:val="0"/>
                      <w:bCs/>
                      <w:color w:val="auto"/>
                      <w:sz w:val="24"/>
                      <w:szCs w:val="24"/>
                      <w:highlight w:val="none"/>
                      <w:vertAlign w:val="baseline"/>
                      <w:lang w:val="en-US" w:eastAsia="zh-CN"/>
                    </w:rPr>
                    <w:t>与</w:t>
                  </w:r>
                  <w:r>
                    <w:rPr>
                      <w:rFonts w:hint="default" w:ascii="Times New Roman" w:hAnsi="Times New Roman" w:cs="Times New Roman"/>
                      <w:b w:val="0"/>
                      <w:bCs/>
                      <w:color w:val="auto"/>
                      <w:sz w:val="24"/>
                      <w:szCs w:val="24"/>
                      <w:highlight w:val="none"/>
                      <w:vertAlign w:val="baseline"/>
                      <w:lang w:val="en-US" w:eastAsia="zh-CN"/>
                    </w:rPr>
                    <w:t>生活垃圾</w:t>
                  </w:r>
                  <w:r>
                    <w:rPr>
                      <w:rFonts w:hint="eastAsia" w:cs="Times New Roman"/>
                      <w:b w:val="0"/>
                      <w:bCs/>
                      <w:color w:val="auto"/>
                      <w:sz w:val="24"/>
                      <w:szCs w:val="24"/>
                      <w:highlight w:val="none"/>
                      <w:vertAlign w:val="baseline"/>
                      <w:lang w:val="en-US" w:eastAsia="zh-CN"/>
                    </w:rPr>
                    <w:t>一同</w:t>
                  </w:r>
                  <w:r>
                    <w:rPr>
                      <w:rFonts w:hint="default" w:ascii="Times New Roman" w:hAnsi="Times New Roman" w:cs="Times New Roman"/>
                      <w:b w:val="0"/>
                      <w:bCs/>
                      <w:color w:val="auto"/>
                      <w:sz w:val="24"/>
                      <w:szCs w:val="24"/>
                      <w:highlight w:val="none"/>
                      <w:vertAlign w:val="baseline"/>
                      <w:lang w:val="en-US" w:eastAsia="zh-CN"/>
                    </w:rPr>
                    <w:t>处理</w:t>
                  </w:r>
                </w:p>
              </w:tc>
            </w:tr>
            <w:tr w14:paraId="318A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795" w:type="dxa"/>
                  <w:gridSpan w:val="2"/>
                  <w:vAlign w:val="center"/>
                </w:tcPr>
                <w:p w14:paraId="08D6C3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生活垃圾</w:t>
                  </w:r>
                </w:p>
              </w:tc>
              <w:tc>
                <w:tcPr>
                  <w:tcW w:w="6144" w:type="dxa"/>
                  <w:gridSpan w:val="4"/>
                  <w:vAlign w:val="center"/>
                </w:tcPr>
                <w:p w14:paraId="738B54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由生活垃圾桶统一收集后，定期交由当地环卫部门统一处理。</w:t>
                  </w:r>
                </w:p>
              </w:tc>
            </w:tr>
          </w:tbl>
          <w:p w14:paraId="6C762F84">
            <w:pPr>
              <w:adjustRightInd w:val="0"/>
              <w:snapToGrid w:val="0"/>
              <w:ind w:left="0" w:leftChars="0" w:firstLine="0" w:firstLineChars="0"/>
              <w:jc w:val="both"/>
              <w:rPr>
                <w:rFonts w:hint="default" w:ascii="Times New Roman" w:hAnsi="Times New Roman" w:eastAsia="宋体" w:cs="Times New Roman"/>
                <w:bCs/>
                <w:color w:val="auto"/>
                <w:sz w:val="24"/>
                <w:szCs w:val="24"/>
                <w:highlight w:val="none"/>
                <w:lang w:val="en-US" w:eastAsia="zh-CN"/>
              </w:rPr>
            </w:pPr>
          </w:p>
        </w:tc>
      </w:tr>
      <w:tr w14:paraId="181DE7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60" w:hRule="atLeast"/>
          <w:jc w:val="center"/>
        </w:trPr>
        <w:tc>
          <w:tcPr>
            <w:tcW w:w="823" w:type="dxa"/>
            <w:noWrap w:val="0"/>
            <w:vAlign w:val="center"/>
          </w:tcPr>
          <w:p w14:paraId="4308D3B3">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bCs/>
                <w:color w:val="auto"/>
                <w:kern w:val="2"/>
                <w:sz w:val="24"/>
                <w:szCs w:val="24"/>
                <w:highlight w:val="none"/>
              </w:rPr>
              <w:t>与项目有关的原有环境污染问题</w:t>
            </w:r>
          </w:p>
        </w:tc>
        <w:tc>
          <w:tcPr>
            <w:tcW w:w="8161" w:type="dxa"/>
            <w:noWrap w:val="0"/>
            <w:vAlign w:val="center"/>
          </w:tcPr>
          <w:p w14:paraId="1004C73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目前学校</w:t>
            </w:r>
            <w:r>
              <w:rPr>
                <w:rFonts w:hint="default" w:ascii="Times New Roman" w:hAnsi="Times New Roman" w:cs="Times New Roman"/>
                <w:color w:val="auto"/>
                <w:highlight w:val="none"/>
                <w:lang w:val="en-US" w:eastAsia="zh-CN"/>
              </w:rPr>
              <w:t>实验室</w:t>
            </w:r>
            <w:r>
              <w:rPr>
                <w:rFonts w:hint="default" w:ascii="Times New Roman" w:hAnsi="Times New Roman" w:cs="Times New Roman"/>
                <w:color w:val="auto"/>
                <w:highlight w:val="none"/>
              </w:rPr>
              <w:t>按照环保要求建设了相应的污染防治设施并投入使用。</w:t>
            </w:r>
          </w:p>
          <w:p w14:paraId="5741983F">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一</w:t>
            </w:r>
            <w:r>
              <w:rPr>
                <w:rFonts w:hint="default" w:ascii="Times New Roman" w:hAnsi="Times New Roman" w:cs="Times New Roman"/>
                <w:b/>
                <w:bCs/>
                <w:color w:val="auto"/>
                <w:highlight w:val="none"/>
              </w:rPr>
              <w:t>、现有废气污染物产生及治理情况</w:t>
            </w:r>
          </w:p>
          <w:p w14:paraId="675BB86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实验室废气主要来源于化学实验室和生物实验室。化学实验室在教学实验过程中，试剂挥发会产生无机废气和有机废气。无机废气主要为硫酸雾、氯化氢、硝酸雾（以氮氧化物表征）等挥发性酸类，在试剂取样、配制及实验过程中产生；有机废气主要为甲醇、乙醇、甲苯、苯系物等有机溶剂挥发物</w:t>
            </w:r>
            <w:r>
              <w:rPr>
                <w:rFonts w:hint="eastAsia" w:cs="Times New Roman"/>
                <w:color w:val="auto"/>
                <w:highlight w:val="none"/>
                <w:lang w:eastAsia="zh-CN"/>
              </w:rPr>
              <w:t>，</w:t>
            </w:r>
            <w:r>
              <w:rPr>
                <w:rFonts w:hint="eastAsia" w:cs="Times New Roman"/>
                <w:color w:val="auto"/>
                <w:highlight w:val="none"/>
                <w:lang w:val="en-US" w:eastAsia="zh-CN"/>
              </w:rPr>
              <w:t>以非甲烷总烃计</w:t>
            </w:r>
            <w:r>
              <w:rPr>
                <w:rFonts w:hint="default" w:ascii="Times New Roman" w:hAnsi="Times New Roman" w:cs="Times New Roman"/>
                <w:color w:val="auto"/>
                <w:highlight w:val="none"/>
              </w:rPr>
              <w:t>。生物实验室在教学过程中可能产生少量</w:t>
            </w:r>
            <w:r>
              <w:rPr>
                <w:rFonts w:hint="eastAsia" w:cs="Times New Roman"/>
                <w:color w:val="auto"/>
                <w:highlight w:val="none"/>
                <w:lang w:val="en-US" w:eastAsia="zh-CN"/>
              </w:rPr>
              <w:t>有机</w:t>
            </w:r>
            <w:r>
              <w:rPr>
                <w:rFonts w:hint="default" w:ascii="Times New Roman" w:hAnsi="Times New Roman" w:cs="Times New Roman"/>
                <w:color w:val="auto"/>
                <w:highlight w:val="none"/>
              </w:rPr>
              <w:t>废气。</w:t>
            </w:r>
          </w:p>
          <w:p w14:paraId="2F59E480">
            <w:pPr>
              <w:bidi w:val="0"/>
              <w:rPr>
                <w:rFonts w:hint="eastAsia" w:ascii="Times New Roman" w:hAnsi="Times New Roman" w:cs="Times New Roman"/>
                <w:color w:val="auto"/>
                <w:highlight w:val="none"/>
                <w:lang w:eastAsia="zh-CN"/>
              </w:rPr>
            </w:pPr>
            <w:r>
              <w:rPr>
                <w:rFonts w:hint="default" w:ascii="Times New Roman" w:hAnsi="Times New Roman" w:cs="Times New Roman"/>
                <w:color w:val="auto"/>
                <w:highlight w:val="none"/>
              </w:rPr>
              <w:t>学校已采取以下废气治理措施：各实验室均配备符合通风要求的通风橱，涉及有害废气产生的实验均在通风橱内进行操作；化学实验室废气经集气罩收集</w:t>
            </w:r>
            <w:r>
              <w:rPr>
                <w:rFonts w:hint="default" w:ascii="Times New Roman" w:hAnsi="Times New Roman" w:cs="Times New Roman"/>
                <w:color w:val="auto"/>
                <w:highlight w:val="none"/>
                <w:lang w:val="en-US" w:eastAsia="zh-CN"/>
              </w:rPr>
              <w:t>+活性炭吸附装置处置后</w:t>
            </w:r>
            <w:r>
              <w:rPr>
                <w:rFonts w:hint="default" w:ascii="Times New Roman" w:hAnsi="Times New Roman" w:cs="Times New Roman"/>
                <w:color w:val="auto"/>
                <w:highlight w:val="none"/>
              </w:rPr>
              <w:t>通过风机抽排至楼顶高空排放</w:t>
            </w:r>
            <w:r>
              <w:rPr>
                <w:rFonts w:hint="eastAsia" w:ascii="Times New Roman" w:hAnsi="Times New Roman" w:cs="Times New Roman"/>
                <w:color w:val="auto"/>
                <w:highlight w:val="none"/>
                <w:lang w:eastAsia="zh-CN"/>
              </w:rPr>
              <w:t>。</w:t>
            </w:r>
          </w:p>
          <w:p w14:paraId="4EC2628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二、现有废水污染物产生及治理情况</w:t>
            </w:r>
          </w:p>
          <w:p w14:paraId="7BBE6EC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实验室废水主要来自化学实验室和生物实验室的实验器皿清洗废水和实验废液。实验过程中会产生各类废液，包括有机溶剂废液（如乙醇、甲苯、卤化有机溶剂等）和无机废液（如废酸、废碱液、重金属废液等）。根据《国家危险废物名录》，实验器皿</w:t>
            </w:r>
            <w:r>
              <w:rPr>
                <w:rFonts w:hint="eastAsia" w:cs="Times New Roman"/>
                <w:color w:val="auto"/>
                <w:highlight w:val="none"/>
                <w:lang w:val="en-US" w:eastAsia="zh-CN"/>
              </w:rPr>
              <w:t>第1~2次清洗废水</w:t>
            </w:r>
            <w:r>
              <w:rPr>
                <w:rFonts w:hint="default" w:ascii="Times New Roman" w:hAnsi="Times New Roman" w:cs="Times New Roman"/>
                <w:color w:val="auto"/>
                <w:highlight w:val="none"/>
                <w:lang w:val="en-US" w:eastAsia="zh-CN"/>
              </w:rPr>
              <w:t>及高浓度实验废液属于危险废物（HW49，废物代码900-047-49），禁止直接倾倒至排水管道</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需分类收集后交由有资质的单位处置。</w:t>
            </w:r>
            <w:r>
              <w:rPr>
                <w:rFonts w:hint="eastAsia"/>
                <w:color w:val="auto"/>
                <w:highlight w:val="none"/>
                <w:lang w:val="en-US" w:eastAsia="zh-CN"/>
              </w:rPr>
              <w:t>实验室产生的普通清洗废水经化粪池收集后</w:t>
            </w:r>
            <w:r>
              <w:rPr>
                <w:rFonts w:hint="default" w:ascii="Times New Roman" w:hAnsi="Times New Roman" w:cs="Times New Roman"/>
                <w:color w:val="auto"/>
                <w:highlight w:val="none"/>
                <w:lang w:val="en-US" w:eastAsia="zh-CN"/>
              </w:rPr>
              <w:t>排入市政污水管网。</w:t>
            </w:r>
          </w:p>
          <w:p w14:paraId="0B450F8B">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三、现有固体废物产生及处置情况</w:t>
            </w:r>
          </w:p>
          <w:p w14:paraId="4808F0B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实验室运行过程中产生的固体废物主要包括实验废液、废弃化学试剂、废试剂瓶、一次性实验废物（如废滤纸、废手套、废口罩等）、废培养基、废活性炭以及生活垃圾等。其中大部分属于危险废物。</w:t>
            </w:r>
          </w:p>
          <w:p w14:paraId="4A40ED9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根据《国家危险废物名录》（2025年版），学校实验室主要危险废物类别为HW49，废物代码包括900-047-49和900-999-49-</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HYPERLINK "https://gzc.nuaa.edu.cn/2024/1118/c20490a358531/page.htm" \t "https://chat.deepseek.com/a/chat/s/_blank"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41</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具体包括：实验废液，沾染试剂的废试剂瓶和包装物，过期废弃的化学试剂，沾染实验试剂的一次性实验用品，以及废气处理设施定期更换的废活性炭等。危险特性涉及毒性（T）、腐蚀性（C）、易燃性（I）和反应性（R）等。学校已按《中华人民共和国固体废物污染环境防治法》及《危险废物贮存污染控制标准》（GB18597-2023）的相关要求，建立了危险废物管理制度：设置了专门的</w:t>
            </w:r>
            <w:r>
              <w:rPr>
                <w:rFonts w:hint="eastAsia" w:cs="Times New Roman"/>
                <w:color w:val="auto"/>
                <w:highlight w:val="none"/>
                <w:lang w:val="en-US" w:eastAsia="zh-CN"/>
              </w:rPr>
              <w:t>危险废物暂存库</w:t>
            </w:r>
            <w:r>
              <w:rPr>
                <w:rFonts w:hint="default" w:ascii="Times New Roman" w:hAnsi="Times New Roman" w:cs="Times New Roman"/>
                <w:color w:val="auto"/>
                <w:highlight w:val="none"/>
                <w:lang w:val="en-US" w:eastAsia="zh-CN"/>
              </w:rPr>
              <w:t>，对各类危险废物进行分类收集、规范包装、分区存放；</w:t>
            </w:r>
            <w:r>
              <w:rPr>
                <w:rFonts w:hint="eastAsia" w:cs="Times New Roman"/>
                <w:color w:val="auto"/>
                <w:highlight w:val="none"/>
                <w:lang w:val="en-US" w:eastAsia="zh-CN"/>
              </w:rPr>
              <w:t>危险废物暂存库</w:t>
            </w:r>
            <w:r>
              <w:rPr>
                <w:rFonts w:hint="default" w:ascii="Times New Roman" w:hAnsi="Times New Roman" w:cs="Times New Roman"/>
                <w:color w:val="auto"/>
                <w:highlight w:val="none"/>
                <w:lang w:val="en-US" w:eastAsia="zh-CN"/>
              </w:rPr>
              <w:t>设置了警示标识；实验过程中产生的危险废物均委托有资质的危险废物处置单位定期转移、处置。生活垃圾由环卫部门统一清运。</w:t>
            </w:r>
          </w:p>
          <w:p w14:paraId="1BB225C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四、现有噪声产生及治理情况</w:t>
            </w:r>
          </w:p>
          <w:p w14:paraId="1DD2360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实验室运行期间的噪声主要来源于通风橱风机、实验室排气系统风机等设备运行产生的噪声，以及实验教学过程中的教学活动噪声。噪声源强较低，具有间歇性排放特点。</w:t>
            </w:r>
          </w:p>
          <w:p w14:paraId="15B9FA1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学校已采取以下噪声治理措施：优先选用低噪声设备，对风机等主要噪声源采取基础减振措施；通过建筑隔声、合理布局等方式降低噪声对外界的影响。运营期厂界噪声排放可满足《工业企业厂界环境噪声排放标准》（GB12348-2008）1类标准中相关标准要求。</w:t>
            </w:r>
          </w:p>
          <w:p w14:paraId="1D35E402">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五、存在的环境问题及整改建议</w:t>
            </w:r>
          </w:p>
          <w:p w14:paraId="115C28F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根据现场调查和现行环保管理要求，现有实验室运行过程中尚存在以下环境问题：</w:t>
            </w:r>
          </w:p>
          <w:p w14:paraId="4C3E1BB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1.环境管理台账有待规范。建议进一步完善环保设施运行管理台账，规范记录废气处理设施运行情况、危险废物产生及转移信息等，定期开展自行监测。</w:t>
            </w:r>
          </w:p>
          <w:p w14:paraId="159DCF2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2.危险废物管理需进一步精细化。建议完善危险废物分类收集体系，规范危险废物包装容器，健全危险废物转移联单台账，确保实验室危险废物全过程规范化管理。</w:t>
            </w:r>
          </w:p>
        </w:tc>
      </w:tr>
    </w:tbl>
    <w:p w14:paraId="03408D8D">
      <w:pPr>
        <w:pStyle w:val="20"/>
        <w:jc w:val="center"/>
        <w:rPr>
          <w:rFonts w:hint="default" w:ascii="Times New Roman" w:hAnsi="Times New Roman" w:eastAsia="黑体" w:cs="Times New Roman"/>
          <w:snapToGrid w:val="0"/>
          <w:color w:val="000000" w:themeColor="text1"/>
          <w:sz w:val="36"/>
          <w:szCs w:val="36"/>
          <w:highlight w:val="none"/>
          <w14:textFill>
            <w14:solidFill>
              <w14:schemeClr w14:val="tx1"/>
            </w14:solidFill>
          </w14:textFill>
        </w:rPr>
        <w:sectPr>
          <w:footerReference r:id="rId10"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4DA0E353">
      <w:pPr>
        <w:pStyle w:val="20"/>
        <w:jc w:val="center"/>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三、区域环境质量现状、环境保护目标及评价标准</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458"/>
        <w:gridCol w:w="7732"/>
      </w:tblGrid>
      <w:tr w14:paraId="31CD1B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00" w:type="dxa"/>
            <w:noWrap w:val="0"/>
            <w:vAlign w:val="center"/>
          </w:tcPr>
          <w:p w14:paraId="1BAA82D1">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区域</w:t>
            </w:r>
          </w:p>
          <w:p w14:paraId="3A25EE6E">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环境</w:t>
            </w:r>
          </w:p>
          <w:p w14:paraId="3F75CAD0">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质量</w:t>
            </w:r>
          </w:p>
          <w:p w14:paraId="3A83C233">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现状</w:t>
            </w:r>
          </w:p>
        </w:tc>
        <w:tc>
          <w:tcPr>
            <w:tcW w:w="8190" w:type="dxa"/>
            <w:gridSpan w:val="2"/>
            <w:noWrap w:val="0"/>
            <w:vAlign w:val="center"/>
          </w:tcPr>
          <w:p w14:paraId="0A397532">
            <w:pPr>
              <w:adjustRightInd w:val="0"/>
              <w:snapToGrid w:val="0"/>
              <w:jc w:val="left"/>
              <w:rPr>
                <w:rFonts w:hint="default" w:ascii="Times New Roman" w:hAnsi="Times New Roman" w:cs="Times New Roman"/>
                <w:b/>
                <w:bCs/>
                <w:color w:val="000000" w:themeColor="text1"/>
                <w:kern w:val="0"/>
                <w:sz w:val="24"/>
                <w:szCs w:val="24"/>
                <w:highlight w:val="none"/>
                <w14:textFill>
                  <w14:solidFill>
                    <w14:schemeClr w14:val="tx1"/>
                  </w14:solidFill>
                </w14:textFill>
              </w:rPr>
            </w:pPr>
            <w:r>
              <w:rPr>
                <w:rFonts w:hint="eastAsia" w:cs="Times New Roman"/>
                <w:b/>
                <w:bCs/>
                <w:color w:val="000000" w:themeColor="text1"/>
                <w:kern w:val="0"/>
                <w:sz w:val="24"/>
                <w:szCs w:val="24"/>
                <w:highlight w:val="none"/>
                <w:lang w:val="en-US" w:eastAsia="zh-CN"/>
                <w14:textFill>
                  <w14:solidFill>
                    <w14:schemeClr w14:val="tx1"/>
                  </w14:solidFill>
                </w14:textFill>
              </w:rPr>
              <w:t>一</w:t>
            </w:r>
            <w:r>
              <w:rPr>
                <w:rFonts w:hint="default" w:ascii="Times New Roman" w:hAnsi="Times New Roman" w:cs="Times New Roman"/>
                <w:b/>
                <w:bCs/>
                <w:color w:val="000000" w:themeColor="text1"/>
                <w:kern w:val="0"/>
                <w:sz w:val="24"/>
                <w:szCs w:val="24"/>
                <w:highlight w:val="none"/>
                <w14:textFill>
                  <w14:solidFill>
                    <w14:schemeClr w14:val="tx1"/>
                  </w14:solidFill>
                </w14:textFill>
              </w:rPr>
              <w:t>、环境空气质量现状</w:t>
            </w:r>
          </w:p>
          <w:p w14:paraId="6D6ED1A6">
            <w:pPr>
              <w:adjustRightInd w:val="0"/>
              <w:snapToGrid w:val="0"/>
              <w:jc w:val="left"/>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1.区域环境质量达标情况</w:t>
            </w:r>
          </w:p>
          <w:p w14:paraId="4046FB7C">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根据《2025年内蒙古自治区生态环境状况公报》，全区2025年环境空气六项污染物年均浓度均达标。</w:t>
            </w:r>
          </w:p>
          <w:p w14:paraId="6C6F0A73">
            <w:pPr>
              <w:bidi w:val="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2.其他污染物</w:t>
            </w:r>
          </w:p>
          <w:p w14:paraId="6FA3CE70">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运营过程产生的主要污染物为非甲烷总烃、氯化氢、硫酸雾，委托内蒙古庚泰环保科技有限公司进行本项目的环境现状监测数据，监测点位于本项目东南侧，监测时间为2026年4月4日-4月6日，连续监测3天，监测报告见附件3。</w:t>
            </w:r>
          </w:p>
          <w:p w14:paraId="4FCF82C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center"/>
              <w:textAlignment w:val="auto"/>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表3-</w:t>
            </w: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1</w:t>
            </w: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项目特征因子监测点位基本信息表</w:t>
            </w:r>
          </w:p>
          <w:tbl>
            <w:tblPr>
              <w:tblStyle w:val="24"/>
              <w:tblW w:w="7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145"/>
              <w:gridCol w:w="1099"/>
              <w:gridCol w:w="1442"/>
              <w:gridCol w:w="1144"/>
              <w:gridCol w:w="936"/>
              <w:gridCol w:w="1143"/>
            </w:tblGrid>
            <w:tr w14:paraId="301E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1088" w:type="dxa"/>
                  <w:vMerge w:val="restart"/>
                  <w:noWrap w:val="0"/>
                  <w:vAlign w:val="center"/>
                </w:tcPr>
                <w:p w14:paraId="65135F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监测点位名称</w:t>
                  </w:r>
                </w:p>
              </w:tc>
              <w:tc>
                <w:tcPr>
                  <w:tcW w:w="2244" w:type="dxa"/>
                  <w:gridSpan w:val="2"/>
                  <w:noWrap w:val="0"/>
                  <w:vAlign w:val="center"/>
                </w:tcPr>
                <w:p w14:paraId="4D9343C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监测点位坐标</w:t>
                  </w:r>
                </w:p>
              </w:tc>
              <w:tc>
                <w:tcPr>
                  <w:tcW w:w="1442" w:type="dxa"/>
                  <w:vMerge w:val="restart"/>
                  <w:noWrap w:val="0"/>
                  <w:vAlign w:val="center"/>
                </w:tcPr>
                <w:p w14:paraId="14DDBC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监测因子</w:t>
                  </w:r>
                </w:p>
              </w:tc>
              <w:tc>
                <w:tcPr>
                  <w:tcW w:w="1144" w:type="dxa"/>
                  <w:vMerge w:val="restart"/>
                  <w:noWrap w:val="0"/>
                  <w:vAlign w:val="center"/>
                </w:tcPr>
                <w:p w14:paraId="3DC1EA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监测</w:t>
                  </w:r>
                  <w:r>
                    <w:rPr>
                      <w:rFonts w:hint="default" w:ascii="Times New Roman" w:hAnsi="Times New Roman" w:cs="Times New Roman"/>
                      <w:color w:val="000000" w:themeColor="text1"/>
                      <w:highlight w:val="none"/>
                      <w:lang w:eastAsia="zh-CN"/>
                      <w14:textFill>
                        <w14:solidFill>
                          <w14:schemeClr w14:val="tx1"/>
                        </w14:solidFill>
                      </w14:textFill>
                    </w:rPr>
                    <w:t>时段</w:t>
                  </w:r>
                </w:p>
              </w:tc>
              <w:tc>
                <w:tcPr>
                  <w:tcW w:w="936" w:type="dxa"/>
                  <w:vMerge w:val="restart"/>
                  <w:noWrap w:val="0"/>
                  <w:vAlign w:val="center"/>
                </w:tcPr>
                <w:p w14:paraId="75E3DE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相对厂址位置方位</w:t>
                  </w:r>
                </w:p>
              </w:tc>
              <w:tc>
                <w:tcPr>
                  <w:tcW w:w="1143" w:type="dxa"/>
                  <w:vMerge w:val="restart"/>
                  <w:noWrap w:val="0"/>
                  <w:vAlign w:val="center"/>
                </w:tcPr>
                <w:p w14:paraId="0FF476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相对厂界距离/m</w:t>
                  </w:r>
                </w:p>
              </w:tc>
            </w:tr>
            <w:tr w14:paraId="6DF8A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088" w:type="dxa"/>
                  <w:vMerge w:val="continue"/>
                  <w:noWrap w:val="0"/>
                  <w:vAlign w:val="center"/>
                </w:tcPr>
                <w:p w14:paraId="0AFA74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145" w:type="dxa"/>
                  <w:noWrap w:val="0"/>
                  <w:vAlign w:val="center"/>
                </w:tcPr>
                <w:p w14:paraId="487470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E</w:t>
                  </w:r>
                </w:p>
              </w:tc>
              <w:tc>
                <w:tcPr>
                  <w:tcW w:w="1099" w:type="dxa"/>
                  <w:noWrap w:val="0"/>
                  <w:vAlign w:val="center"/>
                </w:tcPr>
                <w:p w14:paraId="3D9F3F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N</w:t>
                  </w:r>
                </w:p>
              </w:tc>
              <w:tc>
                <w:tcPr>
                  <w:tcW w:w="1442" w:type="dxa"/>
                  <w:vMerge w:val="continue"/>
                  <w:noWrap w:val="0"/>
                  <w:vAlign w:val="center"/>
                </w:tcPr>
                <w:p w14:paraId="0E9CEBD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144" w:type="dxa"/>
                  <w:vMerge w:val="continue"/>
                  <w:noWrap w:val="0"/>
                  <w:vAlign w:val="center"/>
                </w:tcPr>
                <w:p w14:paraId="400E2E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936" w:type="dxa"/>
                  <w:vMerge w:val="continue"/>
                  <w:noWrap w:val="0"/>
                  <w:vAlign w:val="center"/>
                </w:tcPr>
                <w:p w14:paraId="4D3B9B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143" w:type="dxa"/>
                  <w:vMerge w:val="continue"/>
                  <w:noWrap w:val="0"/>
                  <w:vAlign w:val="center"/>
                </w:tcPr>
                <w:p w14:paraId="5D3F79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r>
            <w:tr w14:paraId="1D77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088" w:type="dxa"/>
                  <w:vMerge w:val="restart"/>
                  <w:noWrap w:val="0"/>
                  <w:vAlign w:val="center"/>
                </w:tcPr>
                <w:p w14:paraId="18DA194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厂界下风向10m处</w:t>
                  </w:r>
                </w:p>
              </w:tc>
              <w:tc>
                <w:tcPr>
                  <w:tcW w:w="1145" w:type="dxa"/>
                  <w:vMerge w:val="restart"/>
                  <w:noWrap w:val="0"/>
                  <w:vAlign w:val="center"/>
                </w:tcPr>
                <w:p w14:paraId="3EAB2C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109.779903109°</w:t>
                  </w:r>
                </w:p>
              </w:tc>
              <w:tc>
                <w:tcPr>
                  <w:tcW w:w="1099" w:type="dxa"/>
                  <w:vMerge w:val="restart"/>
                  <w:noWrap w:val="0"/>
                  <w:vAlign w:val="center"/>
                </w:tcPr>
                <w:p w14:paraId="454F5D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val="en-US"/>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39.569735214°</w:t>
                  </w:r>
                </w:p>
              </w:tc>
              <w:tc>
                <w:tcPr>
                  <w:tcW w:w="1442" w:type="dxa"/>
                  <w:noWrap w:val="0"/>
                  <w:vAlign w:val="center"/>
                </w:tcPr>
                <w:p w14:paraId="2760E4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非甲烷总烃</w:t>
                  </w:r>
                </w:p>
              </w:tc>
              <w:tc>
                <w:tcPr>
                  <w:tcW w:w="1144" w:type="dxa"/>
                  <w:vMerge w:val="restart"/>
                  <w:noWrap w:val="0"/>
                  <w:vAlign w:val="center"/>
                </w:tcPr>
                <w:p w14:paraId="1C223790">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2026年4月4日-4月6日</w:t>
                  </w:r>
                </w:p>
              </w:tc>
              <w:tc>
                <w:tcPr>
                  <w:tcW w:w="936" w:type="dxa"/>
                  <w:vMerge w:val="restart"/>
                  <w:noWrap w:val="0"/>
                  <w:vAlign w:val="center"/>
                </w:tcPr>
                <w:p w14:paraId="1AEAB6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ES</w:t>
                  </w:r>
                </w:p>
              </w:tc>
              <w:tc>
                <w:tcPr>
                  <w:tcW w:w="1143" w:type="dxa"/>
                  <w:vMerge w:val="restart"/>
                  <w:noWrap w:val="0"/>
                  <w:vAlign w:val="center"/>
                </w:tcPr>
                <w:p w14:paraId="5CB2B1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10</w:t>
                  </w:r>
                </w:p>
              </w:tc>
            </w:tr>
            <w:tr w14:paraId="7F61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088" w:type="dxa"/>
                  <w:vMerge w:val="continue"/>
                  <w:noWrap w:val="0"/>
                  <w:vAlign w:val="center"/>
                </w:tcPr>
                <w:p w14:paraId="6D6438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145" w:type="dxa"/>
                  <w:vMerge w:val="continue"/>
                  <w:noWrap w:val="0"/>
                  <w:vAlign w:val="center"/>
                </w:tcPr>
                <w:p w14:paraId="354ACC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099" w:type="dxa"/>
                  <w:vMerge w:val="continue"/>
                  <w:noWrap w:val="0"/>
                  <w:vAlign w:val="center"/>
                </w:tcPr>
                <w:p w14:paraId="51EE07E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442" w:type="dxa"/>
                  <w:noWrap w:val="0"/>
                  <w:vAlign w:val="center"/>
                </w:tcPr>
                <w:p w14:paraId="0F1B00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氯化氢</w:t>
                  </w:r>
                </w:p>
              </w:tc>
              <w:tc>
                <w:tcPr>
                  <w:tcW w:w="1144" w:type="dxa"/>
                  <w:vMerge w:val="continue"/>
                  <w:noWrap w:val="0"/>
                  <w:vAlign w:val="center"/>
                </w:tcPr>
                <w:p w14:paraId="05DB22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936" w:type="dxa"/>
                  <w:vMerge w:val="continue"/>
                  <w:noWrap w:val="0"/>
                  <w:vAlign w:val="center"/>
                </w:tcPr>
                <w:p w14:paraId="564668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143" w:type="dxa"/>
                  <w:vMerge w:val="continue"/>
                  <w:noWrap w:val="0"/>
                  <w:vAlign w:val="center"/>
                </w:tcPr>
                <w:p w14:paraId="77A2DD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r>
            <w:tr w14:paraId="650B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088" w:type="dxa"/>
                  <w:vMerge w:val="continue"/>
                  <w:noWrap w:val="0"/>
                  <w:vAlign w:val="center"/>
                </w:tcPr>
                <w:p w14:paraId="0D336E6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145" w:type="dxa"/>
                  <w:vMerge w:val="continue"/>
                  <w:noWrap w:val="0"/>
                  <w:vAlign w:val="center"/>
                </w:tcPr>
                <w:p w14:paraId="2EEF75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099" w:type="dxa"/>
                  <w:vMerge w:val="continue"/>
                  <w:noWrap w:val="0"/>
                  <w:vAlign w:val="center"/>
                </w:tcPr>
                <w:p w14:paraId="5F6D736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442" w:type="dxa"/>
                  <w:noWrap w:val="0"/>
                  <w:vAlign w:val="center"/>
                </w:tcPr>
                <w:p w14:paraId="1246B7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硫</w:t>
                  </w:r>
                  <w:r>
                    <w:rPr>
                      <w:rFonts w:hint="eastAsia" w:ascii="Times New Roman" w:hAnsi="Times New Roman" w:cs="Times New Roman"/>
                      <w:color w:val="000000" w:themeColor="text1"/>
                      <w:highlight w:val="none"/>
                      <w:lang w:eastAsia="zh-CN"/>
                      <w14:textFill>
                        <w14:solidFill>
                          <w14:schemeClr w14:val="tx1"/>
                        </w14:solidFill>
                      </w14:textFill>
                    </w:rPr>
                    <w:t>酸雾</w:t>
                  </w:r>
                </w:p>
              </w:tc>
              <w:tc>
                <w:tcPr>
                  <w:tcW w:w="1144" w:type="dxa"/>
                  <w:vMerge w:val="continue"/>
                  <w:noWrap w:val="0"/>
                  <w:vAlign w:val="center"/>
                </w:tcPr>
                <w:p w14:paraId="5B97B50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936" w:type="dxa"/>
                  <w:vMerge w:val="continue"/>
                  <w:noWrap w:val="0"/>
                  <w:vAlign w:val="center"/>
                </w:tcPr>
                <w:p w14:paraId="72CD2E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c>
                <w:tcPr>
                  <w:tcW w:w="1143" w:type="dxa"/>
                  <w:vMerge w:val="continue"/>
                  <w:noWrap w:val="0"/>
                  <w:vAlign w:val="center"/>
                </w:tcPr>
                <w:p w14:paraId="3C6D1A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p>
              </w:tc>
            </w:tr>
          </w:tbl>
          <w:p w14:paraId="7F49EF9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b/>
                <w:bCs/>
                <w:color w:val="000000" w:themeColor="text1"/>
                <w:kern w:val="0"/>
                <w:sz w:val="24"/>
                <w:szCs w:val="24"/>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表3-</w:t>
            </w: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特征因子检测结果</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595"/>
              <w:gridCol w:w="1595"/>
              <w:gridCol w:w="1595"/>
              <w:gridCol w:w="1595"/>
            </w:tblGrid>
            <w:tr w14:paraId="19BD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4" w:type="dxa"/>
                  <w:noWrap w:val="0"/>
                  <w:vAlign w:val="center"/>
                </w:tcPr>
                <w:p w14:paraId="2A95C1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污染物</w:t>
                  </w:r>
                </w:p>
              </w:tc>
              <w:tc>
                <w:tcPr>
                  <w:tcW w:w="1595" w:type="dxa"/>
                  <w:noWrap w:val="0"/>
                  <w:vAlign w:val="center"/>
                </w:tcPr>
                <w:p w14:paraId="32EAC5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监测浓度范围（mg/m³）</w:t>
                  </w:r>
                </w:p>
              </w:tc>
              <w:tc>
                <w:tcPr>
                  <w:tcW w:w="1595" w:type="dxa"/>
                  <w:noWrap w:val="0"/>
                  <w:vAlign w:val="center"/>
                </w:tcPr>
                <w:p w14:paraId="7C2EEC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评级标准（mg/m³）</w:t>
                  </w:r>
                </w:p>
              </w:tc>
              <w:tc>
                <w:tcPr>
                  <w:tcW w:w="1595" w:type="dxa"/>
                  <w:noWrap w:val="0"/>
                  <w:vAlign w:val="center"/>
                </w:tcPr>
                <w:p w14:paraId="536712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最大浓度占标率（%）</w:t>
                  </w:r>
                </w:p>
              </w:tc>
              <w:tc>
                <w:tcPr>
                  <w:tcW w:w="1595" w:type="dxa"/>
                  <w:noWrap w:val="0"/>
                  <w:vAlign w:val="center"/>
                </w:tcPr>
                <w:p w14:paraId="7F8215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达标情况</w:t>
                  </w:r>
                </w:p>
              </w:tc>
            </w:tr>
            <w:tr w14:paraId="1EF8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4" w:type="dxa"/>
                  <w:noWrap w:val="0"/>
                  <w:vAlign w:val="center"/>
                </w:tcPr>
                <w:p w14:paraId="0021B6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eastAsia="zh-CN"/>
                      <w14:textFill>
                        <w14:solidFill>
                          <w14:schemeClr w14:val="tx1"/>
                        </w14:solidFill>
                      </w14:textFill>
                    </w:rPr>
                    <w:t>非甲烷总烃</w:t>
                  </w:r>
                </w:p>
              </w:tc>
              <w:tc>
                <w:tcPr>
                  <w:tcW w:w="1595" w:type="dxa"/>
                  <w:noWrap w:val="0"/>
                  <w:vAlign w:val="center"/>
                </w:tcPr>
                <w:p w14:paraId="18896C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0.72-0.79</w:t>
                  </w:r>
                </w:p>
              </w:tc>
              <w:tc>
                <w:tcPr>
                  <w:tcW w:w="1595" w:type="dxa"/>
                  <w:noWrap w:val="0"/>
                  <w:vAlign w:val="center"/>
                </w:tcPr>
                <w:p w14:paraId="47816E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w:t>
                  </w:r>
                </w:p>
              </w:tc>
              <w:tc>
                <w:tcPr>
                  <w:tcW w:w="1595" w:type="dxa"/>
                  <w:noWrap w:val="0"/>
                  <w:vAlign w:val="center"/>
                </w:tcPr>
                <w:p w14:paraId="77198A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39.5</w:t>
                  </w:r>
                </w:p>
              </w:tc>
              <w:tc>
                <w:tcPr>
                  <w:tcW w:w="1595" w:type="dxa"/>
                  <w:noWrap w:val="0"/>
                  <w:vAlign w:val="center"/>
                </w:tcPr>
                <w:p w14:paraId="46BF12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达标</w:t>
                  </w:r>
                </w:p>
              </w:tc>
            </w:tr>
            <w:tr w14:paraId="55DE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4" w:type="dxa"/>
                  <w:noWrap w:val="0"/>
                  <w:vAlign w:val="center"/>
                </w:tcPr>
                <w:p w14:paraId="5D55AD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氯化氢</w:t>
                  </w:r>
                </w:p>
              </w:tc>
              <w:tc>
                <w:tcPr>
                  <w:tcW w:w="1595" w:type="dxa"/>
                  <w:noWrap w:val="0"/>
                  <w:vAlign w:val="center"/>
                </w:tcPr>
                <w:p w14:paraId="0C2BAF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&lt;0.02</w:t>
                  </w:r>
                </w:p>
              </w:tc>
              <w:tc>
                <w:tcPr>
                  <w:tcW w:w="1595" w:type="dxa"/>
                  <w:noWrap w:val="0"/>
                  <w:vAlign w:val="center"/>
                </w:tcPr>
                <w:p w14:paraId="061B3A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0.05</w:t>
                  </w:r>
                </w:p>
              </w:tc>
              <w:tc>
                <w:tcPr>
                  <w:tcW w:w="1595" w:type="dxa"/>
                  <w:noWrap w:val="0"/>
                  <w:vAlign w:val="center"/>
                </w:tcPr>
                <w:p w14:paraId="08A16C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40</w:t>
                  </w:r>
                </w:p>
              </w:tc>
              <w:tc>
                <w:tcPr>
                  <w:tcW w:w="1595" w:type="dxa"/>
                  <w:noWrap w:val="0"/>
                  <w:vAlign w:val="center"/>
                </w:tcPr>
                <w:p w14:paraId="08C10B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达标</w:t>
                  </w:r>
                </w:p>
              </w:tc>
            </w:tr>
            <w:tr w14:paraId="5233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4" w:type="dxa"/>
                  <w:noWrap w:val="0"/>
                  <w:vAlign w:val="center"/>
                </w:tcPr>
                <w:p w14:paraId="2E3C14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硫酸雾</w:t>
                  </w:r>
                </w:p>
              </w:tc>
              <w:tc>
                <w:tcPr>
                  <w:tcW w:w="1595" w:type="dxa"/>
                  <w:noWrap w:val="0"/>
                  <w:vAlign w:val="center"/>
                </w:tcPr>
                <w:p w14:paraId="16531F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&lt;0.005</w:t>
                  </w:r>
                </w:p>
              </w:tc>
              <w:tc>
                <w:tcPr>
                  <w:tcW w:w="1595" w:type="dxa"/>
                  <w:noWrap w:val="0"/>
                  <w:vAlign w:val="center"/>
                </w:tcPr>
                <w:p w14:paraId="1602BD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0.3</w:t>
                  </w:r>
                </w:p>
              </w:tc>
              <w:tc>
                <w:tcPr>
                  <w:tcW w:w="1595" w:type="dxa"/>
                  <w:noWrap w:val="0"/>
                  <w:vAlign w:val="center"/>
                </w:tcPr>
                <w:p w14:paraId="358201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1.7</w:t>
                  </w:r>
                </w:p>
              </w:tc>
              <w:tc>
                <w:tcPr>
                  <w:tcW w:w="1595" w:type="dxa"/>
                  <w:noWrap w:val="0"/>
                  <w:vAlign w:val="center"/>
                </w:tcPr>
                <w:p w14:paraId="667FBA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达标</w:t>
                  </w:r>
                </w:p>
              </w:tc>
            </w:tr>
          </w:tbl>
          <w:p w14:paraId="3F4377A4">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由上表可知项目特征污染物氯化氢、</w:t>
            </w:r>
            <w:r>
              <w:rPr>
                <w:rFonts w:hint="eastAsia" w:ascii="Times New Roman" w:hAnsi="Times New Roman" w:cs="Times New Roman"/>
                <w:color w:val="000000" w:themeColor="text1"/>
                <w:highlight w:val="none"/>
                <w:lang w:val="en-US" w:eastAsia="zh-CN"/>
                <w14:textFill>
                  <w14:solidFill>
                    <w14:schemeClr w14:val="tx1"/>
                  </w14:solidFill>
                </w14:textFill>
              </w:rPr>
              <w:t>硫酸雾</w:t>
            </w:r>
            <w:r>
              <w:rPr>
                <w:rFonts w:hint="eastAsia" w:cs="Times New Roman"/>
                <w:color w:val="000000" w:themeColor="text1"/>
                <w:highlight w:val="none"/>
                <w:lang w:val="en-US" w:eastAsia="zh-CN"/>
                <w14:textFill>
                  <w14:solidFill>
                    <w14:schemeClr w14:val="tx1"/>
                  </w14:solidFill>
                </w14:textFill>
              </w:rPr>
              <w:t>排放浓度均</w:t>
            </w:r>
            <w:r>
              <w:rPr>
                <w:rFonts w:hint="default" w:ascii="Times New Roman" w:hAnsi="Times New Roman" w:cs="Times New Roman"/>
                <w:color w:val="000000" w:themeColor="text1"/>
                <w:highlight w:val="none"/>
                <w:lang w:val="en-US" w:eastAsia="zh-CN"/>
                <w14:textFill>
                  <w14:solidFill>
                    <w14:schemeClr w14:val="tx1"/>
                  </w14:solidFill>
                </w14:textFill>
              </w:rPr>
              <w:t>满足《环境影响评价技术导则大气环境》（HJ2.2-2018）其他污染物空气质量浓度参考限值1h平均浓度标准要求，非甲烷总烃满足《大气污染物综合排放标准详解》（国家环境保护局科技标准司）中的推荐值。</w:t>
            </w:r>
          </w:p>
          <w:p w14:paraId="3BD91B5B">
            <w:pPr>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二、</w:t>
            </w:r>
            <w:r>
              <w:rPr>
                <w:rFonts w:hint="default"/>
                <w:b/>
                <w:bCs/>
                <w:color w:val="000000" w:themeColor="text1"/>
                <w:highlight w:val="none"/>
                <w:lang w:val="en-US" w:eastAsia="zh-CN"/>
                <w14:textFill>
                  <w14:solidFill>
                    <w14:schemeClr w14:val="tx1"/>
                  </w14:solidFill>
                </w14:textFill>
              </w:rPr>
              <w:t>声环境</w:t>
            </w:r>
          </w:p>
          <w:p w14:paraId="26A70B62">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内蒙古自治区鄂尔多斯市东胜区乌审东街40号东联现代高级中学竹轩教学楼，根据鄂尔多斯市（东胜区、康巴什区）声环境功能区划图划分，本项目建设位置位于1类声环境功能区，声功能划分图见附图3。本项目委托内蒙古庚泰环保科技有限公司对本项目厂界噪声进行监测，监测时间为2026年4月4日-4月6日，厂界四周各设置1个监测点，监测结果见表3-3。</w:t>
            </w:r>
          </w:p>
          <w:p w14:paraId="7F9D0ABF">
            <w:pPr>
              <w:bidi w:val="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表3-3声环境质量现状监测结果评价一览表单位：Leq[dB（A）]</w:t>
            </w:r>
          </w:p>
          <w:tbl>
            <w:tblPr>
              <w:tblStyle w:val="23"/>
              <w:tblpPr w:leftFromText="180" w:rightFromText="180" w:vertAnchor="text" w:horzAnchor="margin" w:tblpX="1" w:tblpY="12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1026"/>
              <w:gridCol w:w="987"/>
              <w:gridCol w:w="1081"/>
              <w:gridCol w:w="1182"/>
              <w:gridCol w:w="987"/>
              <w:gridCol w:w="838"/>
            </w:tblGrid>
            <w:tr w14:paraId="6D70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863" w:type="dxa"/>
                  <w:vMerge w:val="restart"/>
                  <w:tcBorders>
                    <w:tl2br w:val="single" w:color="auto" w:sz="4" w:space="0"/>
                  </w:tcBorders>
                  <w:noWrap w:val="0"/>
                  <w:vAlign w:val="center"/>
                </w:tcPr>
                <w:p w14:paraId="51F9E802">
                  <w:pPr>
                    <w:keepNext w:val="0"/>
                    <w:keepLines w:val="0"/>
                    <w:pageBreakBefore w:val="0"/>
                    <w:widowControl w:val="0"/>
                    <w:kinsoku/>
                    <w:wordWrap/>
                    <w:overflowPunct/>
                    <w:topLinePunct w:val="0"/>
                    <w:autoSpaceDE/>
                    <w:autoSpaceDN/>
                    <w:bidi w:val="0"/>
                    <w:adjustRightInd/>
                    <w:snapToGrid/>
                    <w:spacing w:line="240" w:lineRule="auto"/>
                    <w:ind w:firstLine="720" w:firstLineChars="30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结果</w:t>
                  </w:r>
                </w:p>
                <w:p w14:paraId="28BE801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监测点</w:t>
                  </w:r>
                </w:p>
              </w:tc>
              <w:tc>
                <w:tcPr>
                  <w:tcW w:w="2013" w:type="dxa"/>
                  <w:gridSpan w:val="2"/>
                  <w:noWrap w:val="0"/>
                  <w:vAlign w:val="center"/>
                </w:tcPr>
                <w:p w14:paraId="42E017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昼间dB（A）</w:t>
                  </w:r>
                </w:p>
              </w:tc>
              <w:tc>
                <w:tcPr>
                  <w:tcW w:w="1081" w:type="dxa"/>
                  <w:vMerge w:val="restart"/>
                  <w:noWrap w:val="0"/>
                  <w:vAlign w:val="center"/>
                </w:tcPr>
                <w:p w14:paraId="61DEB0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评价结果</w:t>
                  </w:r>
                </w:p>
              </w:tc>
              <w:tc>
                <w:tcPr>
                  <w:tcW w:w="2169" w:type="dxa"/>
                  <w:gridSpan w:val="2"/>
                  <w:noWrap w:val="0"/>
                  <w:vAlign w:val="center"/>
                </w:tcPr>
                <w:p w14:paraId="01100B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夜间dB（A）</w:t>
                  </w:r>
                </w:p>
              </w:tc>
              <w:tc>
                <w:tcPr>
                  <w:tcW w:w="838" w:type="dxa"/>
                  <w:vMerge w:val="restart"/>
                  <w:noWrap w:val="0"/>
                  <w:vAlign w:val="center"/>
                </w:tcPr>
                <w:p w14:paraId="7B77B2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评价结果</w:t>
                  </w:r>
                </w:p>
              </w:tc>
            </w:tr>
            <w:tr w14:paraId="0F289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863" w:type="dxa"/>
                  <w:vMerge w:val="continue"/>
                  <w:tcBorders>
                    <w:bottom w:val="single" w:color="auto" w:sz="4" w:space="0"/>
                    <w:tl2br w:val="single" w:color="auto" w:sz="4" w:space="0"/>
                  </w:tcBorders>
                  <w:noWrap w:val="0"/>
                  <w:vAlign w:val="center"/>
                </w:tcPr>
                <w:p w14:paraId="6B40AA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1026" w:type="dxa"/>
                  <w:noWrap w:val="0"/>
                  <w:vAlign w:val="center"/>
                </w:tcPr>
                <w:p w14:paraId="4FE1DD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2026.4.4-4.5</w:t>
                  </w:r>
                </w:p>
              </w:tc>
              <w:tc>
                <w:tcPr>
                  <w:tcW w:w="987" w:type="dxa"/>
                  <w:noWrap w:val="0"/>
                  <w:vAlign w:val="center"/>
                </w:tcPr>
                <w:p w14:paraId="3F79C1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2026.4.5-4.6</w:t>
                  </w:r>
                </w:p>
              </w:tc>
              <w:tc>
                <w:tcPr>
                  <w:tcW w:w="1081" w:type="dxa"/>
                  <w:vMerge w:val="continue"/>
                  <w:noWrap w:val="0"/>
                  <w:vAlign w:val="center"/>
                </w:tcPr>
                <w:p w14:paraId="2413ED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p>
              </w:tc>
              <w:tc>
                <w:tcPr>
                  <w:tcW w:w="1182" w:type="dxa"/>
                  <w:noWrap w:val="0"/>
                  <w:vAlign w:val="center"/>
                </w:tcPr>
                <w:p w14:paraId="2BC89F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2026.4.4-4.5</w:t>
                  </w:r>
                </w:p>
              </w:tc>
              <w:tc>
                <w:tcPr>
                  <w:tcW w:w="987" w:type="dxa"/>
                  <w:noWrap w:val="0"/>
                  <w:vAlign w:val="center"/>
                </w:tcPr>
                <w:p w14:paraId="5FD0AF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2026.4.5-4.6</w:t>
                  </w:r>
                </w:p>
              </w:tc>
              <w:tc>
                <w:tcPr>
                  <w:tcW w:w="838" w:type="dxa"/>
                  <w:vMerge w:val="continue"/>
                  <w:noWrap w:val="0"/>
                  <w:vAlign w:val="center"/>
                </w:tcPr>
                <w:p w14:paraId="67CE36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p>
              </w:tc>
            </w:tr>
            <w:tr w14:paraId="14D4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63" w:type="dxa"/>
                  <w:noWrap w:val="0"/>
                  <w:vAlign w:val="center"/>
                </w:tcPr>
                <w:p w14:paraId="3A4E6A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1#厂界东侧</w:t>
                  </w:r>
                </w:p>
              </w:tc>
              <w:tc>
                <w:tcPr>
                  <w:tcW w:w="1026" w:type="dxa"/>
                  <w:noWrap w:val="0"/>
                  <w:vAlign w:val="center"/>
                </w:tcPr>
                <w:p w14:paraId="6D6DD9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w:t>
                  </w:r>
                </w:p>
              </w:tc>
              <w:tc>
                <w:tcPr>
                  <w:tcW w:w="987" w:type="dxa"/>
                  <w:noWrap w:val="0"/>
                  <w:vAlign w:val="center"/>
                </w:tcPr>
                <w:p w14:paraId="6177E2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w:t>
                  </w:r>
                </w:p>
              </w:tc>
              <w:tc>
                <w:tcPr>
                  <w:tcW w:w="1081" w:type="dxa"/>
                  <w:noWrap w:val="0"/>
                  <w:vAlign w:val="center"/>
                </w:tcPr>
                <w:p w14:paraId="7B0F6C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c>
                <w:tcPr>
                  <w:tcW w:w="1182" w:type="dxa"/>
                  <w:noWrap w:val="0"/>
                  <w:vAlign w:val="center"/>
                </w:tcPr>
                <w:p w14:paraId="6EF06A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w:t>
                  </w:r>
                </w:p>
              </w:tc>
              <w:tc>
                <w:tcPr>
                  <w:tcW w:w="987" w:type="dxa"/>
                  <w:noWrap w:val="0"/>
                  <w:vAlign w:val="center"/>
                </w:tcPr>
                <w:p w14:paraId="272234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w:t>
                  </w:r>
                </w:p>
              </w:tc>
              <w:tc>
                <w:tcPr>
                  <w:tcW w:w="838" w:type="dxa"/>
                  <w:noWrap w:val="0"/>
                  <w:vAlign w:val="center"/>
                </w:tcPr>
                <w:p w14:paraId="3DD07D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59BD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63" w:type="dxa"/>
                  <w:noWrap w:val="0"/>
                  <w:vAlign w:val="center"/>
                </w:tcPr>
                <w:p w14:paraId="4DD84F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2#厂界南侧</w:t>
                  </w:r>
                </w:p>
              </w:tc>
              <w:tc>
                <w:tcPr>
                  <w:tcW w:w="1026" w:type="dxa"/>
                  <w:noWrap w:val="0"/>
                  <w:vAlign w:val="center"/>
                </w:tcPr>
                <w:p w14:paraId="589A57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w:t>
                  </w:r>
                </w:p>
              </w:tc>
              <w:tc>
                <w:tcPr>
                  <w:tcW w:w="987" w:type="dxa"/>
                  <w:noWrap w:val="0"/>
                  <w:vAlign w:val="center"/>
                </w:tcPr>
                <w:p w14:paraId="20DB6B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w:t>
                  </w:r>
                </w:p>
              </w:tc>
              <w:tc>
                <w:tcPr>
                  <w:tcW w:w="1081" w:type="dxa"/>
                  <w:noWrap w:val="0"/>
                  <w:vAlign w:val="center"/>
                </w:tcPr>
                <w:p w14:paraId="6BFBC8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c>
                <w:tcPr>
                  <w:tcW w:w="1182" w:type="dxa"/>
                  <w:noWrap w:val="0"/>
                  <w:vAlign w:val="center"/>
                </w:tcPr>
                <w:p w14:paraId="597194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w:t>
                  </w:r>
                </w:p>
              </w:tc>
              <w:tc>
                <w:tcPr>
                  <w:tcW w:w="987" w:type="dxa"/>
                  <w:noWrap w:val="0"/>
                  <w:vAlign w:val="center"/>
                </w:tcPr>
                <w:p w14:paraId="13E8CB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w:t>
                  </w:r>
                </w:p>
              </w:tc>
              <w:tc>
                <w:tcPr>
                  <w:tcW w:w="838" w:type="dxa"/>
                  <w:noWrap w:val="0"/>
                  <w:vAlign w:val="center"/>
                </w:tcPr>
                <w:p w14:paraId="6685EA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4354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63" w:type="dxa"/>
                  <w:noWrap w:val="0"/>
                  <w:vAlign w:val="center"/>
                </w:tcPr>
                <w:p w14:paraId="438EBE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3#厂界西侧</w:t>
                  </w:r>
                </w:p>
              </w:tc>
              <w:tc>
                <w:tcPr>
                  <w:tcW w:w="1026" w:type="dxa"/>
                  <w:noWrap w:val="0"/>
                  <w:vAlign w:val="center"/>
                </w:tcPr>
                <w:p w14:paraId="2A4CD2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w:t>
                  </w:r>
                </w:p>
              </w:tc>
              <w:tc>
                <w:tcPr>
                  <w:tcW w:w="987" w:type="dxa"/>
                  <w:noWrap w:val="0"/>
                  <w:vAlign w:val="center"/>
                </w:tcPr>
                <w:p w14:paraId="35FFE3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w:t>
                  </w:r>
                </w:p>
              </w:tc>
              <w:tc>
                <w:tcPr>
                  <w:tcW w:w="1081" w:type="dxa"/>
                  <w:noWrap w:val="0"/>
                  <w:vAlign w:val="center"/>
                </w:tcPr>
                <w:p w14:paraId="718E7C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c>
                <w:tcPr>
                  <w:tcW w:w="1182" w:type="dxa"/>
                  <w:noWrap w:val="0"/>
                  <w:vAlign w:val="center"/>
                </w:tcPr>
                <w:p w14:paraId="237885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37</w:t>
                  </w:r>
                </w:p>
              </w:tc>
              <w:tc>
                <w:tcPr>
                  <w:tcW w:w="987" w:type="dxa"/>
                  <w:noWrap w:val="0"/>
                  <w:vAlign w:val="center"/>
                </w:tcPr>
                <w:p w14:paraId="202275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35</w:t>
                  </w:r>
                </w:p>
              </w:tc>
              <w:tc>
                <w:tcPr>
                  <w:tcW w:w="838" w:type="dxa"/>
                  <w:noWrap w:val="0"/>
                  <w:vAlign w:val="center"/>
                </w:tcPr>
                <w:p w14:paraId="36E356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633A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863" w:type="dxa"/>
                  <w:noWrap w:val="0"/>
                  <w:vAlign w:val="center"/>
                </w:tcPr>
                <w:p w14:paraId="5D6D0A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4#厂界北侧</w:t>
                  </w:r>
                </w:p>
              </w:tc>
              <w:tc>
                <w:tcPr>
                  <w:tcW w:w="1026" w:type="dxa"/>
                  <w:noWrap w:val="0"/>
                  <w:vAlign w:val="center"/>
                </w:tcPr>
                <w:p w14:paraId="3E105A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w:t>
                  </w:r>
                </w:p>
              </w:tc>
              <w:tc>
                <w:tcPr>
                  <w:tcW w:w="987" w:type="dxa"/>
                  <w:noWrap w:val="0"/>
                  <w:vAlign w:val="center"/>
                </w:tcPr>
                <w:p w14:paraId="090D10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w:t>
                  </w:r>
                </w:p>
              </w:tc>
              <w:tc>
                <w:tcPr>
                  <w:tcW w:w="1081" w:type="dxa"/>
                  <w:noWrap w:val="0"/>
                  <w:vAlign w:val="center"/>
                </w:tcPr>
                <w:p w14:paraId="2682CC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c>
                <w:tcPr>
                  <w:tcW w:w="1182" w:type="dxa"/>
                  <w:noWrap w:val="0"/>
                  <w:vAlign w:val="center"/>
                </w:tcPr>
                <w:p w14:paraId="21EF45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w:t>
                  </w:r>
                </w:p>
              </w:tc>
              <w:tc>
                <w:tcPr>
                  <w:tcW w:w="987" w:type="dxa"/>
                  <w:noWrap w:val="0"/>
                  <w:vAlign w:val="center"/>
                </w:tcPr>
                <w:p w14:paraId="53BFE2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36</w:t>
                  </w:r>
                </w:p>
              </w:tc>
              <w:tc>
                <w:tcPr>
                  <w:tcW w:w="838" w:type="dxa"/>
                  <w:noWrap w:val="0"/>
                  <w:vAlign w:val="center"/>
                </w:tcPr>
                <w:p w14:paraId="5485AF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达标</w:t>
                  </w:r>
                </w:p>
              </w:tc>
            </w:tr>
            <w:tr w14:paraId="5396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63" w:type="dxa"/>
                  <w:noWrap w:val="0"/>
                  <w:vAlign w:val="center"/>
                </w:tcPr>
                <w:p w14:paraId="40E046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执行标准</w:t>
                  </w:r>
                </w:p>
              </w:tc>
              <w:tc>
                <w:tcPr>
                  <w:tcW w:w="6101" w:type="dxa"/>
                  <w:gridSpan w:val="6"/>
                  <w:noWrap w:val="0"/>
                  <w:vAlign w:val="center"/>
                </w:tcPr>
                <w:p w14:paraId="47B145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《声环境质量标准》（GB12348-2008）中1类区排放限值：昼间55dB（A），夜间45dB（A）</w:t>
                  </w:r>
                </w:p>
              </w:tc>
            </w:tr>
          </w:tbl>
          <w:p w14:paraId="2C12E199">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根据监测结果，项目厂界昼间噪声值为37-43dB（A），夜间噪声值为35-38dB（A），均满足《声环境质量标准》（GB3096-2008）1类标准。</w:t>
            </w:r>
          </w:p>
          <w:p w14:paraId="27B19C47">
            <w:pPr>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三、</w:t>
            </w:r>
            <w:r>
              <w:rPr>
                <w:rFonts w:hint="default"/>
                <w:b/>
                <w:bCs/>
                <w:color w:val="000000" w:themeColor="text1"/>
                <w:highlight w:val="none"/>
                <w:lang w:val="en-US" w:eastAsia="zh-CN"/>
                <w14:textFill>
                  <w14:solidFill>
                    <w14:schemeClr w14:val="tx1"/>
                  </w14:solidFill>
                </w14:textFill>
              </w:rPr>
              <w:t>地下水、土壤环境</w:t>
            </w:r>
          </w:p>
          <w:p w14:paraId="1A280AE8">
            <w:pPr>
              <w:bidi w:val="0"/>
              <w:rPr>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地下水、土壤环境原则上不开展环境质量现状调查。项目厂界外500m范围内无地下水集中式饮用水水源和热水、矿泉水、温泉等特殊地下水资源。本项目</w:t>
            </w:r>
            <w:r>
              <w:rPr>
                <w:rFonts w:hint="eastAsia"/>
                <w:color w:val="000000" w:themeColor="text1"/>
                <w:highlight w:val="none"/>
                <w:lang w:val="en-US" w:eastAsia="zh-CN"/>
                <w14:textFill>
                  <w14:solidFill>
                    <w14:schemeClr w14:val="tx1"/>
                  </w14:solidFill>
                </w14:textFill>
              </w:rPr>
              <w:t>分区防渗，重点防渗区：危险废物暂存库根据《危险废物贮存污染控制标准》（GB18597-2023）相关要求进行防渗，防渗要求：位于现有地面基础上直接铺设2mm厚高密度聚乙烯（HDPE）膜。药品库防渗措施根据《环境影响评价技术导则 地下水环境》（HJ610-2016）防渗要求：等效黏土防渗层Mb≥6.0m，K≤1.0×10</w:t>
            </w:r>
            <w:r>
              <w:rPr>
                <w:rFonts w:hint="eastAsia"/>
                <w:color w:val="000000" w:themeColor="text1"/>
                <w:highlight w:val="none"/>
                <w:vertAlign w:val="superscript"/>
                <w:lang w:val="en-US" w:eastAsia="zh-CN"/>
                <w14:textFill>
                  <w14:solidFill>
                    <w14:schemeClr w14:val="tx1"/>
                  </w14:solidFill>
                </w14:textFill>
              </w:rPr>
              <w:t>-7</w:t>
            </w:r>
            <w:r>
              <w:rPr>
                <w:rFonts w:hint="eastAsia"/>
                <w:color w:val="000000" w:themeColor="text1"/>
                <w:highlight w:val="none"/>
                <w:vertAlign w:val="baseline"/>
                <w:lang w:val="en-US" w:eastAsia="zh-CN"/>
                <w14:textFill>
                  <w14:solidFill>
                    <w14:schemeClr w14:val="tx1"/>
                  </w14:solidFill>
                </w14:textFill>
              </w:rPr>
              <w:t>c</w:t>
            </w:r>
            <w:r>
              <w:rPr>
                <w:rFonts w:hint="eastAsia"/>
                <w:color w:val="000000" w:themeColor="text1"/>
                <w:highlight w:val="none"/>
                <w:lang w:val="en-US" w:eastAsia="zh-CN"/>
                <w14:textFill>
                  <w14:solidFill>
                    <w14:schemeClr w14:val="tx1"/>
                  </w14:solidFill>
                </w14:textFill>
              </w:rPr>
              <w:t>m/s。采取上述措施后，本项目对周围地下水及土壤环境影响较小</w:t>
            </w:r>
            <w:r>
              <w:rPr>
                <w:rFonts w:hint="default"/>
                <w:color w:val="000000" w:themeColor="text1"/>
                <w:highlight w:val="none"/>
                <w:lang w:val="en-US" w:eastAsia="zh-CN"/>
                <w14:textFill>
                  <w14:solidFill>
                    <w14:schemeClr w14:val="tx1"/>
                  </w14:solidFill>
                </w14:textFill>
              </w:rPr>
              <w:t>。综合考虑，本次评价不开展地下水环境质量现状监测。</w:t>
            </w:r>
          </w:p>
          <w:p w14:paraId="1634DAA5">
            <w:pPr>
              <w:bidi w:val="0"/>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四、生态环境现状</w:t>
            </w:r>
          </w:p>
          <w:p w14:paraId="40A1EB06">
            <w:pPr>
              <w:bidi w:val="0"/>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所在区域及周边无风景名胜区、自然保护区及文化遗产等特殊保护目标，生态环境不属于敏感区。根据地方或生境重要性评判，该区域属于非重要生境，没有特别受保护的生境和生物区系及水产资源。项目占地范围内无生态环境保护目标。</w:t>
            </w:r>
          </w:p>
        </w:tc>
      </w:tr>
      <w:tr w14:paraId="1D7A4A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800" w:type="dxa"/>
            <w:noWrap w:val="0"/>
            <w:vAlign w:val="center"/>
          </w:tcPr>
          <w:p w14:paraId="677B6414">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环境</w:t>
            </w:r>
          </w:p>
          <w:p w14:paraId="56435E8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保护</w:t>
            </w:r>
          </w:p>
          <w:p w14:paraId="6775495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目标</w:t>
            </w:r>
          </w:p>
        </w:tc>
        <w:tc>
          <w:tcPr>
            <w:tcW w:w="8190" w:type="dxa"/>
            <w:gridSpan w:val="2"/>
            <w:noWrap w:val="0"/>
            <w:vAlign w:val="center"/>
          </w:tcPr>
          <w:p w14:paraId="5377D2B8">
            <w:pPr>
              <w:adjustRightInd w:val="0"/>
              <w:snapToGrid w:val="0"/>
              <w:jc w:val="both"/>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根据现场</w:t>
            </w:r>
            <w:r>
              <w:rPr>
                <w:rFonts w:hint="eastAsia" w:cs="Times New Roman"/>
                <w:color w:val="000000" w:themeColor="text1"/>
                <w:kern w:val="0"/>
                <w:sz w:val="24"/>
                <w:szCs w:val="24"/>
                <w:highlight w:val="none"/>
                <w:lang w:eastAsia="zh-CN"/>
                <w14:textFill>
                  <w14:solidFill>
                    <w14:schemeClr w14:val="tx1"/>
                  </w14:solidFill>
                </w14:textFill>
              </w:rPr>
              <w:t>勘查</w:t>
            </w:r>
            <w:r>
              <w:rPr>
                <w:rFonts w:hint="default" w:ascii="Times New Roman" w:hAnsi="Times New Roman" w:cs="Times New Roman"/>
                <w:color w:val="000000" w:themeColor="text1"/>
                <w:kern w:val="0"/>
                <w:sz w:val="24"/>
                <w:szCs w:val="24"/>
                <w:highlight w:val="none"/>
                <w14:textFill>
                  <w14:solidFill>
                    <w14:schemeClr w14:val="tx1"/>
                  </w14:solidFill>
                </w14:textFill>
              </w:rPr>
              <w:t>，本项目</w:t>
            </w:r>
            <w:r>
              <w:rPr>
                <w:rFonts w:hint="eastAsia" w:cs="Times New Roman"/>
                <w:color w:val="000000" w:themeColor="text1"/>
                <w:kern w:val="0"/>
                <w:sz w:val="24"/>
                <w:szCs w:val="24"/>
                <w:highlight w:val="none"/>
                <w:lang w:val="en-US" w:eastAsia="zh-CN"/>
                <w14:textFill>
                  <w14:solidFill>
                    <w14:schemeClr w14:val="tx1"/>
                  </w14:solidFill>
                </w14:textFill>
              </w:rPr>
              <w:t>位于</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内蒙古自治区鄂尔多斯市东胜区乌审东街40号东联现代高级中学竹轩教学楼</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所在区域</w:t>
            </w:r>
            <w:r>
              <w:rPr>
                <w:rFonts w:hint="eastAsia" w:cs="Times New Roman"/>
                <w:color w:val="000000" w:themeColor="text1"/>
                <w:kern w:val="0"/>
                <w:sz w:val="24"/>
                <w:szCs w:val="24"/>
                <w:highlight w:val="none"/>
                <w:lang w:val="en-US" w:eastAsia="zh-CN"/>
                <w14:textFill>
                  <w14:solidFill>
                    <w14:schemeClr w14:val="tx1"/>
                  </w14:solidFill>
                </w14:textFill>
              </w:rPr>
              <w:t>为城区，</w:t>
            </w:r>
            <w:r>
              <w:rPr>
                <w:rFonts w:hint="default" w:ascii="Times New Roman" w:hAnsi="Times New Roman" w:cs="Times New Roman"/>
                <w:color w:val="000000" w:themeColor="text1"/>
                <w:kern w:val="0"/>
                <w:sz w:val="24"/>
                <w:szCs w:val="24"/>
                <w:highlight w:val="none"/>
                <w14:textFill>
                  <w14:solidFill>
                    <w14:schemeClr w14:val="tx1"/>
                  </w14:solidFill>
                </w14:textFill>
              </w:rPr>
              <w:t>其附近没有自然保护区、水源地、重点文物、珍稀动植物资源等重点保护目标。根据项目性质及周围环境特征，本次调查重点保护对象为调查范围内的居民点，主要保护目标见表3-</w:t>
            </w:r>
            <w:r>
              <w:rPr>
                <w:rFonts w:hint="eastAsia" w:cs="Times New Roman"/>
                <w:color w:val="000000" w:themeColor="text1"/>
                <w:kern w:val="0"/>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kern w:val="0"/>
                <w:sz w:val="24"/>
                <w:szCs w:val="24"/>
                <w:highlight w:val="none"/>
                <w14:textFill>
                  <w14:solidFill>
                    <w14:schemeClr w14:val="tx1"/>
                  </w14:solidFill>
                </w14:textFill>
              </w:rPr>
              <w:t>。</w:t>
            </w:r>
          </w:p>
          <w:p w14:paraId="72DAB037">
            <w:pPr>
              <w:autoSpaceDE w:val="0"/>
              <w:autoSpaceDN w:val="0"/>
              <w:adjustRightInd w:val="0"/>
              <w:jc w:val="center"/>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表3-</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环境保护</w:t>
            </w:r>
            <w:r>
              <w:rPr>
                <w:rFonts w:hint="default" w:ascii="Times New Roman" w:hAnsi="Times New Roman" w:cs="Times New Roman"/>
                <w:b/>
                <w:bCs/>
                <w:color w:val="000000" w:themeColor="text1"/>
                <w:sz w:val="24"/>
                <w:szCs w:val="24"/>
                <w:highlight w:val="none"/>
                <w14:textFill>
                  <w14:solidFill>
                    <w14:schemeClr w14:val="tx1"/>
                  </w14:solidFill>
                </w14:textFill>
              </w:rPr>
              <w:t>目标一览表</w:t>
            </w:r>
          </w:p>
          <w:tbl>
            <w:tblPr>
              <w:tblStyle w:val="23"/>
              <w:tblW w:w="799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914"/>
              <w:gridCol w:w="1130"/>
              <w:gridCol w:w="709"/>
              <w:gridCol w:w="752"/>
              <w:gridCol w:w="736"/>
              <w:gridCol w:w="805"/>
              <w:gridCol w:w="750"/>
              <w:gridCol w:w="1619"/>
            </w:tblGrid>
            <w:tr w14:paraId="17F8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580" w:type="dxa"/>
                  <w:noWrap w:val="0"/>
                  <w:vAlign w:val="center"/>
                </w:tcPr>
                <w:p w14:paraId="50555559">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环境要素</w:t>
                  </w:r>
                </w:p>
              </w:tc>
              <w:tc>
                <w:tcPr>
                  <w:tcW w:w="914" w:type="dxa"/>
                  <w:noWrap w:val="0"/>
                  <w:vAlign w:val="center"/>
                </w:tcPr>
                <w:p w14:paraId="5B59F72A">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环境保护对象名称</w:t>
                  </w:r>
                </w:p>
              </w:tc>
              <w:tc>
                <w:tcPr>
                  <w:tcW w:w="1130" w:type="dxa"/>
                  <w:noWrap w:val="0"/>
                  <w:vAlign w:val="center"/>
                </w:tcPr>
                <w:p w14:paraId="6985901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坐标</w:t>
                  </w:r>
                </w:p>
              </w:tc>
              <w:tc>
                <w:tcPr>
                  <w:tcW w:w="709" w:type="dxa"/>
                  <w:noWrap w:val="0"/>
                  <w:vAlign w:val="center"/>
                </w:tcPr>
                <w:p w14:paraId="1C4AEDEF">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保护对象</w:t>
                  </w:r>
                </w:p>
              </w:tc>
              <w:tc>
                <w:tcPr>
                  <w:tcW w:w="752" w:type="dxa"/>
                  <w:noWrap w:val="0"/>
                  <w:vAlign w:val="center"/>
                </w:tcPr>
                <w:p w14:paraId="0C926FF9">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保护内容</w:t>
                  </w:r>
                </w:p>
              </w:tc>
              <w:tc>
                <w:tcPr>
                  <w:tcW w:w="736" w:type="dxa"/>
                  <w:noWrap w:val="0"/>
                  <w:vAlign w:val="center"/>
                </w:tcPr>
                <w:p w14:paraId="76D90856">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相对厂址方位</w:t>
                  </w:r>
                </w:p>
              </w:tc>
              <w:tc>
                <w:tcPr>
                  <w:tcW w:w="805" w:type="dxa"/>
                  <w:noWrap w:val="0"/>
                  <w:vAlign w:val="center"/>
                </w:tcPr>
                <w:p w14:paraId="511D086D">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相对厂址距离/m</w:t>
                  </w:r>
                </w:p>
              </w:tc>
              <w:tc>
                <w:tcPr>
                  <w:tcW w:w="750" w:type="dxa"/>
                  <w:noWrap w:val="0"/>
                  <w:vAlign w:val="center"/>
                </w:tcPr>
                <w:p w14:paraId="25473FB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影响规模/人</w:t>
                  </w:r>
                </w:p>
              </w:tc>
              <w:tc>
                <w:tcPr>
                  <w:tcW w:w="1619" w:type="dxa"/>
                  <w:noWrap w:val="0"/>
                  <w:vAlign w:val="center"/>
                </w:tcPr>
                <w:p w14:paraId="0385A0B9">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环境功能区</w:t>
                  </w:r>
                </w:p>
              </w:tc>
            </w:tr>
            <w:tr w14:paraId="6A40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80" w:type="dxa"/>
                  <w:vMerge w:val="restart"/>
                  <w:noWrap w:val="0"/>
                  <w:vAlign w:val="center"/>
                </w:tcPr>
                <w:p w14:paraId="7D38ADFB">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环境空气</w:t>
                  </w:r>
                </w:p>
              </w:tc>
              <w:tc>
                <w:tcPr>
                  <w:tcW w:w="914" w:type="dxa"/>
                  <w:noWrap w:val="0"/>
                  <w:vAlign w:val="center"/>
                </w:tcPr>
                <w:p w14:paraId="3BB26FE2">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华伟世纪华庭</w:t>
                  </w:r>
                </w:p>
              </w:tc>
              <w:tc>
                <w:tcPr>
                  <w:tcW w:w="1130" w:type="dxa"/>
                  <w:noWrap w:val="0"/>
                  <w:vAlign w:val="center"/>
                </w:tcPr>
                <w:p w14:paraId="3A860FB2">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110.0194</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39.8073</w:t>
                  </w:r>
                </w:p>
              </w:tc>
              <w:tc>
                <w:tcPr>
                  <w:tcW w:w="709" w:type="dxa"/>
                  <w:noWrap w:val="0"/>
                  <w:vAlign w:val="center"/>
                </w:tcPr>
                <w:p w14:paraId="54A9B18F">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居民区</w:t>
                  </w:r>
                </w:p>
              </w:tc>
              <w:tc>
                <w:tcPr>
                  <w:tcW w:w="752" w:type="dxa"/>
                  <w:noWrap w:val="0"/>
                  <w:vAlign w:val="center"/>
                </w:tcPr>
                <w:p w14:paraId="3DA4730D">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人群</w:t>
                  </w:r>
                </w:p>
              </w:tc>
              <w:tc>
                <w:tcPr>
                  <w:tcW w:w="736" w:type="dxa"/>
                  <w:noWrap w:val="0"/>
                  <w:vAlign w:val="center"/>
                </w:tcPr>
                <w:p w14:paraId="7C90ADE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WN</w:t>
                  </w:r>
                </w:p>
              </w:tc>
              <w:tc>
                <w:tcPr>
                  <w:tcW w:w="805" w:type="dxa"/>
                  <w:noWrap w:val="0"/>
                  <w:vAlign w:val="center"/>
                </w:tcPr>
                <w:p w14:paraId="403C6B5F">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370</w:t>
                  </w:r>
                </w:p>
              </w:tc>
              <w:tc>
                <w:tcPr>
                  <w:tcW w:w="750" w:type="dxa"/>
                  <w:noWrap w:val="0"/>
                  <w:vAlign w:val="center"/>
                </w:tcPr>
                <w:p w14:paraId="7D161C61">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300</w:t>
                  </w:r>
                </w:p>
              </w:tc>
              <w:tc>
                <w:tcPr>
                  <w:tcW w:w="1619" w:type="dxa"/>
                  <w:vMerge w:val="restart"/>
                  <w:noWrap w:val="0"/>
                  <w:vAlign w:val="center"/>
                </w:tcPr>
                <w:p w14:paraId="38EBE7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b w:val="0"/>
                      <w:bCs w:val="0"/>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4"/>
                      <w:szCs w:val="24"/>
                      <w:highlight w:val="none"/>
                      <w14:textFill>
                        <w14:solidFill>
                          <w14:schemeClr w14:val="tx1"/>
                        </w14:solidFill>
                      </w14:textFill>
                    </w:rPr>
                    <w:t>《环境空气质量标准》</w:t>
                  </w:r>
                  <w:r>
                    <w:rPr>
                      <w:rFonts w:hint="default" w:ascii="Times New Roman" w:hAnsi="Times New Roman" w:cs="Times New Roman"/>
                      <w:b w:val="0"/>
                      <w:bCs w:val="0"/>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kern w:val="0"/>
                      <w:sz w:val="24"/>
                      <w:szCs w:val="24"/>
                      <w:highlight w:val="none"/>
                      <w14:textFill>
                        <w14:solidFill>
                          <w14:schemeClr w14:val="tx1"/>
                        </w14:solidFill>
                      </w14:textFill>
                    </w:rPr>
                    <w:t>GB3095-20</w:t>
                  </w:r>
                  <w:r>
                    <w:rPr>
                      <w:rFonts w:hint="eastAsia" w:ascii="Times New Roman" w:hAnsi="Times New Roman" w:cs="Times New Roman"/>
                      <w:b w:val="0"/>
                      <w:bCs w:val="0"/>
                      <w:color w:val="000000" w:themeColor="text1"/>
                      <w:kern w:val="0"/>
                      <w:sz w:val="24"/>
                      <w:szCs w:val="24"/>
                      <w:highlight w:val="none"/>
                      <w:lang w:val="en-US" w:eastAsia="zh-CN"/>
                      <w14:textFill>
                        <w14:solidFill>
                          <w14:schemeClr w14:val="tx1"/>
                        </w14:solidFill>
                      </w14:textFill>
                    </w:rPr>
                    <w:t>26</w:t>
                  </w:r>
                  <w:r>
                    <w:rPr>
                      <w:rFonts w:hint="default" w:ascii="Times New Roman" w:hAnsi="Times New Roman" w:cs="Times New Roman"/>
                      <w:b w:val="0"/>
                      <w:bCs w:val="0"/>
                      <w:color w:val="000000" w:themeColor="text1"/>
                      <w:kern w:val="0"/>
                      <w:sz w:val="24"/>
                      <w:szCs w:val="24"/>
                      <w:highlight w:val="none"/>
                      <w:lang w:eastAsia="zh-CN"/>
                      <w14:textFill>
                        <w14:solidFill>
                          <w14:schemeClr w14:val="tx1"/>
                        </w14:solidFill>
                      </w14:textFill>
                    </w:rPr>
                    <w:t>）</w:t>
                  </w:r>
                  <w:r>
                    <w:rPr>
                      <w:rFonts w:hint="eastAsia" w:cs="Times New Roman"/>
                      <w:b w:val="0"/>
                      <w:bCs w:val="0"/>
                      <w:color w:val="000000" w:themeColor="text1"/>
                      <w:kern w:val="0"/>
                      <w:sz w:val="24"/>
                      <w:szCs w:val="24"/>
                      <w:highlight w:val="none"/>
                      <w:lang w:val="en-US" w:eastAsia="zh-CN"/>
                      <w14:textFill>
                        <w14:solidFill>
                          <w14:schemeClr w14:val="tx1"/>
                        </w14:solidFill>
                      </w14:textFill>
                    </w:rPr>
                    <w:t>二级标准限值要求</w:t>
                  </w:r>
                </w:p>
              </w:tc>
            </w:tr>
            <w:tr w14:paraId="1FF6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80" w:type="dxa"/>
                  <w:vMerge w:val="continue"/>
                  <w:noWrap w:val="0"/>
                  <w:vAlign w:val="center"/>
                </w:tcPr>
                <w:p w14:paraId="12F1059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p>
              </w:tc>
              <w:tc>
                <w:tcPr>
                  <w:tcW w:w="914" w:type="dxa"/>
                  <w:noWrap w:val="0"/>
                  <w:vAlign w:val="center"/>
                </w:tcPr>
                <w:p w14:paraId="5544272B">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澳林花园</w:t>
                  </w:r>
                </w:p>
              </w:tc>
              <w:tc>
                <w:tcPr>
                  <w:tcW w:w="1130" w:type="dxa"/>
                  <w:noWrap w:val="0"/>
                  <w:vAlign w:val="center"/>
                </w:tcPr>
                <w:p w14:paraId="02473E0B">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110.0219</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39.8074</w:t>
                  </w:r>
                </w:p>
              </w:tc>
              <w:tc>
                <w:tcPr>
                  <w:tcW w:w="709" w:type="dxa"/>
                  <w:noWrap w:val="0"/>
                  <w:vAlign w:val="center"/>
                </w:tcPr>
                <w:p w14:paraId="113C279D">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居民区</w:t>
                  </w:r>
                </w:p>
              </w:tc>
              <w:tc>
                <w:tcPr>
                  <w:tcW w:w="752" w:type="dxa"/>
                  <w:noWrap w:val="0"/>
                  <w:vAlign w:val="center"/>
                </w:tcPr>
                <w:p w14:paraId="6FFA541C">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人群</w:t>
                  </w:r>
                </w:p>
              </w:tc>
              <w:tc>
                <w:tcPr>
                  <w:tcW w:w="736" w:type="dxa"/>
                  <w:noWrap w:val="0"/>
                  <w:vAlign w:val="center"/>
                </w:tcPr>
                <w:p w14:paraId="259E0F0A">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WN</w:t>
                  </w:r>
                </w:p>
              </w:tc>
              <w:tc>
                <w:tcPr>
                  <w:tcW w:w="805" w:type="dxa"/>
                  <w:noWrap w:val="0"/>
                  <w:vAlign w:val="center"/>
                </w:tcPr>
                <w:p w14:paraId="5A734583">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224</w:t>
                  </w:r>
                </w:p>
              </w:tc>
              <w:tc>
                <w:tcPr>
                  <w:tcW w:w="750" w:type="dxa"/>
                  <w:noWrap w:val="0"/>
                  <w:vAlign w:val="center"/>
                </w:tcPr>
                <w:p w14:paraId="2126100C">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500</w:t>
                  </w:r>
                </w:p>
              </w:tc>
              <w:tc>
                <w:tcPr>
                  <w:tcW w:w="1619" w:type="dxa"/>
                  <w:vMerge w:val="continue"/>
                  <w:noWrap w:val="0"/>
                  <w:vAlign w:val="center"/>
                </w:tcPr>
                <w:p w14:paraId="1E078E7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b w:val="0"/>
                      <w:bCs w:val="0"/>
                      <w:color w:val="000000" w:themeColor="text1"/>
                      <w:kern w:val="0"/>
                      <w:sz w:val="24"/>
                      <w:szCs w:val="24"/>
                      <w:highlight w:val="none"/>
                      <w14:textFill>
                        <w14:solidFill>
                          <w14:schemeClr w14:val="tx1"/>
                        </w14:solidFill>
                      </w14:textFill>
                    </w:rPr>
                  </w:pPr>
                </w:p>
              </w:tc>
            </w:tr>
            <w:tr w14:paraId="2B86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580" w:type="dxa"/>
                  <w:vMerge w:val="continue"/>
                  <w:noWrap w:val="0"/>
                  <w:vAlign w:val="center"/>
                </w:tcPr>
                <w:p w14:paraId="5AC29918">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p>
              </w:tc>
              <w:tc>
                <w:tcPr>
                  <w:tcW w:w="914" w:type="dxa"/>
                  <w:noWrap w:val="0"/>
                  <w:vAlign w:val="center"/>
                </w:tcPr>
                <w:p w14:paraId="21916DC8">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景颐苑</w:t>
                  </w:r>
                </w:p>
              </w:tc>
              <w:tc>
                <w:tcPr>
                  <w:tcW w:w="1130" w:type="dxa"/>
                  <w:noWrap w:val="0"/>
                  <w:vAlign w:val="center"/>
                </w:tcPr>
                <w:p w14:paraId="0A18B014">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110.0230</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39.8094</w:t>
                  </w:r>
                </w:p>
              </w:tc>
              <w:tc>
                <w:tcPr>
                  <w:tcW w:w="709" w:type="dxa"/>
                  <w:noWrap w:val="0"/>
                  <w:vAlign w:val="center"/>
                </w:tcPr>
                <w:p w14:paraId="1D4DAF8B">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居民区</w:t>
                  </w:r>
                </w:p>
              </w:tc>
              <w:tc>
                <w:tcPr>
                  <w:tcW w:w="752" w:type="dxa"/>
                  <w:noWrap w:val="0"/>
                  <w:vAlign w:val="center"/>
                </w:tcPr>
                <w:p w14:paraId="79A7443A">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人群</w:t>
                  </w:r>
                </w:p>
              </w:tc>
              <w:tc>
                <w:tcPr>
                  <w:tcW w:w="736" w:type="dxa"/>
                  <w:noWrap w:val="0"/>
                  <w:vAlign w:val="center"/>
                </w:tcPr>
                <w:p w14:paraId="00A96802">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N</w:t>
                  </w:r>
                </w:p>
              </w:tc>
              <w:tc>
                <w:tcPr>
                  <w:tcW w:w="805" w:type="dxa"/>
                  <w:noWrap w:val="0"/>
                  <w:vAlign w:val="center"/>
                </w:tcPr>
                <w:p w14:paraId="5D6BDFCA">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462</w:t>
                  </w:r>
                </w:p>
              </w:tc>
              <w:tc>
                <w:tcPr>
                  <w:tcW w:w="750" w:type="dxa"/>
                  <w:noWrap w:val="0"/>
                  <w:vAlign w:val="center"/>
                </w:tcPr>
                <w:p w14:paraId="0D85E26D">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260</w:t>
                  </w:r>
                </w:p>
              </w:tc>
              <w:tc>
                <w:tcPr>
                  <w:tcW w:w="1619" w:type="dxa"/>
                  <w:vMerge w:val="continue"/>
                  <w:noWrap w:val="0"/>
                  <w:vAlign w:val="center"/>
                </w:tcPr>
                <w:p w14:paraId="2FD0C3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b w:val="0"/>
                      <w:bCs w:val="0"/>
                      <w:color w:val="000000" w:themeColor="text1"/>
                      <w:kern w:val="0"/>
                      <w:sz w:val="24"/>
                      <w:szCs w:val="24"/>
                      <w:highlight w:val="none"/>
                      <w14:textFill>
                        <w14:solidFill>
                          <w14:schemeClr w14:val="tx1"/>
                        </w14:solidFill>
                      </w14:textFill>
                    </w:rPr>
                  </w:pPr>
                </w:p>
              </w:tc>
            </w:tr>
            <w:tr w14:paraId="6BFA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0" w:type="dxa"/>
                  <w:vMerge w:val="continue"/>
                  <w:noWrap w:val="0"/>
                  <w:vAlign w:val="center"/>
                </w:tcPr>
                <w:p w14:paraId="0D11BBC2">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p>
              </w:tc>
              <w:tc>
                <w:tcPr>
                  <w:tcW w:w="914" w:type="dxa"/>
                  <w:noWrap w:val="0"/>
                  <w:vAlign w:val="center"/>
                </w:tcPr>
                <w:p w14:paraId="7A6D9379">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祥和家园</w:t>
                  </w:r>
                </w:p>
              </w:tc>
              <w:tc>
                <w:tcPr>
                  <w:tcW w:w="1130" w:type="dxa"/>
                  <w:noWrap w:val="0"/>
                  <w:vAlign w:val="center"/>
                </w:tcPr>
                <w:p w14:paraId="6098AC39">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110.0251</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39.8092</w:t>
                  </w:r>
                </w:p>
              </w:tc>
              <w:tc>
                <w:tcPr>
                  <w:tcW w:w="709" w:type="dxa"/>
                  <w:noWrap w:val="0"/>
                  <w:vAlign w:val="center"/>
                </w:tcPr>
                <w:p w14:paraId="7353360C">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居民区</w:t>
                  </w:r>
                </w:p>
              </w:tc>
              <w:tc>
                <w:tcPr>
                  <w:tcW w:w="752" w:type="dxa"/>
                  <w:noWrap w:val="0"/>
                  <w:vAlign w:val="center"/>
                </w:tcPr>
                <w:p w14:paraId="04FC8390">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人群</w:t>
                  </w:r>
                </w:p>
              </w:tc>
              <w:tc>
                <w:tcPr>
                  <w:tcW w:w="736" w:type="dxa"/>
                  <w:noWrap w:val="0"/>
                  <w:vAlign w:val="center"/>
                </w:tcPr>
                <w:p w14:paraId="75789490">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NE</w:t>
                  </w:r>
                </w:p>
              </w:tc>
              <w:tc>
                <w:tcPr>
                  <w:tcW w:w="805" w:type="dxa"/>
                  <w:noWrap w:val="0"/>
                  <w:vAlign w:val="center"/>
                </w:tcPr>
                <w:p w14:paraId="611B8A32">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485</w:t>
                  </w:r>
                </w:p>
              </w:tc>
              <w:tc>
                <w:tcPr>
                  <w:tcW w:w="750" w:type="dxa"/>
                  <w:noWrap w:val="0"/>
                  <w:vAlign w:val="center"/>
                </w:tcPr>
                <w:p w14:paraId="08F12F76">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300</w:t>
                  </w:r>
                </w:p>
              </w:tc>
              <w:tc>
                <w:tcPr>
                  <w:tcW w:w="1619" w:type="dxa"/>
                  <w:vMerge w:val="continue"/>
                  <w:noWrap w:val="0"/>
                  <w:vAlign w:val="center"/>
                </w:tcPr>
                <w:p w14:paraId="70E5EE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b w:val="0"/>
                      <w:bCs w:val="0"/>
                      <w:color w:val="000000" w:themeColor="text1"/>
                      <w:kern w:val="0"/>
                      <w:sz w:val="24"/>
                      <w:szCs w:val="24"/>
                      <w:highlight w:val="none"/>
                      <w14:textFill>
                        <w14:solidFill>
                          <w14:schemeClr w14:val="tx1"/>
                        </w14:solidFill>
                      </w14:textFill>
                    </w:rPr>
                  </w:pPr>
                </w:p>
              </w:tc>
            </w:tr>
            <w:tr w14:paraId="65F9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580" w:type="dxa"/>
                  <w:vMerge w:val="continue"/>
                  <w:noWrap w:val="0"/>
                  <w:vAlign w:val="center"/>
                </w:tcPr>
                <w:p w14:paraId="26B86D4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p>
              </w:tc>
              <w:tc>
                <w:tcPr>
                  <w:tcW w:w="914" w:type="dxa"/>
                  <w:noWrap w:val="0"/>
                  <w:vAlign w:val="center"/>
                </w:tcPr>
                <w:p w14:paraId="50FAF74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民联D区</w:t>
                  </w:r>
                </w:p>
              </w:tc>
              <w:tc>
                <w:tcPr>
                  <w:tcW w:w="1130" w:type="dxa"/>
                  <w:noWrap w:val="0"/>
                  <w:vAlign w:val="center"/>
                </w:tcPr>
                <w:p w14:paraId="5F75B9A9">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110.0250</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39.8046</w:t>
                  </w:r>
                </w:p>
              </w:tc>
              <w:tc>
                <w:tcPr>
                  <w:tcW w:w="709" w:type="dxa"/>
                  <w:noWrap w:val="0"/>
                  <w:vAlign w:val="center"/>
                </w:tcPr>
                <w:p w14:paraId="3A220AB7">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居民区</w:t>
                  </w:r>
                </w:p>
              </w:tc>
              <w:tc>
                <w:tcPr>
                  <w:tcW w:w="752" w:type="dxa"/>
                  <w:noWrap w:val="0"/>
                  <w:vAlign w:val="center"/>
                </w:tcPr>
                <w:p w14:paraId="4B4B770F">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人群</w:t>
                  </w:r>
                </w:p>
              </w:tc>
              <w:tc>
                <w:tcPr>
                  <w:tcW w:w="736" w:type="dxa"/>
                  <w:noWrap w:val="0"/>
                  <w:vAlign w:val="center"/>
                </w:tcPr>
                <w:p w14:paraId="3478480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E</w:t>
                  </w:r>
                </w:p>
              </w:tc>
              <w:tc>
                <w:tcPr>
                  <w:tcW w:w="805" w:type="dxa"/>
                  <w:noWrap w:val="0"/>
                  <w:vAlign w:val="center"/>
                </w:tcPr>
                <w:p w14:paraId="69FAF284">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60</w:t>
                  </w:r>
                </w:p>
              </w:tc>
              <w:tc>
                <w:tcPr>
                  <w:tcW w:w="750" w:type="dxa"/>
                  <w:noWrap w:val="0"/>
                  <w:vAlign w:val="center"/>
                </w:tcPr>
                <w:p w14:paraId="3211F66A">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500</w:t>
                  </w:r>
                </w:p>
              </w:tc>
              <w:tc>
                <w:tcPr>
                  <w:tcW w:w="1619" w:type="dxa"/>
                  <w:vMerge w:val="continue"/>
                  <w:noWrap w:val="0"/>
                  <w:vAlign w:val="center"/>
                </w:tcPr>
                <w:p w14:paraId="54E8E2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b w:val="0"/>
                      <w:bCs w:val="0"/>
                      <w:color w:val="000000" w:themeColor="text1"/>
                      <w:kern w:val="0"/>
                      <w:sz w:val="24"/>
                      <w:szCs w:val="24"/>
                      <w:highlight w:val="none"/>
                      <w14:textFill>
                        <w14:solidFill>
                          <w14:schemeClr w14:val="tx1"/>
                        </w14:solidFill>
                      </w14:textFill>
                    </w:rPr>
                  </w:pPr>
                </w:p>
              </w:tc>
            </w:tr>
            <w:tr w14:paraId="4FD7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0" w:type="dxa"/>
                  <w:vMerge w:val="continue"/>
                  <w:noWrap w:val="0"/>
                  <w:vAlign w:val="center"/>
                </w:tcPr>
                <w:p w14:paraId="3EBA0957">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p>
              </w:tc>
              <w:tc>
                <w:tcPr>
                  <w:tcW w:w="914" w:type="dxa"/>
                  <w:noWrap w:val="0"/>
                  <w:vAlign w:val="center"/>
                </w:tcPr>
                <w:p w14:paraId="6AB98AB4">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富兴花园</w:t>
                  </w:r>
                </w:p>
              </w:tc>
              <w:tc>
                <w:tcPr>
                  <w:tcW w:w="1130" w:type="dxa"/>
                  <w:noWrap w:val="0"/>
                  <w:vAlign w:val="center"/>
                </w:tcPr>
                <w:p w14:paraId="6F6901C7">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110.0276</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39.8048</w:t>
                  </w:r>
                </w:p>
              </w:tc>
              <w:tc>
                <w:tcPr>
                  <w:tcW w:w="709" w:type="dxa"/>
                  <w:noWrap w:val="0"/>
                  <w:vAlign w:val="center"/>
                </w:tcPr>
                <w:p w14:paraId="4AD469D8">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居民区</w:t>
                  </w:r>
                </w:p>
              </w:tc>
              <w:tc>
                <w:tcPr>
                  <w:tcW w:w="752" w:type="dxa"/>
                  <w:noWrap w:val="0"/>
                  <w:vAlign w:val="center"/>
                </w:tcPr>
                <w:p w14:paraId="7FBABDB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人群</w:t>
                  </w:r>
                </w:p>
              </w:tc>
              <w:tc>
                <w:tcPr>
                  <w:tcW w:w="736" w:type="dxa"/>
                  <w:noWrap w:val="0"/>
                  <w:vAlign w:val="center"/>
                </w:tcPr>
                <w:p w14:paraId="3049C7DA">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E</w:t>
                  </w:r>
                </w:p>
              </w:tc>
              <w:tc>
                <w:tcPr>
                  <w:tcW w:w="805" w:type="dxa"/>
                  <w:noWrap w:val="0"/>
                  <w:vAlign w:val="center"/>
                </w:tcPr>
                <w:p w14:paraId="74702522">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252</w:t>
                  </w:r>
                </w:p>
              </w:tc>
              <w:tc>
                <w:tcPr>
                  <w:tcW w:w="750" w:type="dxa"/>
                  <w:noWrap w:val="0"/>
                  <w:vAlign w:val="center"/>
                </w:tcPr>
                <w:p w14:paraId="7DB421F1">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500</w:t>
                  </w:r>
                </w:p>
              </w:tc>
              <w:tc>
                <w:tcPr>
                  <w:tcW w:w="1619" w:type="dxa"/>
                  <w:vMerge w:val="continue"/>
                  <w:noWrap w:val="0"/>
                  <w:vAlign w:val="center"/>
                </w:tcPr>
                <w:p w14:paraId="7EEFCA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b w:val="0"/>
                      <w:bCs w:val="0"/>
                      <w:color w:val="000000" w:themeColor="text1"/>
                      <w:kern w:val="0"/>
                      <w:sz w:val="24"/>
                      <w:szCs w:val="24"/>
                      <w:highlight w:val="none"/>
                      <w14:textFill>
                        <w14:solidFill>
                          <w14:schemeClr w14:val="tx1"/>
                        </w14:solidFill>
                      </w14:textFill>
                    </w:rPr>
                  </w:pPr>
                </w:p>
              </w:tc>
            </w:tr>
            <w:tr w14:paraId="60E5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580" w:type="dxa"/>
                  <w:noWrap w:val="0"/>
                  <w:vAlign w:val="center"/>
                </w:tcPr>
                <w:p w14:paraId="42483B4A">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声环境</w:t>
                  </w:r>
                </w:p>
              </w:tc>
              <w:tc>
                <w:tcPr>
                  <w:tcW w:w="5796" w:type="dxa"/>
                  <w:gridSpan w:val="7"/>
                  <w:noWrap w:val="0"/>
                  <w:vAlign w:val="center"/>
                </w:tcPr>
                <w:p w14:paraId="70BF63E4">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项目外50m范围内无声环境保护目标</w:t>
                  </w:r>
                </w:p>
              </w:tc>
              <w:tc>
                <w:tcPr>
                  <w:tcW w:w="1619" w:type="dxa"/>
                  <w:noWrap w:val="0"/>
                  <w:vAlign w:val="center"/>
                </w:tcPr>
                <w:p w14:paraId="453A612C">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both"/>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《声环境质量标准》</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14:textFill>
                        <w14:solidFill>
                          <w14:schemeClr w14:val="tx1"/>
                        </w14:solidFill>
                      </w14:textFill>
                    </w:rPr>
                    <w:t>GB3096-2008</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1类</w:t>
                  </w:r>
                  <w:r>
                    <w:rPr>
                      <w:rFonts w:hint="default" w:ascii="Times New Roman" w:hAnsi="Times New Roman" w:cs="Times New Roman"/>
                      <w:b w:val="0"/>
                      <w:bCs w:val="0"/>
                      <w:color w:val="000000" w:themeColor="text1"/>
                      <w:sz w:val="24"/>
                      <w:szCs w:val="24"/>
                      <w:highlight w:val="none"/>
                      <w14:textFill>
                        <w14:solidFill>
                          <w14:schemeClr w14:val="tx1"/>
                        </w14:solidFill>
                      </w14:textFill>
                    </w:rPr>
                    <w:t>标准</w:t>
                  </w:r>
                </w:p>
              </w:tc>
            </w:tr>
            <w:tr w14:paraId="46B0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580" w:type="dxa"/>
                  <w:noWrap w:val="0"/>
                  <w:vAlign w:val="center"/>
                </w:tcPr>
                <w:p w14:paraId="3341A7F7">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水环境</w:t>
                  </w:r>
                </w:p>
              </w:tc>
              <w:tc>
                <w:tcPr>
                  <w:tcW w:w="5796" w:type="dxa"/>
                  <w:gridSpan w:val="7"/>
                  <w:noWrap w:val="0"/>
                  <w:vAlign w:val="center"/>
                </w:tcPr>
                <w:p w14:paraId="5E468C00">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项目外500m范围内无地下水集中式饮用水水源和热水、矿泉水、温水等特殊地下水资源</w:t>
                  </w:r>
                </w:p>
              </w:tc>
              <w:tc>
                <w:tcPr>
                  <w:tcW w:w="1619" w:type="dxa"/>
                  <w:noWrap w:val="0"/>
                  <w:vAlign w:val="center"/>
                </w:tcPr>
                <w:p w14:paraId="1BB6E9D0">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14:textFill>
                        <w14:solidFill>
                          <w14:schemeClr w14:val="tx1"/>
                        </w14:solidFill>
                      </w14:textFill>
                    </w:rPr>
                    <w:t>《地下水质量标准》（GB/T14848-2017）中Ⅲ类标准</w:t>
                  </w:r>
                </w:p>
              </w:tc>
            </w:tr>
          </w:tbl>
          <w:p w14:paraId="4AB1368E">
            <w:pPr>
              <w:adjustRightInd w:val="0"/>
              <w:snapToGrid w:val="0"/>
              <w:jc w:val="both"/>
              <w:rPr>
                <w:rFonts w:hint="default" w:ascii="Times New Roman" w:hAnsi="Times New Roman" w:cs="Times New Roman"/>
                <w:color w:val="000000" w:themeColor="text1"/>
                <w:kern w:val="0"/>
                <w:sz w:val="24"/>
                <w:szCs w:val="24"/>
                <w:highlight w:val="none"/>
                <w14:textFill>
                  <w14:solidFill>
                    <w14:schemeClr w14:val="tx1"/>
                  </w14:solidFill>
                </w14:textFill>
              </w:rPr>
            </w:pPr>
          </w:p>
        </w:tc>
      </w:tr>
      <w:tr w14:paraId="143BD9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tcMar>
              <w:left w:w="28" w:type="dxa"/>
              <w:right w:w="28" w:type="dxa"/>
            </w:tcMar>
            <w:vAlign w:val="center"/>
          </w:tcPr>
          <w:p w14:paraId="3805860B">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污染</w:t>
            </w:r>
          </w:p>
          <w:p w14:paraId="143CF5C7">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物排</w:t>
            </w:r>
          </w:p>
          <w:p w14:paraId="671618F1">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放控</w:t>
            </w:r>
          </w:p>
          <w:p w14:paraId="778E2E2E">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制标</w:t>
            </w:r>
          </w:p>
          <w:p w14:paraId="4C84E89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准</w:t>
            </w:r>
          </w:p>
        </w:tc>
        <w:tc>
          <w:tcPr>
            <w:tcW w:w="8190" w:type="dxa"/>
            <w:gridSpan w:val="2"/>
            <w:noWrap w:val="0"/>
            <w:vAlign w:val="center"/>
          </w:tcPr>
          <w:p w14:paraId="7AD681E6">
            <w:pPr>
              <w:bidi w:val="0"/>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一、废气排放控制标准</w:t>
            </w:r>
          </w:p>
          <w:p w14:paraId="4DA95D2F">
            <w:pPr>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本项目运营期实验过程中</w:t>
            </w:r>
            <w:r>
              <w:rPr>
                <w:rFonts w:hint="eastAsia" w:cs="Times New Roman"/>
                <w:color w:val="000000" w:themeColor="text1"/>
                <w:highlight w:val="none"/>
                <w:lang w:val="en-US" w:eastAsia="zh-CN"/>
                <w14:textFill>
                  <w14:solidFill>
                    <w14:schemeClr w14:val="tx1"/>
                  </w14:solidFill>
                </w14:textFill>
              </w:rPr>
              <w:t>实验废气主要污染物为非甲烷总烃、硫酸雾、氯化氢、氮氧化物、氨、臭气浓度。</w:t>
            </w:r>
            <w:r>
              <w:rPr>
                <w:rFonts w:hint="eastAsia" w:ascii="Times New Roman" w:hAnsi="Times New Roman" w:cs="Times New Roman"/>
                <w:color w:val="000000" w:themeColor="text1"/>
                <w:highlight w:val="none"/>
                <w:lang w:val="en-US" w:eastAsia="zh-CN"/>
                <w14:textFill>
                  <w14:solidFill>
                    <w14:schemeClr w14:val="tx1"/>
                  </w14:solidFill>
                </w14:textFill>
              </w:rPr>
              <w:t>有组织</w:t>
            </w:r>
            <w:r>
              <w:rPr>
                <w:rFonts w:hint="default" w:ascii="Times New Roman" w:hAnsi="Times New Roman" w:cs="Times New Roman"/>
                <w:color w:val="000000" w:themeColor="text1"/>
                <w:highlight w:val="none"/>
                <w:lang w:val="en-US" w:eastAsia="zh-CN"/>
                <w14:textFill>
                  <w14:solidFill>
                    <w14:schemeClr w14:val="tx1"/>
                  </w14:solidFill>
                </w14:textFill>
              </w:rPr>
              <w:t>非甲烷总烃、</w:t>
            </w:r>
            <w:r>
              <w:rPr>
                <w:rFonts w:hint="eastAsia" w:ascii="Times New Roman" w:hAnsi="Times New Roman" w:cs="Times New Roman"/>
                <w:color w:val="000000" w:themeColor="text1"/>
                <w:highlight w:val="none"/>
                <w:lang w:val="en-US" w:eastAsia="zh-CN"/>
                <w14:textFill>
                  <w14:solidFill>
                    <w14:schemeClr w14:val="tx1"/>
                  </w14:solidFill>
                </w14:textFill>
              </w:rPr>
              <w:t>硫酸雾</w:t>
            </w:r>
            <w:r>
              <w:rPr>
                <w:rFonts w:hint="default" w:ascii="Times New Roman" w:hAnsi="Times New Roman" w:cs="Times New Roman"/>
                <w:color w:val="000000" w:themeColor="text1"/>
                <w:highlight w:val="none"/>
                <w:lang w:val="en-US" w:eastAsia="zh-CN"/>
                <w14:textFill>
                  <w14:solidFill>
                    <w14:schemeClr w14:val="tx1"/>
                  </w14:solidFill>
                </w14:textFill>
              </w:rPr>
              <w:t>、氯化氢</w:t>
            </w:r>
            <w:r>
              <w:rPr>
                <w:rFonts w:hint="eastAsia" w:ascii="Times New Roman" w:hAnsi="Times New Roman" w:cs="Times New Roman"/>
                <w:color w:val="000000" w:themeColor="text1"/>
                <w:highlight w:val="none"/>
                <w:lang w:val="en-US" w:eastAsia="zh-CN"/>
                <w14:textFill>
                  <w14:solidFill>
                    <w14:schemeClr w14:val="tx1"/>
                  </w14:solidFill>
                </w14:textFill>
              </w:rPr>
              <w:t>、氮氧化物</w:t>
            </w:r>
            <w:r>
              <w:rPr>
                <w:rFonts w:hint="eastAsia" w:cs="Times New Roman"/>
                <w:color w:val="000000" w:themeColor="text1"/>
                <w:highlight w:val="none"/>
                <w:lang w:val="en-US" w:eastAsia="zh-CN"/>
                <w14:textFill>
                  <w14:solidFill>
                    <w14:schemeClr w14:val="tx1"/>
                  </w14:solidFill>
                </w14:textFill>
              </w:rPr>
              <w:t>排放满足</w:t>
            </w:r>
            <w:r>
              <w:rPr>
                <w:rFonts w:hint="default" w:ascii="Times New Roman" w:hAnsi="Times New Roman" w:cs="Times New Roman"/>
                <w:color w:val="000000" w:themeColor="text1"/>
                <w:highlight w:val="none"/>
                <w:lang w:val="en-US" w:eastAsia="zh-CN"/>
                <w14:textFill>
                  <w14:solidFill>
                    <w14:schemeClr w14:val="tx1"/>
                  </w14:solidFill>
                </w14:textFill>
              </w:rPr>
              <w:t>《大气污染物综合排放标准》（GB16297-1996）表2新污染源大气污染物排放限值二级排放标准</w:t>
            </w:r>
            <w:r>
              <w:rPr>
                <w:rFonts w:hint="eastAsia" w:cs="Times New Roman"/>
                <w:color w:val="000000" w:themeColor="text1"/>
                <w:highlight w:val="none"/>
                <w:lang w:val="en-US" w:eastAsia="zh-CN"/>
                <w14:textFill>
                  <w14:solidFill>
                    <w14:schemeClr w14:val="tx1"/>
                  </w14:solidFill>
                </w14:textFill>
              </w:rPr>
              <w:t>，本项目排气筒高度为20m未高出周围200m半径范围的建筑5m以上，则本项目排放速率应按其高度对应的表列排放速率标准值严格50%执行。有组织氨、臭气浓度执行《</w:t>
            </w:r>
            <w:r>
              <w:rPr>
                <w:rFonts w:hint="eastAsia" w:ascii="Times New Roman" w:hAnsi="Times New Roman" w:cs="Times New Roman"/>
                <w:color w:val="000000" w:themeColor="text1"/>
                <w:highlight w:val="none"/>
                <w:lang w:val="en-US" w:eastAsia="zh-CN"/>
                <w14:textFill>
                  <w14:solidFill>
                    <w14:schemeClr w14:val="tx1"/>
                  </w14:solidFill>
                </w14:textFill>
              </w:rPr>
              <w:t>恶臭污染物排放标准》（GB14554-93）</w:t>
            </w:r>
            <w:r>
              <w:rPr>
                <w:rFonts w:hint="eastAsia" w:cs="Times New Roman"/>
                <w:color w:val="000000" w:themeColor="text1"/>
                <w:highlight w:val="none"/>
                <w:lang w:val="en-US" w:eastAsia="zh-CN"/>
                <w14:textFill>
                  <w14:solidFill>
                    <w14:schemeClr w14:val="tx1"/>
                  </w14:solidFill>
                </w14:textFill>
              </w:rPr>
              <w:t>表2恶臭污染物排放标准值。</w:t>
            </w:r>
          </w:p>
          <w:p w14:paraId="45492229">
            <w:pPr>
              <w:bidi w:val="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厂界无组织非甲烷总烃、硫酸雾、氯化氢</w:t>
            </w:r>
            <w:r>
              <w:rPr>
                <w:rFonts w:hint="eastAsia" w:cs="Times New Roman"/>
                <w:color w:val="000000" w:themeColor="text1"/>
                <w:highlight w:val="none"/>
                <w:lang w:val="en-US" w:eastAsia="zh-CN"/>
                <w14:textFill>
                  <w14:solidFill>
                    <w14:schemeClr w14:val="tx1"/>
                  </w14:solidFill>
                </w14:textFill>
              </w:rPr>
              <w:t>、氮氧化物</w:t>
            </w:r>
            <w:r>
              <w:rPr>
                <w:rFonts w:hint="eastAsia" w:ascii="Times New Roman" w:hAnsi="Times New Roman" w:cs="Times New Roman"/>
                <w:color w:val="000000" w:themeColor="text1"/>
                <w:highlight w:val="none"/>
                <w:lang w:val="en-US" w:eastAsia="zh-CN"/>
                <w14:textFill>
                  <w14:solidFill>
                    <w14:schemeClr w14:val="tx1"/>
                  </w14:solidFill>
                </w14:textFill>
              </w:rPr>
              <w:t>排放</w:t>
            </w:r>
            <w:r>
              <w:rPr>
                <w:rFonts w:hint="eastAsia" w:cs="Times New Roman"/>
                <w:color w:val="000000" w:themeColor="text1"/>
                <w:highlight w:val="none"/>
                <w:lang w:val="en-US" w:eastAsia="zh-CN"/>
                <w14:textFill>
                  <w14:solidFill>
                    <w14:schemeClr w14:val="tx1"/>
                  </w14:solidFill>
                </w14:textFill>
              </w:rPr>
              <w:t>满足</w:t>
            </w:r>
            <w:r>
              <w:rPr>
                <w:rFonts w:hint="eastAsia" w:ascii="Times New Roman" w:hAnsi="Times New Roman" w:cs="Times New Roman"/>
                <w:color w:val="000000" w:themeColor="text1"/>
                <w:highlight w:val="none"/>
                <w:lang w:val="en-US" w:eastAsia="zh-CN"/>
                <w14:textFill>
                  <w14:solidFill>
                    <w14:schemeClr w14:val="tx1"/>
                  </w14:solidFill>
                </w14:textFill>
              </w:rPr>
              <w:t>《大气污染物综合排放标准》（GB16297-1996）表2新污染源大气污染物排放限值无组织排放标准限值。厂界无组织</w:t>
            </w:r>
            <w:r>
              <w:rPr>
                <w:rFonts w:hint="eastAsia" w:cs="Times New Roman"/>
                <w:color w:val="000000" w:themeColor="text1"/>
                <w:highlight w:val="none"/>
                <w:lang w:val="en-US" w:eastAsia="zh-CN"/>
                <w14:textFill>
                  <w14:solidFill>
                    <w14:schemeClr w14:val="tx1"/>
                  </w14:solidFill>
                </w14:textFill>
              </w:rPr>
              <w:t>氨、臭气浓度</w:t>
            </w:r>
            <w:r>
              <w:rPr>
                <w:rFonts w:hint="eastAsia" w:ascii="Times New Roman" w:hAnsi="Times New Roman" w:cs="Times New Roman"/>
                <w:color w:val="000000" w:themeColor="text1"/>
                <w:highlight w:val="none"/>
                <w:lang w:val="en-US" w:eastAsia="zh-CN"/>
                <w14:textFill>
                  <w14:solidFill>
                    <w14:schemeClr w14:val="tx1"/>
                  </w14:solidFill>
                </w14:textFill>
              </w:rPr>
              <w:t>排放满足《恶臭污染物排放标准》（GB14554-93）表1恶臭污染物厂界标准二级（新扩改建）标准。</w:t>
            </w:r>
          </w:p>
          <w:p w14:paraId="3A4585BD">
            <w:pPr>
              <w:bidi w:val="0"/>
              <w:jc w:val="center"/>
              <w:rPr>
                <w:rFonts w:hint="default"/>
                <w:b/>
                <w:bCs/>
                <w:color w:val="000000" w:themeColor="text1"/>
                <w:highlight w:val="none"/>
                <w:lang w:val="en-US" w:eastAsia="zh-CN"/>
                <w14:textFill>
                  <w14:solidFill>
                    <w14:schemeClr w14:val="tx1"/>
                  </w14:solidFill>
                </w14:textFill>
              </w:rPr>
            </w:pPr>
            <w:r>
              <w:rPr>
                <w:rFonts w:hint="default"/>
                <w:b/>
                <w:bCs/>
                <w:color w:val="000000" w:themeColor="text1"/>
                <w:highlight w:val="none"/>
                <w:lang w:val="en-US" w:eastAsia="zh-CN"/>
                <w14:textFill>
                  <w14:solidFill>
                    <w14:schemeClr w14:val="tx1"/>
                  </w14:solidFill>
                </w14:textFill>
              </w:rPr>
              <w:t>表3-</w:t>
            </w:r>
            <w:r>
              <w:rPr>
                <w:rFonts w:hint="eastAsia"/>
                <w:b/>
                <w:bCs/>
                <w:color w:val="000000" w:themeColor="text1"/>
                <w:highlight w:val="none"/>
                <w:lang w:val="en-US" w:eastAsia="zh-CN"/>
                <w14:textFill>
                  <w14:solidFill>
                    <w14:schemeClr w14:val="tx1"/>
                  </w14:solidFill>
                </w14:textFill>
              </w:rPr>
              <w:t>5项目有组织排放限值要求</w:t>
            </w:r>
          </w:p>
          <w:tbl>
            <w:tblPr>
              <w:tblStyle w:val="24"/>
              <w:tblW w:w="7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7"/>
              <w:gridCol w:w="524"/>
              <w:gridCol w:w="862"/>
              <w:gridCol w:w="882"/>
              <w:gridCol w:w="1106"/>
              <w:gridCol w:w="1124"/>
              <w:gridCol w:w="1861"/>
              <w:gridCol w:w="1241"/>
            </w:tblGrid>
            <w:tr w14:paraId="3C1F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377" w:type="dxa"/>
                  <w:vMerge w:val="restart"/>
                  <w:noWrap w:val="0"/>
                  <w:vAlign w:val="center"/>
                </w:tcPr>
                <w:p w14:paraId="08D7BB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类别</w:t>
                  </w:r>
                </w:p>
              </w:tc>
              <w:tc>
                <w:tcPr>
                  <w:tcW w:w="524" w:type="dxa"/>
                  <w:vMerge w:val="restart"/>
                  <w:noWrap w:val="0"/>
                  <w:vAlign w:val="center"/>
                </w:tcPr>
                <w:p w14:paraId="48F7A8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排放方式</w:t>
                  </w:r>
                </w:p>
              </w:tc>
              <w:tc>
                <w:tcPr>
                  <w:tcW w:w="862" w:type="dxa"/>
                  <w:vMerge w:val="restart"/>
                  <w:noWrap w:val="0"/>
                  <w:vAlign w:val="center"/>
                </w:tcPr>
                <w:p w14:paraId="62F44E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污染物</w:t>
                  </w:r>
                </w:p>
              </w:tc>
              <w:tc>
                <w:tcPr>
                  <w:tcW w:w="4973" w:type="dxa"/>
                  <w:gridSpan w:val="4"/>
                  <w:noWrap w:val="0"/>
                  <w:vAlign w:val="center"/>
                </w:tcPr>
                <w:p w14:paraId="763104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标准值</w:t>
                  </w:r>
                </w:p>
              </w:tc>
              <w:tc>
                <w:tcPr>
                  <w:tcW w:w="1241" w:type="dxa"/>
                  <w:vMerge w:val="restart"/>
                  <w:noWrap w:val="0"/>
                  <w:vAlign w:val="center"/>
                </w:tcPr>
                <w:p w14:paraId="64FE1E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标准名称</w:t>
                  </w:r>
                </w:p>
              </w:tc>
            </w:tr>
            <w:tr w14:paraId="5871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77" w:type="dxa"/>
                  <w:vMerge w:val="continue"/>
                  <w:noWrap w:val="0"/>
                  <w:vAlign w:val="center"/>
                </w:tcPr>
                <w:p w14:paraId="64323F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524" w:type="dxa"/>
                  <w:vMerge w:val="continue"/>
                  <w:noWrap w:val="0"/>
                  <w:vAlign w:val="center"/>
                </w:tcPr>
                <w:p w14:paraId="2AC88F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862" w:type="dxa"/>
                  <w:vMerge w:val="continue"/>
                  <w:noWrap w:val="0"/>
                  <w:vAlign w:val="center"/>
                </w:tcPr>
                <w:p w14:paraId="1767F3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882" w:type="dxa"/>
                  <w:noWrap w:val="0"/>
                  <w:vAlign w:val="center"/>
                </w:tcPr>
                <w:p w14:paraId="51BB0D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排气筒高度（m）</w:t>
                  </w:r>
                </w:p>
              </w:tc>
              <w:tc>
                <w:tcPr>
                  <w:tcW w:w="1106" w:type="dxa"/>
                  <w:noWrap w:val="0"/>
                  <w:vAlign w:val="center"/>
                </w:tcPr>
                <w:p w14:paraId="673DD6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最高允许排放速率（kg/h）</w:t>
                  </w:r>
                </w:p>
              </w:tc>
              <w:tc>
                <w:tcPr>
                  <w:tcW w:w="1124" w:type="dxa"/>
                  <w:noWrap w:val="0"/>
                  <w:vAlign w:val="center"/>
                </w:tcPr>
                <w:p w14:paraId="2E2041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严格50%最高允许排放速率（kg/h）</w:t>
                  </w:r>
                </w:p>
              </w:tc>
              <w:tc>
                <w:tcPr>
                  <w:tcW w:w="1861" w:type="dxa"/>
                  <w:noWrap w:val="0"/>
                  <w:vAlign w:val="center"/>
                </w:tcPr>
                <w:p w14:paraId="371853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最高允许排放浓度（mg/m³）</w:t>
                  </w:r>
                </w:p>
              </w:tc>
              <w:tc>
                <w:tcPr>
                  <w:tcW w:w="1241" w:type="dxa"/>
                  <w:vMerge w:val="continue"/>
                  <w:noWrap w:val="0"/>
                  <w:vAlign w:val="center"/>
                </w:tcPr>
                <w:p w14:paraId="2B05A1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r w14:paraId="5349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377" w:type="dxa"/>
                  <w:vMerge w:val="restart"/>
                  <w:noWrap w:val="0"/>
                  <w:vAlign w:val="center"/>
                </w:tcPr>
                <w:p w14:paraId="5AEBBF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实验室废气</w:t>
                  </w:r>
                </w:p>
              </w:tc>
              <w:tc>
                <w:tcPr>
                  <w:tcW w:w="524" w:type="dxa"/>
                  <w:vMerge w:val="restart"/>
                  <w:noWrap w:val="0"/>
                  <w:vAlign w:val="center"/>
                </w:tcPr>
                <w:p w14:paraId="376BC7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有组织</w:t>
                  </w:r>
                </w:p>
              </w:tc>
              <w:tc>
                <w:tcPr>
                  <w:tcW w:w="862" w:type="dxa"/>
                  <w:noWrap w:val="0"/>
                  <w:vAlign w:val="center"/>
                </w:tcPr>
                <w:p w14:paraId="7093FF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非甲烷总烃</w:t>
                  </w:r>
                </w:p>
              </w:tc>
              <w:tc>
                <w:tcPr>
                  <w:tcW w:w="882" w:type="dxa"/>
                  <w:vMerge w:val="restart"/>
                  <w:noWrap w:val="0"/>
                  <w:vAlign w:val="center"/>
                </w:tcPr>
                <w:p w14:paraId="70911F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20</w:t>
                  </w:r>
                </w:p>
              </w:tc>
              <w:tc>
                <w:tcPr>
                  <w:tcW w:w="1106" w:type="dxa"/>
                  <w:noWrap w:val="0"/>
                  <w:vAlign w:val="center"/>
                </w:tcPr>
                <w:p w14:paraId="01047A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17</w:t>
                  </w:r>
                </w:p>
              </w:tc>
              <w:tc>
                <w:tcPr>
                  <w:tcW w:w="1124" w:type="dxa"/>
                  <w:noWrap w:val="0"/>
                  <w:vAlign w:val="center"/>
                </w:tcPr>
                <w:p w14:paraId="7EA3EC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8.5</w:t>
                  </w:r>
                </w:p>
              </w:tc>
              <w:tc>
                <w:tcPr>
                  <w:tcW w:w="1861" w:type="dxa"/>
                  <w:noWrap w:val="0"/>
                  <w:vAlign w:val="center"/>
                </w:tcPr>
                <w:p w14:paraId="01A642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120</w:t>
                  </w:r>
                </w:p>
              </w:tc>
              <w:tc>
                <w:tcPr>
                  <w:tcW w:w="1241" w:type="dxa"/>
                  <w:vMerge w:val="restart"/>
                  <w:noWrap w:val="0"/>
                  <w:vAlign w:val="center"/>
                </w:tcPr>
                <w:p w14:paraId="61F0F7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《大气污染物综合排放标准》（GB16297</w:t>
                  </w: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1996）表2新污染源大气污染物</w:t>
                  </w: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排放限值</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无组织</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排放限值要求</w:t>
                  </w:r>
                </w:p>
              </w:tc>
            </w:tr>
            <w:tr w14:paraId="1A5E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377" w:type="dxa"/>
                  <w:vMerge w:val="continue"/>
                  <w:noWrap w:val="0"/>
                  <w:vAlign w:val="center"/>
                </w:tcPr>
                <w:p w14:paraId="156379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524" w:type="dxa"/>
                  <w:vMerge w:val="continue"/>
                  <w:noWrap w:val="0"/>
                  <w:vAlign w:val="center"/>
                </w:tcPr>
                <w:p w14:paraId="4E2375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862" w:type="dxa"/>
                  <w:noWrap w:val="0"/>
                  <w:vAlign w:val="center"/>
                </w:tcPr>
                <w:p w14:paraId="35A17E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硫酸雾</w:t>
                  </w:r>
                </w:p>
              </w:tc>
              <w:tc>
                <w:tcPr>
                  <w:tcW w:w="882" w:type="dxa"/>
                  <w:vMerge w:val="continue"/>
                  <w:noWrap w:val="0"/>
                  <w:vAlign w:val="center"/>
                </w:tcPr>
                <w:p w14:paraId="102871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106" w:type="dxa"/>
                  <w:noWrap w:val="0"/>
                  <w:vAlign w:val="center"/>
                </w:tcPr>
                <w:p w14:paraId="1D119A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2.6</w:t>
                  </w:r>
                </w:p>
              </w:tc>
              <w:tc>
                <w:tcPr>
                  <w:tcW w:w="1124" w:type="dxa"/>
                  <w:noWrap w:val="0"/>
                  <w:vAlign w:val="center"/>
                </w:tcPr>
                <w:p w14:paraId="0EAF2B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1.3</w:t>
                  </w:r>
                </w:p>
              </w:tc>
              <w:tc>
                <w:tcPr>
                  <w:tcW w:w="1861" w:type="dxa"/>
                  <w:noWrap w:val="0"/>
                  <w:vAlign w:val="center"/>
                </w:tcPr>
                <w:p w14:paraId="56DDE9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45</w:t>
                  </w:r>
                </w:p>
              </w:tc>
              <w:tc>
                <w:tcPr>
                  <w:tcW w:w="1241" w:type="dxa"/>
                  <w:vMerge w:val="continue"/>
                  <w:noWrap w:val="0"/>
                  <w:vAlign w:val="center"/>
                </w:tcPr>
                <w:p w14:paraId="49B2B1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r w14:paraId="3BBB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377" w:type="dxa"/>
                  <w:vMerge w:val="continue"/>
                  <w:noWrap w:val="0"/>
                  <w:vAlign w:val="center"/>
                </w:tcPr>
                <w:p w14:paraId="483B27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524" w:type="dxa"/>
                  <w:vMerge w:val="continue"/>
                  <w:noWrap w:val="0"/>
                  <w:vAlign w:val="center"/>
                </w:tcPr>
                <w:p w14:paraId="7C200F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862" w:type="dxa"/>
                  <w:noWrap w:val="0"/>
                  <w:vAlign w:val="center"/>
                </w:tcPr>
                <w:p w14:paraId="04A021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氯化氢</w:t>
                  </w:r>
                </w:p>
              </w:tc>
              <w:tc>
                <w:tcPr>
                  <w:tcW w:w="882" w:type="dxa"/>
                  <w:vMerge w:val="continue"/>
                  <w:noWrap w:val="0"/>
                  <w:vAlign w:val="center"/>
                </w:tcPr>
                <w:p w14:paraId="69C234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106" w:type="dxa"/>
                  <w:noWrap w:val="0"/>
                  <w:vAlign w:val="center"/>
                </w:tcPr>
                <w:p w14:paraId="435FF6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0.43</w:t>
                  </w:r>
                </w:p>
              </w:tc>
              <w:tc>
                <w:tcPr>
                  <w:tcW w:w="1124" w:type="dxa"/>
                  <w:noWrap w:val="0"/>
                  <w:vAlign w:val="center"/>
                </w:tcPr>
                <w:p w14:paraId="58882D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0.215</w:t>
                  </w:r>
                </w:p>
              </w:tc>
              <w:tc>
                <w:tcPr>
                  <w:tcW w:w="1861" w:type="dxa"/>
                  <w:noWrap w:val="0"/>
                  <w:vAlign w:val="center"/>
                </w:tcPr>
                <w:p w14:paraId="6BFAF3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100</w:t>
                  </w:r>
                </w:p>
              </w:tc>
              <w:tc>
                <w:tcPr>
                  <w:tcW w:w="1241" w:type="dxa"/>
                  <w:vMerge w:val="continue"/>
                  <w:noWrap w:val="0"/>
                  <w:vAlign w:val="center"/>
                </w:tcPr>
                <w:p w14:paraId="52469E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r w14:paraId="0746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377" w:type="dxa"/>
                  <w:vMerge w:val="continue"/>
                  <w:noWrap w:val="0"/>
                  <w:vAlign w:val="center"/>
                </w:tcPr>
                <w:p w14:paraId="52878A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524" w:type="dxa"/>
                  <w:vMerge w:val="continue"/>
                  <w:noWrap w:val="0"/>
                  <w:vAlign w:val="center"/>
                </w:tcPr>
                <w:p w14:paraId="1CBF9C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862" w:type="dxa"/>
                  <w:noWrap w:val="0"/>
                  <w:vAlign w:val="center"/>
                </w:tcPr>
                <w:p w14:paraId="29625E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氮氧化物</w:t>
                  </w:r>
                </w:p>
              </w:tc>
              <w:tc>
                <w:tcPr>
                  <w:tcW w:w="882" w:type="dxa"/>
                  <w:vMerge w:val="continue"/>
                  <w:noWrap w:val="0"/>
                  <w:vAlign w:val="center"/>
                </w:tcPr>
                <w:p w14:paraId="542021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106" w:type="dxa"/>
                  <w:noWrap w:val="0"/>
                  <w:vAlign w:val="center"/>
                </w:tcPr>
                <w:p w14:paraId="70A573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1.3</w:t>
                  </w:r>
                </w:p>
              </w:tc>
              <w:tc>
                <w:tcPr>
                  <w:tcW w:w="1124" w:type="dxa"/>
                  <w:noWrap w:val="0"/>
                  <w:vAlign w:val="center"/>
                </w:tcPr>
                <w:p w14:paraId="5CFB67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0.65</w:t>
                  </w:r>
                </w:p>
              </w:tc>
              <w:tc>
                <w:tcPr>
                  <w:tcW w:w="1861" w:type="dxa"/>
                  <w:noWrap w:val="0"/>
                  <w:vAlign w:val="center"/>
                </w:tcPr>
                <w:p w14:paraId="23D609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240</w:t>
                  </w:r>
                </w:p>
              </w:tc>
              <w:tc>
                <w:tcPr>
                  <w:tcW w:w="1241" w:type="dxa"/>
                  <w:vMerge w:val="continue"/>
                  <w:noWrap w:val="0"/>
                  <w:vAlign w:val="center"/>
                </w:tcPr>
                <w:p w14:paraId="327989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r w14:paraId="0753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9" w:hRule="atLeast"/>
              </w:trPr>
              <w:tc>
                <w:tcPr>
                  <w:tcW w:w="377" w:type="dxa"/>
                  <w:vMerge w:val="continue"/>
                  <w:noWrap w:val="0"/>
                  <w:vAlign w:val="center"/>
                </w:tcPr>
                <w:p w14:paraId="58E0F7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524" w:type="dxa"/>
                  <w:vMerge w:val="continue"/>
                  <w:noWrap w:val="0"/>
                  <w:vAlign w:val="center"/>
                </w:tcPr>
                <w:p w14:paraId="1B4FA7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862" w:type="dxa"/>
                  <w:noWrap w:val="0"/>
                  <w:vAlign w:val="center"/>
                </w:tcPr>
                <w:p w14:paraId="778296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氨气</w:t>
                  </w:r>
                </w:p>
              </w:tc>
              <w:tc>
                <w:tcPr>
                  <w:tcW w:w="882" w:type="dxa"/>
                  <w:vMerge w:val="continue"/>
                  <w:noWrap w:val="0"/>
                  <w:vAlign w:val="center"/>
                </w:tcPr>
                <w:p w14:paraId="0FAA00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106" w:type="dxa"/>
                  <w:noWrap w:val="0"/>
                  <w:vAlign w:val="center"/>
                </w:tcPr>
                <w:p w14:paraId="789AF3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8.7</w:t>
                  </w:r>
                </w:p>
              </w:tc>
              <w:tc>
                <w:tcPr>
                  <w:tcW w:w="1124" w:type="dxa"/>
                  <w:noWrap w:val="0"/>
                  <w:vAlign w:val="center"/>
                </w:tcPr>
                <w:p w14:paraId="712106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w:t>
                  </w:r>
                </w:p>
              </w:tc>
              <w:tc>
                <w:tcPr>
                  <w:tcW w:w="1861" w:type="dxa"/>
                  <w:noWrap w:val="0"/>
                  <w:vAlign w:val="center"/>
                </w:tcPr>
                <w:p w14:paraId="50D490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w:t>
                  </w:r>
                </w:p>
              </w:tc>
              <w:tc>
                <w:tcPr>
                  <w:tcW w:w="1241" w:type="dxa"/>
                  <w:vMerge w:val="restart"/>
                  <w:noWrap w:val="0"/>
                  <w:vAlign w:val="center"/>
                </w:tcPr>
                <w:p w14:paraId="682373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《恶臭污染物排放标准》（GB14554-93）表</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恶臭污染物</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排放标准</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限值要求</w:t>
                  </w:r>
                </w:p>
              </w:tc>
            </w:tr>
            <w:tr w14:paraId="6E3D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9" w:hRule="atLeast"/>
              </w:trPr>
              <w:tc>
                <w:tcPr>
                  <w:tcW w:w="377" w:type="dxa"/>
                  <w:vMerge w:val="continue"/>
                  <w:noWrap w:val="0"/>
                  <w:vAlign w:val="center"/>
                </w:tcPr>
                <w:p w14:paraId="5E50F0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524" w:type="dxa"/>
                  <w:vMerge w:val="continue"/>
                  <w:noWrap w:val="0"/>
                  <w:vAlign w:val="center"/>
                </w:tcPr>
                <w:p w14:paraId="37FEFC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862" w:type="dxa"/>
                  <w:noWrap w:val="0"/>
                  <w:vAlign w:val="center"/>
                </w:tcPr>
                <w:p w14:paraId="7253D0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臭气浓度</w:t>
                  </w:r>
                </w:p>
              </w:tc>
              <w:tc>
                <w:tcPr>
                  <w:tcW w:w="882" w:type="dxa"/>
                  <w:vMerge w:val="continue"/>
                  <w:noWrap w:val="0"/>
                  <w:vAlign w:val="center"/>
                </w:tcPr>
                <w:p w14:paraId="3B36ED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106" w:type="dxa"/>
                  <w:noWrap w:val="0"/>
                  <w:vAlign w:val="center"/>
                </w:tcPr>
                <w:p w14:paraId="79A65A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2000</w:t>
                  </w:r>
                </w:p>
              </w:tc>
              <w:tc>
                <w:tcPr>
                  <w:tcW w:w="1124" w:type="dxa"/>
                  <w:noWrap w:val="0"/>
                  <w:vAlign w:val="center"/>
                </w:tcPr>
                <w:p w14:paraId="25C739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w:t>
                  </w:r>
                </w:p>
              </w:tc>
              <w:tc>
                <w:tcPr>
                  <w:tcW w:w="1861" w:type="dxa"/>
                  <w:noWrap w:val="0"/>
                  <w:vAlign w:val="center"/>
                </w:tcPr>
                <w:p w14:paraId="091490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2000（无量纲）（当排气筒高度介于标准所列的两种高度之间时，采用四舍五入的方法归并到最接近的那个标准高度，然后按该高度的限值执行）</w:t>
                  </w:r>
                </w:p>
              </w:tc>
              <w:tc>
                <w:tcPr>
                  <w:tcW w:w="1241" w:type="dxa"/>
                  <w:vMerge w:val="continue"/>
                  <w:noWrap w:val="0"/>
                  <w:vAlign w:val="center"/>
                </w:tcPr>
                <w:p w14:paraId="30AC11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bl>
          <w:p w14:paraId="3A830637">
            <w:pPr>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表3-6项目无组织排放限值要求</w:t>
            </w:r>
          </w:p>
          <w:tbl>
            <w:tblPr>
              <w:tblStyle w:val="24"/>
              <w:tblW w:w="7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021"/>
              <w:gridCol w:w="1021"/>
              <w:gridCol w:w="1232"/>
              <w:gridCol w:w="1818"/>
              <w:gridCol w:w="2359"/>
            </w:tblGrid>
            <w:tr w14:paraId="7E30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88" w:type="dxa"/>
                  <w:vMerge w:val="restart"/>
                  <w:noWrap w:val="0"/>
                  <w:vAlign w:val="center"/>
                </w:tcPr>
                <w:p w14:paraId="5C3109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类别</w:t>
                  </w:r>
                </w:p>
              </w:tc>
              <w:tc>
                <w:tcPr>
                  <w:tcW w:w="1021" w:type="dxa"/>
                  <w:vMerge w:val="restart"/>
                  <w:noWrap w:val="0"/>
                  <w:vAlign w:val="center"/>
                </w:tcPr>
                <w:p w14:paraId="79F468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排放方式</w:t>
                  </w:r>
                </w:p>
              </w:tc>
              <w:tc>
                <w:tcPr>
                  <w:tcW w:w="1021" w:type="dxa"/>
                  <w:vMerge w:val="restart"/>
                  <w:noWrap w:val="0"/>
                  <w:vAlign w:val="center"/>
                </w:tcPr>
                <w:p w14:paraId="645DA4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污染物</w:t>
                  </w:r>
                </w:p>
              </w:tc>
              <w:tc>
                <w:tcPr>
                  <w:tcW w:w="3050" w:type="dxa"/>
                  <w:gridSpan w:val="2"/>
                  <w:noWrap w:val="0"/>
                  <w:vAlign w:val="center"/>
                </w:tcPr>
                <w:p w14:paraId="504583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无组织排放监控浓度限值</w:t>
                  </w:r>
                </w:p>
              </w:tc>
              <w:tc>
                <w:tcPr>
                  <w:tcW w:w="2359" w:type="dxa"/>
                  <w:vMerge w:val="restart"/>
                  <w:noWrap w:val="0"/>
                  <w:vAlign w:val="center"/>
                </w:tcPr>
                <w:p w14:paraId="001A6D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标准名称</w:t>
                  </w:r>
                </w:p>
              </w:tc>
            </w:tr>
            <w:tr w14:paraId="36011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88" w:type="dxa"/>
                  <w:vMerge w:val="continue"/>
                  <w:noWrap w:val="0"/>
                  <w:vAlign w:val="center"/>
                </w:tcPr>
                <w:p w14:paraId="3D9811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vMerge w:val="continue"/>
                  <w:noWrap w:val="0"/>
                  <w:vAlign w:val="center"/>
                </w:tcPr>
                <w:p w14:paraId="479B61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vMerge w:val="continue"/>
                  <w:noWrap w:val="0"/>
                  <w:vAlign w:val="center"/>
                </w:tcPr>
                <w:p w14:paraId="5F6922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232" w:type="dxa"/>
                  <w:noWrap w:val="0"/>
                  <w:vAlign w:val="center"/>
                </w:tcPr>
                <w:p w14:paraId="7F55EA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监控点</w:t>
                  </w:r>
                </w:p>
              </w:tc>
              <w:tc>
                <w:tcPr>
                  <w:tcW w:w="1818" w:type="dxa"/>
                  <w:noWrap w:val="0"/>
                  <w:vAlign w:val="center"/>
                </w:tcPr>
                <w:p w14:paraId="6FDEC0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浓度（mg/m³）</w:t>
                  </w:r>
                </w:p>
              </w:tc>
              <w:tc>
                <w:tcPr>
                  <w:tcW w:w="2359" w:type="dxa"/>
                  <w:vMerge w:val="continue"/>
                  <w:noWrap w:val="0"/>
                  <w:vAlign w:val="center"/>
                </w:tcPr>
                <w:p w14:paraId="6BA9D6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r w14:paraId="4C68C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488" w:type="dxa"/>
                  <w:vMerge w:val="restart"/>
                  <w:noWrap w:val="0"/>
                  <w:vAlign w:val="center"/>
                </w:tcPr>
                <w:p w14:paraId="3AD990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厂界</w:t>
                  </w:r>
                </w:p>
              </w:tc>
              <w:tc>
                <w:tcPr>
                  <w:tcW w:w="1021" w:type="dxa"/>
                  <w:vMerge w:val="restart"/>
                  <w:noWrap w:val="0"/>
                  <w:vAlign w:val="center"/>
                </w:tcPr>
                <w:p w14:paraId="34C729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无组织</w:t>
                  </w:r>
                </w:p>
              </w:tc>
              <w:tc>
                <w:tcPr>
                  <w:tcW w:w="1021" w:type="dxa"/>
                  <w:noWrap w:val="0"/>
                  <w:vAlign w:val="center"/>
                </w:tcPr>
                <w:p w14:paraId="5480E6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非甲烷总烃</w:t>
                  </w:r>
                </w:p>
              </w:tc>
              <w:tc>
                <w:tcPr>
                  <w:tcW w:w="1232" w:type="dxa"/>
                  <w:vMerge w:val="restart"/>
                  <w:noWrap w:val="0"/>
                  <w:vAlign w:val="center"/>
                </w:tcPr>
                <w:p w14:paraId="159043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周界外浓度最高点</w:t>
                  </w:r>
                </w:p>
              </w:tc>
              <w:tc>
                <w:tcPr>
                  <w:tcW w:w="1818" w:type="dxa"/>
                  <w:noWrap w:val="0"/>
                  <w:vAlign w:val="center"/>
                </w:tcPr>
                <w:p w14:paraId="699E5C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4.0</w:t>
                  </w:r>
                </w:p>
              </w:tc>
              <w:tc>
                <w:tcPr>
                  <w:tcW w:w="2359" w:type="dxa"/>
                  <w:vMerge w:val="restart"/>
                  <w:noWrap w:val="0"/>
                  <w:vAlign w:val="center"/>
                </w:tcPr>
                <w:p w14:paraId="1D94D2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《大气污染物综合排放标准》（GB16297</w:t>
                  </w: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1996）表2新污染源大气污染物</w:t>
                  </w: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排放限值无组织排放监控浓度限值</w:t>
                  </w:r>
                </w:p>
              </w:tc>
            </w:tr>
            <w:tr w14:paraId="08BE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88" w:type="dxa"/>
                  <w:vMerge w:val="continue"/>
                  <w:noWrap w:val="0"/>
                  <w:vAlign w:val="center"/>
                </w:tcPr>
                <w:p w14:paraId="733477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vMerge w:val="continue"/>
                  <w:noWrap w:val="0"/>
                  <w:vAlign w:val="center"/>
                </w:tcPr>
                <w:p w14:paraId="6A35D3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noWrap w:val="0"/>
                  <w:vAlign w:val="center"/>
                </w:tcPr>
                <w:p w14:paraId="0D0AF6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硫</w:t>
                  </w: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酸雾</w:t>
                  </w:r>
                </w:p>
              </w:tc>
              <w:tc>
                <w:tcPr>
                  <w:tcW w:w="1232" w:type="dxa"/>
                  <w:vMerge w:val="continue"/>
                  <w:noWrap w:val="0"/>
                  <w:vAlign w:val="center"/>
                </w:tcPr>
                <w:p w14:paraId="147510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818" w:type="dxa"/>
                  <w:noWrap w:val="0"/>
                  <w:vAlign w:val="center"/>
                </w:tcPr>
                <w:p w14:paraId="122528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1.2</w:t>
                  </w:r>
                </w:p>
              </w:tc>
              <w:tc>
                <w:tcPr>
                  <w:tcW w:w="2359" w:type="dxa"/>
                  <w:vMerge w:val="continue"/>
                  <w:noWrap w:val="0"/>
                  <w:vAlign w:val="center"/>
                </w:tcPr>
                <w:p w14:paraId="6E3E90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r w14:paraId="1F33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8" w:type="dxa"/>
                  <w:vMerge w:val="continue"/>
                  <w:noWrap w:val="0"/>
                  <w:vAlign w:val="center"/>
                </w:tcPr>
                <w:p w14:paraId="77362F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vMerge w:val="continue"/>
                  <w:noWrap w:val="0"/>
                  <w:vAlign w:val="center"/>
                </w:tcPr>
                <w:p w14:paraId="4F7B22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noWrap w:val="0"/>
                  <w:vAlign w:val="center"/>
                </w:tcPr>
                <w:p w14:paraId="0F1F69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氯化氢</w:t>
                  </w:r>
                </w:p>
              </w:tc>
              <w:tc>
                <w:tcPr>
                  <w:tcW w:w="1232" w:type="dxa"/>
                  <w:vMerge w:val="continue"/>
                  <w:noWrap w:val="0"/>
                  <w:vAlign w:val="center"/>
                </w:tcPr>
                <w:p w14:paraId="400B10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818" w:type="dxa"/>
                  <w:noWrap w:val="0"/>
                  <w:vAlign w:val="center"/>
                </w:tcPr>
                <w:p w14:paraId="160ECC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0.20</w:t>
                  </w:r>
                </w:p>
              </w:tc>
              <w:tc>
                <w:tcPr>
                  <w:tcW w:w="2359" w:type="dxa"/>
                  <w:vMerge w:val="continue"/>
                  <w:noWrap w:val="0"/>
                  <w:vAlign w:val="center"/>
                </w:tcPr>
                <w:p w14:paraId="64E3A0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r w14:paraId="5C32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8" w:type="dxa"/>
                  <w:vMerge w:val="continue"/>
                  <w:noWrap w:val="0"/>
                  <w:vAlign w:val="center"/>
                </w:tcPr>
                <w:p w14:paraId="27EB4A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vMerge w:val="continue"/>
                  <w:noWrap w:val="0"/>
                  <w:vAlign w:val="center"/>
                </w:tcPr>
                <w:p w14:paraId="278E16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noWrap w:val="0"/>
                  <w:vAlign w:val="center"/>
                </w:tcPr>
                <w:p w14:paraId="7CA50D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氮氧化物</w:t>
                  </w:r>
                </w:p>
              </w:tc>
              <w:tc>
                <w:tcPr>
                  <w:tcW w:w="1232" w:type="dxa"/>
                  <w:vMerge w:val="continue"/>
                  <w:noWrap w:val="0"/>
                  <w:vAlign w:val="center"/>
                </w:tcPr>
                <w:p w14:paraId="7BF374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818" w:type="dxa"/>
                  <w:noWrap w:val="0"/>
                  <w:vAlign w:val="center"/>
                </w:tcPr>
                <w:p w14:paraId="5E2D91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0.12</w:t>
                  </w:r>
                </w:p>
              </w:tc>
              <w:tc>
                <w:tcPr>
                  <w:tcW w:w="2359" w:type="dxa"/>
                  <w:vMerge w:val="continue"/>
                  <w:noWrap w:val="0"/>
                  <w:vAlign w:val="center"/>
                </w:tcPr>
                <w:p w14:paraId="20FE01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r w14:paraId="26DF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8" w:type="dxa"/>
                  <w:vMerge w:val="continue"/>
                  <w:noWrap w:val="0"/>
                  <w:vAlign w:val="center"/>
                </w:tcPr>
                <w:p w14:paraId="7F8A45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vMerge w:val="continue"/>
                  <w:noWrap w:val="0"/>
                  <w:vAlign w:val="center"/>
                </w:tcPr>
                <w:p w14:paraId="7F6B86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noWrap w:val="0"/>
                  <w:vAlign w:val="center"/>
                </w:tcPr>
                <w:p w14:paraId="3F4A95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氨气</w:t>
                  </w:r>
                </w:p>
              </w:tc>
              <w:tc>
                <w:tcPr>
                  <w:tcW w:w="1232" w:type="dxa"/>
                  <w:vMerge w:val="continue"/>
                  <w:noWrap w:val="0"/>
                  <w:vAlign w:val="center"/>
                </w:tcPr>
                <w:p w14:paraId="177D77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818" w:type="dxa"/>
                  <w:noWrap w:val="0"/>
                  <w:vAlign w:val="center"/>
                </w:tcPr>
                <w:p w14:paraId="17E243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1.5</w:t>
                  </w:r>
                </w:p>
              </w:tc>
              <w:tc>
                <w:tcPr>
                  <w:tcW w:w="2359" w:type="dxa"/>
                  <w:vMerge w:val="restart"/>
                  <w:noWrap w:val="0"/>
                  <w:vAlign w:val="center"/>
                </w:tcPr>
                <w:p w14:paraId="3D33D4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t>《恶臭污染物排放标准》（GB14554-93）表1恶臭污染物厂界标准值二级（新扩改建）标准</w:t>
                  </w:r>
                </w:p>
              </w:tc>
            </w:tr>
            <w:tr w14:paraId="174B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8" w:type="dxa"/>
                  <w:vMerge w:val="continue"/>
                  <w:noWrap w:val="0"/>
                  <w:vAlign w:val="center"/>
                </w:tcPr>
                <w:p w14:paraId="70C156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vMerge w:val="continue"/>
                  <w:noWrap w:val="0"/>
                  <w:vAlign w:val="center"/>
                </w:tcPr>
                <w:p w14:paraId="622658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021" w:type="dxa"/>
                  <w:noWrap w:val="0"/>
                  <w:vAlign w:val="center"/>
                </w:tcPr>
                <w:p w14:paraId="41A8A8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臭气浓度</w:t>
                  </w:r>
                </w:p>
              </w:tc>
              <w:tc>
                <w:tcPr>
                  <w:tcW w:w="1232" w:type="dxa"/>
                  <w:vMerge w:val="continue"/>
                  <w:noWrap w:val="0"/>
                  <w:vAlign w:val="center"/>
                </w:tcPr>
                <w:p w14:paraId="285CD2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c>
                <w:tcPr>
                  <w:tcW w:w="1818" w:type="dxa"/>
                  <w:noWrap w:val="0"/>
                  <w:vAlign w:val="center"/>
                </w:tcPr>
                <w:p w14:paraId="748150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val="0"/>
                      <w:color w:val="000000" w:themeColor="text1"/>
                      <w:sz w:val="24"/>
                      <w:szCs w:val="24"/>
                      <w:highlight w:val="none"/>
                      <w:vertAlign w:val="baseline"/>
                      <w:lang w:val="en-US" w:eastAsia="zh-CN"/>
                      <w14:textFill>
                        <w14:solidFill>
                          <w14:schemeClr w14:val="tx1"/>
                        </w14:solidFill>
                      </w14:textFill>
                    </w:rPr>
                    <w:t>20（无量纲）</w:t>
                  </w:r>
                </w:p>
              </w:tc>
              <w:tc>
                <w:tcPr>
                  <w:tcW w:w="2359" w:type="dxa"/>
                  <w:vMerge w:val="continue"/>
                  <w:noWrap w:val="0"/>
                  <w:vAlign w:val="center"/>
                </w:tcPr>
                <w:p w14:paraId="78AC31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000000" w:themeColor="text1"/>
                      <w:sz w:val="24"/>
                      <w:szCs w:val="24"/>
                      <w:highlight w:val="none"/>
                      <w:vertAlign w:val="baseline"/>
                      <w:lang w:val="en-US" w:eastAsia="zh-CN"/>
                      <w14:textFill>
                        <w14:solidFill>
                          <w14:schemeClr w14:val="tx1"/>
                        </w14:solidFill>
                      </w14:textFill>
                    </w:rPr>
                  </w:pPr>
                </w:p>
              </w:tc>
            </w:tr>
          </w:tbl>
          <w:p w14:paraId="10CF659C">
            <w:pPr>
              <w:bidi w:val="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二</w:t>
            </w:r>
            <w:r>
              <w:rPr>
                <w:rFonts w:hint="eastAsia" w:ascii="Times New Roman" w:hAnsi="Times New Roman" w:cs="Times New Roman"/>
                <w:b/>
                <w:bCs/>
                <w:color w:val="auto"/>
                <w:highlight w:val="none"/>
                <w:lang w:val="en-US" w:eastAsia="zh-CN"/>
              </w:rPr>
              <w:t>、</w:t>
            </w:r>
            <w:r>
              <w:rPr>
                <w:rFonts w:hint="eastAsia" w:cs="Times New Roman"/>
                <w:b/>
                <w:bCs/>
                <w:color w:val="auto"/>
                <w:highlight w:val="none"/>
                <w:lang w:val="en-US" w:eastAsia="zh-CN"/>
              </w:rPr>
              <w:t>废水排放控制标准</w:t>
            </w:r>
          </w:p>
          <w:p w14:paraId="7EC86FF6">
            <w:pPr>
              <w:bidi w:val="0"/>
              <w:rPr>
                <w:rFonts w:hint="default"/>
                <w:color w:val="auto"/>
                <w:lang w:val="en-US" w:eastAsia="zh-CN"/>
              </w:rPr>
            </w:pPr>
            <w:r>
              <w:rPr>
                <w:rFonts w:hint="default"/>
                <w:color w:val="auto"/>
                <w:lang w:val="en-US" w:eastAsia="zh-CN"/>
              </w:rPr>
              <w:t>实验室普通清洗废水满足《污水综合排放标准》（GB8978-1996）表4第二类污染物最高允许排放浓度三级标准后，排入市政污水管网。</w:t>
            </w:r>
          </w:p>
          <w:p w14:paraId="069D43D2">
            <w:pPr>
              <w:bidi w:val="0"/>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三、</w:t>
            </w:r>
            <w:r>
              <w:rPr>
                <w:rFonts w:hint="default" w:ascii="Times New Roman" w:hAnsi="Times New Roman" w:cs="Times New Roman"/>
                <w:b/>
                <w:bCs/>
                <w:color w:val="000000" w:themeColor="text1"/>
                <w:highlight w:val="none"/>
                <w:lang w:val="en-US" w:eastAsia="zh-CN"/>
                <w14:textFill>
                  <w14:solidFill>
                    <w14:schemeClr w14:val="tx1"/>
                  </w14:solidFill>
                </w14:textFill>
              </w:rPr>
              <w:t>噪声排放控制标准</w:t>
            </w:r>
          </w:p>
          <w:p w14:paraId="6B014A1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根据</w:t>
            </w:r>
            <w:r>
              <w:rPr>
                <w:rFonts w:hint="eastAsia" w:cs="Times New Roman"/>
                <w:color w:val="000000" w:themeColor="text1"/>
                <w:highlight w:val="none"/>
                <w:lang w:val="en-US" w:eastAsia="zh-CN"/>
                <w14:textFill>
                  <w14:solidFill>
                    <w14:schemeClr w14:val="tx1"/>
                  </w14:solidFill>
                </w14:textFill>
              </w:rPr>
              <w:t>鄂尔多斯市（东胜区、康巴什区）</w:t>
            </w:r>
            <w:r>
              <w:rPr>
                <w:rFonts w:hint="default" w:ascii="Times New Roman" w:hAnsi="Times New Roman" w:cs="Times New Roman"/>
                <w:color w:val="000000" w:themeColor="text1"/>
                <w:highlight w:val="none"/>
                <w:lang w:val="en-US" w:eastAsia="zh-CN"/>
                <w14:textFill>
                  <w14:solidFill>
                    <w14:schemeClr w14:val="tx1"/>
                  </w14:solidFill>
                </w14:textFill>
              </w:rPr>
              <w:t>声环境功能区划图划分，本项目建设位置位于1类声环境功能区，项目运营期噪声执行《工业企业厂界环境噪声排放标准》（GB12348-2008）1类标准。</w:t>
            </w:r>
          </w:p>
          <w:p w14:paraId="3D4A8FD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表3-</w:t>
            </w:r>
            <w:r>
              <w:rPr>
                <w:rFonts w:hint="eastAsia" w:cs="Times New Roman"/>
                <w:b/>
                <w:bCs/>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噪声排放执行标准</w:t>
            </w:r>
          </w:p>
          <w:tbl>
            <w:tblPr>
              <w:tblStyle w:val="24"/>
              <w:tblW w:w="7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2359"/>
              <w:gridCol w:w="2000"/>
              <w:gridCol w:w="2000"/>
            </w:tblGrid>
            <w:tr w14:paraId="46CE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39" w:type="dxa"/>
                  <w:noWrap w:val="0"/>
                  <w:vAlign w:val="center"/>
                </w:tcPr>
                <w:p w14:paraId="659257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类别</w:t>
                  </w:r>
                </w:p>
              </w:tc>
              <w:tc>
                <w:tcPr>
                  <w:tcW w:w="2359" w:type="dxa"/>
                  <w:noWrap w:val="0"/>
                  <w:vAlign w:val="center"/>
                </w:tcPr>
                <w:p w14:paraId="52795E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昼间</w:t>
                  </w:r>
                </w:p>
              </w:tc>
              <w:tc>
                <w:tcPr>
                  <w:tcW w:w="2000" w:type="dxa"/>
                  <w:noWrap w:val="0"/>
                  <w:vAlign w:val="center"/>
                </w:tcPr>
                <w:p w14:paraId="313CEB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夜间</w:t>
                  </w:r>
                </w:p>
              </w:tc>
              <w:tc>
                <w:tcPr>
                  <w:tcW w:w="2000" w:type="dxa"/>
                  <w:noWrap w:val="0"/>
                  <w:vAlign w:val="center"/>
                </w:tcPr>
                <w:p w14:paraId="27AD6A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单位</w:t>
                  </w:r>
                </w:p>
              </w:tc>
            </w:tr>
            <w:tr w14:paraId="1A52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639" w:type="dxa"/>
                  <w:noWrap w:val="0"/>
                  <w:vAlign w:val="center"/>
                </w:tcPr>
                <w:p w14:paraId="797BA6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1类</w:t>
                  </w:r>
                </w:p>
              </w:tc>
              <w:tc>
                <w:tcPr>
                  <w:tcW w:w="2359" w:type="dxa"/>
                  <w:noWrap w:val="0"/>
                  <w:vAlign w:val="center"/>
                </w:tcPr>
                <w:p w14:paraId="5DAD04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55</w:t>
                  </w:r>
                </w:p>
              </w:tc>
              <w:tc>
                <w:tcPr>
                  <w:tcW w:w="2000" w:type="dxa"/>
                  <w:noWrap w:val="0"/>
                  <w:vAlign w:val="center"/>
                </w:tcPr>
                <w:p w14:paraId="04C517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45</w:t>
                  </w:r>
                </w:p>
              </w:tc>
              <w:tc>
                <w:tcPr>
                  <w:tcW w:w="2000" w:type="dxa"/>
                  <w:noWrap w:val="0"/>
                  <w:vAlign w:val="center"/>
                </w:tcPr>
                <w:p w14:paraId="212B04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dB（A）</w:t>
                  </w:r>
                </w:p>
              </w:tc>
            </w:tr>
          </w:tbl>
          <w:p w14:paraId="6623B60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四</w:t>
            </w:r>
            <w:r>
              <w:rPr>
                <w:rFonts w:hint="default" w:ascii="Times New Roman" w:hAnsi="Times New Roman" w:cs="Times New Roman"/>
                <w:b/>
                <w:bCs/>
                <w:color w:val="000000" w:themeColor="text1"/>
                <w:sz w:val="24"/>
                <w:szCs w:val="24"/>
                <w:highlight w:val="none"/>
                <w14:textFill>
                  <w14:solidFill>
                    <w14:schemeClr w14:val="tx1"/>
                  </w14:solidFill>
                </w14:textFill>
              </w:rPr>
              <w:t>、</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固废</w:t>
            </w:r>
            <w:r>
              <w:rPr>
                <w:rFonts w:hint="default" w:ascii="Times New Roman" w:hAnsi="Times New Roman" w:cs="Times New Roman"/>
                <w:b/>
                <w:bCs/>
                <w:color w:val="000000" w:themeColor="text1"/>
                <w:highlight w:val="none"/>
                <w:lang w:val="en-US" w:eastAsia="zh-CN"/>
                <w14:textFill>
                  <w14:solidFill>
                    <w14:schemeClr w14:val="tx1"/>
                  </w14:solidFill>
                </w14:textFill>
              </w:rPr>
              <w:t>排放控制标准</w:t>
            </w:r>
          </w:p>
          <w:p w14:paraId="6F0F4AF1">
            <w:pPr>
              <w:adjustRightInd w:val="0"/>
              <w:snapToGrid w:val="0"/>
              <w:jc w:val="both"/>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运营期</w:t>
            </w:r>
            <w:r>
              <w:rPr>
                <w:rFonts w:hint="default" w:ascii="Times New Roman" w:hAnsi="Times New Roman" w:cs="Times New Roman"/>
                <w:color w:val="000000" w:themeColor="text1"/>
                <w:sz w:val="24"/>
                <w:szCs w:val="24"/>
                <w:highlight w:val="none"/>
                <w14:textFill>
                  <w14:solidFill>
                    <w14:schemeClr w14:val="tx1"/>
                  </w14:solidFill>
                </w14:textFill>
              </w:rPr>
              <w:t>一般工业固废排放执行《</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一般工业固体废物贮存和填埋污染控制标准</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GB18599-2020</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中的相关规定。危险废物储存执行《危险废物贮存污染控制标准》</w:t>
            </w:r>
            <w:r>
              <w:rPr>
                <w:rFonts w:hint="default" w:ascii="Times New Roman" w:hAnsi="Times New Roman" w:cs="Times New Roman"/>
                <w:color w:val="000000" w:themeColor="text1"/>
                <w:sz w:val="24"/>
                <w:szCs w:val="24"/>
                <w:highlight w:val="none"/>
                <w:lang w:eastAsia="zh-CN"/>
                <w14:textFill>
                  <w14:solidFill>
                    <w14:schemeClr w14:val="tx1"/>
                  </w14:solidFill>
                </w14:textFill>
              </w:rPr>
              <w:t>（GB18597-2023）</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中相关规定</w:t>
            </w:r>
            <w:r>
              <w:rPr>
                <w:rFonts w:hint="default" w:ascii="Times New Roman" w:hAnsi="Times New Roman" w:cs="Times New Roman"/>
                <w:color w:val="000000" w:themeColor="text1"/>
                <w:sz w:val="24"/>
                <w:szCs w:val="24"/>
                <w:highlight w:val="none"/>
                <w14:textFill>
                  <w14:solidFill>
                    <w14:schemeClr w14:val="tx1"/>
                  </w14:solidFill>
                </w14:textFill>
              </w:rPr>
              <w:t>。</w:t>
            </w:r>
          </w:p>
        </w:tc>
      </w:tr>
      <w:tr w14:paraId="6E1CE5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258" w:type="dxa"/>
            <w:gridSpan w:val="2"/>
            <w:noWrap w:val="0"/>
            <w:vAlign w:val="center"/>
          </w:tcPr>
          <w:p w14:paraId="2A2F3046">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总量控制指标</w:t>
            </w:r>
          </w:p>
        </w:tc>
        <w:tc>
          <w:tcPr>
            <w:tcW w:w="7732" w:type="dxa"/>
            <w:noWrap w:val="0"/>
            <w:vAlign w:val="center"/>
          </w:tcPr>
          <w:p w14:paraId="0465ACA3">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根据本项目的排污特征，结合国家污染物排放总量控制原则，本项目建议总量控制指标如下：非甲烷总烃排放量为0.081kg/a。</w:t>
            </w:r>
          </w:p>
        </w:tc>
      </w:tr>
    </w:tbl>
    <w:p w14:paraId="2BA3C2BC">
      <w:pPr>
        <w:pStyle w:val="20"/>
        <w:jc w:val="center"/>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6"/>
          <w:szCs w:val="36"/>
          <w:highlight w:val="none"/>
          <w14:textFill>
            <w14:solidFill>
              <w14:schemeClr w14:val="tx1"/>
            </w14:solidFill>
          </w14:textFill>
        </w:rPr>
        <w:br w:type="page"/>
      </w: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四、主要环境影响和保护措施</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63BC14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0" w:hRule="atLeast"/>
          <w:jc w:val="center"/>
        </w:trPr>
        <w:tc>
          <w:tcPr>
            <w:tcW w:w="746" w:type="dxa"/>
            <w:noWrap w:val="0"/>
            <w:tcMar>
              <w:left w:w="28" w:type="dxa"/>
              <w:right w:w="28" w:type="dxa"/>
            </w:tcMar>
            <w:vAlign w:val="center"/>
          </w:tcPr>
          <w:p w14:paraId="2FBA609E">
            <w:pPr>
              <w:pStyle w:val="20"/>
              <w:keepNext w:val="0"/>
              <w:keepLines w:val="0"/>
              <w:pageBreakBefore w:val="0"/>
              <w:kinsoku/>
              <w:wordWrap/>
              <w:overflowPunct/>
              <w:topLinePunct w:val="0"/>
              <w:autoSpaceDE/>
              <w:autoSpaceDN/>
              <w:bidi w:val="0"/>
              <w:adjustRightInd w:val="0"/>
              <w:snapToGrid w:val="0"/>
              <w:spacing w:before="0" w:beforeAutospacing="0" w:after="0" w:afterAutospacing="0" w:line="360" w:lineRule="auto"/>
              <w:ind w:firstLine="0" w:firstLineChars="0"/>
              <w:jc w:val="center"/>
              <w:textAlignment w:val="auto"/>
              <w:rPr>
                <w:rFonts w:hint="default" w:ascii="Times New Roman" w:hAnsi="Times New Roman" w:cs="Times New Roman"/>
                <w:bCs/>
                <w:color w:val="auto"/>
                <w:kern w:val="2"/>
                <w:sz w:val="24"/>
                <w:szCs w:val="24"/>
                <w:highlight w:val="none"/>
              </w:rPr>
            </w:pPr>
            <w:bookmarkStart w:id="5" w:name="_GoBack"/>
            <w:r>
              <w:rPr>
                <w:rFonts w:hint="default" w:ascii="Times New Roman" w:hAnsi="Times New Roman" w:cs="Times New Roman"/>
                <w:color w:val="auto"/>
                <w:kern w:val="2"/>
                <w:sz w:val="24"/>
                <w:szCs w:val="24"/>
                <w:highlight w:val="none"/>
              </w:rPr>
              <w:t>施工期环境保护措施</w:t>
            </w:r>
          </w:p>
        </w:tc>
        <w:tc>
          <w:tcPr>
            <w:tcW w:w="8162" w:type="dxa"/>
            <w:noWrap w:val="0"/>
            <w:vAlign w:val="center"/>
          </w:tcPr>
          <w:p w14:paraId="6E32071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项目所在建筑已建成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建设期间只需进行简单的室内装修和设备安装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不存在土建建筑施工污染</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设备安装会产生少量的废弃材料、噪声、污水以及装修过程少量装修废气等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施工时间短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污染影响较小，</w:t>
            </w:r>
            <w:r>
              <w:rPr>
                <w:rFonts w:hint="eastAsia" w:cs="Times New Roman"/>
                <w:color w:val="auto"/>
                <w:highlight w:val="none"/>
                <w:lang w:val="en-US" w:eastAsia="zh-CN"/>
              </w:rPr>
              <w:t>本</w:t>
            </w:r>
            <w:r>
              <w:rPr>
                <w:rFonts w:hint="default" w:ascii="Times New Roman" w:hAnsi="Times New Roman" w:cs="Times New Roman"/>
                <w:color w:val="auto"/>
                <w:highlight w:val="none"/>
                <w:lang w:val="en-US" w:eastAsia="zh-CN"/>
              </w:rPr>
              <w:t>次对施工期环境保护措施进行回顾性分析</w:t>
            </w:r>
            <w:r>
              <w:rPr>
                <w:rFonts w:hint="default" w:ascii="Times New Roman" w:hAnsi="Times New Roman" w:cs="Times New Roman"/>
                <w:color w:val="auto"/>
                <w:highlight w:val="none"/>
                <w:lang w:eastAsia="zh-CN"/>
              </w:rPr>
              <w:t>。</w:t>
            </w:r>
          </w:p>
          <w:p w14:paraId="5F8D2A65">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1、施工期大气环境保护措施</w:t>
            </w:r>
          </w:p>
          <w:p w14:paraId="61B71059">
            <w:pPr>
              <w:bidi w:val="0"/>
              <w:rPr>
                <w:rFonts w:hint="default" w:ascii="Times New Roman" w:hAnsi="Times New Roman" w:eastAsia="宋体" w:cs="Times New Roman"/>
                <w:b/>
                <w:bCs/>
                <w:color w:val="auto"/>
                <w:highlight w:val="none"/>
                <w:lang w:val="en-US" w:eastAsia="zh-CN"/>
              </w:rPr>
            </w:pPr>
            <w:r>
              <w:rPr>
                <w:rFonts w:hint="default" w:ascii="Times New Roman" w:hAnsi="Times New Roman" w:eastAsia="Segoe UI" w:cs="Times New Roman"/>
                <w:i w:val="0"/>
                <w:iCs w:val="0"/>
                <w:caps w:val="0"/>
                <w:color w:val="auto"/>
                <w:spacing w:val="0"/>
                <w:sz w:val="24"/>
                <w:szCs w:val="24"/>
                <w:highlight w:val="none"/>
                <w:shd w:val="clear" w:fill="FFFFFF"/>
              </w:rPr>
              <w:t>项目施工期工程量较小，施工内容主要包括：实验室隔断改造、地面防渗处理、通风橱及通风管道安装、实验台柜安装、给排水及电气线路改造等。施工期产生的污染及环境影响</w:t>
            </w:r>
            <w:r>
              <w:rPr>
                <w:rFonts w:hint="default" w:ascii="Times New Roman" w:hAnsi="Times New Roman" w:eastAsia="宋体" w:cs="Times New Roman"/>
                <w:i w:val="0"/>
                <w:iCs w:val="0"/>
                <w:caps w:val="0"/>
                <w:color w:val="auto"/>
                <w:spacing w:val="0"/>
                <w:sz w:val="24"/>
                <w:szCs w:val="24"/>
                <w:highlight w:val="none"/>
                <w:shd w:val="clear" w:fill="FFFFFF"/>
                <w:lang w:val="en-US" w:eastAsia="zh-CN"/>
              </w:rPr>
              <w:t>主要为墙面涂刷、</w:t>
            </w:r>
            <w:r>
              <w:rPr>
                <w:rFonts w:hint="eastAsia" w:cs="Times New Roman"/>
                <w:i w:val="0"/>
                <w:iCs w:val="0"/>
                <w:caps w:val="0"/>
                <w:color w:val="auto"/>
                <w:spacing w:val="0"/>
                <w:sz w:val="24"/>
                <w:szCs w:val="24"/>
                <w:highlight w:val="none"/>
                <w:shd w:val="clear" w:fill="FFFFFF"/>
                <w:lang w:val="en-US" w:eastAsia="zh-CN"/>
              </w:rPr>
              <w:t>胶黏剂</w:t>
            </w:r>
            <w:r>
              <w:rPr>
                <w:rFonts w:hint="default" w:ascii="Times New Roman" w:hAnsi="Times New Roman" w:eastAsia="宋体" w:cs="Times New Roman"/>
                <w:i w:val="0"/>
                <w:iCs w:val="0"/>
                <w:caps w:val="0"/>
                <w:color w:val="auto"/>
                <w:spacing w:val="0"/>
                <w:sz w:val="24"/>
                <w:szCs w:val="24"/>
                <w:highlight w:val="none"/>
                <w:shd w:val="clear" w:fill="FFFFFF"/>
                <w:lang w:val="en-US" w:eastAsia="zh-CN"/>
              </w:rPr>
              <w:t>使用过程中产生VOCs，产生量较小、为间歇性排放。墙体开槽、钻孔过程中产生的粉尘，产生情况为局部、短时间产生，设备包装拆除过程中产生少量的扬尘。</w:t>
            </w:r>
            <w:r>
              <w:rPr>
                <w:rFonts w:hint="default" w:ascii="Times New Roman" w:hAnsi="Times New Roman" w:eastAsia="Segoe UI" w:cs="Times New Roman"/>
                <w:i w:val="0"/>
                <w:iCs w:val="0"/>
                <w:caps w:val="0"/>
                <w:color w:val="auto"/>
                <w:spacing w:val="0"/>
                <w:sz w:val="24"/>
                <w:szCs w:val="24"/>
                <w:highlight w:val="none"/>
                <w:shd w:val="clear" w:fill="FFFFFF"/>
              </w:rPr>
              <w:t>施工期间，所有涂料、</w:t>
            </w:r>
            <w:r>
              <w:rPr>
                <w:rFonts w:hint="eastAsia" w:eastAsia="宋体" w:cs="Times New Roman"/>
                <w:i w:val="0"/>
                <w:iCs w:val="0"/>
                <w:caps w:val="0"/>
                <w:color w:val="auto"/>
                <w:spacing w:val="0"/>
                <w:sz w:val="24"/>
                <w:szCs w:val="24"/>
                <w:highlight w:val="none"/>
                <w:shd w:val="clear" w:fill="FFFFFF"/>
                <w:lang w:eastAsia="zh-CN"/>
              </w:rPr>
              <w:t>胶黏剂</w:t>
            </w:r>
            <w:r>
              <w:rPr>
                <w:rFonts w:hint="default" w:ascii="Times New Roman" w:hAnsi="Times New Roman" w:eastAsia="Segoe UI" w:cs="Times New Roman"/>
                <w:i w:val="0"/>
                <w:iCs w:val="0"/>
                <w:caps w:val="0"/>
                <w:color w:val="auto"/>
                <w:spacing w:val="0"/>
                <w:sz w:val="24"/>
                <w:szCs w:val="24"/>
                <w:highlight w:val="none"/>
                <w:shd w:val="clear" w:fill="FFFFFF"/>
              </w:rPr>
              <w:t>、密封胶均选用低VOCs产品。钻孔、开槽等产尘工序采用边施工边用吸尘器吸尘的方式；地面清扫先洒水湿润，</w:t>
            </w:r>
            <w:r>
              <w:rPr>
                <w:rFonts w:hint="eastAsia" w:ascii="Times New Roman" w:hAnsi="Times New Roman" w:eastAsia="宋体" w:cs="Times New Roman"/>
                <w:i w:val="0"/>
                <w:iCs w:val="0"/>
                <w:caps w:val="0"/>
                <w:color w:val="auto"/>
                <w:spacing w:val="0"/>
                <w:sz w:val="24"/>
                <w:szCs w:val="24"/>
                <w:highlight w:val="none"/>
                <w:shd w:val="clear" w:fill="FFFFFF"/>
                <w:lang w:val="en-US" w:eastAsia="zh-CN"/>
              </w:rPr>
              <w:t>再清扫，</w:t>
            </w:r>
            <w:r>
              <w:rPr>
                <w:rFonts w:hint="default" w:ascii="Times New Roman" w:hAnsi="Times New Roman" w:eastAsia="Segoe UI" w:cs="Times New Roman"/>
                <w:i w:val="0"/>
                <w:iCs w:val="0"/>
                <w:caps w:val="0"/>
                <w:color w:val="auto"/>
                <w:spacing w:val="0"/>
                <w:sz w:val="24"/>
                <w:szCs w:val="24"/>
                <w:highlight w:val="none"/>
                <w:shd w:val="clear" w:fill="FFFFFF"/>
              </w:rPr>
              <w:t>避免扬尘。施工期间保持门窗常开，加强自然通风。施工期废气产生量小，呈间歇性、无组织排放，污染半径局限在施工房间内，随着施工结束和通风迅速消散，未对周边环境造成明显影响。</w:t>
            </w:r>
          </w:p>
          <w:p w14:paraId="3E23E9A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2、施工期水环境保护措施</w:t>
            </w:r>
          </w:p>
          <w:p w14:paraId="4E4762B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设备安装后工具（如抹布、刷子）清洗产生的废水，含少量</w:t>
            </w:r>
            <w:r>
              <w:rPr>
                <w:rFonts w:hint="eastAsia" w:cs="Times New Roman"/>
                <w:color w:val="auto"/>
                <w:highlight w:val="none"/>
                <w:lang w:val="en-US" w:eastAsia="zh-CN"/>
              </w:rPr>
              <w:t>泥沙</w:t>
            </w:r>
            <w:r>
              <w:rPr>
                <w:rFonts w:hint="default" w:ascii="Times New Roman" w:hAnsi="Times New Roman" w:cs="Times New Roman"/>
                <w:color w:val="auto"/>
                <w:highlight w:val="none"/>
                <w:lang w:val="en-US" w:eastAsia="zh-CN"/>
              </w:rPr>
              <w:t>、水泥浆；施工人员洗手、便溺等产生的生活污水。产生的施工期废水不含重金属、有毒有机物或酸碱废液，属一般性较为</w:t>
            </w:r>
            <w:r>
              <w:rPr>
                <w:rFonts w:hint="eastAsia" w:cs="Times New Roman"/>
                <w:color w:val="auto"/>
                <w:highlight w:val="none"/>
                <w:lang w:val="en-US" w:eastAsia="zh-CN"/>
              </w:rPr>
              <w:t>普通清洗废水</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产生量极小，产生的清洗废水、生活污水</w:t>
            </w:r>
            <w:r>
              <w:rPr>
                <w:rFonts w:hint="eastAsia" w:cs="Times New Roman"/>
                <w:color w:val="auto"/>
                <w:highlight w:val="none"/>
                <w:lang w:val="en-US" w:eastAsia="zh-CN"/>
              </w:rPr>
              <w:t>经化粪池收集沉淀后</w:t>
            </w:r>
            <w:r>
              <w:rPr>
                <w:rFonts w:hint="default" w:ascii="Times New Roman" w:hAnsi="Times New Roman" w:cs="Times New Roman"/>
                <w:color w:val="auto"/>
                <w:highlight w:val="none"/>
                <w:lang w:val="en-US" w:eastAsia="zh-CN"/>
              </w:rPr>
              <w:t>排入市政污水管网进行处置。</w:t>
            </w:r>
          </w:p>
          <w:p w14:paraId="345697E5">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3、施工期声环境保护措施</w:t>
            </w:r>
          </w:p>
          <w:p w14:paraId="186C1895">
            <w:pPr>
              <w:bidi w:val="0"/>
              <w:rPr>
                <w:rFonts w:hint="default"/>
                <w:color w:val="auto"/>
                <w:highlight w:val="none"/>
              </w:rPr>
            </w:pPr>
            <w:r>
              <w:rPr>
                <w:color w:val="auto"/>
                <w:highlight w:val="none"/>
              </w:rPr>
              <w:t>施工期的噪声源主要为施工机械噪声，等效声级在70</w:t>
            </w:r>
            <w:r>
              <w:rPr>
                <w:rFonts w:hint="default"/>
                <w:color w:val="auto"/>
                <w:highlight w:val="none"/>
              </w:rPr>
              <w:t>~</w:t>
            </w:r>
            <w:r>
              <w:rPr>
                <w:rFonts w:hint="eastAsia"/>
                <w:color w:val="auto"/>
                <w:highlight w:val="none"/>
                <w:lang w:val="en-US" w:eastAsia="zh-CN"/>
              </w:rPr>
              <w:t>100</w:t>
            </w:r>
            <w:r>
              <w:rPr>
                <w:rFonts w:hint="default"/>
                <w:color w:val="auto"/>
                <w:highlight w:val="none"/>
              </w:rPr>
              <w:t>dB</w:t>
            </w:r>
            <w:r>
              <w:rPr>
                <w:rFonts w:hint="eastAsia"/>
                <w:color w:val="auto"/>
                <w:highlight w:val="none"/>
                <w:lang w:eastAsia="zh-CN"/>
              </w:rPr>
              <w:t>（</w:t>
            </w:r>
            <w:r>
              <w:rPr>
                <w:rFonts w:hint="default"/>
                <w:color w:val="auto"/>
                <w:highlight w:val="none"/>
              </w:rPr>
              <w:t>A</w:t>
            </w:r>
            <w:r>
              <w:rPr>
                <w:rFonts w:hint="eastAsia"/>
                <w:color w:val="auto"/>
                <w:highlight w:val="none"/>
                <w:lang w:eastAsia="zh-CN"/>
              </w:rPr>
              <w:t>）</w:t>
            </w:r>
            <w:r>
              <w:rPr>
                <w:rFonts w:hint="default"/>
                <w:color w:val="auto"/>
                <w:highlight w:val="none"/>
              </w:rPr>
              <w:t>之间，每台工具单次使用时间短，且局限于室内。为减少施工噪声对周边环境的影响，施工单位合理安排施工时间，严格执行《</w:t>
            </w:r>
            <w:r>
              <w:rPr>
                <w:rFonts w:hint="default"/>
                <w:color w:val="auto"/>
                <w:highlight w:val="none"/>
                <w:lang w:eastAsia="zh-CN"/>
              </w:rPr>
              <w:t>建筑施工噪声排放标准</w:t>
            </w:r>
            <w:r>
              <w:rPr>
                <w:rFonts w:hint="default"/>
                <w:color w:val="auto"/>
                <w:highlight w:val="none"/>
              </w:rPr>
              <w:t>》</w:t>
            </w:r>
            <w:r>
              <w:rPr>
                <w:rFonts w:hint="default"/>
                <w:color w:val="auto"/>
                <w:highlight w:val="none"/>
                <w:lang w:eastAsia="zh-CN"/>
              </w:rPr>
              <w:t>（</w:t>
            </w:r>
            <w:r>
              <w:rPr>
                <w:rFonts w:hint="default"/>
                <w:color w:val="auto"/>
                <w:highlight w:val="none"/>
              </w:rPr>
              <w:t>GB12523-20</w:t>
            </w:r>
            <w:r>
              <w:rPr>
                <w:rFonts w:hint="default"/>
                <w:color w:val="auto"/>
                <w:highlight w:val="none"/>
                <w:lang w:val="en-US" w:eastAsia="zh-CN"/>
              </w:rPr>
              <w:t>25</w:t>
            </w:r>
            <w:r>
              <w:rPr>
                <w:rFonts w:hint="default"/>
                <w:color w:val="auto"/>
                <w:highlight w:val="none"/>
                <w:lang w:eastAsia="zh-CN"/>
              </w:rPr>
              <w:t>）</w:t>
            </w:r>
            <w:r>
              <w:rPr>
                <w:rFonts w:hint="default"/>
                <w:color w:val="auto"/>
                <w:highlight w:val="none"/>
              </w:rPr>
              <w:t>的</w:t>
            </w:r>
            <w:r>
              <w:rPr>
                <w:rFonts w:hint="eastAsia"/>
                <w:color w:val="auto"/>
                <w:highlight w:val="none"/>
                <w:lang w:val="en-US" w:eastAsia="zh-CN"/>
              </w:rPr>
              <w:t>相关</w:t>
            </w:r>
            <w:r>
              <w:rPr>
                <w:rFonts w:hint="default"/>
                <w:color w:val="auto"/>
                <w:highlight w:val="none"/>
              </w:rPr>
              <w:t>规定，在中午（12:00~14:00）和夜间（22:00~次日06:00）禁止施工作业；施工时关闭房间门窗；在需要冲击钻作业的位置下方铺设橡胶垫或旧地毯减振。经上述措施处理后，有效降低了施工噪声影响，施工期间未收到周边居民噪声投诉。</w:t>
            </w:r>
          </w:p>
          <w:p w14:paraId="1E95B5E8">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4、施工期固体废物环境保护措施</w:t>
            </w:r>
          </w:p>
          <w:p w14:paraId="4BA7C23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建筑垃圾一般包括废石膏板、水泥砂浆块、破损瓷砖、废木板等，产生量约0.2-0.5t。废弃包装材料：纸箱、塑料薄膜、泡沫板、金属线槽余料等，产生量约0.1t。纸箱、金属余料等可回收物每日交由废品收购站回收；废木板、废石膏板等由物业指定的装修垃圾清运方运至建筑垃圾消纳场。根据《社会区域类环境影响评价》（中国环境出版社）中固体废物污染源推荐数据，施工人员产生的生活垃圾按0.5kg/人天计算，本项目施工人员约10人，施工期约60天，则施工期内施工人员生活垃圾产生量为0.3t。生活垃圾定点堆放，由环卫部门清运处理，则不会对环境造成大的影响。</w:t>
            </w:r>
          </w:p>
        </w:tc>
      </w:tr>
      <w:tr w14:paraId="11BBA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6" w:type="dxa"/>
            <w:noWrap w:val="0"/>
            <w:tcMar>
              <w:left w:w="28" w:type="dxa"/>
              <w:right w:w="28" w:type="dxa"/>
            </w:tcMar>
            <w:vAlign w:val="center"/>
          </w:tcPr>
          <w:p w14:paraId="2F58DE73">
            <w:pPr>
              <w:keepNext w:val="0"/>
              <w:keepLines w:val="0"/>
              <w:pageBreakBefore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运营</w:t>
            </w:r>
          </w:p>
          <w:p w14:paraId="069A6AC2">
            <w:pPr>
              <w:keepNext w:val="0"/>
              <w:keepLines w:val="0"/>
              <w:pageBreakBefore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期环</w:t>
            </w:r>
          </w:p>
          <w:p w14:paraId="0ED2B761">
            <w:pPr>
              <w:keepNext w:val="0"/>
              <w:keepLines w:val="0"/>
              <w:pageBreakBefore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境影</w:t>
            </w:r>
          </w:p>
          <w:p w14:paraId="2E7D3E65">
            <w:pPr>
              <w:keepNext w:val="0"/>
              <w:keepLines w:val="0"/>
              <w:pageBreakBefore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响和</w:t>
            </w:r>
          </w:p>
          <w:p w14:paraId="655414AC">
            <w:pPr>
              <w:keepNext w:val="0"/>
              <w:keepLines w:val="0"/>
              <w:pageBreakBefore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保护</w:t>
            </w:r>
          </w:p>
          <w:p w14:paraId="5D791082">
            <w:pPr>
              <w:keepNext w:val="0"/>
              <w:keepLines w:val="0"/>
              <w:pageBreakBefore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措施</w:t>
            </w:r>
          </w:p>
        </w:tc>
        <w:tc>
          <w:tcPr>
            <w:tcW w:w="8162" w:type="dxa"/>
            <w:noWrap w:val="0"/>
            <w:vAlign w:val="center"/>
          </w:tcPr>
          <w:p w14:paraId="46921F1F">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一、废气污染物源强及治理措施分析</w:t>
            </w:r>
          </w:p>
          <w:p w14:paraId="03E69359">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1.废气污染物源强分析</w:t>
            </w:r>
          </w:p>
          <w:p w14:paraId="634BF659">
            <w:pPr>
              <w:bidi w:val="0"/>
              <w:rPr>
                <w:rFonts w:hint="default"/>
                <w:color w:val="auto"/>
                <w:highlight w:val="none"/>
                <w:lang w:val="en-US" w:eastAsia="zh-CN"/>
              </w:rPr>
            </w:pPr>
            <w:r>
              <w:rPr>
                <w:rFonts w:hint="eastAsia"/>
                <w:color w:val="auto"/>
                <w:highlight w:val="none"/>
                <w:lang w:val="en-US" w:eastAsia="zh-CN"/>
              </w:rPr>
              <w:t>本项目化学实验室及生物实验室产生的废气经各自通风橱收集后，经各自通风管道汇至楼顶活性炭吸附处理装置（TA001）进行一并处理后，最终由楼顶一根20m高的排气筒（DA001）排放，则汇总废气计算如下。</w:t>
            </w:r>
          </w:p>
          <w:p w14:paraId="56144D5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A.化学实验室废气源强核实</w:t>
            </w:r>
          </w:p>
          <w:p w14:paraId="2771F37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化学实验室在教学实验过程中，试剂挥发会产生无机废气和有机废气。无机废气主要为硫酸雾、氯化氢、硝酸雾（以氮氧化物表征）等挥发性酸类，在试剂取样、配制及实验过程中产生；氨水使用过程会有少</w:t>
            </w:r>
            <w:r>
              <w:rPr>
                <w:rFonts w:hint="eastAsia" w:cs="Times New Roman"/>
                <w:color w:val="auto"/>
                <w:highlight w:val="none"/>
                <w:lang w:val="en-US" w:eastAsia="zh-CN"/>
              </w:rPr>
              <w:t>量氨气逸散；</w:t>
            </w:r>
            <w:r>
              <w:rPr>
                <w:rFonts w:hint="default" w:ascii="Times New Roman" w:hAnsi="Times New Roman" w:cs="Times New Roman"/>
                <w:color w:val="auto"/>
                <w:highlight w:val="none"/>
                <w:lang w:val="en-US" w:eastAsia="zh-CN"/>
              </w:rPr>
              <w:t>有机废气主要为乙醇、</w:t>
            </w:r>
            <w:r>
              <w:rPr>
                <w:rFonts w:hint="eastAsia" w:cs="Times New Roman"/>
                <w:color w:val="auto"/>
                <w:highlight w:val="none"/>
                <w:lang w:val="en-US" w:eastAsia="zh-CN"/>
              </w:rPr>
              <w:t>乙醚</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丙酮</w:t>
            </w:r>
            <w:r>
              <w:rPr>
                <w:rFonts w:hint="default" w:ascii="Times New Roman" w:hAnsi="Times New Roman" w:cs="Times New Roman"/>
                <w:color w:val="auto"/>
                <w:highlight w:val="none"/>
                <w:lang w:val="en-US" w:eastAsia="zh-CN"/>
              </w:rPr>
              <w:t>等在试剂取样、配制及实验过程中产生有机</w:t>
            </w:r>
            <w:r>
              <w:rPr>
                <w:rFonts w:hint="eastAsia" w:cs="Times New Roman"/>
                <w:color w:val="auto"/>
                <w:highlight w:val="none"/>
                <w:lang w:val="en-US" w:eastAsia="zh-CN"/>
              </w:rPr>
              <w:t>废气</w:t>
            </w:r>
            <w:r>
              <w:rPr>
                <w:rFonts w:hint="default" w:ascii="Times New Roman" w:hAnsi="Times New Roman" w:cs="Times New Roman"/>
                <w:color w:val="auto"/>
                <w:highlight w:val="none"/>
                <w:lang w:val="en-US" w:eastAsia="zh-CN"/>
              </w:rPr>
              <w:t>，以非甲烷总烃计</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试剂均存放在密闭试剂瓶内，</w:t>
            </w:r>
            <w:r>
              <w:rPr>
                <w:rFonts w:hint="eastAsia" w:cs="Times New Roman"/>
                <w:color w:val="auto"/>
                <w:highlight w:val="none"/>
                <w:lang w:val="en-US" w:eastAsia="zh-CN"/>
              </w:rPr>
              <w:t>储存</w:t>
            </w:r>
            <w:r>
              <w:rPr>
                <w:rFonts w:hint="default" w:ascii="Times New Roman" w:hAnsi="Times New Roman" w:cs="Times New Roman"/>
                <w:color w:val="auto"/>
                <w:highlight w:val="none"/>
                <w:lang w:val="en-US" w:eastAsia="zh-CN"/>
              </w:rPr>
              <w:t>过程中不挥发，仅考虑在敞开状态下、溶液配制及实验过程中的挥发量。</w:t>
            </w:r>
          </w:p>
          <w:p w14:paraId="6779D123">
            <w:pPr>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化学实验室每年有60节课时，每节课时为30分钟，则化学实验室年有效实验操作时间为30h/a</w:t>
            </w:r>
            <w:r>
              <w:rPr>
                <w:rFonts w:hint="eastAsia" w:cs="Times New Roman"/>
                <w:color w:val="auto"/>
                <w:highlight w:val="none"/>
                <w:lang w:val="en-US" w:eastAsia="zh-CN"/>
              </w:rPr>
              <w:t>。实验室有机试剂挥发量参考美国环保局编写的《工业污染源调查与研究》等资料，实验室所用有机试剂挥发量基本在使用量的1%～4%之间，本评价保守取最大值，按4%计算乙醇的挥发量。实验室无机试剂挥发量参考同类型项目《广州市南沙区修仕倍励实验学校建设项目》（穗南审批环评〔2022〕81号）实验过程中无机废气挥发系数取值，挥发量按使用量的5%计算。</w:t>
            </w:r>
          </w:p>
          <w:p w14:paraId="7C73F791">
            <w:pPr>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化学实验室使用全部硝酸</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使用量为2.81kg/a</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使用全部丙酮</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使用量为3.95kg/a</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使用全部乙醚</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使用量为1.43kg/a</w:t>
            </w:r>
            <w:r>
              <w:rPr>
                <w:rFonts w:hint="eastAsia" w:ascii="Times New Roman" w:hAnsi="Times New Roman" w:cs="Times New Roman"/>
                <w:color w:val="auto"/>
                <w:highlight w:val="none"/>
                <w:lang w:val="en-US" w:eastAsia="zh-CN"/>
              </w:rPr>
              <w:t>；使用全部</w:t>
            </w:r>
            <w:r>
              <w:rPr>
                <w:rFonts w:hint="default" w:ascii="Times New Roman" w:hAnsi="Times New Roman" w:cs="Times New Roman"/>
                <w:color w:val="auto"/>
                <w:highlight w:val="none"/>
                <w:lang w:val="en-US" w:eastAsia="zh-CN"/>
              </w:rPr>
              <w:t>氨水</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使用量为1.82kg/a</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盐酸使用量为</w:t>
            </w:r>
            <w:r>
              <w:rPr>
                <w:rFonts w:hint="eastAsia" w:ascii="Times New Roman" w:hAnsi="Times New Roman" w:cs="Times New Roman"/>
                <w:color w:val="auto"/>
                <w:highlight w:val="none"/>
                <w:lang w:val="en-US" w:eastAsia="zh-CN"/>
              </w:rPr>
              <w:t>全部用量的80%，使用量为3.61</w:t>
            </w:r>
            <w:r>
              <w:rPr>
                <w:rFonts w:hint="default" w:ascii="Times New Roman" w:hAnsi="Times New Roman" w:cs="Times New Roman"/>
                <w:color w:val="auto"/>
                <w:highlight w:val="none"/>
                <w:lang w:val="en-US" w:eastAsia="zh-CN"/>
              </w:rPr>
              <w:t>kg/a，乙醇使用量为</w:t>
            </w:r>
            <w:r>
              <w:rPr>
                <w:rFonts w:hint="eastAsia" w:ascii="Times New Roman" w:hAnsi="Times New Roman" w:cs="Times New Roman"/>
                <w:color w:val="auto"/>
                <w:highlight w:val="none"/>
                <w:lang w:val="en-US" w:eastAsia="zh-CN"/>
              </w:rPr>
              <w:t>全部用量的80%，使用量为2.55</w:t>
            </w:r>
            <w:r>
              <w:rPr>
                <w:rFonts w:hint="default" w:ascii="Times New Roman" w:hAnsi="Times New Roman" w:cs="Times New Roman"/>
                <w:color w:val="auto"/>
                <w:highlight w:val="none"/>
                <w:lang w:val="en-US" w:eastAsia="zh-CN"/>
              </w:rPr>
              <w:t>kg/a</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通风橱收集效率为90%，风机风量为</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00m³/h。</w:t>
            </w:r>
            <w:r>
              <w:rPr>
                <w:rFonts w:hint="eastAsia" w:cs="Times New Roman"/>
                <w:color w:val="auto"/>
                <w:highlight w:val="none"/>
                <w:lang w:val="en-US" w:eastAsia="zh-CN"/>
              </w:rPr>
              <w:t>经通风橱收集后，化学实验室废气产生情况见下表。</w:t>
            </w:r>
          </w:p>
          <w:p w14:paraId="69861268">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表4-1化学实验室</w:t>
            </w:r>
            <w:r>
              <w:rPr>
                <w:rFonts w:hint="eastAsia" w:cs="Times New Roman"/>
                <w:b/>
                <w:bCs/>
                <w:color w:val="auto"/>
                <w:highlight w:val="none"/>
                <w:lang w:val="en-US" w:eastAsia="zh-CN"/>
              </w:rPr>
              <w:t>废气经通风橱收集后</w:t>
            </w:r>
            <w:r>
              <w:rPr>
                <w:rFonts w:hint="default" w:ascii="Times New Roman" w:hAnsi="Times New Roman" w:cs="Times New Roman"/>
                <w:b/>
                <w:bCs/>
                <w:color w:val="auto"/>
                <w:highlight w:val="none"/>
                <w:lang w:val="en-US" w:eastAsia="zh-CN"/>
              </w:rPr>
              <w:t>废气</w:t>
            </w:r>
            <w:r>
              <w:rPr>
                <w:rFonts w:hint="eastAsia" w:cs="Times New Roman"/>
                <w:b/>
                <w:bCs/>
                <w:color w:val="auto"/>
                <w:highlight w:val="none"/>
                <w:lang w:val="en-US" w:eastAsia="zh-CN"/>
              </w:rPr>
              <w:t>排放</w:t>
            </w:r>
            <w:r>
              <w:rPr>
                <w:rFonts w:hint="default" w:ascii="Times New Roman" w:hAnsi="Times New Roman" w:cs="Times New Roman"/>
                <w:b/>
                <w:bCs/>
                <w:color w:val="auto"/>
                <w:highlight w:val="none"/>
                <w:lang w:val="en-US" w:eastAsia="zh-CN"/>
              </w:rPr>
              <w:t>情况</w:t>
            </w:r>
          </w:p>
          <w:tbl>
            <w:tblPr>
              <w:tblStyle w:val="24"/>
              <w:tblW w:w="7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2577"/>
              <w:gridCol w:w="1077"/>
              <w:gridCol w:w="845"/>
              <w:gridCol w:w="946"/>
              <w:gridCol w:w="946"/>
              <w:gridCol w:w="946"/>
            </w:tblGrid>
            <w:tr w14:paraId="056A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80" w:type="dxa"/>
                  <w:vAlign w:val="center"/>
                </w:tcPr>
                <w:p w14:paraId="26461B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2577" w:type="dxa"/>
                  <w:vAlign w:val="center"/>
                </w:tcPr>
                <w:p w14:paraId="6822D2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1077" w:type="dxa"/>
                  <w:vAlign w:val="center"/>
                </w:tcPr>
                <w:p w14:paraId="023453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年用量kg/a</w:t>
                  </w:r>
                </w:p>
              </w:tc>
              <w:tc>
                <w:tcPr>
                  <w:tcW w:w="845" w:type="dxa"/>
                  <w:vAlign w:val="center"/>
                </w:tcPr>
                <w:p w14:paraId="090A1B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挥发系数</w:t>
                  </w:r>
                </w:p>
              </w:tc>
              <w:tc>
                <w:tcPr>
                  <w:tcW w:w="946" w:type="dxa"/>
                  <w:vAlign w:val="center"/>
                </w:tcPr>
                <w:p w14:paraId="7078A7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产生量kg/a</w:t>
                  </w:r>
                </w:p>
              </w:tc>
              <w:tc>
                <w:tcPr>
                  <w:tcW w:w="946" w:type="dxa"/>
                  <w:vAlign w:val="center"/>
                </w:tcPr>
                <w:p w14:paraId="099028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收集效率</w:t>
                  </w:r>
                </w:p>
              </w:tc>
              <w:tc>
                <w:tcPr>
                  <w:tcW w:w="946" w:type="dxa"/>
                  <w:vAlign w:val="center"/>
                </w:tcPr>
                <w:p w14:paraId="5801E8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收集量kg/a</w:t>
                  </w:r>
                </w:p>
              </w:tc>
            </w:tr>
            <w:tr w14:paraId="68CD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80" w:type="dxa"/>
                  <w:vAlign w:val="center"/>
                </w:tcPr>
                <w:p w14:paraId="16EE82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2577" w:type="dxa"/>
                  <w:vAlign w:val="center"/>
                </w:tcPr>
                <w:p w14:paraId="76C33C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HCl（38%盐酸，11.89kg×80%×38%）</w:t>
                  </w:r>
                </w:p>
              </w:tc>
              <w:tc>
                <w:tcPr>
                  <w:tcW w:w="1077" w:type="dxa"/>
                  <w:vAlign w:val="center"/>
                </w:tcPr>
                <w:p w14:paraId="7735DD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3.61</w:t>
                  </w:r>
                </w:p>
              </w:tc>
              <w:tc>
                <w:tcPr>
                  <w:tcW w:w="845" w:type="dxa"/>
                  <w:vAlign w:val="center"/>
                </w:tcPr>
                <w:p w14:paraId="736793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946" w:type="dxa"/>
                  <w:vAlign w:val="center"/>
                </w:tcPr>
                <w:p w14:paraId="67EEAC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0.18</w:t>
                  </w:r>
                </w:p>
              </w:tc>
              <w:tc>
                <w:tcPr>
                  <w:tcW w:w="946" w:type="dxa"/>
                  <w:vMerge w:val="restart"/>
                  <w:vAlign w:val="center"/>
                </w:tcPr>
                <w:p w14:paraId="732098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90%</w:t>
                  </w:r>
                </w:p>
              </w:tc>
              <w:tc>
                <w:tcPr>
                  <w:tcW w:w="946" w:type="dxa"/>
                  <w:vAlign w:val="center"/>
                </w:tcPr>
                <w:p w14:paraId="467722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0.16</w:t>
                  </w:r>
                </w:p>
              </w:tc>
            </w:tr>
            <w:tr w14:paraId="520D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480" w:type="dxa"/>
                  <w:vAlign w:val="center"/>
                </w:tcPr>
                <w:p w14:paraId="33516E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2577" w:type="dxa"/>
                  <w:vAlign w:val="center"/>
                </w:tcPr>
                <w:p w14:paraId="7F9E64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NOx（硝酸2.81kg×100%×68%）</w:t>
                  </w:r>
                </w:p>
              </w:tc>
              <w:tc>
                <w:tcPr>
                  <w:tcW w:w="1077" w:type="dxa"/>
                  <w:vAlign w:val="center"/>
                </w:tcPr>
                <w:p w14:paraId="1CF668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1.91</w:t>
                  </w:r>
                </w:p>
              </w:tc>
              <w:tc>
                <w:tcPr>
                  <w:tcW w:w="845" w:type="dxa"/>
                  <w:vAlign w:val="center"/>
                </w:tcPr>
                <w:p w14:paraId="3EE160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946" w:type="dxa"/>
                  <w:vAlign w:val="center"/>
                </w:tcPr>
                <w:p w14:paraId="6102C8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0.10</w:t>
                  </w:r>
                </w:p>
              </w:tc>
              <w:tc>
                <w:tcPr>
                  <w:tcW w:w="946" w:type="dxa"/>
                  <w:vMerge w:val="continue"/>
                  <w:vAlign w:val="center"/>
                </w:tcPr>
                <w:p w14:paraId="08F69C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946" w:type="dxa"/>
                  <w:vAlign w:val="center"/>
                </w:tcPr>
                <w:p w14:paraId="0E0812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0.09</w:t>
                  </w:r>
                </w:p>
              </w:tc>
            </w:tr>
            <w:tr w14:paraId="1CFEE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480" w:type="dxa"/>
                  <w:vAlign w:val="center"/>
                </w:tcPr>
                <w:p w14:paraId="73D76B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2577" w:type="dxa"/>
                  <w:vAlign w:val="center"/>
                </w:tcPr>
                <w:p w14:paraId="060753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硫酸雾（硫酸18.40kg×100%×98%）</w:t>
                  </w:r>
                </w:p>
              </w:tc>
              <w:tc>
                <w:tcPr>
                  <w:tcW w:w="1077" w:type="dxa"/>
                  <w:vAlign w:val="center"/>
                </w:tcPr>
                <w:p w14:paraId="334AFB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18.03</w:t>
                  </w:r>
                </w:p>
              </w:tc>
              <w:tc>
                <w:tcPr>
                  <w:tcW w:w="845" w:type="dxa"/>
                  <w:vAlign w:val="center"/>
                </w:tcPr>
                <w:p w14:paraId="7F92B8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946" w:type="dxa"/>
                  <w:vAlign w:val="center"/>
                </w:tcPr>
                <w:p w14:paraId="1CBC05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0.90</w:t>
                  </w:r>
                </w:p>
              </w:tc>
              <w:tc>
                <w:tcPr>
                  <w:tcW w:w="946" w:type="dxa"/>
                  <w:vMerge w:val="continue"/>
                  <w:vAlign w:val="center"/>
                </w:tcPr>
                <w:p w14:paraId="44139E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946" w:type="dxa"/>
                  <w:vAlign w:val="center"/>
                </w:tcPr>
                <w:p w14:paraId="6A30F1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0.81</w:t>
                  </w:r>
                </w:p>
              </w:tc>
            </w:tr>
            <w:tr w14:paraId="1430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480" w:type="dxa"/>
                  <w:vAlign w:val="center"/>
                </w:tcPr>
                <w:p w14:paraId="045AFC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2577" w:type="dxa"/>
                  <w:vAlign w:val="center"/>
                </w:tcPr>
                <w:p w14:paraId="662D9A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VOCs（乙醇4.25×80%×75%+丙酮3.95+乙醚1.43）</w:t>
                  </w:r>
                  <w:r>
                    <w:rPr>
                      <w:rFonts w:hint="eastAsia" w:cs="Times New Roman"/>
                      <w:color w:val="auto"/>
                      <w:highlight w:val="none"/>
                      <w:lang w:val="en-US" w:eastAsia="zh-CN"/>
                    </w:rPr>
                    <w:t>（以非甲烷总烃计）</w:t>
                  </w:r>
                </w:p>
              </w:tc>
              <w:tc>
                <w:tcPr>
                  <w:tcW w:w="1077" w:type="dxa"/>
                  <w:vAlign w:val="center"/>
                </w:tcPr>
                <w:p w14:paraId="7F1186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7.93</w:t>
                  </w:r>
                </w:p>
              </w:tc>
              <w:tc>
                <w:tcPr>
                  <w:tcW w:w="845" w:type="dxa"/>
                  <w:vAlign w:val="center"/>
                </w:tcPr>
                <w:p w14:paraId="2DEB62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946" w:type="dxa"/>
                  <w:vAlign w:val="center"/>
                </w:tcPr>
                <w:p w14:paraId="49F7E7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0.32</w:t>
                  </w:r>
                </w:p>
              </w:tc>
              <w:tc>
                <w:tcPr>
                  <w:tcW w:w="946" w:type="dxa"/>
                  <w:vMerge w:val="continue"/>
                  <w:vAlign w:val="center"/>
                </w:tcPr>
                <w:p w14:paraId="32D593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946" w:type="dxa"/>
                  <w:vAlign w:val="center"/>
                </w:tcPr>
                <w:p w14:paraId="27CB51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29</w:t>
                  </w:r>
                </w:p>
              </w:tc>
            </w:tr>
            <w:tr w14:paraId="4680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480" w:type="dxa"/>
                  <w:vAlign w:val="center"/>
                </w:tcPr>
                <w:p w14:paraId="55C825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577" w:type="dxa"/>
                  <w:vAlign w:val="center"/>
                </w:tcPr>
                <w:p w14:paraId="4DAD7F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NH₃（氨水1.82kg×100%×25%）</w:t>
                  </w:r>
                </w:p>
              </w:tc>
              <w:tc>
                <w:tcPr>
                  <w:tcW w:w="1077" w:type="dxa"/>
                  <w:vAlign w:val="center"/>
                </w:tcPr>
                <w:p w14:paraId="0AF054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0.46</w:t>
                  </w:r>
                </w:p>
              </w:tc>
              <w:tc>
                <w:tcPr>
                  <w:tcW w:w="845" w:type="dxa"/>
                  <w:vAlign w:val="center"/>
                </w:tcPr>
                <w:p w14:paraId="6B8926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946" w:type="dxa"/>
                  <w:vAlign w:val="center"/>
                </w:tcPr>
                <w:p w14:paraId="4BF3FA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w:t>
                  </w:r>
                  <w:r>
                    <w:rPr>
                      <w:rFonts w:hint="eastAsia" w:cs="Times New Roman"/>
                      <w:color w:val="auto"/>
                      <w:highlight w:val="none"/>
                      <w:lang w:val="en-US" w:eastAsia="zh-CN"/>
                    </w:rPr>
                    <w:t>2</w:t>
                  </w:r>
                </w:p>
              </w:tc>
              <w:tc>
                <w:tcPr>
                  <w:tcW w:w="946" w:type="dxa"/>
                  <w:vMerge w:val="continue"/>
                  <w:vAlign w:val="center"/>
                </w:tcPr>
                <w:p w14:paraId="6523FC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946" w:type="dxa"/>
                  <w:vAlign w:val="center"/>
                </w:tcPr>
                <w:p w14:paraId="0BC8B5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w:t>
                  </w:r>
                  <w:r>
                    <w:rPr>
                      <w:rFonts w:hint="eastAsia" w:ascii="Times New Roman" w:hAnsi="Times New Roman" w:cs="Times New Roman"/>
                      <w:color w:val="auto"/>
                      <w:highlight w:val="none"/>
                      <w:lang w:val="en-US" w:eastAsia="zh-CN"/>
                    </w:rPr>
                    <w:t>18</w:t>
                  </w:r>
                </w:p>
              </w:tc>
            </w:tr>
          </w:tbl>
          <w:p w14:paraId="01AD35F6">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w:t>
            </w:r>
            <w:r>
              <w:rPr>
                <w:rFonts w:hint="eastAsia" w:cs="Times New Roman"/>
                <w:b/>
                <w:bCs/>
                <w:color w:val="auto"/>
                <w:highlight w:val="none"/>
                <w:lang w:val="en-US" w:eastAsia="zh-CN"/>
              </w:rPr>
              <w:t>2</w:t>
            </w:r>
            <w:r>
              <w:rPr>
                <w:rFonts w:hint="default" w:ascii="Times New Roman" w:hAnsi="Times New Roman" w:cs="Times New Roman"/>
                <w:b/>
                <w:bCs/>
                <w:color w:val="auto"/>
                <w:highlight w:val="none"/>
                <w:lang w:val="en-US" w:eastAsia="zh-CN"/>
              </w:rPr>
              <w:t>化学实验室无组织废气排放情况一览表</w:t>
            </w:r>
          </w:p>
          <w:tbl>
            <w:tblPr>
              <w:tblStyle w:val="24"/>
              <w:tblW w:w="7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2867"/>
              <w:gridCol w:w="3153"/>
            </w:tblGrid>
            <w:tr w14:paraId="2BA3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39" w:type="dxa"/>
                  <w:vAlign w:val="center"/>
                </w:tcPr>
                <w:p w14:paraId="6442C2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2867" w:type="dxa"/>
                  <w:vAlign w:val="center"/>
                </w:tcPr>
                <w:p w14:paraId="1E8520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3153" w:type="dxa"/>
                  <w:vAlign w:val="center"/>
                </w:tcPr>
                <w:p w14:paraId="5D2D6F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无组织排放产量kg/a</w:t>
                  </w:r>
                </w:p>
              </w:tc>
            </w:tr>
            <w:tr w14:paraId="3B40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39" w:type="dxa"/>
                  <w:vAlign w:val="center"/>
                </w:tcPr>
                <w:p w14:paraId="3637C8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2867" w:type="dxa"/>
                  <w:vAlign w:val="center"/>
                </w:tcPr>
                <w:p w14:paraId="7BDDCF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HCl</w:t>
                  </w:r>
                </w:p>
              </w:tc>
              <w:tc>
                <w:tcPr>
                  <w:tcW w:w="3153" w:type="dxa"/>
                  <w:vAlign w:val="center"/>
                </w:tcPr>
                <w:p w14:paraId="191765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0.02</w:t>
                  </w:r>
                </w:p>
              </w:tc>
            </w:tr>
            <w:tr w14:paraId="4254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39" w:type="dxa"/>
                  <w:vAlign w:val="center"/>
                </w:tcPr>
                <w:p w14:paraId="148AB4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2867" w:type="dxa"/>
                  <w:vAlign w:val="center"/>
                </w:tcPr>
                <w:p w14:paraId="2EDCD1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NOx</w:t>
                  </w:r>
                </w:p>
              </w:tc>
              <w:tc>
                <w:tcPr>
                  <w:tcW w:w="3153" w:type="dxa"/>
                  <w:vAlign w:val="center"/>
                </w:tcPr>
                <w:p w14:paraId="108336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0.01</w:t>
                  </w:r>
                </w:p>
              </w:tc>
            </w:tr>
            <w:tr w14:paraId="3C7A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739" w:type="dxa"/>
                  <w:vAlign w:val="center"/>
                </w:tcPr>
                <w:p w14:paraId="026037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2867" w:type="dxa"/>
                  <w:vAlign w:val="center"/>
                </w:tcPr>
                <w:p w14:paraId="67572A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硫酸雾</w:t>
                  </w:r>
                </w:p>
              </w:tc>
              <w:tc>
                <w:tcPr>
                  <w:tcW w:w="3153" w:type="dxa"/>
                  <w:vAlign w:val="center"/>
                </w:tcPr>
                <w:p w14:paraId="549F36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0.09</w:t>
                  </w:r>
                </w:p>
              </w:tc>
            </w:tr>
            <w:tr w14:paraId="542C2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739" w:type="dxa"/>
                  <w:vAlign w:val="center"/>
                </w:tcPr>
                <w:p w14:paraId="7CF5F1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2867" w:type="dxa"/>
                  <w:vAlign w:val="center"/>
                </w:tcPr>
                <w:p w14:paraId="7DF019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非甲烷总烃</w:t>
                  </w:r>
                </w:p>
              </w:tc>
              <w:tc>
                <w:tcPr>
                  <w:tcW w:w="3153" w:type="dxa"/>
                  <w:vAlign w:val="center"/>
                </w:tcPr>
                <w:p w14:paraId="758D09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0.03</w:t>
                  </w:r>
                </w:p>
              </w:tc>
            </w:tr>
            <w:tr w14:paraId="6FAA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739" w:type="dxa"/>
                  <w:vAlign w:val="center"/>
                </w:tcPr>
                <w:p w14:paraId="48CE74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867" w:type="dxa"/>
                  <w:vAlign w:val="center"/>
                </w:tcPr>
                <w:p w14:paraId="4A3BAB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NH₃</w:t>
                  </w:r>
                </w:p>
              </w:tc>
              <w:tc>
                <w:tcPr>
                  <w:tcW w:w="3153" w:type="dxa"/>
                  <w:vAlign w:val="center"/>
                </w:tcPr>
                <w:p w14:paraId="32E898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w:t>
                  </w:r>
                  <w:r>
                    <w:rPr>
                      <w:rFonts w:hint="eastAsia" w:cs="Times New Roman"/>
                      <w:color w:val="auto"/>
                      <w:highlight w:val="none"/>
                      <w:lang w:val="en-US" w:eastAsia="zh-CN"/>
                    </w:rPr>
                    <w:t>2</w:t>
                  </w:r>
                </w:p>
              </w:tc>
            </w:tr>
          </w:tbl>
          <w:p w14:paraId="4B41098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B.生物实验室废气</w:t>
            </w:r>
          </w:p>
          <w:p w14:paraId="1B599201">
            <w:pPr>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生物实验室每学年使用频次约40节/年，每节实验操作时长约为30分钟，生物实验室全年操作时间合计20小时。</w:t>
            </w:r>
            <w:r>
              <w:rPr>
                <w:rFonts w:hint="eastAsia" w:cs="Times New Roman"/>
                <w:color w:val="auto"/>
                <w:highlight w:val="none"/>
                <w:lang w:val="en-US" w:eastAsia="zh-CN"/>
              </w:rPr>
              <w:t>通风橱收集效率为90%，</w:t>
            </w:r>
            <w:r>
              <w:rPr>
                <w:rFonts w:hint="default" w:ascii="Times New Roman" w:hAnsi="Times New Roman" w:cs="Times New Roman"/>
                <w:color w:val="auto"/>
                <w:highlight w:val="none"/>
                <w:lang w:val="en-US" w:eastAsia="zh-CN"/>
              </w:rPr>
              <w:t>配备引风机风量为</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00m³/h。</w:t>
            </w:r>
            <w:r>
              <w:rPr>
                <w:rFonts w:hint="eastAsia" w:ascii="Times New Roman" w:hAnsi="Times New Roman" w:cs="Times New Roman"/>
                <w:color w:val="auto"/>
                <w:highlight w:val="none"/>
                <w:lang w:val="en-US" w:eastAsia="zh-CN"/>
              </w:rPr>
              <w:t>生物实验室仅涉及显微镜观察、植物切片等不涉及活体微生物培养的实验，臭气产生量极低，仅对生物实验室产生的恶臭气体进行定性分析，不进行污染物产生量和排放浓度的定量核算。</w:t>
            </w:r>
          </w:p>
          <w:p w14:paraId="71149CB9">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w:t>
            </w:r>
            <w:r>
              <w:rPr>
                <w:rFonts w:hint="eastAsia" w:cs="Times New Roman"/>
                <w:b/>
                <w:bCs/>
                <w:color w:val="auto"/>
                <w:highlight w:val="none"/>
                <w:lang w:val="en-US" w:eastAsia="zh-CN"/>
              </w:rPr>
              <w:t>3</w:t>
            </w:r>
            <w:r>
              <w:rPr>
                <w:rFonts w:hint="default" w:ascii="Times New Roman" w:hAnsi="Times New Roman" w:cs="Times New Roman"/>
                <w:b/>
                <w:bCs/>
                <w:color w:val="auto"/>
                <w:highlight w:val="none"/>
                <w:lang w:val="en-US" w:eastAsia="zh-CN"/>
              </w:rPr>
              <w:t>生物实验室</w:t>
            </w:r>
            <w:r>
              <w:rPr>
                <w:rFonts w:hint="eastAsia" w:cs="Times New Roman"/>
                <w:b/>
                <w:bCs/>
                <w:color w:val="auto"/>
                <w:highlight w:val="none"/>
                <w:lang w:val="en-US" w:eastAsia="zh-CN"/>
              </w:rPr>
              <w:t>废气经通风橱收集后</w:t>
            </w:r>
            <w:r>
              <w:rPr>
                <w:rFonts w:hint="default" w:ascii="Times New Roman" w:hAnsi="Times New Roman" w:cs="Times New Roman"/>
                <w:b/>
                <w:bCs/>
                <w:color w:val="auto"/>
                <w:highlight w:val="none"/>
                <w:lang w:val="en-US" w:eastAsia="zh-CN"/>
              </w:rPr>
              <w:t>废气</w:t>
            </w:r>
            <w:r>
              <w:rPr>
                <w:rFonts w:hint="eastAsia" w:cs="Times New Roman"/>
                <w:b/>
                <w:bCs/>
                <w:color w:val="auto"/>
                <w:highlight w:val="none"/>
                <w:lang w:val="en-US" w:eastAsia="zh-CN"/>
              </w:rPr>
              <w:t>排放</w:t>
            </w:r>
            <w:r>
              <w:rPr>
                <w:rFonts w:hint="default" w:ascii="Times New Roman" w:hAnsi="Times New Roman" w:cs="Times New Roman"/>
                <w:b/>
                <w:bCs/>
                <w:color w:val="auto"/>
                <w:highlight w:val="none"/>
                <w:lang w:val="en-US" w:eastAsia="zh-CN"/>
              </w:rPr>
              <w:t>情况</w:t>
            </w:r>
          </w:p>
          <w:tbl>
            <w:tblPr>
              <w:tblStyle w:val="24"/>
              <w:tblW w:w="78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1562"/>
              <w:gridCol w:w="896"/>
              <w:gridCol w:w="861"/>
              <w:gridCol w:w="1147"/>
              <w:gridCol w:w="1008"/>
              <w:gridCol w:w="2016"/>
            </w:tblGrid>
            <w:tr w14:paraId="0680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404" w:type="dxa"/>
                  <w:vAlign w:val="center"/>
                </w:tcPr>
                <w:p w14:paraId="2183E1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1562" w:type="dxa"/>
                  <w:vAlign w:val="center"/>
                </w:tcPr>
                <w:p w14:paraId="15E6DA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896" w:type="dxa"/>
                  <w:vAlign w:val="center"/>
                </w:tcPr>
                <w:p w14:paraId="4AD28F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年用量kg/a</w:t>
                  </w:r>
                </w:p>
              </w:tc>
              <w:tc>
                <w:tcPr>
                  <w:tcW w:w="861" w:type="dxa"/>
                  <w:vAlign w:val="center"/>
                </w:tcPr>
                <w:p w14:paraId="3026BE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挥发系数</w:t>
                  </w:r>
                </w:p>
              </w:tc>
              <w:tc>
                <w:tcPr>
                  <w:tcW w:w="1147" w:type="dxa"/>
                  <w:vAlign w:val="center"/>
                </w:tcPr>
                <w:p w14:paraId="53BDBF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产生量kg/a</w:t>
                  </w:r>
                </w:p>
              </w:tc>
              <w:tc>
                <w:tcPr>
                  <w:tcW w:w="1008" w:type="dxa"/>
                  <w:vAlign w:val="center"/>
                </w:tcPr>
                <w:p w14:paraId="7810E2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收集效率</w:t>
                  </w:r>
                </w:p>
              </w:tc>
              <w:tc>
                <w:tcPr>
                  <w:tcW w:w="2016" w:type="dxa"/>
                  <w:vAlign w:val="center"/>
                </w:tcPr>
                <w:p w14:paraId="58749C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收集量</w:t>
                  </w:r>
                  <w:r>
                    <w:rPr>
                      <w:rFonts w:hint="default" w:ascii="Times New Roman" w:hAnsi="Times New Roman" w:cs="Times New Roman"/>
                      <w:color w:val="auto"/>
                      <w:highlight w:val="none"/>
                      <w:lang w:val="en-US" w:eastAsia="zh-CN"/>
                    </w:rPr>
                    <w:t>kg/a</w:t>
                  </w:r>
                </w:p>
              </w:tc>
            </w:tr>
            <w:tr w14:paraId="43E3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404" w:type="dxa"/>
                  <w:vAlign w:val="center"/>
                </w:tcPr>
                <w:p w14:paraId="7E3C5E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562" w:type="dxa"/>
                  <w:vAlign w:val="center"/>
                </w:tcPr>
                <w:p w14:paraId="05EF62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HCl（38%盐酸，11.89kg×20%×38%）</w:t>
                  </w:r>
                </w:p>
              </w:tc>
              <w:tc>
                <w:tcPr>
                  <w:tcW w:w="896" w:type="dxa"/>
                  <w:vAlign w:val="center"/>
                </w:tcPr>
                <w:p w14:paraId="47D17E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0.90</w:t>
                  </w:r>
                </w:p>
              </w:tc>
              <w:tc>
                <w:tcPr>
                  <w:tcW w:w="861" w:type="dxa"/>
                  <w:vAlign w:val="center"/>
                </w:tcPr>
                <w:p w14:paraId="645583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1147" w:type="dxa"/>
                  <w:vAlign w:val="center"/>
                </w:tcPr>
                <w:p w14:paraId="648713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w:t>
                  </w:r>
                  <w:r>
                    <w:rPr>
                      <w:rFonts w:hint="eastAsia" w:cs="Times New Roman"/>
                      <w:color w:val="auto"/>
                      <w:highlight w:val="none"/>
                      <w:lang w:val="en-US" w:eastAsia="zh-CN"/>
                    </w:rPr>
                    <w:t>5</w:t>
                  </w:r>
                </w:p>
              </w:tc>
              <w:tc>
                <w:tcPr>
                  <w:tcW w:w="1008" w:type="dxa"/>
                  <w:vMerge w:val="restart"/>
                  <w:vAlign w:val="center"/>
                </w:tcPr>
                <w:p w14:paraId="5A3720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90%</w:t>
                  </w:r>
                </w:p>
              </w:tc>
              <w:tc>
                <w:tcPr>
                  <w:tcW w:w="2016" w:type="dxa"/>
                  <w:vAlign w:val="center"/>
                </w:tcPr>
                <w:p w14:paraId="629FE0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0.04</w:t>
                  </w:r>
                  <w:r>
                    <w:rPr>
                      <w:rFonts w:hint="eastAsia" w:cs="Times New Roman"/>
                      <w:color w:val="auto"/>
                      <w:highlight w:val="none"/>
                      <w:lang w:val="en-US" w:eastAsia="zh-CN"/>
                    </w:rPr>
                    <w:t>5</w:t>
                  </w:r>
                </w:p>
              </w:tc>
            </w:tr>
            <w:tr w14:paraId="61F9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404" w:type="dxa"/>
                  <w:vAlign w:val="center"/>
                </w:tcPr>
                <w:p w14:paraId="3F79F0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1562" w:type="dxa"/>
                  <w:vAlign w:val="center"/>
                </w:tcPr>
                <w:p w14:paraId="241622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VOCs（乙醇4.25×20%×75%</w:t>
                  </w:r>
                </w:p>
              </w:tc>
              <w:tc>
                <w:tcPr>
                  <w:tcW w:w="896" w:type="dxa"/>
                  <w:vAlign w:val="center"/>
                </w:tcPr>
                <w:p w14:paraId="3B9BE8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0.64</w:t>
                  </w:r>
                </w:p>
              </w:tc>
              <w:tc>
                <w:tcPr>
                  <w:tcW w:w="861" w:type="dxa"/>
                  <w:vAlign w:val="center"/>
                </w:tcPr>
                <w:p w14:paraId="40C033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147" w:type="dxa"/>
                  <w:vAlign w:val="center"/>
                </w:tcPr>
                <w:p w14:paraId="7E138C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w:t>
                  </w:r>
                  <w:r>
                    <w:rPr>
                      <w:rFonts w:hint="eastAsia" w:cs="Times New Roman"/>
                      <w:color w:val="auto"/>
                      <w:highlight w:val="none"/>
                      <w:lang w:val="en-US" w:eastAsia="zh-CN"/>
                    </w:rPr>
                    <w:t>3</w:t>
                  </w:r>
                </w:p>
              </w:tc>
              <w:tc>
                <w:tcPr>
                  <w:tcW w:w="1008" w:type="dxa"/>
                  <w:vMerge w:val="continue"/>
                  <w:vAlign w:val="center"/>
                </w:tcPr>
                <w:p w14:paraId="568CF9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2016" w:type="dxa"/>
                  <w:vAlign w:val="center"/>
                </w:tcPr>
                <w:p w14:paraId="1BF889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0.02</w:t>
                  </w:r>
                  <w:r>
                    <w:rPr>
                      <w:rFonts w:hint="eastAsia" w:cs="Times New Roman"/>
                      <w:color w:val="auto"/>
                      <w:highlight w:val="none"/>
                      <w:lang w:val="en-US" w:eastAsia="zh-CN"/>
                    </w:rPr>
                    <w:t>7</w:t>
                  </w:r>
                </w:p>
              </w:tc>
            </w:tr>
            <w:tr w14:paraId="21CC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04" w:type="dxa"/>
                  <w:shd w:val="clear" w:color="auto" w:fill="auto"/>
                  <w:vAlign w:val="center"/>
                </w:tcPr>
                <w:p w14:paraId="713486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highlight w:val="none"/>
                      <w:lang w:val="en-US" w:eastAsia="zh-CN"/>
                    </w:rPr>
                    <w:t>3</w:t>
                  </w:r>
                </w:p>
              </w:tc>
              <w:tc>
                <w:tcPr>
                  <w:tcW w:w="1562" w:type="dxa"/>
                  <w:shd w:val="clear" w:color="auto" w:fill="auto"/>
                  <w:vAlign w:val="center"/>
                </w:tcPr>
                <w:p w14:paraId="63A428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highlight w:val="none"/>
                      <w:lang w:val="en-US" w:eastAsia="zh-CN"/>
                    </w:rPr>
                    <w:t>臭气浓度</w:t>
                  </w:r>
                </w:p>
              </w:tc>
              <w:tc>
                <w:tcPr>
                  <w:tcW w:w="5928" w:type="dxa"/>
                  <w:gridSpan w:val="5"/>
                  <w:vAlign w:val="center"/>
                </w:tcPr>
                <w:p w14:paraId="48405D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产生量较少</w:t>
                  </w:r>
                  <w:r>
                    <w:rPr>
                      <w:rFonts w:hint="eastAsia" w:cs="Times New Roman"/>
                      <w:color w:val="auto"/>
                      <w:highlight w:val="none"/>
                      <w:lang w:val="en-US" w:eastAsia="zh-CN"/>
                    </w:rPr>
                    <w:t>，不进行定量分析。</w:t>
                  </w:r>
                </w:p>
              </w:tc>
            </w:tr>
          </w:tbl>
          <w:p w14:paraId="6A34FC1D">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w:t>
            </w:r>
            <w:r>
              <w:rPr>
                <w:rFonts w:hint="eastAsia" w:cs="Times New Roman"/>
                <w:b/>
                <w:bCs/>
                <w:color w:val="auto"/>
                <w:highlight w:val="none"/>
                <w:lang w:val="en-US" w:eastAsia="zh-CN"/>
              </w:rPr>
              <w:t>4</w:t>
            </w:r>
            <w:r>
              <w:rPr>
                <w:rFonts w:hint="default" w:ascii="Times New Roman" w:hAnsi="Times New Roman" w:cs="Times New Roman"/>
                <w:b/>
                <w:bCs/>
                <w:color w:val="auto"/>
                <w:highlight w:val="none"/>
                <w:lang w:val="en-US" w:eastAsia="zh-CN"/>
              </w:rPr>
              <w:t>生物实验室无组织废气排放情况一览表</w:t>
            </w:r>
          </w:p>
          <w:tbl>
            <w:tblPr>
              <w:tblStyle w:val="24"/>
              <w:tblW w:w="7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2844"/>
              <w:gridCol w:w="3129"/>
            </w:tblGrid>
            <w:tr w14:paraId="7D8E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5" w:type="dxa"/>
                  <w:vAlign w:val="center"/>
                </w:tcPr>
                <w:p w14:paraId="2781F6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2844" w:type="dxa"/>
                  <w:vAlign w:val="center"/>
                </w:tcPr>
                <w:p w14:paraId="395445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3129" w:type="dxa"/>
                  <w:vAlign w:val="center"/>
                </w:tcPr>
                <w:p w14:paraId="112736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无组织排放产量kg/a</w:t>
                  </w:r>
                </w:p>
              </w:tc>
            </w:tr>
            <w:tr w14:paraId="306B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725" w:type="dxa"/>
                  <w:vAlign w:val="center"/>
                </w:tcPr>
                <w:p w14:paraId="43D5A5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2844" w:type="dxa"/>
                  <w:vAlign w:val="center"/>
                </w:tcPr>
                <w:p w14:paraId="2F43A1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HCl</w:t>
                  </w:r>
                </w:p>
              </w:tc>
              <w:tc>
                <w:tcPr>
                  <w:tcW w:w="3129" w:type="dxa"/>
                  <w:vAlign w:val="center"/>
                </w:tcPr>
                <w:p w14:paraId="078EB9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w:t>
                  </w:r>
                  <w:r>
                    <w:rPr>
                      <w:rFonts w:hint="eastAsia" w:cs="Times New Roman"/>
                      <w:color w:val="auto"/>
                      <w:highlight w:val="none"/>
                      <w:lang w:val="en-US" w:eastAsia="zh-CN"/>
                    </w:rPr>
                    <w:t>05</w:t>
                  </w:r>
                </w:p>
              </w:tc>
            </w:tr>
            <w:tr w14:paraId="7147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725" w:type="dxa"/>
                  <w:vAlign w:val="center"/>
                </w:tcPr>
                <w:p w14:paraId="46CE7A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w:t>
                  </w:r>
                </w:p>
              </w:tc>
              <w:tc>
                <w:tcPr>
                  <w:tcW w:w="2844" w:type="dxa"/>
                  <w:vAlign w:val="center"/>
                </w:tcPr>
                <w:p w14:paraId="7B6912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非甲烷总烃</w:t>
                  </w:r>
                </w:p>
              </w:tc>
              <w:tc>
                <w:tcPr>
                  <w:tcW w:w="3129" w:type="dxa"/>
                  <w:vAlign w:val="center"/>
                </w:tcPr>
                <w:p w14:paraId="51EDEE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w:t>
                  </w:r>
                  <w:r>
                    <w:rPr>
                      <w:rFonts w:hint="eastAsia" w:cs="Times New Roman"/>
                      <w:color w:val="auto"/>
                      <w:highlight w:val="none"/>
                      <w:lang w:val="en-US" w:eastAsia="zh-CN"/>
                    </w:rPr>
                    <w:t>03</w:t>
                  </w:r>
                </w:p>
              </w:tc>
            </w:tr>
          </w:tbl>
          <w:p w14:paraId="719F9989">
            <w:pPr>
              <w:keepNext w:val="0"/>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val="0"/>
                <w:color w:val="auto"/>
                <w:spacing w:val="-10"/>
                <w:sz w:val="24"/>
                <w:szCs w:val="24"/>
                <w:highlight w:val="none"/>
                <w:lang w:val="en-US" w:eastAsia="zh-CN"/>
              </w:rPr>
            </w:pPr>
            <w:r>
              <w:rPr>
                <w:rFonts w:hint="eastAsia" w:cs="Times New Roman"/>
                <w:b/>
                <w:bCs w:val="0"/>
                <w:color w:val="auto"/>
                <w:spacing w:val="-10"/>
                <w:sz w:val="24"/>
                <w:szCs w:val="24"/>
                <w:highlight w:val="none"/>
                <w:lang w:val="en-US" w:eastAsia="zh-CN"/>
              </w:rPr>
              <w:t>C.DA001排气筒排放情况</w:t>
            </w:r>
          </w:p>
          <w:p w14:paraId="27C0ABA3">
            <w:pPr>
              <w:bidi w:val="0"/>
              <w:rPr>
                <w:rFonts w:hint="default"/>
                <w:color w:val="auto"/>
                <w:highlight w:val="none"/>
                <w:lang w:val="en-US" w:eastAsia="zh-CN"/>
              </w:rPr>
            </w:pPr>
            <w:r>
              <w:rPr>
                <w:rFonts w:hint="eastAsia"/>
                <w:color w:val="auto"/>
                <w:highlight w:val="none"/>
                <w:lang w:val="en-US" w:eastAsia="zh-CN"/>
              </w:rPr>
              <w:t>本项目化学实验室及生物实验室产生的废气经各自通风橱收集后，经各自通风管道汇至楼顶活性炭吸附处理装置进行一并处理后，最终由一根20m高的排气筒排放。则汇总废气计算如下：</w:t>
            </w:r>
            <w:r>
              <w:rPr>
                <w:rFonts w:hint="default" w:ascii="Times New Roman" w:hAnsi="Times New Roman" w:cs="Times New Roman"/>
                <w:color w:val="auto"/>
                <w:highlight w:val="none"/>
                <w:lang w:val="en-US" w:eastAsia="zh-CN"/>
              </w:rPr>
              <w:t>根据《吸附法工业有机废气治理工程技术规范》（HJ2026-2013），活性炭吸附装置对有机废气去除效率可达85%-95%，本项目保守取值为85%，活性炭吸附装置仅对VOCs有去除作用。</w:t>
            </w:r>
          </w:p>
          <w:p w14:paraId="5399800E">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表4-</w:t>
            </w:r>
            <w:r>
              <w:rPr>
                <w:rFonts w:hint="eastAsia" w:ascii="Times New Roman" w:hAnsi="Times New Roman" w:cs="Times New Roman"/>
                <w:b/>
                <w:bCs/>
                <w:color w:val="auto"/>
                <w:highlight w:val="none"/>
                <w:lang w:val="en-US" w:eastAsia="zh-CN"/>
              </w:rPr>
              <w:t>5</w:t>
            </w:r>
            <w:r>
              <w:rPr>
                <w:rFonts w:hint="default" w:ascii="Times New Roman" w:hAnsi="Times New Roman" w:cs="Times New Roman"/>
                <w:b/>
                <w:bCs/>
                <w:color w:val="auto"/>
                <w:highlight w:val="none"/>
                <w:lang w:val="en-US" w:eastAsia="zh-CN"/>
              </w:rPr>
              <w:t>DA001废气排放汇总一览表</w:t>
            </w:r>
          </w:p>
          <w:tbl>
            <w:tblPr>
              <w:tblStyle w:val="24"/>
              <w:tblW w:w="7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050"/>
              <w:gridCol w:w="1154"/>
              <w:gridCol w:w="1031"/>
              <w:gridCol w:w="1031"/>
              <w:gridCol w:w="1031"/>
              <w:gridCol w:w="1031"/>
              <w:gridCol w:w="1032"/>
            </w:tblGrid>
            <w:tr w14:paraId="7687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636" w:type="dxa"/>
                  <w:vAlign w:val="center"/>
                </w:tcPr>
                <w:p w14:paraId="010DD4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1050" w:type="dxa"/>
                  <w:vAlign w:val="center"/>
                </w:tcPr>
                <w:p w14:paraId="4947D2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1154" w:type="dxa"/>
                  <w:vAlign w:val="center"/>
                </w:tcPr>
                <w:p w14:paraId="18BB5E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总</w:t>
                  </w:r>
                  <w:r>
                    <w:rPr>
                      <w:rFonts w:hint="eastAsia" w:cs="Times New Roman"/>
                      <w:color w:val="auto"/>
                      <w:highlight w:val="none"/>
                      <w:lang w:val="en-US" w:eastAsia="zh-CN"/>
                    </w:rPr>
                    <w:t>收集</w:t>
                  </w:r>
                  <w:r>
                    <w:rPr>
                      <w:rFonts w:hint="default" w:ascii="Times New Roman" w:hAnsi="Times New Roman" w:cs="Times New Roman"/>
                      <w:color w:val="auto"/>
                      <w:highlight w:val="none"/>
                      <w:lang w:val="en-US" w:eastAsia="zh-CN"/>
                    </w:rPr>
                    <w:t>量kg/a</w:t>
                  </w:r>
                </w:p>
              </w:tc>
              <w:tc>
                <w:tcPr>
                  <w:tcW w:w="1031" w:type="dxa"/>
                  <w:vAlign w:val="center"/>
                </w:tcPr>
                <w:p w14:paraId="132BD5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总风量</w:t>
                  </w:r>
                  <w:r>
                    <w:rPr>
                      <w:rFonts w:hint="eastAsia" w:cs="Times New Roman"/>
                      <w:color w:val="auto"/>
                      <w:highlight w:val="none"/>
                      <w:lang w:val="en-US" w:eastAsia="zh-CN"/>
                    </w:rPr>
                    <w:t>m³/h</w:t>
                  </w:r>
                </w:p>
              </w:tc>
              <w:tc>
                <w:tcPr>
                  <w:tcW w:w="1031" w:type="dxa"/>
                  <w:vAlign w:val="center"/>
                </w:tcPr>
                <w:p w14:paraId="4ABBA5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处理效率%</w:t>
                  </w:r>
                </w:p>
              </w:tc>
              <w:tc>
                <w:tcPr>
                  <w:tcW w:w="1031" w:type="dxa"/>
                  <w:vAlign w:val="center"/>
                </w:tcPr>
                <w:p w14:paraId="289A5F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总排放量kg/a</w:t>
                  </w:r>
                </w:p>
              </w:tc>
              <w:tc>
                <w:tcPr>
                  <w:tcW w:w="1031" w:type="dxa"/>
                  <w:vAlign w:val="center"/>
                </w:tcPr>
                <w:p w14:paraId="552832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总排放速率kg/h</w:t>
                  </w:r>
                </w:p>
              </w:tc>
              <w:tc>
                <w:tcPr>
                  <w:tcW w:w="1032" w:type="dxa"/>
                  <w:vAlign w:val="center"/>
                </w:tcPr>
                <w:p w14:paraId="596A54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总排放浓度mg/m³</w:t>
                  </w:r>
                </w:p>
              </w:tc>
            </w:tr>
            <w:tr w14:paraId="328A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36" w:type="dxa"/>
                  <w:vAlign w:val="center"/>
                </w:tcPr>
                <w:p w14:paraId="4547B6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050" w:type="dxa"/>
                  <w:vAlign w:val="center"/>
                </w:tcPr>
                <w:p w14:paraId="75372D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HCl</w:t>
                  </w:r>
                </w:p>
              </w:tc>
              <w:tc>
                <w:tcPr>
                  <w:tcW w:w="1154" w:type="dxa"/>
                  <w:vAlign w:val="center"/>
                </w:tcPr>
                <w:p w14:paraId="181991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0.20</w:t>
                  </w:r>
                  <w:r>
                    <w:rPr>
                      <w:rFonts w:hint="eastAsia" w:ascii="Times New Roman" w:hAnsi="Times New Roman" w:cs="Times New Roman"/>
                      <w:color w:val="auto"/>
                      <w:highlight w:val="none"/>
                      <w:lang w:val="en-US" w:eastAsia="zh-CN"/>
                    </w:rPr>
                    <w:t>5</w:t>
                  </w:r>
                </w:p>
              </w:tc>
              <w:tc>
                <w:tcPr>
                  <w:tcW w:w="1031" w:type="dxa"/>
                  <w:vMerge w:val="restart"/>
                  <w:vAlign w:val="center"/>
                </w:tcPr>
                <w:p w14:paraId="128297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1000</w:t>
                  </w:r>
                </w:p>
              </w:tc>
              <w:tc>
                <w:tcPr>
                  <w:tcW w:w="1031" w:type="dxa"/>
                  <w:vAlign w:val="center"/>
                </w:tcPr>
                <w:p w14:paraId="294237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w:t>
                  </w:r>
                </w:p>
              </w:tc>
              <w:tc>
                <w:tcPr>
                  <w:tcW w:w="1031" w:type="dxa"/>
                  <w:vAlign w:val="center"/>
                </w:tcPr>
                <w:p w14:paraId="16F264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0.205</w:t>
                  </w:r>
                </w:p>
              </w:tc>
              <w:tc>
                <w:tcPr>
                  <w:tcW w:w="1031" w:type="dxa"/>
                  <w:vAlign w:val="center"/>
                </w:tcPr>
                <w:p w14:paraId="688D63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0.007</w:t>
                  </w:r>
                </w:p>
              </w:tc>
              <w:tc>
                <w:tcPr>
                  <w:tcW w:w="1032" w:type="dxa"/>
                  <w:vAlign w:val="center"/>
                </w:tcPr>
                <w:p w14:paraId="4DC277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w:t>
                  </w:r>
                  <w:r>
                    <w:rPr>
                      <w:rFonts w:hint="eastAsia" w:cs="Times New Roman"/>
                      <w:color w:val="auto"/>
                      <w:highlight w:val="none"/>
                      <w:lang w:val="en-US" w:eastAsia="zh-CN"/>
                    </w:rPr>
                    <w:t>.0</w:t>
                  </w:r>
                </w:p>
              </w:tc>
            </w:tr>
            <w:tr w14:paraId="14C2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36" w:type="dxa"/>
                  <w:vAlign w:val="center"/>
                </w:tcPr>
                <w:p w14:paraId="08EC4E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050" w:type="dxa"/>
                  <w:vAlign w:val="center"/>
                </w:tcPr>
                <w:p w14:paraId="2674DA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NOx</w:t>
                  </w:r>
                </w:p>
              </w:tc>
              <w:tc>
                <w:tcPr>
                  <w:tcW w:w="1154" w:type="dxa"/>
                  <w:vAlign w:val="center"/>
                </w:tcPr>
                <w:p w14:paraId="53817B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0.09</w:t>
                  </w:r>
                </w:p>
              </w:tc>
              <w:tc>
                <w:tcPr>
                  <w:tcW w:w="1031" w:type="dxa"/>
                  <w:vMerge w:val="continue"/>
                  <w:vAlign w:val="center"/>
                </w:tcPr>
                <w:p w14:paraId="7A78E9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31" w:type="dxa"/>
                  <w:vAlign w:val="center"/>
                </w:tcPr>
                <w:p w14:paraId="7D5C50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w:t>
                  </w:r>
                </w:p>
              </w:tc>
              <w:tc>
                <w:tcPr>
                  <w:tcW w:w="1031" w:type="dxa"/>
                  <w:vAlign w:val="center"/>
                </w:tcPr>
                <w:p w14:paraId="5A9B15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0.09</w:t>
                  </w:r>
                </w:p>
              </w:tc>
              <w:tc>
                <w:tcPr>
                  <w:tcW w:w="1031" w:type="dxa"/>
                  <w:vAlign w:val="center"/>
                </w:tcPr>
                <w:p w14:paraId="6D0761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0.003</w:t>
                  </w:r>
                </w:p>
              </w:tc>
              <w:tc>
                <w:tcPr>
                  <w:tcW w:w="1032" w:type="dxa"/>
                  <w:vAlign w:val="center"/>
                </w:tcPr>
                <w:p w14:paraId="590D98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w:t>
                  </w:r>
                  <w:r>
                    <w:rPr>
                      <w:rFonts w:hint="eastAsia" w:cs="Times New Roman"/>
                      <w:color w:val="auto"/>
                      <w:highlight w:val="none"/>
                      <w:lang w:val="en-US" w:eastAsia="zh-CN"/>
                    </w:rPr>
                    <w:t>.0</w:t>
                  </w:r>
                </w:p>
              </w:tc>
            </w:tr>
            <w:tr w14:paraId="1CD7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36" w:type="dxa"/>
                  <w:vAlign w:val="center"/>
                </w:tcPr>
                <w:p w14:paraId="15682B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050" w:type="dxa"/>
                  <w:vAlign w:val="center"/>
                </w:tcPr>
                <w:p w14:paraId="4F1D86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硫酸雾</w:t>
                  </w:r>
                </w:p>
              </w:tc>
              <w:tc>
                <w:tcPr>
                  <w:tcW w:w="1154" w:type="dxa"/>
                  <w:vAlign w:val="center"/>
                </w:tcPr>
                <w:p w14:paraId="38532D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0.81</w:t>
                  </w:r>
                </w:p>
              </w:tc>
              <w:tc>
                <w:tcPr>
                  <w:tcW w:w="1031" w:type="dxa"/>
                  <w:vMerge w:val="continue"/>
                  <w:vAlign w:val="center"/>
                </w:tcPr>
                <w:p w14:paraId="3442DD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31" w:type="dxa"/>
                  <w:vAlign w:val="center"/>
                </w:tcPr>
                <w:p w14:paraId="10C899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w:t>
                  </w:r>
                </w:p>
              </w:tc>
              <w:tc>
                <w:tcPr>
                  <w:tcW w:w="1031" w:type="dxa"/>
                  <w:vAlign w:val="center"/>
                </w:tcPr>
                <w:p w14:paraId="6A57B2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0.81</w:t>
                  </w:r>
                </w:p>
              </w:tc>
              <w:tc>
                <w:tcPr>
                  <w:tcW w:w="1031" w:type="dxa"/>
                  <w:vAlign w:val="center"/>
                </w:tcPr>
                <w:p w14:paraId="31D02C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0.027</w:t>
                  </w:r>
                </w:p>
              </w:tc>
              <w:tc>
                <w:tcPr>
                  <w:tcW w:w="1032" w:type="dxa"/>
                  <w:vAlign w:val="center"/>
                </w:tcPr>
                <w:p w14:paraId="3DFF4A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27</w:t>
                  </w:r>
                  <w:r>
                    <w:rPr>
                      <w:rFonts w:hint="eastAsia" w:cs="Times New Roman"/>
                      <w:color w:val="auto"/>
                      <w:highlight w:val="none"/>
                      <w:lang w:val="en-US" w:eastAsia="zh-CN"/>
                    </w:rPr>
                    <w:t>.0</w:t>
                  </w:r>
                </w:p>
              </w:tc>
            </w:tr>
            <w:tr w14:paraId="29B5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636" w:type="dxa"/>
                  <w:vAlign w:val="center"/>
                </w:tcPr>
                <w:p w14:paraId="145521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050" w:type="dxa"/>
                  <w:vAlign w:val="center"/>
                </w:tcPr>
                <w:p w14:paraId="4D9B38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非甲烷总烃</w:t>
                  </w:r>
                </w:p>
              </w:tc>
              <w:tc>
                <w:tcPr>
                  <w:tcW w:w="1154" w:type="dxa"/>
                  <w:vAlign w:val="center"/>
                </w:tcPr>
                <w:p w14:paraId="69870B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0.3</w:t>
                  </w:r>
                  <w:r>
                    <w:rPr>
                      <w:rFonts w:hint="eastAsia" w:cs="Times New Roman"/>
                      <w:color w:val="auto"/>
                      <w:highlight w:val="none"/>
                      <w:lang w:val="en-US" w:eastAsia="zh-CN"/>
                    </w:rPr>
                    <w:t>17</w:t>
                  </w:r>
                </w:p>
              </w:tc>
              <w:tc>
                <w:tcPr>
                  <w:tcW w:w="1031" w:type="dxa"/>
                  <w:vMerge w:val="continue"/>
                  <w:vAlign w:val="center"/>
                </w:tcPr>
                <w:p w14:paraId="62BDB2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31" w:type="dxa"/>
                  <w:vAlign w:val="center"/>
                </w:tcPr>
                <w:p w14:paraId="4EA364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85</w:t>
                  </w:r>
                </w:p>
              </w:tc>
              <w:tc>
                <w:tcPr>
                  <w:tcW w:w="1031" w:type="dxa"/>
                  <w:vAlign w:val="center"/>
                </w:tcPr>
                <w:p w14:paraId="3B3986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w:t>
                  </w:r>
                  <w:r>
                    <w:rPr>
                      <w:rFonts w:hint="eastAsia" w:cs="Times New Roman"/>
                      <w:color w:val="auto"/>
                      <w:highlight w:val="none"/>
                      <w:lang w:val="en-US" w:eastAsia="zh-CN"/>
                    </w:rPr>
                    <w:t>48</w:t>
                  </w:r>
                </w:p>
              </w:tc>
              <w:tc>
                <w:tcPr>
                  <w:tcW w:w="1031" w:type="dxa"/>
                  <w:vAlign w:val="center"/>
                </w:tcPr>
                <w:p w14:paraId="7569F8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0.002</w:t>
                  </w:r>
                </w:p>
              </w:tc>
              <w:tc>
                <w:tcPr>
                  <w:tcW w:w="1032" w:type="dxa"/>
                  <w:vAlign w:val="center"/>
                </w:tcPr>
                <w:p w14:paraId="6122B8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r>
                    <w:rPr>
                      <w:rFonts w:hint="eastAsia" w:cs="Times New Roman"/>
                      <w:color w:val="auto"/>
                      <w:highlight w:val="none"/>
                      <w:lang w:val="en-US" w:eastAsia="zh-CN"/>
                    </w:rPr>
                    <w:t>.0</w:t>
                  </w:r>
                </w:p>
              </w:tc>
            </w:tr>
            <w:tr w14:paraId="3327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36" w:type="dxa"/>
                  <w:vAlign w:val="center"/>
                </w:tcPr>
                <w:p w14:paraId="3A6716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1050" w:type="dxa"/>
                  <w:vAlign w:val="center"/>
                </w:tcPr>
                <w:p w14:paraId="7656F1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NH₃</w:t>
                  </w:r>
                </w:p>
              </w:tc>
              <w:tc>
                <w:tcPr>
                  <w:tcW w:w="1154" w:type="dxa"/>
                  <w:vAlign w:val="center"/>
                </w:tcPr>
                <w:p w14:paraId="19170D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w:t>
                  </w:r>
                  <w:r>
                    <w:rPr>
                      <w:rFonts w:hint="eastAsia" w:ascii="Times New Roman" w:hAnsi="Times New Roman" w:cs="Times New Roman"/>
                      <w:color w:val="auto"/>
                      <w:highlight w:val="none"/>
                      <w:lang w:val="en-US" w:eastAsia="zh-CN"/>
                    </w:rPr>
                    <w:t>18</w:t>
                  </w:r>
                </w:p>
              </w:tc>
              <w:tc>
                <w:tcPr>
                  <w:tcW w:w="1031" w:type="dxa"/>
                  <w:vMerge w:val="continue"/>
                  <w:vAlign w:val="center"/>
                </w:tcPr>
                <w:p w14:paraId="4223EB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31" w:type="dxa"/>
                  <w:vAlign w:val="center"/>
                </w:tcPr>
                <w:p w14:paraId="4F2818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w:t>
                  </w:r>
                </w:p>
              </w:tc>
              <w:tc>
                <w:tcPr>
                  <w:tcW w:w="1031" w:type="dxa"/>
                  <w:vAlign w:val="center"/>
                </w:tcPr>
                <w:p w14:paraId="755934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0.018</w:t>
                  </w:r>
                </w:p>
              </w:tc>
              <w:tc>
                <w:tcPr>
                  <w:tcW w:w="1031" w:type="dxa"/>
                  <w:vAlign w:val="center"/>
                </w:tcPr>
                <w:p w14:paraId="32A743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w:t>
                  </w:r>
                  <w:r>
                    <w:rPr>
                      <w:rFonts w:hint="eastAsia" w:cs="Times New Roman"/>
                      <w:color w:val="auto"/>
                      <w:highlight w:val="none"/>
                      <w:lang w:val="en-US" w:eastAsia="zh-CN"/>
                    </w:rPr>
                    <w:t>1</w:t>
                  </w:r>
                </w:p>
              </w:tc>
              <w:tc>
                <w:tcPr>
                  <w:tcW w:w="1032" w:type="dxa"/>
                  <w:vAlign w:val="center"/>
                </w:tcPr>
                <w:p w14:paraId="44CC68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1.0</w:t>
                  </w:r>
                </w:p>
              </w:tc>
            </w:tr>
          </w:tbl>
          <w:p w14:paraId="24E6A8B5">
            <w:pPr>
              <w:bidi w:val="0"/>
              <w:ind w:left="0" w:leftChars="0" w:firstLine="0" w:firstLineChars="0"/>
              <w:jc w:val="center"/>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表4-6汇集后无组织废气最终排情况汇总一览表</w:t>
            </w:r>
          </w:p>
          <w:tbl>
            <w:tblPr>
              <w:tblStyle w:val="24"/>
              <w:tblW w:w="7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2441"/>
              <w:gridCol w:w="4255"/>
            </w:tblGrid>
            <w:tr w14:paraId="4AD6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vAlign w:val="center"/>
                </w:tcPr>
                <w:p w14:paraId="30A751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2441" w:type="dxa"/>
                  <w:vAlign w:val="center"/>
                </w:tcPr>
                <w:p w14:paraId="5A787B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4255" w:type="dxa"/>
                  <w:vAlign w:val="center"/>
                </w:tcPr>
                <w:p w14:paraId="26E7C5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无组织排放产量kg/a</w:t>
                  </w:r>
                </w:p>
              </w:tc>
            </w:tr>
            <w:tr w14:paraId="247A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63" w:type="dxa"/>
                  <w:vAlign w:val="center"/>
                </w:tcPr>
                <w:p w14:paraId="7F97EB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2441" w:type="dxa"/>
                  <w:vAlign w:val="center"/>
                </w:tcPr>
                <w:p w14:paraId="277283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HCl</w:t>
                  </w:r>
                </w:p>
              </w:tc>
              <w:tc>
                <w:tcPr>
                  <w:tcW w:w="4255" w:type="dxa"/>
                  <w:vAlign w:val="center"/>
                </w:tcPr>
                <w:p w14:paraId="4BD839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0.02</w:t>
                  </w:r>
                  <w:r>
                    <w:rPr>
                      <w:rFonts w:hint="eastAsia" w:ascii="Times New Roman" w:hAnsi="Times New Roman" w:cs="Times New Roman"/>
                      <w:color w:val="auto"/>
                      <w:highlight w:val="none"/>
                      <w:lang w:val="en-US" w:eastAsia="zh-CN"/>
                    </w:rPr>
                    <w:t>5</w:t>
                  </w:r>
                </w:p>
              </w:tc>
            </w:tr>
            <w:tr w14:paraId="03EA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63" w:type="dxa"/>
                  <w:vAlign w:val="center"/>
                </w:tcPr>
                <w:p w14:paraId="1BE647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2441" w:type="dxa"/>
                  <w:vAlign w:val="center"/>
                </w:tcPr>
                <w:p w14:paraId="5BA605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NOx</w:t>
                  </w:r>
                </w:p>
              </w:tc>
              <w:tc>
                <w:tcPr>
                  <w:tcW w:w="4255" w:type="dxa"/>
                  <w:vAlign w:val="center"/>
                </w:tcPr>
                <w:p w14:paraId="357CE5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0.01</w:t>
                  </w:r>
                </w:p>
              </w:tc>
            </w:tr>
            <w:tr w14:paraId="57D7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063" w:type="dxa"/>
                  <w:vAlign w:val="center"/>
                </w:tcPr>
                <w:p w14:paraId="066873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2441" w:type="dxa"/>
                  <w:vAlign w:val="center"/>
                </w:tcPr>
                <w:p w14:paraId="2ED6E4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硫酸雾</w:t>
                  </w:r>
                </w:p>
              </w:tc>
              <w:tc>
                <w:tcPr>
                  <w:tcW w:w="4255" w:type="dxa"/>
                  <w:vAlign w:val="center"/>
                </w:tcPr>
                <w:p w14:paraId="3920B9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0.09</w:t>
                  </w:r>
                </w:p>
              </w:tc>
            </w:tr>
            <w:tr w14:paraId="2276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63" w:type="dxa"/>
                  <w:vAlign w:val="center"/>
                </w:tcPr>
                <w:p w14:paraId="723BAC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2441" w:type="dxa"/>
                  <w:vAlign w:val="center"/>
                </w:tcPr>
                <w:p w14:paraId="0C1A16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非甲烷总烃</w:t>
                  </w:r>
                </w:p>
              </w:tc>
              <w:tc>
                <w:tcPr>
                  <w:tcW w:w="4255" w:type="dxa"/>
                  <w:vAlign w:val="center"/>
                </w:tcPr>
                <w:p w14:paraId="7B1A83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0.03</w:t>
                  </w:r>
                  <w:r>
                    <w:rPr>
                      <w:rFonts w:hint="eastAsia" w:ascii="Times New Roman" w:hAnsi="Times New Roman" w:cs="Times New Roman"/>
                      <w:color w:val="auto"/>
                      <w:highlight w:val="none"/>
                      <w:lang w:val="en-US" w:eastAsia="zh-CN"/>
                    </w:rPr>
                    <w:t>3</w:t>
                  </w:r>
                </w:p>
              </w:tc>
            </w:tr>
            <w:tr w14:paraId="4185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063" w:type="dxa"/>
                  <w:vAlign w:val="center"/>
                </w:tcPr>
                <w:p w14:paraId="3A179F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441" w:type="dxa"/>
                  <w:vAlign w:val="center"/>
                </w:tcPr>
                <w:p w14:paraId="75EE23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NH₃</w:t>
                  </w:r>
                </w:p>
              </w:tc>
              <w:tc>
                <w:tcPr>
                  <w:tcW w:w="4255" w:type="dxa"/>
                  <w:vAlign w:val="center"/>
                </w:tcPr>
                <w:p w14:paraId="31A0E2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w:t>
                  </w:r>
                  <w:r>
                    <w:rPr>
                      <w:rFonts w:hint="eastAsia" w:cs="Times New Roman"/>
                      <w:color w:val="auto"/>
                      <w:highlight w:val="none"/>
                      <w:lang w:val="en-US" w:eastAsia="zh-CN"/>
                    </w:rPr>
                    <w:t>2</w:t>
                  </w:r>
                </w:p>
              </w:tc>
            </w:tr>
          </w:tbl>
          <w:p w14:paraId="56989DF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经计算，本项目化学、生物实验室产生的有组织废气</w:t>
            </w:r>
            <w:r>
              <w:rPr>
                <w:rFonts w:hint="eastAsia" w:ascii="Times New Roman" w:hAnsi="Times New Roman" w:cs="Times New Roman"/>
                <w:color w:val="auto"/>
                <w:highlight w:val="none"/>
                <w:lang w:val="en-US" w:eastAsia="zh-CN"/>
              </w:rPr>
              <w:t>汇集后经活性炭吸附装置处理后（TA001）</w:t>
            </w:r>
            <w:r>
              <w:rPr>
                <w:rFonts w:hint="eastAsia" w:cs="Times New Roman"/>
                <w:color w:val="auto"/>
                <w:highlight w:val="none"/>
                <w:lang w:val="en-US" w:eastAsia="zh-CN"/>
              </w:rPr>
              <w:t>由1根20m高排气筒</w:t>
            </w:r>
            <w:r>
              <w:rPr>
                <w:rFonts w:hint="default" w:ascii="Times New Roman" w:hAnsi="Times New Roman" w:cs="Times New Roman"/>
                <w:color w:val="auto"/>
                <w:highlight w:val="none"/>
                <w:lang w:val="en-US" w:eastAsia="zh-CN"/>
              </w:rPr>
              <w:t>排放</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非甲烷总烃、HCl、NOx、硫酸雾、氨气排放速率及排放浓度均满足《大气污染物综合排放标准》（GB16297-1996）表2新污染源大气污染物排放限值二级排放标准。</w:t>
            </w:r>
          </w:p>
          <w:p w14:paraId="4AB1771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无组织废气HCl无组织排放量</w:t>
            </w:r>
            <w:r>
              <w:rPr>
                <w:rFonts w:hint="eastAsia" w:ascii="Times New Roman" w:hAnsi="Times New Roman" w:cs="Times New Roman"/>
                <w:color w:val="auto"/>
                <w:highlight w:val="none"/>
                <w:lang w:val="en-US" w:eastAsia="zh-CN"/>
              </w:rPr>
              <w:t>共计</w:t>
            </w:r>
            <w:r>
              <w:rPr>
                <w:rFonts w:hint="default" w:ascii="Times New Roman" w:hAnsi="Times New Roman" w:cs="Times New Roman"/>
                <w:color w:val="auto"/>
                <w:highlight w:val="none"/>
                <w:lang w:val="en-US" w:eastAsia="zh-CN"/>
              </w:rPr>
              <w:t>为0.</w:t>
            </w:r>
            <w:r>
              <w:rPr>
                <w:rFonts w:hint="eastAsia" w:ascii="Times New Roman" w:hAnsi="Times New Roman" w:cs="Times New Roman"/>
                <w:color w:val="auto"/>
                <w:highlight w:val="none"/>
                <w:lang w:val="en-US" w:eastAsia="zh-CN"/>
              </w:rPr>
              <w:t>025</w:t>
            </w:r>
            <w:r>
              <w:rPr>
                <w:rFonts w:hint="default" w:ascii="Times New Roman" w:hAnsi="Times New Roman" w:cs="Times New Roman"/>
                <w:color w:val="auto"/>
                <w:highlight w:val="none"/>
                <w:lang w:val="en-US" w:eastAsia="zh-CN"/>
              </w:rPr>
              <w:t>kg/a</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NOx无组织排放量</w:t>
            </w:r>
            <w:r>
              <w:rPr>
                <w:rFonts w:hint="eastAsia" w:ascii="Times New Roman" w:hAnsi="Times New Roman" w:cs="Times New Roman"/>
                <w:color w:val="auto"/>
                <w:highlight w:val="none"/>
                <w:lang w:val="en-US" w:eastAsia="zh-CN"/>
              </w:rPr>
              <w:t>共计</w:t>
            </w:r>
            <w:r>
              <w:rPr>
                <w:rFonts w:hint="default" w:ascii="Times New Roman" w:hAnsi="Times New Roman" w:cs="Times New Roman"/>
                <w:color w:val="auto"/>
                <w:highlight w:val="none"/>
                <w:lang w:val="en-US" w:eastAsia="zh-CN"/>
              </w:rPr>
              <w:t>为0.01kg/a</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硫酸雾无组织排放量</w:t>
            </w:r>
            <w:r>
              <w:rPr>
                <w:rFonts w:hint="eastAsia" w:ascii="Times New Roman" w:hAnsi="Times New Roman" w:cs="Times New Roman"/>
                <w:color w:val="auto"/>
                <w:highlight w:val="none"/>
                <w:lang w:val="en-US" w:eastAsia="zh-CN"/>
              </w:rPr>
              <w:t>共计</w:t>
            </w:r>
            <w:r>
              <w:rPr>
                <w:rFonts w:hint="default" w:ascii="Times New Roman" w:hAnsi="Times New Roman" w:cs="Times New Roman"/>
                <w:color w:val="auto"/>
                <w:highlight w:val="none"/>
                <w:lang w:val="en-US" w:eastAsia="zh-CN"/>
              </w:rPr>
              <w:t>为0.09kg/a</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非甲烷总烃无组织排放量</w:t>
            </w:r>
            <w:r>
              <w:rPr>
                <w:rFonts w:hint="eastAsia" w:ascii="Times New Roman" w:hAnsi="Times New Roman" w:cs="Times New Roman"/>
                <w:color w:val="auto"/>
                <w:highlight w:val="none"/>
                <w:lang w:val="en-US" w:eastAsia="zh-CN"/>
              </w:rPr>
              <w:t>共计</w:t>
            </w:r>
            <w:r>
              <w:rPr>
                <w:rFonts w:hint="default" w:ascii="Times New Roman" w:hAnsi="Times New Roman" w:cs="Times New Roman"/>
                <w:color w:val="auto"/>
                <w:highlight w:val="none"/>
                <w:lang w:val="en-US" w:eastAsia="zh-CN"/>
              </w:rPr>
              <w:t>为0.0</w:t>
            </w:r>
            <w:r>
              <w:rPr>
                <w:rFonts w:hint="eastAsia" w:ascii="Times New Roman" w:hAnsi="Times New Roman" w:cs="Times New Roman"/>
                <w:color w:val="auto"/>
                <w:highlight w:val="none"/>
                <w:lang w:val="en-US" w:eastAsia="zh-CN"/>
              </w:rPr>
              <w:t>33</w:t>
            </w:r>
            <w:r>
              <w:rPr>
                <w:rFonts w:hint="default" w:ascii="Times New Roman" w:hAnsi="Times New Roman" w:cs="Times New Roman"/>
                <w:color w:val="auto"/>
                <w:highlight w:val="none"/>
                <w:lang w:val="en-US" w:eastAsia="zh-CN"/>
              </w:rPr>
              <w:t>kg/a、氨气无组织排放量</w:t>
            </w:r>
            <w:r>
              <w:rPr>
                <w:rFonts w:hint="eastAsia" w:ascii="Times New Roman" w:hAnsi="Times New Roman" w:cs="Times New Roman"/>
                <w:color w:val="auto"/>
                <w:highlight w:val="none"/>
                <w:lang w:val="en-US" w:eastAsia="zh-CN"/>
              </w:rPr>
              <w:t>共计</w:t>
            </w:r>
            <w:r>
              <w:rPr>
                <w:rFonts w:hint="default" w:ascii="Times New Roman" w:hAnsi="Times New Roman" w:cs="Times New Roman"/>
                <w:color w:val="auto"/>
                <w:highlight w:val="none"/>
                <w:lang w:val="en-US" w:eastAsia="zh-CN"/>
              </w:rPr>
              <w:t>为0.0</w:t>
            </w:r>
            <w:r>
              <w:rPr>
                <w:rFonts w:hint="eastAsia" w:ascii="Times New Roman" w:hAnsi="Times New Roman" w:cs="Times New Roman"/>
                <w:color w:val="auto"/>
                <w:highlight w:val="none"/>
                <w:lang w:val="en-US" w:eastAsia="zh-CN"/>
              </w:rPr>
              <w:t>02</w:t>
            </w:r>
            <w:r>
              <w:rPr>
                <w:rFonts w:hint="default" w:ascii="Times New Roman" w:hAnsi="Times New Roman" w:cs="Times New Roman"/>
                <w:color w:val="auto"/>
                <w:highlight w:val="none"/>
                <w:lang w:val="en-US" w:eastAsia="zh-CN"/>
              </w:rPr>
              <w:t>kg/a</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废气排放量较小对周围环境影响较小。</w:t>
            </w:r>
          </w:p>
          <w:p w14:paraId="6F89F2EC">
            <w:pPr>
              <w:keepNext w:val="0"/>
              <w:keepLines w:val="0"/>
              <w:pageBreakBefore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2.排气筒高度设置合理性分析</w:t>
            </w:r>
          </w:p>
          <w:p w14:paraId="75CA71F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产生的有机废气和无机废气经通风橱收集+活性炭吸附处置，最终引至楼顶排气筒排放，排气筒高度为20m。根据《大气污染物综合排放标准》（GB16297-1996）规定：排气筒高度一般不低于15m，还应高出周围200m半径范围的建筑物5m以上，不能达到该要求的排气筒，应按其高度对应的列表排放速率标准值严格50%执行。根据现场调查，本项目排气筒</w:t>
            </w:r>
            <w:r>
              <w:rPr>
                <w:rFonts w:hint="eastAsia" w:cs="Times New Roman"/>
                <w:color w:val="auto"/>
                <w:highlight w:val="none"/>
                <w:lang w:val="en-US" w:eastAsia="zh-CN"/>
              </w:rPr>
              <w:t>未高出周边建筑物5m以上，则本项目排放速率严格按照其高度对应列表排放速率的50%执行</w:t>
            </w:r>
            <w:r>
              <w:rPr>
                <w:rFonts w:hint="default" w:ascii="Times New Roman" w:hAnsi="Times New Roman" w:cs="Times New Roman"/>
                <w:color w:val="auto"/>
                <w:highlight w:val="none"/>
                <w:lang w:val="en-US" w:eastAsia="zh-CN"/>
              </w:rPr>
              <w:t>。</w:t>
            </w:r>
          </w:p>
          <w:p w14:paraId="0C85F297">
            <w:pPr>
              <w:keepNext w:val="0"/>
              <w:keepLines w:val="0"/>
              <w:pageBreakBefore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b/>
                <w:bCs w:val="0"/>
                <w:color w:val="auto"/>
                <w:spacing w:val="-10"/>
                <w:sz w:val="24"/>
                <w:szCs w:val="24"/>
                <w:highlight w:val="none"/>
                <w:lang w:val="en-US" w:eastAsia="zh-CN"/>
              </w:rPr>
            </w:pPr>
          </w:p>
          <w:p w14:paraId="5FFAE3D7">
            <w:pPr>
              <w:keepNext w:val="0"/>
              <w:keepLines w:val="0"/>
              <w:pageBreakBefore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cs="Times New Roman"/>
                <w:b/>
                <w:bCs w:val="0"/>
                <w:color w:val="auto"/>
                <w:spacing w:val="-10"/>
                <w:sz w:val="24"/>
                <w:szCs w:val="24"/>
                <w:highlight w:val="none"/>
                <w:vertAlign w:val="baseline"/>
                <w:lang w:val="en-US" w:eastAsia="zh-CN"/>
              </w:rPr>
            </w:pPr>
            <w:r>
              <w:rPr>
                <w:rFonts w:hint="default" w:ascii="Times New Roman" w:hAnsi="Times New Roman" w:cs="Times New Roman"/>
                <w:b/>
                <w:bCs w:val="0"/>
                <w:color w:val="auto"/>
                <w:spacing w:val="-10"/>
                <w:sz w:val="24"/>
                <w:szCs w:val="24"/>
                <w:highlight w:val="none"/>
                <w:lang w:val="en-US" w:eastAsia="zh-CN"/>
              </w:rPr>
              <w:t>表4-</w:t>
            </w:r>
            <w:r>
              <w:rPr>
                <w:rFonts w:hint="eastAsia" w:cs="Times New Roman"/>
                <w:b/>
                <w:bCs w:val="0"/>
                <w:color w:val="auto"/>
                <w:spacing w:val="-10"/>
                <w:sz w:val="24"/>
                <w:szCs w:val="24"/>
                <w:highlight w:val="none"/>
                <w:lang w:val="en-US" w:eastAsia="zh-CN"/>
              </w:rPr>
              <w:t>7</w:t>
            </w:r>
            <w:r>
              <w:rPr>
                <w:rFonts w:hint="default" w:ascii="Times New Roman" w:hAnsi="Times New Roman" w:cs="Times New Roman"/>
                <w:b/>
                <w:bCs w:val="0"/>
                <w:color w:val="auto"/>
                <w:spacing w:val="-10"/>
                <w:sz w:val="24"/>
                <w:szCs w:val="24"/>
                <w:highlight w:val="none"/>
                <w:lang w:val="en-US" w:eastAsia="zh-CN"/>
              </w:rPr>
              <w:t>排气筒设置情况</w:t>
            </w:r>
          </w:p>
          <w:tbl>
            <w:tblPr>
              <w:tblStyle w:val="24"/>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1241"/>
              <w:gridCol w:w="1175"/>
              <w:gridCol w:w="989"/>
              <w:gridCol w:w="1324"/>
              <w:gridCol w:w="946"/>
              <w:gridCol w:w="1136"/>
            </w:tblGrid>
            <w:tr w14:paraId="16BD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135" w:type="dxa"/>
                  <w:vAlign w:val="center"/>
                </w:tcPr>
                <w:p w14:paraId="3BD391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排放口编号</w:t>
                  </w:r>
                </w:p>
              </w:tc>
              <w:tc>
                <w:tcPr>
                  <w:tcW w:w="1241" w:type="dxa"/>
                  <w:vAlign w:val="center"/>
                </w:tcPr>
                <w:p w14:paraId="7D4D22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地理坐标</w:t>
                  </w:r>
                </w:p>
              </w:tc>
              <w:tc>
                <w:tcPr>
                  <w:tcW w:w="1175" w:type="dxa"/>
                  <w:vAlign w:val="center"/>
                </w:tcPr>
                <w:p w14:paraId="07C56E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类型</w:t>
                  </w:r>
                </w:p>
              </w:tc>
              <w:tc>
                <w:tcPr>
                  <w:tcW w:w="989" w:type="dxa"/>
                  <w:vAlign w:val="center"/>
                </w:tcPr>
                <w:p w14:paraId="1A1986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排气筒高度</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w:t>
                  </w:r>
                </w:p>
              </w:tc>
              <w:tc>
                <w:tcPr>
                  <w:tcW w:w="1324" w:type="dxa"/>
                  <w:vAlign w:val="center"/>
                </w:tcPr>
                <w:p w14:paraId="5AB82F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排气筒出口直径</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m</w:t>
                  </w:r>
                  <w:r>
                    <w:rPr>
                      <w:rFonts w:hint="eastAsia" w:cs="Times New Roman"/>
                      <w:color w:val="auto"/>
                      <w:highlight w:val="none"/>
                      <w:lang w:val="en-US" w:eastAsia="zh-CN"/>
                    </w:rPr>
                    <w:t>）</w:t>
                  </w:r>
                </w:p>
              </w:tc>
              <w:tc>
                <w:tcPr>
                  <w:tcW w:w="946" w:type="dxa"/>
                  <w:vAlign w:val="center"/>
                </w:tcPr>
                <w:p w14:paraId="64BF9B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温度</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w:t>
                  </w:r>
                </w:p>
              </w:tc>
              <w:tc>
                <w:tcPr>
                  <w:tcW w:w="1136" w:type="dxa"/>
                  <w:vAlign w:val="center"/>
                </w:tcPr>
                <w:p w14:paraId="1D1340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风速</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m/s</w:t>
                  </w:r>
                  <w:r>
                    <w:rPr>
                      <w:rFonts w:hint="eastAsia" w:cs="Times New Roman"/>
                      <w:color w:val="auto"/>
                      <w:highlight w:val="none"/>
                      <w:lang w:val="en-US" w:eastAsia="zh-CN"/>
                    </w:rPr>
                    <w:t>）</w:t>
                  </w:r>
                </w:p>
              </w:tc>
            </w:tr>
            <w:tr w14:paraId="18A8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vAlign w:val="center"/>
                </w:tcPr>
                <w:p w14:paraId="00F48D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DA001</w:t>
                  </w:r>
                </w:p>
              </w:tc>
              <w:tc>
                <w:tcPr>
                  <w:tcW w:w="1241" w:type="dxa"/>
                  <w:vAlign w:val="center"/>
                </w:tcPr>
                <w:p w14:paraId="133FF6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110.023°</w:t>
                  </w:r>
                </w:p>
              </w:tc>
              <w:tc>
                <w:tcPr>
                  <w:tcW w:w="1175" w:type="dxa"/>
                  <w:vAlign w:val="center"/>
                </w:tcPr>
                <w:p w14:paraId="729B77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39.804°</w:t>
                  </w:r>
                </w:p>
              </w:tc>
              <w:tc>
                <w:tcPr>
                  <w:tcW w:w="989" w:type="dxa"/>
                  <w:vAlign w:val="center"/>
                </w:tcPr>
                <w:p w14:paraId="2FD322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1324" w:type="dxa"/>
                  <w:vAlign w:val="center"/>
                </w:tcPr>
                <w:p w14:paraId="7F4092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946" w:type="dxa"/>
                  <w:vAlign w:val="center"/>
                </w:tcPr>
                <w:p w14:paraId="6A070A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1136" w:type="dxa"/>
                  <w:vAlign w:val="center"/>
                </w:tcPr>
                <w:p w14:paraId="642406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r>
          </w:tbl>
          <w:p w14:paraId="6DBC2307">
            <w:pPr>
              <w:bidi w:val="0"/>
              <w:rPr>
                <w:rFonts w:hint="default"/>
                <w:b/>
                <w:bCs/>
                <w:color w:val="auto"/>
                <w:highlight w:val="none"/>
                <w:lang w:val="en-US" w:eastAsia="zh-CN"/>
              </w:rPr>
            </w:pPr>
            <w:r>
              <w:rPr>
                <w:rFonts w:hint="default"/>
                <w:b/>
                <w:bCs/>
                <w:color w:val="auto"/>
                <w:highlight w:val="none"/>
                <w:lang w:val="en-US" w:eastAsia="zh-CN"/>
              </w:rPr>
              <w:t>3.运营期废气监测计划</w:t>
            </w:r>
          </w:p>
          <w:p w14:paraId="03996CC5">
            <w:pPr>
              <w:bidi w:val="0"/>
              <w:rPr>
                <w:rFonts w:hint="default"/>
                <w:color w:val="auto"/>
                <w:highlight w:val="none"/>
                <w:lang w:val="en-US" w:eastAsia="zh-CN"/>
              </w:rPr>
            </w:pPr>
            <w:r>
              <w:rPr>
                <w:rFonts w:hint="default"/>
                <w:color w:val="auto"/>
                <w:highlight w:val="none"/>
                <w:lang w:val="en-US" w:eastAsia="zh-CN"/>
              </w:rPr>
              <w:t>根据《排污单位自行监测技术指南总则》（HJ819-2017）、《排污许可证申请与核发技术规范总则》（HJ942-2018）的相关规定，本项目运营期废气监测计划见表4-8。</w:t>
            </w:r>
          </w:p>
          <w:p w14:paraId="74046BBA">
            <w:pPr>
              <w:keepNext w:val="0"/>
              <w:keepLines w:val="0"/>
              <w:pageBreakBefore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b/>
                <w:bCs w:val="0"/>
                <w:color w:val="auto"/>
                <w:spacing w:val="-10"/>
                <w:sz w:val="24"/>
                <w:szCs w:val="24"/>
                <w:highlight w:val="none"/>
                <w:vertAlign w:val="baseline"/>
                <w:lang w:val="en-US" w:eastAsia="zh-CN"/>
              </w:rPr>
            </w:pPr>
            <w:r>
              <w:rPr>
                <w:rFonts w:hint="default" w:ascii="Times New Roman" w:hAnsi="Times New Roman" w:cs="Times New Roman"/>
                <w:b/>
                <w:bCs w:val="0"/>
                <w:color w:val="auto"/>
                <w:spacing w:val="-10"/>
                <w:sz w:val="24"/>
                <w:szCs w:val="24"/>
                <w:highlight w:val="none"/>
                <w:lang w:val="en-US" w:eastAsia="zh-CN"/>
              </w:rPr>
              <w:t>表4-</w:t>
            </w:r>
            <w:r>
              <w:rPr>
                <w:rFonts w:hint="eastAsia" w:cs="Times New Roman"/>
                <w:b/>
                <w:bCs w:val="0"/>
                <w:color w:val="auto"/>
                <w:spacing w:val="-10"/>
                <w:sz w:val="24"/>
                <w:szCs w:val="24"/>
                <w:highlight w:val="none"/>
                <w:lang w:val="en-US" w:eastAsia="zh-CN"/>
              </w:rPr>
              <w:t>8</w:t>
            </w:r>
            <w:r>
              <w:rPr>
                <w:rFonts w:hint="default" w:ascii="Times New Roman" w:hAnsi="Times New Roman" w:cs="Times New Roman"/>
                <w:b/>
                <w:bCs w:val="0"/>
                <w:color w:val="auto"/>
                <w:spacing w:val="-10"/>
                <w:sz w:val="24"/>
                <w:szCs w:val="24"/>
                <w:highlight w:val="none"/>
                <w:lang w:val="en-US" w:eastAsia="zh-CN"/>
              </w:rPr>
              <w:t>废气监测计划</w:t>
            </w:r>
          </w:p>
          <w:tbl>
            <w:tblPr>
              <w:tblStyle w:val="24"/>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946"/>
              <w:gridCol w:w="1887"/>
              <w:gridCol w:w="800"/>
              <w:gridCol w:w="3533"/>
            </w:tblGrid>
            <w:tr w14:paraId="0E83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768E22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监测项目</w:t>
                  </w:r>
                </w:p>
              </w:tc>
              <w:tc>
                <w:tcPr>
                  <w:tcW w:w="946" w:type="dxa"/>
                  <w:noWrap w:val="0"/>
                  <w:vAlign w:val="center"/>
                </w:tcPr>
                <w:p w14:paraId="090587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监测位置</w:t>
                  </w:r>
                </w:p>
              </w:tc>
              <w:tc>
                <w:tcPr>
                  <w:tcW w:w="1887" w:type="dxa"/>
                  <w:noWrap w:val="0"/>
                  <w:vAlign w:val="center"/>
                </w:tcPr>
                <w:p w14:paraId="16DAEF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监测内容</w:t>
                  </w:r>
                </w:p>
              </w:tc>
              <w:tc>
                <w:tcPr>
                  <w:tcW w:w="800" w:type="dxa"/>
                  <w:noWrap w:val="0"/>
                  <w:vAlign w:val="center"/>
                </w:tcPr>
                <w:p w14:paraId="06CC7C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监测频次</w:t>
                  </w:r>
                </w:p>
              </w:tc>
              <w:tc>
                <w:tcPr>
                  <w:tcW w:w="3533" w:type="dxa"/>
                  <w:noWrap w:val="0"/>
                  <w:vAlign w:val="center"/>
                </w:tcPr>
                <w:p w14:paraId="3E4FB5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执行标准</w:t>
                  </w:r>
                </w:p>
              </w:tc>
            </w:tr>
            <w:tr w14:paraId="5794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780" w:type="dxa"/>
                  <w:vMerge w:val="restart"/>
                  <w:noWrap w:val="0"/>
                  <w:vAlign w:val="center"/>
                </w:tcPr>
                <w:p w14:paraId="6A5362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废气</w:t>
                  </w:r>
                </w:p>
              </w:tc>
              <w:tc>
                <w:tcPr>
                  <w:tcW w:w="946" w:type="dxa"/>
                  <w:vMerge w:val="restart"/>
                  <w:noWrap w:val="0"/>
                  <w:vAlign w:val="center"/>
                </w:tcPr>
                <w:p w14:paraId="7536FE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DA001</w:t>
                  </w:r>
                </w:p>
              </w:tc>
              <w:tc>
                <w:tcPr>
                  <w:tcW w:w="1887" w:type="dxa"/>
                  <w:noWrap w:val="0"/>
                  <w:vAlign w:val="center"/>
                </w:tcPr>
                <w:p w14:paraId="088D1F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highlight w:val="none"/>
                      <w:lang w:val="en-US"/>
                    </w:rPr>
                  </w:pPr>
                  <w:r>
                    <w:rPr>
                      <w:rFonts w:hint="default" w:ascii="Times New Roman" w:hAnsi="Times New Roman" w:cs="Times New Roman"/>
                      <w:bCs/>
                      <w:color w:val="auto"/>
                      <w:spacing w:val="-10"/>
                      <w:sz w:val="24"/>
                      <w:szCs w:val="24"/>
                      <w:highlight w:val="none"/>
                      <w:vertAlign w:val="baseline"/>
                      <w:lang w:val="en-US" w:eastAsia="zh-CN"/>
                    </w:rPr>
                    <w:t>非甲烷总烃、</w:t>
                  </w:r>
                  <w:r>
                    <w:rPr>
                      <w:rFonts w:hint="default" w:ascii="Times New Roman" w:hAnsi="Times New Roman" w:cs="Times New Roman"/>
                      <w:color w:val="auto"/>
                      <w:highlight w:val="none"/>
                      <w:lang w:val="en-US" w:eastAsia="zh-CN"/>
                    </w:rPr>
                    <w:t>硫酸雾、HCl、NOx</w:t>
                  </w:r>
                </w:p>
              </w:tc>
              <w:tc>
                <w:tcPr>
                  <w:tcW w:w="800" w:type="dxa"/>
                  <w:vMerge w:val="restart"/>
                  <w:noWrap w:val="0"/>
                  <w:vAlign w:val="center"/>
                </w:tcPr>
                <w:p w14:paraId="25D97C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1次/年</w:t>
                  </w:r>
                </w:p>
              </w:tc>
              <w:tc>
                <w:tcPr>
                  <w:tcW w:w="3533" w:type="dxa"/>
                  <w:noWrap w:val="0"/>
                  <w:vAlign w:val="center"/>
                </w:tcPr>
                <w:p w14:paraId="5EAEBE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eastAsia="宋体" w:cs="Times New Roman"/>
                      <w:bCs/>
                      <w:color w:val="auto"/>
                      <w:spacing w:val="-10"/>
                      <w:sz w:val="24"/>
                      <w:szCs w:val="24"/>
                      <w:highlight w:val="none"/>
                      <w:vertAlign w:val="baseline"/>
                      <w:lang w:val="en-US" w:eastAsia="zh-CN"/>
                    </w:rPr>
                    <w:t>《大气污染物综合排放标准》（GB16297-1996）表2新污染源大气污染物排放限值二级排放标准</w:t>
                  </w:r>
                </w:p>
              </w:tc>
            </w:tr>
            <w:tr w14:paraId="0AC6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780" w:type="dxa"/>
                  <w:vMerge w:val="continue"/>
                  <w:noWrap w:val="0"/>
                  <w:vAlign w:val="center"/>
                </w:tcPr>
                <w:p w14:paraId="068C94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color w:val="auto"/>
                      <w:spacing w:val="-10"/>
                      <w:sz w:val="24"/>
                      <w:szCs w:val="24"/>
                      <w:highlight w:val="none"/>
                      <w:vertAlign w:val="baseline"/>
                      <w:lang w:val="en-US" w:eastAsia="zh-CN"/>
                    </w:rPr>
                  </w:pPr>
                </w:p>
              </w:tc>
              <w:tc>
                <w:tcPr>
                  <w:tcW w:w="946" w:type="dxa"/>
                  <w:vMerge w:val="continue"/>
                  <w:noWrap w:val="0"/>
                  <w:vAlign w:val="center"/>
                </w:tcPr>
                <w:p w14:paraId="47590C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color w:val="auto"/>
                      <w:spacing w:val="-10"/>
                      <w:sz w:val="24"/>
                      <w:szCs w:val="24"/>
                      <w:highlight w:val="none"/>
                      <w:vertAlign w:val="baseline"/>
                      <w:lang w:val="en-US" w:eastAsia="zh-CN"/>
                    </w:rPr>
                  </w:pPr>
                </w:p>
              </w:tc>
              <w:tc>
                <w:tcPr>
                  <w:tcW w:w="1887" w:type="dxa"/>
                  <w:noWrap w:val="0"/>
                  <w:vAlign w:val="center"/>
                </w:tcPr>
                <w:p w14:paraId="1EC432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color w:val="auto"/>
                      <w:spacing w:val="-10"/>
                      <w:sz w:val="24"/>
                      <w:szCs w:val="24"/>
                      <w:highlight w:val="none"/>
                      <w:vertAlign w:val="baseline"/>
                      <w:lang w:val="en-US" w:eastAsia="zh-CN"/>
                    </w:rPr>
                  </w:pPr>
                  <w:r>
                    <w:rPr>
                      <w:rFonts w:hint="eastAsia" w:ascii="Times New Roman" w:hAnsi="Times New Roman" w:cs="Times New Roman"/>
                      <w:bCs/>
                      <w:color w:val="auto"/>
                      <w:spacing w:val="-10"/>
                      <w:sz w:val="24"/>
                      <w:szCs w:val="24"/>
                      <w:highlight w:val="none"/>
                      <w:vertAlign w:val="baseline"/>
                      <w:lang w:val="en-US" w:eastAsia="zh-CN"/>
                    </w:rPr>
                    <w:t>臭气浓度</w:t>
                  </w:r>
                  <w:r>
                    <w:rPr>
                      <w:rFonts w:hint="default" w:ascii="Times New Roman" w:hAnsi="Times New Roman" w:cs="Times New Roman"/>
                      <w:color w:val="auto"/>
                      <w:highlight w:val="none"/>
                      <w:lang w:val="en-US" w:eastAsia="zh-CN"/>
                    </w:rPr>
                    <w:t>、氨气</w:t>
                  </w:r>
                </w:p>
              </w:tc>
              <w:tc>
                <w:tcPr>
                  <w:tcW w:w="800" w:type="dxa"/>
                  <w:vMerge w:val="continue"/>
                  <w:noWrap w:val="0"/>
                  <w:vAlign w:val="center"/>
                </w:tcPr>
                <w:p w14:paraId="6242E1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color w:val="auto"/>
                      <w:spacing w:val="-10"/>
                      <w:sz w:val="24"/>
                      <w:szCs w:val="24"/>
                      <w:highlight w:val="none"/>
                      <w:vertAlign w:val="baseline"/>
                      <w:lang w:val="en-US" w:eastAsia="zh-CN"/>
                    </w:rPr>
                  </w:pPr>
                </w:p>
              </w:tc>
              <w:tc>
                <w:tcPr>
                  <w:tcW w:w="3533" w:type="dxa"/>
                  <w:noWrap w:val="0"/>
                  <w:vAlign w:val="center"/>
                </w:tcPr>
                <w:p w14:paraId="224201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eastAsia="宋体" w:cs="Times New Roman"/>
                      <w:bCs/>
                      <w:color w:val="auto"/>
                      <w:spacing w:val="-10"/>
                      <w:sz w:val="24"/>
                      <w:szCs w:val="24"/>
                      <w:highlight w:val="none"/>
                      <w:vertAlign w:val="baseline"/>
                      <w:lang w:val="en-US" w:eastAsia="zh-CN"/>
                    </w:rPr>
                    <w:t>《恶臭污染物排放标准》（GB14554-93）表2恶臭污染物排放标准限值要求</w:t>
                  </w:r>
                </w:p>
              </w:tc>
            </w:tr>
            <w:tr w14:paraId="134F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0" w:type="dxa"/>
                  <w:vMerge w:val="continue"/>
                  <w:noWrap w:val="0"/>
                  <w:vAlign w:val="center"/>
                </w:tcPr>
                <w:p w14:paraId="150799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p>
              </w:tc>
              <w:tc>
                <w:tcPr>
                  <w:tcW w:w="946" w:type="dxa"/>
                  <w:vMerge w:val="restart"/>
                  <w:noWrap w:val="0"/>
                  <w:vAlign w:val="center"/>
                </w:tcPr>
                <w:p w14:paraId="499C4A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厂界</w:t>
                  </w:r>
                </w:p>
              </w:tc>
              <w:tc>
                <w:tcPr>
                  <w:tcW w:w="1887" w:type="dxa"/>
                  <w:noWrap w:val="0"/>
                  <w:vAlign w:val="center"/>
                </w:tcPr>
                <w:p w14:paraId="2DE279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非甲烷总烃、</w:t>
                  </w:r>
                  <w:r>
                    <w:rPr>
                      <w:rFonts w:hint="default" w:ascii="Times New Roman" w:hAnsi="Times New Roman" w:cs="Times New Roman"/>
                      <w:color w:val="auto"/>
                      <w:highlight w:val="none"/>
                      <w:lang w:val="en-US" w:eastAsia="zh-CN"/>
                    </w:rPr>
                    <w:t>硫酸雾、HCl、NOx</w:t>
                  </w:r>
                </w:p>
              </w:tc>
              <w:tc>
                <w:tcPr>
                  <w:tcW w:w="800" w:type="dxa"/>
                  <w:noWrap w:val="0"/>
                  <w:vAlign w:val="center"/>
                </w:tcPr>
                <w:p w14:paraId="13D28F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1次/年</w:t>
                  </w:r>
                </w:p>
              </w:tc>
              <w:tc>
                <w:tcPr>
                  <w:tcW w:w="3533" w:type="dxa"/>
                  <w:noWrap w:val="0"/>
                  <w:vAlign w:val="center"/>
                </w:tcPr>
                <w:p w14:paraId="2F2813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eastAsia="宋体" w:cs="Times New Roman"/>
                      <w:bCs/>
                      <w:color w:val="auto"/>
                      <w:spacing w:val="-10"/>
                      <w:sz w:val="24"/>
                      <w:szCs w:val="24"/>
                      <w:highlight w:val="none"/>
                      <w:vertAlign w:val="baseline"/>
                      <w:lang w:val="en-US" w:eastAsia="zh-CN"/>
                    </w:rPr>
                    <w:t>《大气污染物综合排放标准》（GB16297-1996）表2新污染源大气污染物排放限值无组织排放标准限值</w:t>
                  </w:r>
                </w:p>
              </w:tc>
            </w:tr>
            <w:tr w14:paraId="42AF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0" w:type="dxa"/>
                  <w:vMerge w:val="continue"/>
                  <w:noWrap w:val="0"/>
                  <w:vAlign w:val="center"/>
                </w:tcPr>
                <w:p w14:paraId="448746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p>
              </w:tc>
              <w:tc>
                <w:tcPr>
                  <w:tcW w:w="946" w:type="dxa"/>
                  <w:vMerge w:val="continue"/>
                  <w:noWrap w:val="0"/>
                  <w:vAlign w:val="center"/>
                </w:tcPr>
                <w:p w14:paraId="027441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color w:val="auto"/>
                      <w:spacing w:val="-10"/>
                      <w:sz w:val="24"/>
                      <w:szCs w:val="24"/>
                      <w:highlight w:val="none"/>
                      <w:vertAlign w:val="baseline"/>
                      <w:lang w:val="en-US" w:eastAsia="zh-CN"/>
                    </w:rPr>
                  </w:pPr>
                </w:p>
              </w:tc>
              <w:tc>
                <w:tcPr>
                  <w:tcW w:w="1887" w:type="dxa"/>
                  <w:noWrap w:val="0"/>
                  <w:vAlign w:val="center"/>
                </w:tcPr>
                <w:p w14:paraId="776931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color w:val="auto"/>
                      <w:spacing w:val="-10"/>
                      <w:sz w:val="24"/>
                      <w:szCs w:val="24"/>
                      <w:highlight w:val="none"/>
                      <w:vertAlign w:val="baseline"/>
                      <w:lang w:val="en-US" w:eastAsia="zh-CN"/>
                    </w:rPr>
                  </w:pPr>
                  <w:r>
                    <w:rPr>
                      <w:rFonts w:hint="eastAsia" w:ascii="Times New Roman" w:hAnsi="Times New Roman" w:cs="Times New Roman"/>
                      <w:bCs/>
                      <w:color w:val="auto"/>
                      <w:spacing w:val="-10"/>
                      <w:sz w:val="24"/>
                      <w:szCs w:val="24"/>
                      <w:highlight w:val="none"/>
                      <w:vertAlign w:val="baseline"/>
                      <w:lang w:val="en-US" w:eastAsia="zh-CN"/>
                    </w:rPr>
                    <w:t>臭气浓度</w:t>
                  </w:r>
                  <w:r>
                    <w:rPr>
                      <w:rFonts w:hint="default" w:ascii="Times New Roman" w:hAnsi="Times New Roman" w:cs="Times New Roman"/>
                      <w:color w:val="auto"/>
                      <w:highlight w:val="none"/>
                      <w:lang w:val="en-US" w:eastAsia="zh-CN"/>
                    </w:rPr>
                    <w:t>、氨气</w:t>
                  </w:r>
                </w:p>
              </w:tc>
              <w:tc>
                <w:tcPr>
                  <w:tcW w:w="800" w:type="dxa"/>
                  <w:noWrap w:val="0"/>
                  <w:vAlign w:val="center"/>
                </w:tcPr>
                <w:p w14:paraId="00714F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color w:val="auto"/>
                      <w:spacing w:val="-10"/>
                      <w:sz w:val="24"/>
                      <w:szCs w:val="24"/>
                      <w:highlight w:val="none"/>
                      <w:vertAlign w:val="baseline"/>
                      <w:lang w:val="en-US" w:eastAsia="zh-CN"/>
                    </w:rPr>
                  </w:pPr>
                  <w:r>
                    <w:rPr>
                      <w:rFonts w:hint="default" w:ascii="Times New Roman" w:hAnsi="Times New Roman" w:cs="Times New Roman"/>
                      <w:bCs/>
                      <w:color w:val="auto"/>
                      <w:spacing w:val="-10"/>
                      <w:sz w:val="24"/>
                      <w:szCs w:val="24"/>
                      <w:highlight w:val="none"/>
                      <w:vertAlign w:val="baseline"/>
                      <w:lang w:val="en-US" w:eastAsia="zh-CN"/>
                    </w:rPr>
                    <w:t>1次/年</w:t>
                  </w:r>
                </w:p>
              </w:tc>
              <w:tc>
                <w:tcPr>
                  <w:tcW w:w="3533" w:type="dxa"/>
                  <w:noWrap w:val="0"/>
                  <w:vAlign w:val="center"/>
                </w:tcPr>
                <w:p w14:paraId="74087C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pacing w:val="-10"/>
                      <w:sz w:val="24"/>
                      <w:szCs w:val="24"/>
                      <w:highlight w:val="none"/>
                      <w:vertAlign w:val="baseline"/>
                      <w:lang w:val="en-US" w:eastAsia="zh-CN"/>
                    </w:rPr>
                  </w:pPr>
                  <w:r>
                    <w:rPr>
                      <w:rFonts w:hint="default" w:ascii="Times New Roman" w:hAnsi="Times New Roman" w:eastAsia="宋体" w:cs="Times New Roman"/>
                      <w:bCs/>
                      <w:color w:val="auto"/>
                      <w:spacing w:val="-10"/>
                      <w:sz w:val="24"/>
                      <w:szCs w:val="24"/>
                      <w:highlight w:val="none"/>
                      <w:vertAlign w:val="baseline"/>
                      <w:lang w:val="en-US" w:eastAsia="zh-CN"/>
                    </w:rPr>
                    <w:t>《恶臭污染物排放标准》（GB14554-93）表1恶臭污染物厂界标准值二级（新扩改建）标准</w:t>
                  </w:r>
                </w:p>
              </w:tc>
            </w:tr>
          </w:tbl>
          <w:p w14:paraId="69AF41A0">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二、废水</w:t>
            </w:r>
          </w:p>
          <w:p w14:paraId="6231B9C1">
            <w:pPr>
              <w:bidi w:val="0"/>
              <w:rPr>
                <w:rFonts w:hint="default"/>
                <w:color w:val="auto"/>
                <w:highlight w:val="none"/>
                <w:lang w:val="en-US" w:eastAsia="zh-CN"/>
              </w:rPr>
            </w:pPr>
            <w:r>
              <w:rPr>
                <w:rFonts w:hint="eastAsia"/>
                <w:color w:val="auto"/>
                <w:highlight w:val="none"/>
                <w:lang w:val="en-US" w:eastAsia="zh-CN"/>
              </w:rPr>
              <w:t>化学实验实验前器皿润洗冲洗废水主要污染因子为SS，实验前器皿润洗冲洗废水量共计为0.108m³/a；冷凝冷却废水主要污染因子为微量矿物质、COD、SS、总硬度，排水量为0.27m³/a；实验后第3~5次器皿冲洗废水含有微量残留的酸、碱、盐及少量有机试剂（已在前两次大量去除），排放量为1.62m³/a，上述化学实验室产生的废水均为普通清洗废水，经化粪池（16m³）收集沉淀后，进入市政污水管网进行处理。化学实验过程中进入市政污水管网的废水量共计为1.998m³/a。</w:t>
            </w:r>
          </w:p>
          <w:p w14:paraId="7492A342">
            <w:pPr>
              <w:bidi w:val="0"/>
              <w:rPr>
                <w:rFonts w:hint="default"/>
                <w:color w:val="auto"/>
                <w:lang w:val="en-US" w:eastAsia="zh-CN"/>
              </w:rPr>
            </w:pPr>
            <w:r>
              <w:rPr>
                <w:rFonts w:hint="eastAsia"/>
                <w:color w:val="auto"/>
                <w:lang w:val="en-US" w:eastAsia="zh-CN"/>
              </w:rPr>
              <w:t>生物实验前器皿润洗冲洗废水主要污染因子为SS，实验前器皿润洗冲洗废水量共计为0.07m³/a；实验后第3~5次器皿冲洗废水含有微量残留的酸、碱、盐及少量有机试剂（已在前两次大量去除），排放量为2.16m³/a；高压灭菌锅经灭菌灭活后废水量为0.18m³/a，上述废水均为普通清洗废水，经化粪池（16m³）收集后，排入市政污水管网进行处理。生物实验过程中排入市政污水管网废水量共计为2.412m³/a。</w:t>
            </w:r>
          </w:p>
          <w:p w14:paraId="0638F23B">
            <w:pPr>
              <w:bidi w:val="0"/>
              <w:rPr>
                <w:rFonts w:hint="eastAsia"/>
                <w:color w:val="auto"/>
                <w:lang w:val="en-US" w:eastAsia="zh-CN"/>
              </w:rPr>
            </w:pPr>
            <w:r>
              <w:rPr>
                <w:rFonts w:hint="eastAsia"/>
                <w:color w:val="auto"/>
                <w:lang w:val="en-US" w:eastAsia="zh-CN"/>
              </w:rPr>
              <w:t>物理实验前简单器皿冲洗废水产生量为0.09m³/a，冷却水排放废水量为0.225m³/a，实验后器皿清洗废水量为0.18m³/a，上述废水均为普通清洗废水，经化粪池（16m³）收集后，排入市政污水管网进行处理。物理实验过程中排入市政污水管网废水量共计为0.495m³/a。</w:t>
            </w:r>
          </w:p>
          <w:p w14:paraId="2AD33ED3">
            <w:pPr>
              <w:bidi w:val="0"/>
              <w:rPr>
                <w:rFonts w:hint="eastAsia"/>
                <w:color w:val="auto"/>
                <w:lang w:val="en-US" w:eastAsia="zh-CN"/>
              </w:rPr>
            </w:pPr>
            <w:r>
              <w:rPr>
                <w:rFonts w:hint="eastAsia"/>
                <w:color w:val="auto"/>
                <w:lang w:val="en-US" w:eastAsia="zh-CN"/>
              </w:rPr>
              <w:t>本项目生产废水普通清洗废水产生量共计为4.905m³/a，经化粪池（16m³）收集后，排入市政污水管网进行处理。生活污水量为51840m³/a，经化粪池（10m³）收集后，排入市政污水管网。</w:t>
            </w:r>
          </w:p>
          <w:p w14:paraId="1CC7AE6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三、噪声污染物源强及治理措施分析</w:t>
            </w:r>
          </w:p>
          <w:p w14:paraId="1972D5AF">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1.噪声源强及治理措施分析</w:t>
            </w:r>
          </w:p>
          <w:p w14:paraId="65E130F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项目营运期的主要噪声为</w:t>
            </w:r>
            <w:r>
              <w:rPr>
                <w:rFonts w:hint="eastAsia" w:cs="Times New Roman"/>
                <w:color w:val="auto"/>
                <w:highlight w:val="none"/>
                <w:lang w:val="en-US" w:eastAsia="zh-CN"/>
              </w:rPr>
              <w:t>实验室通风橱、风机、排风管道等设备产生的噪声</w:t>
            </w:r>
            <w:r>
              <w:rPr>
                <w:rFonts w:hint="default" w:ascii="Times New Roman" w:hAnsi="Times New Roman" w:cs="Times New Roman"/>
                <w:color w:val="auto"/>
                <w:highlight w:val="none"/>
                <w:lang w:val="en-US" w:eastAsia="zh-CN"/>
              </w:rPr>
              <w:t>。噪声强度可达到</w:t>
            </w:r>
            <w:r>
              <w:rPr>
                <w:rFonts w:hint="eastAsia" w:cs="Times New Roman"/>
                <w:color w:val="auto"/>
                <w:highlight w:val="none"/>
                <w:lang w:val="en-US" w:eastAsia="zh-CN"/>
              </w:rPr>
              <w:t>65-75</w:t>
            </w:r>
            <w:r>
              <w:rPr>
                <w:rFonts w:hint="default" w:ascii="Times New Roman" w:hAnsi="Times New Roman" w:cs="Times New Roman"/>
                <w:color w:val="auto"/>
                <w:highlight w:val="none"/>
                <w:lang w:val="en-US" w:eastAsia="zh-CN"/>
              </w:rPr>
              <w:t>dB。为了减小本项目广播噪声对周边环境的影响，本评价提出以下要求：</w:t>
            </w:r>
          </w:p>
          <w:p w14:paraId="5E3E0FC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从根源上降低噪音</w:t>
            </w:r>
            <w:r>
              <w:rPr>
                <w:rFonts w:hint="eastAsia" w:cs="Times New Roman"/>
                <w:color w:val="auto"/>
                <w:highlight w:val="none"/>
                <w:lang w:val="en-US" w:eastAsia="zh-CN"/>
              </w:rPr>
              <w:t>，采用低噪声设备、加强设备维护、安装减振装置，合理布局产噪设备等措施</w:t>
            </w:r>
            <w:r>
              <w:rPr>
                <w:rFonts w:hint="default" w:ascii="Times New Roman" w:hAnsi="Times New Roman" w:cs="Times New Roman"/>
                <w:color w:val="auto"/>
                <w:highlight w:val="none"/>
                <w:lang w:val="en-US" w:eastAsia="zh-CN"/>
              </w:rPr>
              <w:t>后，项目厂界噪声可达到《工业企业厂界环境噪声排放标准》（GB12348-2008）1类标准，项目营运期噪声对项目本身和区域声环境影响较小。</w:t>
            </w:r>
          </w:p>
          <w:p w14:paraId="1296875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2.运营期噪声监测计划</w:t>
            </w:r>
          </w:p>
          <w:p w14:paraId="34AB8281">
            <w:pPr>
              <w:bidi w:val="0"/>
              <w:rPr>
                <w:rFonts w:hint="default" w:ascii="Times New Roman" w:hAnsi="Times New Roman" w:cs="Times New Roman"/>
                <w:color w:val="auto"/>
                <w:highlight w:val="none"/>
                <w:lang w:val="en-US" w:eastAsia="zh-CN"/>
              </w:rPr>
            </w:pPr>
            <w:r>
              <w:rPr>
                <w:rFonts w:hint="default" w:ascii="Times New Roman" w:hAnsi="Times New Roman" w:cs="Times New Roman"/>
                <w:bCs/>
                <w:color w:val="auto"/>
                <w:spacing w:val="-10"/>
                <w:sz w:val="24"/>
                <w:szCs w:val="24"/>
                <w:highlight w:val="none"/>
                <w:lang w:val="en-US" w:eastAsia="zh-CN"/>
              </w:rPr>
              <w:t>本项目噪声监测方法按《排污许可证申请与核发技术规范</w:t>
            </w:r>
            <w:r>
              <w:rPr>
                <w:rFonts w:hint="eastAsia" w:cs="Times New Roman"/>
                <w:bCs/>
                <w:color w:val="auto"/>
                <w:spacing w:val="-10"/>
                <w:sz w:val="24"/>
                <w:szCs w:val="24"/>
                <w:highlight w:val="none"/>
                <w:lang w:val="en-US" w:eastAsia="zh-CN"/>
              </w:rPr>
              <w:t xml:space="preserve"> </w:t>
            </w:r>
            <w:r>
              <w:rPr>
                <w:rFonts w:hint="default" w:ascii="Times New Roman" w:hAnsi="Times New Roman" w:cs="Times New Roman"/>
                <w:bCs/>
                <w:color w:val="auto"/>
                <w:spacing w:val="-10"/>
                <w:sz w:val="24"/>
                <w:szCs w:val="24"/>
                <w:highlight w:val="none"/>
                <w:lang w:val="en-US" w:eastAsia="zh-CN"/>
              </w:rPr>
              <w:t>总则》（HJ942-2018）、《排污单位自行监测技术指南</w:t>
            </w:r>
            <w:r>
              <w:rPr>
                <w:rFonts w:hint="eastAsia" w:cs="Times New Roman"/>
                <w:bCs/>
                <w:color w:val="auto"/>
                <w:spacing w:val="-10"/>
                <w:sz w:val="24"/>
                <w:szCs w:val="24"/>
                <w:highlight w:val="none"/>
                <w:lang w:val="en-US" w:eastAsia="zh-CN"/>
              </w:rPr>
              <w:t xml:space="preserve"> </w:t>
            </w:r>
            <w:r>
              <w:rPr>
                <w:rFonts w:hint="default" w:ascii="Times New Roman" w:hAnsi="Times New Roman" w:cs="Times New Roman"/>
                <w:bCs/>
                <w:color w:val="auto"/>
                <w:spacing w:val="-10"/>
                <w:sz w:val="24"/>
                <w:szCs w:val="24"/>
                <w:highlight w:val="none"/>
                <w:lang w:val="en-US" w:eastAsia="zh-CN"/>
              </w:rPr>
              <w:t>总则》（HJ819-2017）执行，</w:t>
            </w:r>
            <w:r>
              <w:rPr>
                <w:rFonts w:hint="default" w:ascii="Times New Roman" w:hAnsi="Times New Roman" w:cs="Times New Roman"/>
                <w:color w:val="auto"/>
                <w:highlight w:val="none"/>
                <w:lang w:val="en-US" w:eastAsia="zh-CN"/>
              </w:rPr>
              <w:t>本项目运营期噪声监测计划见下表。</w:t>
            </w:r>
          </w:p>
          <w:p w14:paraId="7C530693">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w:t>
            </w:r>
            <w:r>
              <w:rPr>
                <w:rFonts w:hint="eastAsia" w:cs="Times New Roman"/>
                <w:b/>
                <w:bCs/>
                <w:color w:val="auto"/>
                <w:highlight w:val="none"/>
                <w:lang w:val="en-US" w:eastAsia="zh-CN"/>
              </w:rPr>
              <w:t>9</w:t>
            </w:r>
            <w:r>
              <w:rPr>
                <w:rFonts w:hint="default" w:ascii="Times New Roman" w:hAnsi="Times New Roman" w:cs="Times New Roman"/>
                <w:b/>
                <w:bCs/>
                <w:color w:val="auto"/>
                <w:highlight w:val="none"/>
                <w:lang w:val="en-US" w:eastAsia="zh-CN"/>
              </w:rPr>
              <w:t>噪声监测计划一览表</w:t>
            </w:r>
          </w:p>
          <w:tbl>
            <w:tblPr>
              <w:tblStyle w:val="24"/>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955"/>
              <w:gridCol w:w="1173"/>
              <w:gridCol w:w="1186"/>
              <w:gridCol w:w="3811"/>
            </w:tblGrid>
            <w:tr w14:paraId="5C89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noWrap w:val="0"/>
                  <w:vAlign w:val="center"/>
                </w:tcPr>
                <w:p w14:paraId="37C7E5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监测项目</w:t>
                  </w:r>
                </w:p>
              </w:tc>
              <w:tc>
                <w:tcPr>
                  <w:tcW w:w="955" w:type="dxa"/>
                  <w:noWrap w:val="0"/>
                  <w:vAlign w:val="center"/>
                </w:tcPr>
                <w:p w14:paraId="53019B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监测位置</w:t>
                  </w:r>
                </w:p>
              </w:tc>
              <w:tc>
                <w:tcPr>
                  <w:tcW w:w="1173" w:type="dxa"/>
                  <w:noWrap w:val="0"/>
                  <w:vAlign w:val="center"/>
                </w:tcPr>
                <w:p w14:paraId="4572E2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监测内容</w:t>
                  </w:r>
                </w:p>
              </w:tc>
              <w:tc>
                <w:tcPr>
                  <w:tcW w:w="1186" w:type="dxa"/>
                  <w:noWrap w:val="0"/>
                  <w:vAlign w:val="center"/>
                </w:tcPr>
                <w:p w14:paraId="64F095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监测频次</w:t>
                  </w:r>
                </w:p>
              </w:tc>
              <w:tc>
                <w:tcPr>
                  <w:tcW w:w="3811" w:type="dxa"/>
                  <w:noWrap w:val="0"/>
                  <w:vAlign w:val="center"/>
                </w:tcPr>
                <w:p w14:paraId="45213B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执行标准</w:t>
                  </w:r>
                </w:p>
              </w:tc>
            </w:tr>
            <w:tr w14:paraId="1C06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noWrap w:val="0"/>
                  <w:vAlign w:val="center"/>
                </w:tcPr>
                <w:p w14:paraId="22FCB8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噪声</w:t>
                  </w:r>
                </w:p>
              </w:tc>
              <w:tc>
                <w:tcPr>
                  <w:tcW w:w="955" w:type="dxa"/>
                  <w:noWrap w:val="0"/>
                  <w:vAlign w:val="center"/>
                </w:tcPr>
                <w:p w14:paraId="4CEE3C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实验室四周</w:t>
                  </w:r>
                </w:p>
              </w:tc>
              <w:tc>
                <w:tcPr>
                  <w:tcW w:w="1173" w:type="dxa"/>
                  <w:noWrap w:val="0"/>
                  <w:vAlign w:val="center"/>
                </w:tcPr>
                <w:p w14:paraId="288D14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等效连续A声级</w:t>
                  </w:r>
                </w:p>
              </w:tc>
              <w:tc>
                <w:tcPr>
                  <w:tcW w:w="1186" w:type="dxa"/>
                  <w:noWrap w:val="0"/>
                  <w:vAlign w:val="center"/>
                </w:tcPr>
                <w:p w14:paraId="60AEA3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1次/季度</w:t>
                  </w:r>
                </w:p>
              </w:tc>
              <w:tc>
                <w:tcPr>
                  <w:tcW w:w="3811" w:type="dxa"/>
                  <w:noWrap w:val="0"/>
                  <w:vAlign w:val="center"/>
                </w:tcPr>
                <w:p w14:paraId="18606E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《工业企业厂界环境噪声排放标准》（GB12348-2008）1类标准</w:t>
                  </w:r>
                </w:p>
              </w:tc>
            </w:tr>
          </w:tbl>
          <w:p w14:paraId="2629414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四、固体废物污染物源强及治理措施分析</w:t>
            </w:r>
          </w:p>
          <w:p w14:paraId="0A4B1895">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1、固体废弃物产生情况</w:t>
            </w:r>
          </w:p>
          <w:p w14:paraId="424A505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本项目运营期</w:t>
            </w:r>
            <w:r>
              <w:rPr>
                <w:rFonts w:hint="eastAsia" w:cs="Times New Roman"/>
                <w:color w:val="auto"/>
                <w:highlight w:val="none"/>
                <w:lang w:val="en-US" w:eastAsia="zh-CN"/>
              </w:rPr>
              <w:t>生活垃圾由垃圾桶收集后，定期交由当地环卫部门统一处理。</w:t>
            </w:r>
            <w:r>
              <w:rPr>
                <w:rFonts w:hint="eastAsia" w:ascii="Times New Roman" w:hAnsi="Times New Roman" w:cs="Times New Roman"/>
                <w:color w:val="auto"/>
                <w:highlight w:val="none"/>
                <w:lang w:val="en-US" w:eastAsia="zh-CN"/>
              </w:rPr>
              <w:t>产生的一般</w:t>
            </w:r>
            <w:r>
              <w:rPr>
                <w:rFonts w:hint="default" w:ascii="Times New Roman" w:hAnsi="Times New Roman" w:cs="Times New Roman"/>
                <w:color w:val="auto"/>
                <w:highlight w:val="none"/>
                <w:lang w:val="en-US" w:eastAsia="zh-CN"/>
              </w:rPr>
              <w:t>固体废物主要包括：</w:t>
            </w:r>
            <w:r>
              <w:rPr>
                <w:rFonts w:hint="eastAsia" w:ascii="Times New Roman" w:hAnsi="Times New Roman" w:eastAsia="宋体" w:cs="Times New Roman"/>
                <w:b w:val="0"/>
                <w:bCs/>
                <w:color w:val="auto"/>
                <w:kern w:val="2"/>
                <w:sz w:val="24"/>
                <w:szCs w:val="24"/>
                <w:highlight w:val="none"/>
                <w:vertAlign w:val="baseline"/>
                <w:lang w:val="en-US" w:eastAsia="zh-CN" w:bidi="ar-SA"/>
              </w:rPr>
              <w:t>没有沾染药剂的废包装物、废弃包装物</w:t>
            </w:r>
            <w:r>
              <w:rPr>
                <w:rFonts w:hint="eastAsia" w:cs="Times New Roman"/>
                <w:b w:val="0"/>
                <w:bCs/>
                <w:color w:val="auto"/>
                <w:kern w:val="2"/>
                <w:sz w:val="24"/>
                <w:szCs w:val="24"/>
                <w:highlight w:val="none"/>
                <w:vertAlign w:val="baseline"/>
                <w:lang w:val="en-US" w:eastAsia="zh-CN" w:bidi="ar-SA"/>
              </w:rPr>
              <w:t>、</w:t>
            </w:r>
            <w:r>
              <w:rPr>
                <w:rFonts w:hint="eastAsia" w:ascii="Times New Roman" w:hAnsi="Times New Roman" w:eastAsia="宋体" w:cs="Times New Roman"/>
                <w:b w:val="0"/>
                <w:bCs/>
                <w:color w:val="auto"/>
                <w:kern w:val="2"/>
                <w:sz w:val="24"/>
                <w:szCs w:val="24"/>
                <w:highlight w:val="none"/>
                <w:vertAlign w:val="baseline"/>
                <w:lang w:val="en-US" w:eastAsia="zh-CN" w:bidi="ar-SA"/>
              </w:rPr>
              <w:t>灭活废弃培养基与学校内的生活垃圾一同处置。危险废物包括实验后器皿清洗（</w:t>
            </w:r>
            <w:r>
              <w:rPr>
                <w:rFonts w:hint="eastAsia" w:cs="Times New Roman"/>
                <w:b w:val="0"/>
                <w:bCs/>
                <w:color w:val="auto"/>
                <w:kern w:val="2"/>
                <w:sz w:val="24"/>
                <w:szCs w:val="24"/>
                <w:highlight w:val="none"/>
                <w:vertAlign w:val="baseline"/>
                <w:lang w:val="en-US" w:eastAsia="zh-CN" w:bidi="ar-SA"/>
              </w:rPr>
              <w:t>第1~2次清洗废水</w:t>
            </w:r>
            <w:r>
              <w:rPr>
                <w:rFonts w:hint="eastAsia" w:ascii="Times New Roman" w:hAnsi="Times New Roman" w:eastAsia="宋体" w:cs="Times New Roman"/>
                <w:b w:val="0"/>
                <w:bCs/>
                <w:color w:val="auto"/>
                <w:kern w:val="2"/>
                <w:sz w:val="24"/>
                <w:szCs w:val="24"/>
                <w:highlight w:val="none"/>
                <w:vertAlign w:val="baseline"/>
                <w:lang w:val="en-US" w:eastAsia="zh-CN" w:bidi="ar-SA"/>
              </w:rPr>
              <w:t>）废水、实验废液（试剂配制废液）、</w:t>
            </w:r>
            <w:r>
              <w:rPr>
                <w:rFonts w:hint="eastAsia" w:cs="Times New Roman"/>
                <w:b w:val="0"/>
                <w:bCs/>
                <w:color w:val="auto"/>
                <w:sz w:val="24"/>
                <w:szCs w:val="24"/>
                <w:highlight w:val="none"/>
                <w:vertAlign w:val="baseline"/>
                <w:lang w:val="en-US" w:eastAsia="zh-CN"/>
              </w:rPr>
              <w:t>废试剂瓶、</w:t>
            </w:r>
            <w:r>
              <w:rPr>
                <w:rFonts w:hint="eastAsia" w:cs="Times New Roman"/>
                <w:b w:val="0"/>
                <w:bCs/>
                <w:color w:val="auto"/>
                <w:kern w:val="2"/>
                <w:sz w:val="24"/>
                <w:szCs w:val="24"/>
                <w:highlight w:val="none"/>
                <w:vertAlign w:val="baseline"/>
                <w:lang w:val="en-US" w:eastAsia="zh-CN" w:bidi="ar-SA"/>
              </w:rPr>
              <w:t>废活性炭、</w:t>
            </w:r>
            <w:r>
              <w:rPr>
                <w:rFonts w:hint="default" w:ascii="Times New Roman" w:hAnsi="Times New Roman" w:cs="Times New Roman"/>
                <w:color w:val="auto"/>
                <w:highlight w:val="none"/>
                <w:lang w:val="en-US" w:eastAsia="zh-CN"/>
              </w:rPr>
              <w:t>变质或失效的试剂</w:t>
            </w:r>
            <w:r>
              <w:rPr>
                <w:rFonts w:hint="eastAsia" w:ascii="Times New Roman" w:hAnsi="Times New Roman" w:cs="Times New Roman"/>
                <w:color w:val="auto"/>
                <w:highlight w:val="none"/>
                <w:lang w:val="en-US" w:eastAsia="zh-CN"/>
              </w:rPr>
              <w:t>、</w:t>
            </w:r>
            <w:r>
              <w:rPr>
                <w:rFonts w:hint="eastAsia" w:cs="Times New Roman"/>
                <w:b w:val="0"/>
                <w:bCs/>
                <w:color w:val="auto"/>
                <w:sz w:val="24"/>
                <w:szCs w:val="24"/>
                <w:highlight w:val="none"/>
                <w:vertAlign w:val="baseline"/>
                <w:lang w:val="en-US" w:eastAsia="zh-CN"/>
              </w:rPr>
              <w:t>沾染试剂的废弃包装物，</w:t>
            </w:r>
            <w:r>
              <w:rPr>
                <w:rFonts w:hint="default" w:ascii="Times New Roman" w:hAnsi="Times New Roman" w:cs="Times New Roman"/>
                <w:color w:val="auto"/>
                <w:highlight w:val="none"/>
                <w:lang w:val="en-US" w:eastAsia="zh-CN"/>
              </w:rPr>
              <w:t>所有危险废物均分类收集、规范包装、分区暂存于危险废物暂存库（面积2.89㎡，位于五楼化学准备室内），定期委托有资质单位处置。</w:t>
            </w:r>
          </w:p>
          <w:p w14:paraId="7B8A6EF1">
            <w:pPr>
              <w:bidi w:val="0"/>
              <w:rPr>
                <w:rFonts w:hint="eastAsia" w:cs="Times New Roman"/>
                <w:color w:val="auto"/>
                <w:highlight w:val="none"/>
                <w:lang w:val="en-US" w:eastAsia="zh-CN"/>
              </w:rPr>
            </w:pPr>
            <w:r>
              <w:rPr>
                <w:rFonts w:hint="eastAsia" w:cs="Times New Roman"/>
                <w:color w:val="auto"/>
                <w:highlight w:val="none"/>
                <w:lang w:val="en-US" w:eastAsia="zh-CN"/>
              </w:rPr>
              <w:t>（1）生活垃圾</w:t>
            </w:r>
          </w:p>
          <w:p w14:paraId="3A315972">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本校师生共计2700人，生活垃圾按照0.5kg·人/d计，则生活垃圾产生量为1.35t/d，年产生量为270t，由生活垃圾桶统一收集后，定期交由当地环卫部门统一处理。</w:t>
            </w:r>
          </w:p>
          <w:p w14:paraId="65C51B86">
            <w:pPr>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2</w:t>
            </w:r>
            <w:r>
              <w:rPr>
                <w:rFonts w:hint="eastAsia" w:ascii="Times New Roman" w:hAnsi="Times New Roman" w:cs="Times New Roman"/>
                <w:color w:val="auto"/>
                <w:highlight w:val="none"/>
                <w:lang w:val="en-US" w:eastAsia="zh-CN"/>
              </w:rPr>
              <w:t>）一般固废</w:t>
            </w:r>
          </w:p>
          <w:p w14:paraId="31B5E2AB">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①没有沾染药剂的废包装物</w:t>
            </w:r>
          </w:p>
          <w:p w14:paraId="428E06BC">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没有沾染药剂的废包装物属于一般固废，年产生量约为0.1t，统一收集后，与校区内的生活垃圾一同进行处置。</w:t>
            </w:r>
          </w:p>
          <w:p w14:paraId="4EE7787A">
            <w:pPr>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②灭活废弃培养基</w:t>
            </w:r>
          </w:p>
          <w:p w14:paraId="1A591439">
            <w:pPr>
              <w:bidi w:val="0"/>
              <w:rPr>
                <w:rFonts w:hint="default" w:ascii="Times New Roman" w:hAnsi="Times New Roman" w:cs="Times New Roman"/>
                <w:color w:val="auto"/>
                <w:highlight w:val="none"/>
                <w:lang w:val="en-US" w:eastAsia="zh-CN"/>
              </w:rPr>
            </w:pPr>
            <w:r>
              <w:rPr>
                <w:rFonts w:hint="eastAsia" w:ascii="Times New Roman" w:hAnsi="Times New Roman" w:eastAsia="宋体" w:cs="Times New Roman"/>
                <w:b w:val="0"/>
                <w:bCs/>
                <w:color w:val="auto"/>
                <w:sz w:val="24"/>
                <w:szCs w:val="24"/>
                <w:highlight w:val="none"/>
                <w:vertAlign w:val="baseline"/>
                <w:lang w:val="en-US" w:eastAsia="zh-CN"/>
              </w:rPr>
              <w:t>灭活废弃培养基</w:t>
            </w:r>
            <w:r>
              <w:rPr>
                <w:rFonts w:hint="eastAsia" w:ascii="Times New Roman" w:hAnsi="Times New Roman" w:cs="Times New Roman"/>
                <w:color w:val="auto"/>
                <w:highlight w:val="none"/>
                <w:lang w:val="en-US" w:eastAsia="zh-CN"/>
              </w:rPr>
              <w:t>属于《国家危险废物名录》（2025年版）中的豁免内容，年产生量为0.02t，统一收集后，与校区内的生活垃圾一同进行处置。</w:t>
            </w:r>
          </w:p>
          <w:p w14:paraId="17598D08">
            <w:pPr>
              <w:bidi w:val="0"/>
              <w:rPr>
                <w:rFonts w:hint="default" w:cs="Times New Roman"/>
                <w:b w:val="0"/>
                <w:bCs/>
                <w:color w:val="auto"/>
                <w:sz w:val="24"/>
                <w:szCs w:val="24"/>
                <w:highlight w:val="none"/>
                <w:vertAlign w:val="baseline"/>
                <w:lang w:val="en-US" w:eastAsia="zh-CN"/>
              </w:rPr>
            </w:pPr>
            <w:r>
              <w:rPr>
                <w:rFonts w:hint="eastAsia" w:cs="Times New Roman"/>
                <w:color w:val="auto"/>
                <w:highlight w:val="none"/>
                <w:lang w:val="en-US" w:eastAsia="zh-CN"/>
              </w:rPr>
              <w:t>③</w:t>
            </w:r>
            <w:r>
              <w:rPr>
                <w:rFonts w:hint="eastAsia" w:cs="Times New Roman"/>
                <w:b w:val="0"/>
                <w:bCs/>
                <w:color w:val="auto"/>
                <w:sz w:val="24"/>
                <w:szCs w:val="24"/>
                <w:highlight w:val="none"/>
                <w:vertAlign w:val="baseline"/>
                <w:lang w:val="en-US" w:eastAsia="zh-CN"/>
              </w:rPr>
              <w:t>废弃包装物</w:t>
            </w:r>
          </w:p>
          <w:p w14:paraId="5FD3FA3E">
            <w:pPr>
              <w:bidi w:val="0"/>
              <w:rPr>
                <w:rFonts w:hint="default" w:ascii="Times New Roman" w:hAnsi="Times New Roman" w:cs="Times New Roman"/>
                <w:color w:val="auto"/>
                <w:highlight w:val="none"/>
                <w:lang w:val="en-US" w:eastAsia="zh-CN"/>
              </w:rPr>
            </w:pPr>
            <w:r>
              <w:rPr>
                <w:rFonts w:hint="eastAsia" w:cs="Times New Roman"/>
                <w:b w:val="0"/>
                <w:bCs/>
                <w:color w:val="auto"/>
                <w:sz w:val="24"/>
                <w:szCs w:val="24"/>
                <w:highlight w:val="none"/>
                <w:vertAlign w:val="baseline"/>
                <w:lang w:val="en-US" w:eastAsia="zh-CN"/>
              </w:rPr>
              <w:t>物理、地理实验过程中器材废弃包装物按照一般固废进行处理，年产生量为0.1t，统一收集后，与</w:t>
            </w:r>
            <w:r>
              <w:rPr>
                <w:rFonts w:hint="default" w:ascii="Times New Roman" w:hAnsi="Times New Roman" w:cs="Times New Roman"/>
                <w:b w:val="0"/>
                <w:bCs/>
                <w:color w:val="auto"/>
                <w:sz w:val="24"/>
                <w:szCs w:val="24"/>
                <w:highlight w:val="none"/>
                <w:vertAlign w:val="baseline"/>
                <w:lang w:val="en-US" w:eastAsia="zh-CN"/>
              </w:rPr>
              <w:t>生活垃圾</w:t>
            </w:r>
            <w:r>
              <w:rPr>
                <w:rFonts w:hint="eastAsia" w:cs="Times New Roman"/>
                <w:b w:val="0"/>
                <w:bCs/>
                <w:color w:val="auto"/>
                <w:sz w:val="24"/>
                <w:szCs w:val="24"/>
                <w:highlight w:val="none"/>
                <w:vertAlign w:val="baseline"/>
                <w:lang w:val="en-US" w:eastAsia="zh-CN"/>
              </w:rPr>
              <w:t>一同</w:t>
            </w:r>
            <w:r>
              <w:rPr>
                <w:rFonts w:hint="default" w:ascii="Times New Roman" w:hAnsi="Times New Roman" w:cs="Times New Roman"/>
                <w:b w:val="0"/>
                <w:bCs/>
                <w:color w:val="auto"/>
                <w:sz w:val="24"/>
                <w:szCs w:val="24"/>
                <w:highlight w:val="none"/>
                <w:vertAlign w:val="baseline"/>
                <w:lang w:val="en-US" w:eastAsia="zh-CN"/>
              </w:rPr>
              <w:t>处理</w:t>
            </w:r>
            <w:r>
              <w:rPr>
                <w:rFonts w:hint="eastAsia" w:cs="Times New Roman"/>
                <w:b w:val="0"/>
                <w:bCs/>
                <w:color w:val="auto"/>
                <w:sz w:val="24"/>
                <w:szCs w:val="24"/>
                <w:highlight w:val="none"/>
                <w:vertAlign w:val="baseline"/>
                <w:lang w:val="en-US" w:eastAsia="zh-CN"/>
              </w:rPr>
              <w:t>。</w:t>
            </w:r>
          </w:p>
          <w:p w14:paraId="48097D45">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3</w:t>
            </w:r>
            <w:r>
              <w:rPr>
                <w:rFonts w:hint="eastAsia" w:ascii="Times New Roman" w:hAnsi="Times New Roman" w:cs="Times New Roman"/>
                <w:color w:val="auto"/>
                <w:highlight w:val="none"/>
                <w:lang w:val="en-US" w:eastAsia="zh-CN"/>
              </w:rPr>
              <w:t>）危险废物</w:t>
            </w:r>
          </w:p>
          <w:p w14:paraId="03DB63F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w:t>
            </w:r>
            <w:r>
              <w:rPr>
                <w:rFonts w:hint="eastAsia" w:ascii="Times New Roman" w:hAnsi="Times New Roman" w:cs="Times New Roman"/>
                <w:color w:val="auto"/>
                <w:highlight w:val="none"/>
                <w:lang w:val="en-US" w:eastAsia="zh-CN"/>
              </w:rPr>
              <w:t>实验后器皿清洗废水（第1-第2次）</w:t>
            </w:r>
          </w:p>
          <w:p w14:paraId="131618EE">
            <w:pPr>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第1~2次清洗：使用自来水，为高浓度清洗废水，产生量共计为6.4m³/a，属于危险废物，危废类别为HW49其他废物，废物代码为900-047-49，危险特性T/C/I/R，PE桶收集，暂存于危险废物暂存库内，定期交由有资质单位进行处置。</w:t>
            </w:r>
          </w:p>
          <w:p w14:paraId="30682FD6">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②</w:t>
            </w:r>
            <w:r>
              <w:rPr>
                <w:rFonts w:hint="default" w:ascii="Times New Roman" w:hAnsi="Times New Roman" w:cs="Times New Roman"/>
                <w:color w:val="auto"/>
                <w:highlight w:val="none"/>
                <w:lang w:val="en-US" w:eastAsia="zh-CN"/>
              </w:rPr>
              <w:t>实验废液（</w:t>
            </w:r>
            <w:r>
              <w:rPr>
                <w:rFonts w:hint="eastAsia" w:ascii="Times New Roman" w:hAnsi="Times New Roman" w:cs="Times New Roman"/>
                <w:color w:val="auto"/>
                <w:highlight w:val="none"/>
                <w:lang w:val="en-US" w:eastAsia="zh-CN"/>
              </w:rPr>
              <w:t>试剂配制</w:t>
            </w:r>
            <w:r>
              <w:rPr>
                <w:rFonts w:hint="default" w:ascii="Times New Roman" w:hAnsi="Times New Roman" w:cs="Times New Roman"/>
                <w:color w:val="auto"/>
                <w:highlight w:val="none"/>
                <w:lang w:val="en-US" w:eastAsia="zh-CN"/>
              </w:rPr>
              <w:t>）</w:t>
            </w:r>
          </w:p>
          <w:p w14:paraId="22C28F94">
            <w:pPr>
              <w:bidi w:val="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试剂配制产生的废液量为0.14m³/a，属于危险废物，危废类别为HW49其他废物，废物代码为900-047-49，危险特性T/C/I/R，PE桶收集，暂存于危险废物暂存库内，定期交由有资质单位进行处置。</w:t>
            </w:r>
          </w:p>
          <w:p w14:paraId="1D6D95B8">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③废试剂瓶</w:t>
            </w:r>
          </w:p>
          <w:p w14:paraId="1167541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化学、生物实验室用完的试剂瓶（玻璃、塑料），残留少量化学品。产生量约0.05t/a（按年消耗约120个500mL瓶估算）</w:t>
            </w:r>
            <w:r>
              <w:rPr>
                <w:rFonts w:hint="eastAsia" w:ascii="Times New Roman" w:hAnsi="Times New Roman" w:cs="Times New Roman"/>
                <w:color w:val="auto"/>
                <w:highlight w:val="none"/>
                <w:lang w:val="en-US" w:eastAsia="zh-CN"/>
              </w:rPr>
              <w:t>，危废类别为HW49其他废物，废物代码为900-047-49</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危险特性T/C/I/R，</w:t>
            </w:r>
            <w:r>
              <w:rPr>
                <w:rFonts w:hint="default" w:ascii="Times New Roman" w:hAnsi="Times New Roman" w:cs="Times New Roman"/>
                <w:color w:val="auto"/>
                <w:highlight w:val="none"/>
                <w:lang w:val="en-US" w:eastAsia="zh-CN"/>
              </w:rPr>
              <w:t>加盖后使用大口PE桶集中存放，防止残留液体泄漏，暂存于危险废物暂存库内，定期交由有资质单位进行处置。</w:t>
            </w:r>
          </w:p>
          <w:p w14:paraId="6C77ABB1">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④废活性炭</w:t>
            </w:r>
          </w:p>
          <w:p w14:paraId="7A618360">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化学实验室使用的废气处置措施活性炭吸附装置中的活性炭需要定期更换，产生量为5kg/a，更换下的废活性炭属于危险废物，危废类别为HW49其他废物，废物代码为900-039-49</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危险特性为T，</w:t>
            </w:r>
            <w:r>
              <w:rPr>
                <w:rFonts w:hint="default" w:ascii="Times New Roman" w:hAnsi="Times New Roman" w:cs="Times New Roman"/>
                <w:color w:val="auto"/>
                <w:highlight w:val="none"/>
                <w:lang w:val="en-US" w:eastAsia="zh-CN"/>
              </w:rPr>
              <w:t>使用防漏塑料袋密封后放入专用纸箱，暂存于危险废物暂存库内，定期交由有资质单位进行处置。</w:t>
            </w:r>
          </w:p>
          <w:p w14:paraId="64C9C605">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⑤</w:t>
            </w:r>
            <w:r>
              <w:rPr>
                <w:rFonts w:hint="default" w:ascii="Times New Roman" w:hAnsi="Times New Roman" w:cs="Times New Roman"/>
                <w:color w:val="auto"/>
                <w:highlight w:val="none"/>
                <w:lang w:val="en-US" w:eastAsia="zh-CN"/>
              </w:rPr>
              <w:t>变质或失效的试剂</w:t>
            </w:r>
          </w:p>
          <w:p w14:paraId="7FF0C6E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药品库中过期、变质、标签脱落的化学试剂。产生量</w:t>
            </w:r>
            <w:r>
              <w:rPr>
                <w:rFonts w:hint="eastAsia" w:ascii="Times New Roman" w:hAnsi="Times New Roman" w:cs="Times New Roman"/>
                <w:color w:val="auto"/>
                <w:highlight w:val="none"/>
                <w:lang w:val="en-US" w:eastAsia="zh-CN"/>
              </w:rPr>
              <w:t>约为</w:t>
            </w:r>
            <w:r>
              <w:rPr>
                <w:rFonts w:hint="default" w:ascii="Times New Roman" w:hAnsi="Times New Roman" w:cs="Times New Roman"/>
                <w:color w:val="auto"/>
                <w:highlight w:val="none"/>
                <w:lang w:val="en-US" w:eastAsia="zh-CN"/>
              </w:rPr>
              <w:t>0.01t/a，危废类别为HW49其他废物，废物代码为900-047-49，</w:t>
            </w:r>
            <w:r>
              <w:rPr>
                <w:rFonts w:hint="eastAsia" w:ascii="Times New Roman" w:hAnsi="Times New Roman" w:cs="Times New Roman"/>
                <w:color w:val="auto"/>
                <w:highlight w:val="none"/>
                <w:lang w:val="en-US" w:eastAsia="zh-CN"/>
              </w:rPr>
              <w:t>危险特性T/C/I/R，</w:t>
            </w:r>
            <w:r>
              <w:rPr>
                <w:rFonts w:hint="default" w:ascii="Times New Roman" w:hAnsi="Times New Roman" w:cs="Times New Roman"/>
                <w:color w:val="auto"/>
                <w:highlight w:val="none"/>
                <w:lang w:val="en-US" w:eastAsia="zh-CN"/>
              </w:rPr>
              <w:t>原包装瓶外加PE塑料袋密封，再放入专用纸箱。暂存于危险废物暂存库内，定期交由有资质单位进行处置。</w:t>
            </w:r>
          </w:p>
          <w:p w14:paraId="25B387B9">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⑥沾染药剂的废弃物</w:t>
            </w:r>
          </w:p>
          <w:p w14:paraId="6494900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来源：废手套、废口罩、废滤纸、</w:t>
            </w:r>
            <w:r>
              <w:rPr>
                <w:rFonts w:hint="eastAsia" w:cs="Times New Roman"/>
                <w:color w:val="auto"/>
                <w:highlight w:val="none"/>
                <w:lang w:val="en-US" w:eastAsia="zh-CN"/>
              </w:rPr>
              <w:t>废抹布</w:t>
            </w:r>
            <w:r>
              <w:rPr>
                <w:rFonts w:hint="default" w:ascii="Times New Roman" w:hAnsi="Times New Roman" w:cs="Times New Roman"/>
                <w:color w:val="auto"/>
                <w:highlight w:val="none"/>
                <w:lang w:val="en-US" w:eastAsia="zh-CN"/>
              </w:rPr>
              <w:t>、破损的塑料滴管、玻璃棒等一次性耗材。产生量约0.02t/a，危废类别为HW49其他废物，废物代码为900-047-49，</w:t>
            </w:r>
            <w:r>
              <w:rPr>
                <w:rFonts w:hint="eastAsia" w:ascii="Times New Roman" w:hAnsi="Times New Roman" w:cs="Times New Roman"/>
                <w:color w:val="auto"/>
                <w:highlight w:val="none"/>
                <w:lang w:val="en-US" w:eastAsia="zh-CN"/>
              </w:rPr>
              <w:t>危险特性T/C/I/R，</w:t>
            </w:r>
            <w:r>
              <w:rPr>
                <w:rFonts w:hint="default" w:ascii="Times New Roman" w:hAnsi="Times New Roman" w:cs="Times New Roman"/>
                <w:color w:val="auto"/>
                <w:highlight w:val="none"/>
                <w:lang w:val="en-US" w:eastAsia="zh-CN"/>
              </w:rPr>
              <w:t>包装方式：使用防漏塑料袋密封后放入专用纸箱，暂存于危险废物暂存库内，定期交由有资质单位进行处置。</w:t>
            </w:r>
          </w:p>
          <w:p w14:paraId="52DC2B52">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w:t>
            </w:r>
            <w:r>
              <w:rPr>
                <w:rFonts w:hint="eastAsia" w:cs="Times New Roman"/>
                <w:b/>
                <w:bCs/>
                <w:color w:val="auto"/>
                <w:highlight w:val="none"/>
                <w:lang w:val="en-US" w:eastAsia="zh-CN"/>
              </w:rPr>
              <w:t>10</w:t>
            </w:r>
            <w:r>
              <w:rPr>
                <w:rFonts w:hint="default" w:ascii="Times New Roman" w:hAnsi="Times New Roman" w:cs="Times New Roman"/>
                <w:b/>
                <w:bCs/>
                <w:color w:val="auto"/>
                <w:highlight w:val="none"/>
                <w:lang w:val="en-US" w:eastAsia="zh-CN"/>
              </w:rPr>
              <w:t>本项目危险废物产生情况一览表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714"/>
              <w:gridCol w:w="714"/>
              <w:gridCol w:w="714"/>
              <w:gridCol w:w="714"/>
              <w:gridCol w:w="714"/>
              <w:gridCol w:w="714"/>
              <w:gridCol w:w="714"/>
              <w:gridCol w:w="714"/>
              <w:gridCol w:w="714"/>
              <w:gridCol w:w="715"/>
            </w:tblGrid>
            <w:tr w14:paraId="68BA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714" w:type="dxa"/>
                </w:tcPr>
                <w:p w14:paraId="40F0BB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序号</w:t>
                  </w:r>
                </w:p>
              </w:tc>
              <w:tc>
                <w:tcPr>
                  <w:tcW w:w="714" w:type="dxa"/>
                </w:tcPr>
                <w:p w14:paraId="08C833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固废名称</w:t>
                  </w:r>
                </w:p>
              </w:tc>
              <w:tc>
                <w:tcPr>
                  <w:tcW w:w="714" w:type="dxa"/>
                </w:tcPr>
                <w:p w14:paraId="3C3BD9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危废类别</w:t>
                  </w:r>
                </w:p>
              </w:tc>
              <w:tc>
                <w:tcPr>
                  <w:tcW w:w="714" w:type="dxa"/>
                </w:tcPr>
                <w:p w14:paraId="53DCC5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危废代码</w:t>
                  </w:r>
                </w:p>
              </w:tc>
              <w:tc>
                <w:tcPr>
                  <w:tcW w:w="714" w:type="dxa"/>
                </w:tcPr>
                <w:p w14:paraId="42F53CD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产生量t/a</w:t>
                  </w:r>
                </w:p>
              </w:tc>
              <w:tc>
                <w:tcPr>
                  <w:tcW w:w="714" w:type="dxa"/>
                </w:tcPr>
                <w:p w14:paraId="4FCA79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产生工序</w:t>
                  </w:r>
                </w:p>
              </w:tc>
              <w:tc>
                <w:tcPr>
                  <w:tcW w:w="714" w:type="dxa"/>
                </w:tcPr>
                <w:p w14:paraId="6D8B07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形态</w:t>
                  </w:r>
                </w:p>
              </w:tc>
              <w:tc>
                <w:tcPr>
                  <w:tcW w:w="714" w:type="dxa"/>
                </w:tcPr>
                <w:p w14:paraId="77988A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主要成分</w:t>
                  </w:r>
                </w:p>
              </w:tc>
              <w:tc>
                <w:tcPr>
                  <w:tcW w:w="714" w:type="dxa"/>
                </w:tcPr>
                <w:p w14:paraId="26DAB7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产废周期</w:t>
                  </w:r>
                </w:p>
              </w:tc>
              <w:tc>
                <w:tcPr>
                  <w:tcW w:w="714" w:type="dxa"/>
                </w:tcPr>
                <w:p w14:paraId="7482C6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危险特性</w:t>
                  </w:r>
                </w:p>
              </w:tc>
              <w:tc>
                <w:tcPr>
                  <w:tcW w:w="715" w:type="dxa"/>
                </w:tcPr>
                <w:p w14:paraId="02B990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污染防治措施</w:t>
                  </w:r>
                </w:p>
              </w:tc>
            </w:tr>
            <w:tr w14:paraId="2D5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14" w:type="dxa"/>
                </w:tcPr>
                <w:p w14:paraId="1DE3871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p>
              </w:tc>
              <w:tc>
                <w:tcPr>
                  <w:tcW w:w="714" w:type="dxa"/>
                </w:tcPr>
                <w:p w14:paraId="282DF5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实验后器皿清洗废水（第1-第2次）</w:t>
                  </w:r>
                </w:p>
              </w:tc>
              <w:tc>
                <w:tcPr>
                  <w:tcW w:w="714" w:type="dxa"/>
                </w:tcPr>
                <w:p w14:paraId="1EE10C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w:t>
                  </w:r>
                  <w:r>
                    <w:rPr>
                      <w:rFonts w:hint="eastAsia" w:ascii="Times New Roman" w:hAnsi="Times New Roman" w:cs="Times New Roman"/>
                      <w:color w:val="auto"/>
                      <w:sz w:val="21"/>
                      <w:szCs w:val="21"/>
                      <w:highlight w:val="none"/>
                      <w:lang w:val="en-US" w:eastAsia="zh-CN"/>
                    </w:rPr>
                    <w:t>49</w:t>
                  </w:r>
                </w:p>
              </w:tc>
              <w:tc>
                <w:tcPr>
                  <w:tcW w:w="714" w:type="dxa"/>
                </w:tcPr>
                <w:p w14:paraId="02FE1A0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900-</w:t>
                  </w:r>
                  <w:r>
                    <w:rPr>
                      <w:rFonts w:hint="eastAsia" w:ascii="Times New Roman" w:hAnsi="Times New Roman" w:cs="Times New Roman"/>
                      <w:color w:val="auto"/>
                      <w:sz w:val="21"/>
                      <w:szCs w:val="21"/>
                      <w:highlight w:val="none"/>
                      <w:lang w:val="en-US" w:eastAsia="zh-CN"/>
                    </w:rPr>
                    <w:t>047-49</w:t>
                  </w:r>
                </w:p>
              </w:tc>
              <w:tc>
                <w:tcPr>
                  <w:tcW w:w="714" w:type="dxa"/>
                </w:tcPr>
                <w:p w14:paraId="7BFE2CD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6.4</w:t>
                  </w:r>
                </w:p>
              </w:tc>
              <w:tc>
                <w:tcPr>
                  <w:tcW w:w="714" w:type="dxa"/>
                </w:tcPr>
                <w:p w14:paraId="68BC93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实验后器皿前两次冲洗废水</w:t>
                  </w:r>
                </w:p>
              </w:tc>
              <w:tc>
                <w:tcPr>
                  <w:tcW w:w="714" w:type="dxa"/>
                </w:tcPr>
                <w:p w14:paraId="77116B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液态</w:t>
                  </w:r>
                </w:p>
              </w:tc>
              <w:tc>
                <w:tcPr>
                  <w:tcW w:w="714" w:type="dxa"/>
                </w:tcPr>
                <w:p w14:paraId="7BF3F9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残留酸、碱、重金属、有机溶剂</w:t>
                  </w:r>
                </w:p>
              </w:tc>
              <w:tc>
                <w:tcPr>
                  <w:tcW w:w="714" w:type="dxa"/>
                </w:tcPr>
                <w:p w14:paraId="1B4DE0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每</w:t>
                  </w:r>
                  <w:r>
                    <w:rPr>
                      <w:rFonts w:hint="eastAsia" w:ascii="Times New Roman" w:hAnsi="Times New Roman" w:cs="Times New Roman"/>
                      <w:color w:val="auto"/>
                      <w:sz w:val="21"/>
                      <w:szCs w:val="21"/>
                      <w:highlight w:val="none"/>
                      <w:lang w:val="en-US" w:eastAsia="zh-CN"/>
                    </w:rPr>
                    <w:t>天</w:t>
                  </w:r>
                </w:p>
              </w:tc>
              <w:tc>
                <w:tcPr>
                  <w:tcW w:w="714" w:type="dxa"/>
                </w:tcPr>
                <w:p w14:paraId="0B7408A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T/C/I/R</w:t>
                  </w:r>
                </w:p>
              </w:tc>
              <w:tc>
                <w:tcPr>
                  <w:tcW w:w="715" w:type="dxa"/>
                </w:tcPr>
                <w:p w14:paraId="1546C8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PE桶密封存放</w:t>
                  </w:r>
                </w:p>
              </w:tc>
            </w:tr>
            <w:tr w14:paraId="3572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14" w:type="dxa"/>
                </w:tcPr>
                <w:p w14:paraId="447AE8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p>
              </w:tc>
              <w:tc>
                <w:tcPr>
                  <w:tcW w:w="714" w:type="dxa"/>
                </w:tcPr>
                <w:p w14:paraId="77B3D4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实验废液（试剂配制、培养基）</w:t>
                  </w:r>
                </w:p>
              </w:tc>
              <w:tc>
                <w:tcPr>
                  <w:tcW w:w="714" w:type="dxa"/>
                  <w:vAlign w:val="top"/>
                </w:tcPr>
                <w:p w14:paraId="1837CE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w:t>
                  </w:r>
                  <w:r>
                    <w:rPr>
                      <w:rFonts w:hint="eastAsia" w:ascii="Times New Roman" w:hAnsi="Times New Roman" w:cs="Times New Roman"/>
                      <w:color w:val="auto"/>
                      <w:sz w:val="21"/>
                      <w:szCs w:val="21"/>
                      <w:highlight w:val="none"/>
                      <w:lang w:val="en-US" w:eastAsia="zh-CN"/>
                    </w:rPr>
                    <w:t>49</w:t>
                  </w:r>
                </w:p>
              </w:tc>
              <w:tc>
                <w:tcPr>
                  <w:tcW w:w="714" w:type="dxa"/>
                  <w:vAlign w:val="top"/>
                </w:tcPr>
                <w:p w14:paraId="3B8D487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900-</w:t>
                  </w:r>
                  <w:r>
                    <w:rPr>
                      <w:rFonts w:hint="eastAsia" w:ascii="Times New Roman" w:hAnsi="Times New Roman" w:cs="Times New Roman"/>
                      <w:color w:val="auto"/>
                      <w:sz w:val="21"/>
                      <w:szCs w:val="21"/>
                      <w:highlight w:val="none"/>
                      <w:lang w:val="en-US" w:eastAsia="zh-CN"/>
                    </w:rPr>
                    <w:t>047-49</w:t>
                  </w:r>
                </w:p>
              </w:tc>
              <w:tc>
                <w:tcPr>
                  <w:tcW w:w="714" w:type="dxa"/>
                  <w:vAlign w:val="top"/>
                </w:tcPr>
                <w:p w14:paraId="440D0A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0.14</w:t>
                  </w:r>
                </w:p>
              </w:tc>
              <w:tc>
                <w:tcPr>
                  <w:tcW w:w="714" w:type="dxa"/>
                  <w:vAlign w:val="center"/>
                </w:tcPr>
                <w:p w14:paraId="370ECF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试剂配制、培养基</w:t>
                  </w:r>
                </w:p>
              </w:tc>
              <w:tc>
                <w:tcPr>
                  <w:tcW w:w="714" w:type="dxa"/>
                  <w:vAlign w:val="center"/>
                </w:tcPr>
                <w:p w14:paraId="708333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液态</w:t>
                  </w:r>
                </w:p>
              </w:tc>
              <w:tc>
                <w:tcPr>
                  <w:tcW w:w="714" w:type="dxa"/>
                  <w:vAlign w:val="center"/>
                </w:tcPr>
                <w:p w14:paraId="632F0E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p>
              </w:tc>
              <w:tc>
                <w:tcPr>
                  <w:tcW w:w="714" w:type="dxa"/>
                  <w:vAlign w:val="center"/>
                </w:tcPr>
                <w:p w14:paraId="655437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每天</w:t>
                  </w:r>
                </w:p>
              </w:tc>
              <w:tc>
                <w:tcPr>
                  <w:tcW w:w="714" w:type="dxa"/>
                  <w:vAlign w:val="center"/>
                </w:tcPr>
                <w:p w14:paraId="7FBE912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T/C/I/R</w:t>
                  </w:r>
                </w:p>
              </w:tc>
              <w:tc>
                <w:tcPr>
                  <w:tcW w:w="715" w:type="dxa"/>
                  <w:vAlign w:val="center"/>
                </w:tcPr>
                <w:p w14:paraId="63A551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PE桶密封存放</w:t>
                  </w:r>
                </w:p>
              </w:tc>
            </w:tr>
            <w:tr w14:paraId="3F224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14" w:type="dxa"/>
                </w:tcPr>
                <w:p w14:paraId="456658C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p>
              </w:tc>
              <w:tc>
                <w:tcPr>
                  <w:tcW w:w="714" w:type="dxa"/>
                </w:tcPr>
                <w:p w14:paraId="74BACB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废试剂瓶</w:t>
                  </w:r>
                </w:p>
              </w:tc>
              <w:tc>
                <w:tcPr>
                  <w:tcW w:w="714" w:type="dxa"/>
                  <w:vAlign w:val="center"/>
                </w:tcPr>
                <w:p w14:paraId="042D19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HW49</w:t>
                  </w:r>
                </w:p>
              </w:tc>
              <w:tc>
                <w:tcPr>
                  <w:tcW w:w="714" w:type="dxa"/>
                  <w:vAlign w:val="center"/>
                </w:tcPr>
                <w:p w14:paraId="7AC951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900-041-49</w:t>
                  </w:r>
                </w:p>
              </w:tc>
              <w:tc>
                <w:tcPr>
                  <w:tcW w:w="714" w:type="dxa"/>
                  <w:vAlign w:val="center"/>
                </w:tcPr>
                <w:p w14:paraId="23D362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0.05</w:t>
                  </w:r>
                </w:p>
              </w:tc>
              <w:tc>
                <w:tcPr>
                  <w:tcW w:w="714" w:type="dxa"/>
                  <w:vAlign w:val="center"/>
                </w:tcPr>
                <w:p w14:paraId="105F62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试剂使用</w:t>
                  </w:r>
                </w:p>
              </w:tc>
              <w:tc>
                <w:tcPr>
                  <w:tcW w:w="714" w:type="dxa"/>
                  <w:vAlign w:val="center"/>
                </w:tcPr>
                <w:p w14:paraId="793234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固</w:t>
                  </w:r>
                </w:p>
              </w:tc>
              <w:tc>
                <w:tcPr>
                  <w:tcW w:w="714" w:type="dxa"/>
                  <w:vAlign w:val="center"/>
                </w:tcPr>
                <w:p w14:paraId="3D8FCC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玻璃/塑料+残液</w:t>
                  </w:r>
                </w:p>
              </w:tc>
              <w:tc>
                <w:tcPr>
                  <w:tcW w:w="714" w:type="dxa"/>
                  <w:vAlign w:val="center"/>
                </w:tcPr>
                <w:p w14:paraId="437C2D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每周</w:t>
                  </w:r>
                </w:p>
              </w:tc>
              <w:tc>
                <w:tcPr>
                  <w:tcW w:w="714" w:type="dxa"/>
                  <w:vAlign w:val="center"/>
                </w:tcPr>
                <w:p w14:paraId="55DBC5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w:t>
                  </w:r>
                </w:p>
              </w:tc>
              <w:tc>
                <w:tcPr>
                  <w:tcW w:w="715" w:type="dxa"/>
                  <w:vAlign w:val="center"/>
                </w:tcPr>
                <w:p w14:paraId="1E83A0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加盖后使用大口PE桶集中存放</w:t>
                  </w:r>
                </w:p>
              </w:tc>
            </w:tr>
            <w:tr w14:paraId="2649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14" w:type="dxa"/>
                </w:tcPr>
                <w:p w14:paraId="734581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p>
              </w:tc>
              <w:tc>
                <w:tcPr>
                  <w:tcW w:w="714" w:type="dxa"/>
                  <w:vAlign w:val="center"/>
                </w:tcPr>
                <w:p w14:paraId="339EF2D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废活性炭</w:t>
                  </w:r>
                </w:p>
              </w:tc>
              <w:tc>
                <w:tcPr>
                  <w:tcW w:w="714" w:type="dxa"/>
                  <w:vAlign w:val="center"/>
                </w:tcPr>
                <w:p w14:paraId="1976DD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HW49</w:t>
                  </w:r>
                </w:p>
              </w:tc>
              <w:tc>
                <w:tcPr>
                  <w:tcW w:w="714" w:type="dxa"/>
                  <w:vAlign w:val="center"/>
                </w:tcPr>
                <w:p w14:paraId="40FACA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900-0</w:t>
                  </w:r>
                  <w:r>
                    <w:rPr>
                      <w:rFonts w:hint="eastAsia" w:ascii="Times New Roman" w:hAnsi="Times New Roman" w:cs="Times New Roman"/>
                      <w:color w:val="auto"/>
                      <w:sz w:val="21"/>
                      <w:szCs w:val="21"/>
                      <w:highlight w:val="none"/>
                      <w:lang w:val="en-US" w:eastAsia="zh-CN"/>
                    </w:rPr>
                    <w:t>39</w:t>
                  </w:r>
                  <w:r>
                    <w:rPr>
                      <w:rFonts w:hint="default" w:ascii="Times New Roman" w:hAnsi="Times New Roman" w:cs="Times New Roman"/>
                      <w:color w:val="auto"/>
                      <w:sz w:val="21"/>
                      <w:szCs w:val="21"/>
                      <w:highlight w:val="none"/>
                      <w:lang w:val="en-US" w:eastAsia="zh-CN"/>
                    </w:rPr>
                    <w:t>-49</w:t>
                  </w:r>
                </w:p>
              </w:tc>
              <w:tc>
                <w:tcPr>
                  <w:tcW w:w="714" w:type="dxa"/>
                  <w:vAlign w:val="center"/>
                </w:tcPr>
                <w:p w14:paraId="239857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0.005</w:t>
                  </w:r>
                </w:p>
              </w:tc>
              <w:tc>
                <w:tcPr>
                  <w:tcW w:w="714" w:type="dxa"/>
                  <w:vAlign w:val="center"/>
                </w:tcPr>
                <w:p w14:paraId="7EB0C9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废气处理</w:t>
                  </w:r>
                </w:p>
              </w:tc>
              <w:tc>
                <w:tcPr>
                  <w:tcW w:w="714" w:type="dxa"/>
                  <w:vAlign w:val="center"/>
                </w:tcPr>
                <w:p w14:paraId="282C29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固</w:t>
                  </w:r>
                </w:p>
              </w:tc>
              <w:tc>
                <w:tcPr>
                  <w:tcW w:w="714" w:type="dxa"/>
                  <w:vAlign w:val="center"/>
                </w:tcPr>
                <w:p w14:paraId="0D580C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活性炭+吸附的VOCs</w:t>
                  </w:r>
                </w:p>
              </w:tc>
              <w:tc>
                <w:tcPr>
                  <w:tcW w:w="714" w:type="dxa"/>
                  <w:vAlign w:val="center"/>
                </w:tcPr>
                <w:p w14:paraId="7AE8764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每年</w:t>
                  </w:r>
                </w:p>
              </w:tc>
              <w:tc>
                <w:tcPr>
                  <w:tcW w:w="714" w:type="dxa"/>
                  <w:vAlign w:val="center"/>
                </w:tcPr>
                <w:p w14:paraId="0DA3CF9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w:t>
                  </w:r>
                </w:p>
              </w:tc>
              <w:tc>
                <w:tcPr>
                  <w:tcW w:w="715" w:type="dxa"/>
                  <w:vAlign w:val="center"/>
                </w:tcPr>
                <w:p w14:paraId="3C3100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使用防漏塑料袋密封后放入专用纸箱</w:t>
                  </w:r>
                </w:p>
              </w:tc>
            </w:tr>
            <w:tr w14:paraId="10CC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14" w:type="dxa"/>
                </w:tcPr>
                <w:p w14:paraId="489C37A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w:t>
                  </w:r>
                </w:p>
              </w:tc>
              <w:tc>
                <w:tcPr>
                  <w:tcW w:w="714" w:type="dxa"/>
                  <w:vAlign w:val="center"/>
                </w:tcPr>
                <w:p w14:paraId="4485B00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变质或失效的试剂</w:t>
                  </w:r>
                </w:p>
              </w:tc>
              <w:tc>
                <w:tcPr>
                  <w:tcW w:w="714" w:type="dxa"/>
                  <w:vAlign w:val="center"/>
                </w:tcPr>
                <w:p w14:paraId="4B9CF9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HW49</w:t>
                  </w:r>
                </w:p>
              </w:tc>
              <w:tc>
                <w:tcPr>
                  <w:tcW w:w="714" w:type="dxa"/>
                  <w:vAlign w:val="center"/>
                </w:tcPr>
                <w:p w14:paraId="33B621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900-041-49</w:t>
                  </w:r>
                </w:p>
              </w:tc>
              <w:tc>
                <w:tcPr>
                  <w:tcW w:w="714" w:type="dxa"/>
                  <w:vAlign w:val="center"/>
                </w:tcPr>
                <w:p w14:paraId="789F3B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0.01</w:t>
                  </w:r>
                </w:p>
              </w:tc>
              <w:tc>
                <w:tcPr>
                  <w:tcW w:w="714" w:type="dxa"/>
                  <w:vAlign w:val="center"/>
                </w:tcPr>
                <w:p w14:paraId="26279B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药品库</w:t>
                  </w:r>
                </w:p>
              </w:tc>
              <w:tc>
                <w:tcPr>
                  <w:tcW w:w="714" w:type="dxa"/>
                  <w:vAlign w:val="center"/>
                </w:tcPr>
                <w:p w14:paraId="72EEDDB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固/液</w:t>
                  </w:r>
                </w:p>
              </w:tc>
              <w:tc>
                <w:tcPr>
                  <w:tcW w:w="714" w:type="dxa"/>
                  <w:vAlign w:val="center"/>
                </w:tcPr>
                <w:p w14:paraId="6850DA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多种化学品</w:t>
                  </w:r>
                </w:p>
              </w:tc>
              <w:tc>
                <w:tcPr>
                  <w:tcW w:w="714" w:type="dxa"/>
                  <w:vAlign w:val="center"/>
                </w:tcPr>
                <w:p w14:paraId="3DE4D3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每年</w:t>
                  </w:r>
                </w:p>
              </w:tc>
              <w:tc>
                <w:tcPr>
                  <w:tcW w:w="714" w:type="dxa"/>
                  <w:vAlign w:val="center"/>
                </w:tcPr>
                <w:p w14:paraId="735D64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T/C/I/R</w:t>
                  </w:r>
                </w:p>
              </w:tc>
              <w:tc>
                <w:tcPr>
                  <w:tcW w:w="715" w:type="dxa"/>
                  <w:vAlign w:val="center"/>
                </w:tcPr>
                <w:p w14:paraId="7CB17D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原包装瓶外加PE塑料袋密封，再放入专用纸箱</w:t>
                  </w:r>
                </w:p>
              </w:tc>
            </w:tr>
            <w:tr w14:paraId="2680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14" w:type="dxa"/>
                </w:tcPr>
                <w:p w14:paraId="206201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p>
              </w:tc>
              <w:tc>
                <w:tcPr>
                  <w:tcW w:w="714" w:type="dxa"/>
                  <w:vAlign w:val="center"/>
                </w:tcPr>
                <w:p w14:paraId="628D02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沾染药剂的废弃物</w:t>
                  </w:r>
                </w:p>
              </w:tc>
              <w:tc>
                <w:tcPr>
                  <w:tcW w:w="714" w:type="dxa"/>
                  <w:vAlign w:val="center"/>
                </w:tcPr>
                <w:p w14:paraId="4A5542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HW49</w:t>
                  </w:r>
                </w:p>
              </w:tc>
              <w:tc>
                <w:tcPr>
                  <w:tcW w:w="714" w:type="dxa"/>
                  <w:vAlign w:val="center"/>
                </w:tcPr>
                <w:p w14:paraId="023BD4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900-04</w:t>
                  </w:r>
                  <w:r>
                    <w:rPr>
                      <w:rFonts w:hint="eastAsia"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lang w:val="en-US" w:eastAsia="zh-CN"/>
                    </w:rPr>
                    <w:t>-49</w:t>
                  </w:r>
                </w:p>
              </w:tc>
              <w:tc>
                <w:tcPr>
                  <w:tcW w:w="714" w:type="dxa"/>
                  <w:vAlign w:val="center"/>
                </w:tcPr>
                <w:p w14:paraId="265D86F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0.02</w:t>
                  </w:r>
                </w:p>
              </w:tc>
              <w:tc>
                <w:tcPr>
                  <w:tcW w:w="714" w:type="dxa"/>
                  <w:vAlign w:val="center"/>
                </w:tcPr>
                <w:p w14:paraId="023C03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实验过程</w:t>
                  </w:r>
                </w:p>
              </w:tc>
              <w:tc>
                <w:tcPr>
                  <w:tcW w:w="714" w:type="dxa"/>
                  <w:vAlign w:val="center"/>
                </w:tcPr>
                <w:p w14:paraId="36AB3D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固</w:t>
                  </w:r>
                </w:p>
              </w:tc>
              <w:tc>
                <w:tcPr>
                  <w:tcW w:w="714" w:type="dxa"/>
                  <w:vAlign w:val="center"/>
                </w:tcPr>
                <w:p w14:paraId="5138DD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废手套、废口罩、废滤纸、</w:t>
                  </w:r>
                  <w:r>
                    <w:rPr>
                      <w:rFonts w:hint="eastAsia" w:cs="Times New Roman"/>
                      <w:color w:val="auto"/>
                      <w:sz w:val="21"/>
                      <w:szCs w:val="21"/>
                      <w:highlight w:val="none"/>
                      <w:lang w:val="en-US" w:eastAsia="zh-CN"/>
                    </w:rPr>
                    <w:t>废抹布</w:t>
                  </w:r>
                  <w:r>
                    <w:rPr>
                      <w:rFonts w:hint="default" w:ascii="Times New Roman" w:hAnsi="Times New Roman" w:cs="Times New Roman"/>
                      <w:color w:val="auto"/>
                      <w:sz w:val="21"/>
                      <w:szCs w:val="21"/>
                      <w:highlight w:val="none"/>
                      <w:lang w:val="en-US" w:eastAsia="zh-CN"/>
                    </w:rPr>
                    <w:t>、破损的塑料滴管、玻璃棒等一次性耗材</w:t>
                  </w:r>
                </w:p>
              </w:tc>
              <w:tc>
                <w:tcPr>
                  <w:tcW w:w="714" w:type="dxa"/>
                  <w:vAlign w:val="center"/>
                </w:tcPr>
                <w:p w14:paraId="7280A5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每周</w:t>
                  </w:r>
                </w:p>
              </w:tc>
              <w:tc>
                <w:tcPr>
                  <w:tcW w:w="714" w:type="dxa"/>
                  <w:vAlign w:val="center"/>
                </w:tcPr>
                <w:p w14:paraId="12895D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T/C/I/R</w:t>
                  </w:r>
                </w:p>
              </w:tc>
              <w:tc>
                <w:tcPr>
                  <w:tcW w:w="715" w:type="dxa"/>
                  <w:vAlign w:val="center"/>
                </w:tcPr>
                <w:p w14:paraId="378D319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使用防漏塑料袋密封后放入专用纸箱</w:t>
                  </w:r>
                </w:p>
              </w:tc>
            </w:tr>
          </w:tbl>
          <w:p w14:paraId="749D1120">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表4-1</w:t>
            </w:r>
            <w:r>
              <w:rPr>
                <w:rFonts w:hint="eastAsia" w:cs="Times New Roman"/>
                <w:b/>
                <w:bCs/>
                <w:color w:val="auto"/>
                <w:highlight w:val="none"/>
                <w:lang w:val="en-US" w:eastAsia="zh-CN"/>
              </w:rPr>
              <w:t>1</w:t>
            </w:r>
            <w:r>
              <w:rPr>
                <w:rFonts w:hint="default" w:ascii="Times New Roman" w:hAnsi="Times New Roman" w:cs="Times New Roman"/>
                <w:b/>
                <w:bCs/>
                <w:color w:val="auto"/>
                <w:highlight w:val="none"/>
                <w:lang w:val="en-US" w:eastAsia="zh-CN"/>
              </w:rPr>
              <w:t>本项目一般固废产生情况一览表</w:t>
            </w:r>
          </w:p>
          <w:tbl>
            <w:tblPr>
              <w:tblStyle w:val="24"/>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016"/>
              <w:gridCol w:w="1521"/>
              <w:gridCol w:w="1329"/>
              <w:gridCol w:w="1041"/>
              <w:gridCol w:w="1325"/>
            </w:tblGrid>
            <w:tr w14:paraId="592D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Align w:val="center"/>
                </w:tcPr>
                <w:p w14:paraId="032C0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序号</w:t>
                  </w:r>
                </w:p>
              </w:tc>
              <w:tc>
                <w:tcPr>
                  <w:tcW w:w="2016" w:type="dxa"/>
                  <w:vAlign w:val="center"/>
                </w:tcPr>
                <w:p w14:paraId="2C2755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固废名称</w:t>
                  </w:r>
                </w:p>
              </w:tc>
              <w:tc>
                <w:tcPr>
                  <w:tcW w:w="1521" w:type="dxa"/>
                  <w:vAlign w:val="center"/>
                </w:tcPr>
                <w:p w14:paraId="35A446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产生量</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t/a</w:t>
                  </w:r>
                  <w:r>
                    <w:rPr>
                      <w:rFonts w:hint="eastAsia" w:ascii="Times New Roman" w:hAnsi="Times New Roman" w:cs="Times New Roman"/>
                      <w:color w:val="auto"/>
                      <w:highlight w:val="none"/>
                      <w:lang w:val="en-US" w:eastAsia="zh-CN"/>
                    </w:rPr>
                    <w:t>）</w:t>
                  </w:r>
                </w:p>
              </w:tc>
              <w:tc>
                <w:tcPr>
                  <w:tcW w:w="1329" w:type="dxa"/>
                  <w:vAlign w:val="center"/>
                </w:tcPr>
                <w:p w14:paraId="3E6EE8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产生工序</w:t>
                  </w:r>
                </w:p>
              </w:tc>
              <w:tc>
                <w:tcPr>
                  <w:tcW w:w="1041" w:type="dxa"/>
                  <w:vAlign w:val="center"/>
                </w:tcPr>
                <w:p w14:paraId="787222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形态</w:t>
                  </w:r>
                </w:p>
              </w:tc>
              <w:tc>
                <w:tcPr>
                  <w:tcW w:w="1325" w:type="dxa"/>
                  <w:vAlign w:val="center"/>
                </w:tcPr>
                <w:p w14:paraId="24BB50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处置方式</w:t>
                  </w:r>
                </w:p>
              </w:tc>
            </w:tr>
            <w:tr w14:paraId="17F01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14" w:type="dxa"/>
                  <w:vAlign w:val="center"/>
                </w:tcPr>
                <w:p w14:paraId="2584BD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1</w:t>
                  </w:r>
                </w:p>
              </w:tc>
              <w:tc>
                <w:tcPr>
                  <w:tcW w:w="2016" w:type="dxa"/>
                  <w:vAlign w:val="center"/>
                </w:tcPr>
                <w:p w14:paraId="31A018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color w:val="auto"/>
                      <w:highlight w:val="none"/>
                      <w:lang w:val="en-US" w:eastAsia="zh-CN"/>
                    </w:rPr>
                    <w:t>没有沾染药剂的废包装物</w:t>
                  </w:r>
                </w:p>
              </w:tc>
              <w:tc>
                <w:tcPr>
                  <w:tcW w:w="1521" w:type="dxa"/>
                  <w:vAlign w:val="center"/>
                </w:tcPr>
                <w:p w14:paraId="7960D2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0.1</w:t>
                  </w:r>
                </w:p>
              </w:tc>
              <w:tc>
                <w:tcPr>
                  <w:tcW w:w="1329" w:type="dxa"/>
                  <w:vAlign w:val="center"/>
                </w:tcPr>
                <w:p w14:paraId="061326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试剂、设备包装材料</w:t>
                  </w:r>
                </w:p>
              </w:tc>
              <w:tc>
                <w:tcPr>
                  <w:tcW w:w="1041" w:type="dxa"/>
                  <w:vAlign w:val="center"/>
                </w:tcPr>
                <w:p w14:paraId="44B887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固态</w:t>
                  </w:r>
                </w:p>
              </w:tc>
              <w:tc>
                <w:tcPr>
                  <w:tcW w:w="1325" w:type="dxa"/>
                  <w:vMerge w:val="restart"/>
                </w:tcPr>
                <w:p w14:paraId="24D4DF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color w:val="auto"/>
                      <w:highlight w:val="none"/>
                      <w:lang w:val="en-US" w:eastAsia="zh-CN"/>
                    </w:rPr>
                    <w:t>与学校内的生活垃圾一同处置</w:t>
                  </w:r>
                </w:p>
              </w:tc>
            </w:tr>
            <w:tr w14:paraId="43DD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14" w:type="dxa"/>
                  <w:vAlign w:val="center"/>
                </w:tcPr>
                <w:p w14:paraId="563731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w:t>
                  </w:r>
                </w:p>
              </w:tc>
              <w:tc>
                <w:tcPr>
                  <w:tcW w:w="2016" w:type="dxa"/>
                  <w:vAlign w:val="center"/>
                </w:tcPr>
                <w:p w14:paraId="1DC2AD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废弃包装物</w:t>
                  </w:r>
                </w:p>
              </w:tc>
              <w:tc>
                <w:tcPr>
                  <w:tcW w:w="1521" w:type="dxa"/>
                  <w:vAlign w:val="center"/>
                </w:tcPr>
                <w:p w14:paraId="6D59D0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0.1</w:t>
                  </w:r>
                </w:p>
              </w:tc>
              <w:tc>
                <w:tcPr>
                  <w:tcW w:w="1329" w:type="dxa"/>
                  <w:vAlign w:val="center"/>
                </w:tcPr>
                <w:p w14:paraId="07ABC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器材包装物</w:t>
                  </w:r>
                </w:p>
              </w:tc>
              <w:tc>
                <w:tcPr>
                  <w:tcW w:w="1041" w:type="dxa"/>
                  <w:vAlign w:val="center"/>
                </w:tcPr>
                <w:p w14:paraId="0178D5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固态</w:t>
                  </w:r>
                </w:p>
              </w:tc>
              <w:tc>
                <w:tcPr>
                  <w:tcW w:w="1325" w:type="dxa"/>
                  <w:vMerge w:val="continue"/>
                </w:tcPr>
                <w:p w14:paraId="0494AA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3B84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Align w:val="center"/>
                </w:tcPr>
                <w:p w14:paraId="28678B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w:t>
                  </w:r>
                </w:p>
              </w:tc>
              <w:tc>
                <w:tcPr>
                  <w:tcW w:w="2016" w:type="dxa"/>
                  <w:vAlign w:val="center"/>
                </w:tcPr>
                <w:p w14:paraId="272807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灭活废弃培养基</w:t>
                  </w:r>
                </w:p>
              </w:tc>
              <w:tc>
                <w:tcPr>
                  <w:tcW w:w="1521" w:type="dxa"/>
                  <w:vAlign w:val="center"/>
                </w:tcPr>
                <w:p w14:paraId="6E4AA7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0.02</w:t>
                  </w:r>
                </w:p>
              </w:tc>
              <w:tc>
                <w:tcPr>
                  <w:tcW w:w="1329" w:type="dxa"/>
                  <w:vAlign w:val="center"/>
                </w:tcPr>
                <w:p w14:paraId="331BD5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培养基</w:t>
                  </w:r>
                </w:p>
              </w:tc>
              <w:tc>
                <w:tcPr>
                  <w:tcW w:w="1041" w:type="dxa"/>
                  <w:vAlign w:val="center"/>
                </w:tcPr>
                <w:p w14:paraId="773F8C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半固态</w:t>
                  </w:r>
                </w:p>
              </w:tc>
              <w:tc>
                <w:tcPr>
                  <w:tcW w:w="1325" w:type="dxa"/>
                  <w:vMerge w:val="continue"/>
                </w:tcPr>
                <w:p w14:paraId="46AA92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p>
              </w:tc>
            </w:tr>
            <w:tr w14:paraId="77A8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Align w:val="center"/>
                </w:tcPr>
                <w:p w14:paraId="64AEB1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highlight w:val="none"/>
                      <w:lang w:val="en-US" w:eastAsia="zh-CN"/>
                    </w:rPr>
                  </w:pPr>
                  <w:r>
                    <w:rPr>
                      <w:rFonts w:hint="eastAsia" w:cs="Times New Roman"/>
                      <w:color w:val="auto"/>
                      <w:highlight w:val="none"/>
                      <w:lang w:val="en-US" w:eastAsia="zh-CN"/>
                    </w:rPr>
                    <w:t>4</w:t>
                  </w:r>
                </w:p>
              </w:tc>
              <w:tc>
                <w:tcPr>
                  <w:tcW w:w="2016" w:type="dxa"/>
                  <w:vAlign w:val="center"/>
                </w:tcPr>
                <w:p w14:paraId="184D18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生活垃圾</w:t>
                  </w:r>
                </w:p>
              </w:tc>
              <w:tc>
                <w:tcPr>
                  <w:tcW w:w="1521" w:type="dxa"/>
                  <w:vAlign w:val="center"/>
                </w:tcPr>
                <w:p w14:paraId="0ED02B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270</w:t>
                  </w:r>
                </w:p>
              </w:tc>
              <w:tc>
                <w:tcPr>
                  <w:tcW w:w="1329" w:type="dxa"/>
                  <w:vAlign w:val="center"/>
                </w:tcPr>
                <w:p w14:paraId="49489B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日常生活</w:t>
                  </w:r>
                </w:p>
              </w:tc>
              <w:tc>
                <w:tcPr>
                  <w:tcW w:w="1041" w:type="dxa"/>
                  <w:vAlign w:val="center"/>
                </w:tcPr>
                <w:p w14:paraId="6E1E5C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固态</w:t>
                  </w:r>
                </w:p>
              </w:tc>
              <w:tc>
                <w:tcPr>
                  <w:tcW w:w="1325" w:type="dxa"/>
                  <w:vMerge w:val="continue"/>
                </w:tcPr>
                <w:p w14:paraId="03AF32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highlight w:val="none"/>
                      <w:vertAlign w:val="baseline"/>
                      <w:lang w:val="en-US" w:eastAsia="zh-CN"/>
                    </w:rPr>
                  </w:pPr>
                </w:p>
              </w:tc>
            </w:tr>
          </w:tbl>
          <w:p w14:paraId="38013EE0">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（2）固废污染防治措施</w:t>
            </w:r>
          </w:p>
          <w:p w14:paraId="054DDE0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危险废物贮存库应根据不同性质的危废进行分区堆放储存，</w:t>
            </w:r>
            <w:r>
              <w:rPr>
                <w:rFonts w:hint="eastAsia" w:cs="Times New Roman"/>
                <w:color w:val="auto"/>
                <w:highlight w:val="none"/>
                <w:lang w:val="en-US" w:eastAsia="zh-CN"/>
              </w:rPr>
              <w:t>液态危险废物使用PE桶密封存放，PE桶需置于防渗漏托盘上，单个托盘可容纳渗漏量必须大于废液桶容积，并</w:t>
            </w:r>
            <w:r>
              <w:rPr>
                <w:rFonts w:hint="default" w:ascii="Times New Roman" w:hAnsi="Times New Roman" w:cs="Times New Roman"/>
                <w:color w:val="auto"/>
                <w:highlight w:val="none"/>
                <w:lang w:val="en-US" w:eastAsia="zh-CN"/>
              </w:rPr>
              <w:t>做好防渗、消防等防范措施，存储区必须严格按照《危险废物贮存污染控制标准》（GB18597-2023）建设和维护使用，具体如下：</w:t>
            </w:r>
          </w:p>
          <w:p w14:paraId="2C85CA5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①危险废物堆要防风、防雨、防晒，在常温常压下易爆、易燃及排出有毒气体的危险废物必须进行预处理，使之稳定后贮存，否则，按易爆、易燃危险品贮存；</w:t>
            </w:r>
          </w:p>
          <w:p w14:paraId="446651E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在常温常压下不水解、不挥发的固体危险废物可在贮存设施内分别堆放，其他固体危险废物，必须将危险废物装入容器内。禁止将不兼容（相互反应）的危险废物在同一容器内混装，无法装入常用容器的危险废物可用防漏胶袋等盛装；</w:t>
            </w:r>
          </w:p>
          <w:p w14:paraId="0B408FA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③装载液体、半固体危险废物的容器内</w:t>
            </w:r>
            <w:r>
              <w:rPr>
                <w:rFonts w:hint="eastAsia" w:cs="Times New Roman"/>
                <w:color w:val="auto"/>
                <w:highlight w:val="none"/>
                <w:lang w:val="en-US" w:eastAsia="zh-CN"/>
              </w:rPr>
              <w:t>须保</w:t>
            </w:r>
            <w:r>
              <w:rPr>
                <w:rFonts w:hint="default" w:ascii="Times New Roman" w:hAnsi="Times New Roman" w:cs="Times New Roman"/>
                <w:color w:val="auto"/>
                <w:highlight w:val="none"/>
                <w:lang w:val="en-US" w:eastAsia="zh-CN"/>
              </w:rPr>
              <w:t>留足够空间，容器顶部与液体表面之间保留100mm以上的空间。盛装危险废物的容器上必须粘贴国家规范的警示标签；</w:t>
            </w:r>
          </w:p>
          <w:p w14:paraId="4CAA23D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④装载危险废物的容器及材质要满足相应的强度要求，同时必须完好无损。盛容器材质和衬里要与危险废物兼容（不相互反应）。液体危险废物可注入开孔直径不超过70mm并有放气孔的桶中；</w:t>
            </w:r>
          </w:p>
          <w:p w14:paraId="40610CD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⑤危险废物集中贮存设施地面与裙脚要用坚固、防渗的材料建造，建筑材料必须与危险废物相容。储存设施内必须设有泄漏液体收集装置、气体导出口及气体净化装置；</w:t>
            </w:r>
          </w:p>
          <w:p w14:paraId="00A5981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⑥用以存放装载液体、半固体危险废物容器的地方，必须有耐腐蚀的硬化地面，且表面无裂隙；</w:t>
            </w:r>
          </w:p>
          <w:p w14:paraId="4F5DF31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⑦危险废物集中贮存设施应设计堵截泄漏的裙脚，地面与裙脚所围建的容积不低于堵截最大容器的最大储量或总储量的1/</w:t>
            </w:r>
            <w:r>
              <w:rPr>
                <w:rFonts w:hint="eastAsia" w:ascii="Times New Roman" w:hAnsi="Times New Roman" w:cs="Times New Roman"/>
                <w:color w:val="auto"/>
                <w:highlight w:val="none"/>
                <w:lang w:val="en-US" w:eastAsia="zh-CN"/>
              </w:rPr>
              <w:t>10</w:t>
            </w:r>
            <w:r>
              <w:rPr>
                <w:rFonts w:hint="default" w:ascii="Times New Roman" w:hAnsi="Times New Roman" w:cs="Times New Roman"/>
                <w:color w:val="auto"/>
                <w:highlight w:val="none"/>
                <w:lang w:val="en-US" w:eastAsia="zh-CN"/>
              </w:rPr>
              <w:t>；</w:t>
            </w:r>
          </w:p>
          <w:p w14:paraId="03163A6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⑧不相容的危险废物必须分开存放，并设有隔断；</w:t>
            </w:r>
          </w:p>
          <w:p w14:paraId="4029EEB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⑨必须定期对所贮存的危险废物包装容器及贮存设施进行检查，发现破损，应及时采取措施清理更换；</w:t>
            </w:r>
          </w:p>
          <w:p w14:paraId="0467CE0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⑩建设单位应做好危险废物情况的记录，记录上须注明危险废物的名称、来源、数量、特性和包装容器的类别、入库日期、存放库位、废物出库日期及接收单位名称。危险废物的记录和货单在危险废物回取后应继续保留。</w:t>
            </w:r>
          </w:p>
          <w:p w14:paraId="03083C7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⑪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lm厚黏土层（渗透系数≤10</w:t>
            </w:r>
            <w:r>
              <w:rPr>
                <w:rFonts w:hint="default" w:ascii="Times New Roman" w:hAnsi="Times New Roman" w:cs="Times New Roman"/>
                <w:color w:val="auto"/>
                <w:highlight w:val="none"/>
                <w:vertAlign w:val="superscript"/>
                <w:lang w:val="en-US" w:eastAsia="zh-CN"/>
              </w:rPr>
              <w:t>-7</w:t>
            </w:r>
            <w:r>
              <w:rPr>
                <w:rFonts w:hint="default" w:ascii="Times New Roman" w:hAnsi="Times New Roman" w:cs="Times New Roman"/>
                <w:color w:val="auto"/>
                <w:highlight w:val="none"/>
                <w:lang w:val="en-US" w:eastAsia="zh-CN"/>
              </w:rPr>
              <w:t>cm/s），或至少2mm厚高密度聚乙烯膜等人工防渗材料（渗透系数≤10</w:t>
            </w:r>
            <w:r>
              <w:rPr>
                <w:rFonts w:hint="default" w:ascii="Times New Roman" w:hAnsi="Times New Roman" w:cs="Times New Roman"/>
                <w:color w:val="auto"/>
                <w:highlight w:val="none"/>
                <w:vertAlign w:val="superscript"/>
                <w:lang w:val="en-US" w:eastAsia="zh-CN"/>
              </w:rPr>
              <w:t>-10</w:t>
            </w:r>
            <w:r>
              <w:rPr>
                <w:rFonts w:hint="default" w:ascii="Times New Roman" w:hAnsi="Times New Roman" w:cs="Times New Roman"/>
                <w:color w:val="auto"/>
                <w:highlight w:val="none"/>
                <w:lang w:val="en-US" w:eastAsia="zh-CN"/>
              </w:rPr>
              <w:t>cm/s），或其他防渗性能等效的材料。项目运营期在落实上述措施后，固体废物均能得到妥善处置，对周围环境影响基本不大。</w:t>
            </w:r>
          </w:p>
          <w:p w14:paraId="1301950B">
            <w:pPr>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五、地下水、土壤环境影响分析</w:t>
            </w:r>
          </w:p>
          <w:p w14:paraId="01B5E447">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1、地下水环境影响</w:t>
            </w:r>
          </w:p>
          <w:p w14:paraId="62A73EF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下水污染方式可分为直接污染和间接污染两种。直接污染是对地下水污染的主要方式，具体指污染物直接进入含水层，在污染过程中，污染物的性质不变。间接污染是指并非由于污染物直接进入含水层而引起，而是由于污染物作用于其他物质，使这些物质中的某些成分进入地下水造成的。根据类比分析，本项目对地下水的污染影响以直接污染为主，可能导致地下水污染的情景为废水、试剂泄漏后出现的下渗，危险废物贮存期间泄漏后出现的下渗。</w:t>
            </w:r>
          </w:p>
          <w:p w14:paraId="5315794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根据《环境影响评价技术导则地下水环境》（HJ610-2016）“表7地下水污染防渗分区参照表”的说明，防渗分区分为重点防渗区、一般防渗区和简易防渗区。</w:t>
            </w:r>
          </w:p>
          <w:p w14:paraId="369C3C8B">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表4-1</w:t>
            </w:r>
            <w:r>
              <w:rPr>
                <w:rFonts w:hint="eastAsia" w:cs="Times New Roman"/>
                <w:b/>
                <w:bCs/>
                <w:color w:val="auto"/>
                <w:highlight w:val="none"/>
                <w:lang w:val="en-US" w:eastAsia="zh-CN"/>
              </w:rPr>
              <w:t>2</w:t>
            </w:r>
            <w:r>
              <w:rPr>
                <w:rFonts w:hint="default" w:ascii="Times New Roman" w:hAnsi="Times New Roman" w:cs="Times New Roman"/>
                <w:b/>
                <w:bCs/>
                <w:color w:val="auto"/>
                <w:highlight w:val="none"/>
                <w:lang w:val="en-US" w:eastAsia="zh-CN"/>
              </w:rPr>
              <w:t>地下水污染防渗分区参照表</w:t>
            </w:r>
          </w:p>
          <w:tbl>
            <w:tblPr>
              <w:tblStyle w:val="24"/>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4"/>
              <w:gridCol w:w="1350"/>
              <w:gridCol w:w="1187"/>
              <w:gridCol w:w="1263"/>
              <w:gridCol w:w="2682"/>
            </w:tblGrid>
            <w:tr w14:paraId="3269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4" w:type="dxa"/>
                </w:tcPr>
                <w:p w14:paraId="7CA60D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防渗分区</w:t>
                  </w:r>
                </w:p>
              </w:tc>
              <w:tc>
                <w:tcPr>
                  <w:tcW w:w="1350" w:type="dxa"/>
                </w:tcPr>
                <w:p w14:paraId="7AB449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天然包气带防性能</w:t>
                  </w:r>
                </w:p>
              </w:tc>
              <w:tc>
                <w:tcPr>
                  <w:tcW w:w="1187" w:type="dxa"/>
                </w:tcPr>
                <w:p w14:paraId="2490F8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污染控制难易程度</w:t>
                  </w:r>
                </w:p>
              </w:tc>
              <w:tc>
                <w:tcPr>
                  <w:tcW w:w="1263" w:type="dxa"/>
                </w:tcPr>
                <w:p w14:paraId="642DA8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污染物类型</w:t>
                  </w:r>
                </w:p>
              </w:tc>
              <w:tc>
                <w:tcPr>
                  <w:tcW w:w="2682" w:type="dxa"/>
                </w:tcPr>
                <w:p w14:paraId="554C52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防渗系数参数</w:t>
                  </w:r>
                </w:p>
              </w:tc>
            </w:tr>
            <w:tr w14:paraId="1614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restart"/>
                </w:tcPr>
                <w:p w14:paraId="1307C5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重点防渗区</w:t>
                  </w:r>
                </w:p>
              </w:tc>
              <w:tc>
                <w:tcPr>
                  <w:tcW w:w="1350" w:type="dxa"/>
                </w:tcPr>
                <w:p w14:paraId="0F3BD5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弱</w:t>
                  </w:r>
                </w:p>
              </w:tc>
              <w:tc>
                <w:tcPr>
                  <w:tcW w:w="1187" w:type="dxa"/>
                </w:tcPr>
                <w:p w14:paraId="29B936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难</w:t>
                  </w:r>
                </w:p>
              </w:tc>
              <w:tc>
                <w:tcPr>
                  <w:tcW w:w="1263" w:type="dxa"/>
                  <w:vMerge w:val="restart"/>
                </w:tcPr>
                <w:p w14:paraId="6FFC49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重金属、持久性有机污染物</w:t>
                  </w:r>
                </w:p>
              </w:tc>
              <w:tc>
                <w:tcPr>
                  <w:tcW w:w="2682" w:type="dxa"/>
                  <w:vMerge w:val="restart"/>
                </w:tcPr>
                <w:p w14:paraId="38F7FC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效黏土防渗层Mb≥6m，K≤1×10</w:t>
                  </w:r>
                  <w:r>
                    <w:rPr>
                      <w:rFonts w:hint="default" w:ascii="Times New Roman" w:hAnsi="Times New Roman" w:cs="Times New Roman"/>
                      <w:b w:val="0"/>
                      <w:bCs w:val="0"/>
                      <w:color w:val="auto"/>
                      <w:highlight w:val="none"/>
                      <w:vertAlign w:val="superscript"/>
                      <w:lang w:val="en-US" w:eastAsia="zh-CN"/>
                    </w:rPr>
                    <w:t>-7</w:t>
                  </w:r>
                  <w:r>
                    <w:rPr>
                      <w:rFonts w:hint="default" w:ascii="Times New Roman" w:hAnsi="Times New Roman" w:cs="Times New Roman"/>
                      <w:b w:val="0"/>
                      <w:bCs w:val="0"/>
                      <w:color w:val="auto"/>
                      <w:highlight w:val="none"/>
                      <w:vertAlign w:val="baseline"/>
                      <w:lang w:val="en-US" w:eastAsia="zh-CN"/>
                    </w:rPr>
                    <w:t>cm/s；或参照GB18598执行</w:t>
                  </w:r>
                </w:p>
              </w:tc>
            </w:tr>
            <w:tr w14:paraId="7199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tcPr>
                <w:p w14:paraId="77D140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1350" w:type="dxa"/>
                </w:tcPr>
                <w:p w14:paraId="12B5FC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中-强</w:t>
                  </w:r>
                </w:p>
              </w:tc>
              <w:tc>
                <w:tcPr>
                  <w:tcW w:w="1187" w:type="dxa"/>
                </w:tcPr>
                <w:p w14:paraId="0E1DA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难</w:t>
                  </w:r>
                </w:p>
              </w:tc>
              <w:tc>
                <w:tcPr>
                  <w:tcW w:w="1263" w:type="dxa"/>
                  <w:vMerge w:val="continue"/>
                </w:tcPr>
                <w:p w14:paraId="2B09FE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2682" w:type="dxa"/>
                  <w:vMerge w:val="continue"/>
                </w:tcPr>
                <w:p w14:paraId="2E6081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5655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tcPr>
                <w:p w14:paraId="007C80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1350" w:type="dxa"/>
                </w:tcPr>
                <w:p w14:paraId="13B913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弱</w:t>
                  </w:r>
                </w:p>
              </w:tc>
              <w:tc>
                <w:tcPr>
                  <w:tcW w:w="1187" w:type="dxa"/>
                </w:tcPr>
                <w:p w14:paraId="431573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易</w:t>
                  </w:r>
                </w:p>
              </w:tc>
              <w:tc>
                <w:tcPr>
                  <w:tcW w:w="1263" w:type="dxa"/>
                  <w:vMerge w:val="continue"/>
                </w:tcPr>
                <w:p w14:paraId="603C08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2682" w:type="dxa"/>
                  <w:vMerge w:val="continue"/>
                </w:tcPr>
                <w:p w14:paraId="444819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4BE2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restart"/>
                </w:tcPr>
                <w:p w14:paraId="0130A8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一般防渗区</w:t>
                  </w:r>
                </w:p>
              </w:tc>
              <w:tc>
                <w:tcPr>
                  <w:tcW w:w="1350" w:type="dxa"/>
                </w:tcPr>
                <w:p w14:paraId="05D393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弱</w:t>
                  </w:r>
                </w:p>
              </w:tc>
              <w:tc>
                <w:tcPr>
                  <w:tcW w:w="1187" w:type="dxa"/>
                </w:tcPr>
                <w:p w14:paraId="06E807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易-难</w:t>
                  </w:r>
                </w:p>
              </w:tc>
              <w:tc>
                <w:tcPr>
                  <w:tcW w:w="1263" w:type="dxa"/>
                  <w:vMerge w:val="restart"/>
                </w:tcPr>
                <w:p w14:paraId="7F405B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其他类型</w:t>
                  </w:r>
                </w:p>
              </w:tc>
              <w:tc>
                <w:tcPr>
                  <w:tcW w:w="2682" w:type="dxa"/>
                  <w:vMerge w:val="restart"/>
                </w:tcPr>
                <w:p w14:paraId="123BC3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等效黏土防渗</w:t>
                  </w:r>
                </w:p>
                <w:p w14:paraId="6F4D87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层Mb≥1.5m，K≤1×10</w:t>
                  </w:r>
                  <w:r>
                    <w:rPr>
                      <w:rFonts w:hint="default" w:ascii="Times New Roman" w:hAnsi="Times New Roman" w:cs="Times New Roman"/>
                      <w:b w:val="0"/>
                      <w:bCs w:val="0"/>
                      <w:color w:val="auto"/>
                      <w:highlight w:val="none"/>
                      <w:vertAlign w:val="superscript"/>
                      <w:lang w:val="en-US" w:eastAsia="zh-CN"/>
                    </w:rPr>
                    <w:t>-7</w:t>
                  </w:r>
                  <w:r>
                    <w:rPr>
                      <w:rFonts w:hint="default" w:ascii="Times New Roman" w:hAnsi="Times New Roman" w:cs="Times New Roman"/>
                      <w:b w:val="0"/>
                      <w:bCs w:val="0"/>
                      <w:color w:val="auto"/>
                      <w:highlight w:val="none"/>
                      <w:vertAlign w:val="baseline"/>
                      <w:lang w:val="en-US" w:eastAsia="zh-CN"/>
                    </w:rPr>
                    <w:t>cm/s；或参照GB16889执行</w:t>
                  </w:r>
                </w:p>
              </w:tc>
            </w:tr>
            <w:tr w14:paraId="7CD1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tcPr>
                <w:p w14:paraId="59B2B2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1350" w:type="dxa"/>
                </w:tcPr>
                <w:p w14:paraId="79F0F6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中-强</w:t>
                  </w:r>
                </w:p>
              </w:tc>
              <w:tc>
                <w:tcPr>
                  <w:tcW w:w="1187" w:type="dxa"/>
                </w:tcPr>
                <w:p w14:paraId="79FDEE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难</w:t>
                  </w:r>
                </w:p>
              </w:tc>
              <w:tc>
                <w:tcPr>
                  <w:tcW w:w="1263" w:type="dxa"/>
                  <w:vMerge w:val="continue"/>
                </w:tcPr>
                <w:p w14:paraId="5E77C0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2682" w:type="dxa"/>
                  <w:vMerge w:val="continue"/>
                </w:tcPr>
                <w:p w14:paraId="5AF8C5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06FA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tcPr>
                <w:p w14:paraId="1E3FD7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1350" w:type="dxa"/>
                </w:tcPr>
                <w:p w14:paraId="3A8B39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中</w:t>
                  </w:r>
                </w:p>
              </w:tc>
              <w:tc>
                <w:tcPr>
                  <w:tcW w:w="1187" w:type="dxa"/>
                </w:tcPr>
                <w:p w14:paraId="6C3054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易</w:t>
                  </w:r>
                </w:p>
              </w:tc>
              <w:tc>
                <w:tcPr>
                  <w:tcW w:w="1263" w:type="dxa"/>
                  <w:vMerge w:val="restart"/>
                </w:tcPr>
                <w:p w14:paraId="6108BE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重金属、持久性有机污染物</w:t>
                  </w:r>
                </w:p>
              </w:tc>
              <w:tc>
                <w:tcPr>
                  <w:tcW w:w="2682" w:type="dxa"/>
                  <w:vMerge w:val="continue"/>
                </w:tcPr>
                <w:p w14:paraId="01E2A1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2C01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tcPr>
                <w:p w14:paraId="6B13B7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1350" w:type="dxa"/>
                </w:tcPr>
                <w:p w14:paraId="53E825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强</w:t>
                  </w:r>
                </w:p>
              </w:tc>
              <w:tc>
                <w:tcPr>
                  <w:tcW w:w="1187" w:type="dxa"/>
                </w:tcPr>
                <w:p w14:paraId="6E2CC9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易</w:t>
                  </w:r>
                </w:p>
              </w:tc>
              <w:tc>
                <w:tcPr>
                  <w:tcW w:w="1263" w:type="dxa"/>
                  <w:vMerge w:val="continue"/>
                </w:tcPr>
                <w:p w14:paraId="3E9AB9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2682" w:type="dxa"/>
                  <w:vMerge w:val="continue"/>
                </w:tcPr>
                <w:p w14:paraId="7112BE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r>
            <w:tr w14:paraId="3F7B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1464" w:type="dxa"/>
                </w:tcPr>
                <w:p w14:paraId="70323B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简易防渗区</w:t>
                  </w:r>
                </w:p>
              </w:tc>
              <w:tc>
                <w:tcPr>
                  <w:tcW w:w="1350" w:type="dxa"/>
                </w:tcPr>
                <w:p w14:paraId="6A1FEE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中-强</w:t>
                  </w:r>
                </w:p>
              </w:tc>
              <w:tc>
                <w:tcPr>
                  <w:tcW w:w="1187" w:type="dxa"/>
                </w:tcPr>
                <w:p w14:paraId="33FFF1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易</w:t>
                  </w:r>
                </w:p>
              </w:tc>
              <w:tc>
                <w:tcPr>
                  <w:tcW w:w="1263" w:type="dxa"/>
                </w:tcPr>
                <w:p w14:paraId="1A131A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其他类型</w:t>
                  </w:r>
                </w:p>
              </w:tc>
              <w:tc>
                <w:tcPr>
                  <w:tcW w:w="2682" w:type="dxa"/>
                </w:tcPr>
                <w:p w14:paraId="2E3032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一般地面硬化</w:t>
                  </w:r>
                </w:p>
              </w:tc>
            </w:tr>
          </w:tbl>
          <w:p w14:paraId="3CF976F2">
            <w:pPr>
              <w:bidi w:val="0"/>
              <w:rPr>
                <w:rFonts w:hint="default"/>
                <w:color w:val="auto"/>
                <w:highlight w:val="none"/>
                <w:lang w:val="en-US" w:eastAsia="zh-CN"/>
              </w:rPr>
            </w:pPr>
            <w:r>
              <w:rPr>
                <w:rFonts w:hint="default"/>
                <w:color w:val="auto"/>
                <w:highlight w:val="none"/>
                <w:lang w:val="en-US" w:eastAsia="zh-CN"/>
              </w:rPr>
              <w:t>本项目危险废物贮存库、药品库</w:t>
            </w:r>
            <w:r>
              <w:rPr>
                <w:rFonts w:hint="eastAsia"/>
                <w:color w:val="auto"/>
                <w:highlight w:val="none"/>
                <w:lang w:val="en-US" w:eastAsia="zh-CN"/>
              </w:rPr>
              <w:t>为重点防渗区，危险废物暂存库根据《危险废物贮存污染控制标准》（GB18597-2023）相关要求进行防渗，防渗要求：位于现有地面基础上直接铺设2mm厚高密度聚乙烯（HDPE）膜。药品库防渗措施根据《环境影响评价技术导则 地下水环境》（HJ610-2016）防渗要求：等效黏土防渗层Mb≥6.0m，K≤1.0×10</w:t>
            </w:r>
            <w:r>
              <w:rPr>
                <w:rFonts w:hint="eastAsia"/>
                <w:color w:val="auto"/>
                <w:highlight w:val="none"/>
                <w:vertAlign w:val="superscript"/>
                <w:lang w:val="en-US" w:eastAsia="zh-CN"/>
              </w:rPr>
              <w:t>-7</w:t>
            </w:r>
            <w:r>
              <w:rPr>
                <w:rFonts w:hint="eastAsia"/>
                <w:color w:val="auto"/>
                <w:highlight w:val="none"/>
                <w:vertAlign w:val="baseline"/>
                <w:lang w:val="en-US" w:eastAsia="zh-CN"/>
              </w:rPr>
              <w:t>c</w:t>
            </w:r>
            <w:r>
              <w:rPr>
                <w:rFonts w:hint="eastAsia"/>
                <w:color w:val="auto"/>
                <w:highlight w:val="none"/>
                <w:lang w:val="en-US" w:eastAsia="zh-CN"/>
              </w:rPr>
              <w:t>m/s</w:t>
            </w:r>
            <w:r>
              <w:rPr>
                <w:rFonts w:hint="default"/>
                <w:color w:val="auto"/>
                <w:highlight w:val="none"/>
                <w:lang w:val="en-US" w:eastAsia="zh-CN"/>
              </w:rPr>
              <w:t>。其余地面进行地面硬化。实验室、数字化实验室地面按照一般防渗要求进行建设，防渗措施采用等效黏土防渗层Mb≥1.5m，渗透系数K≤1×10</w:t>
            </w:r>
            <w:r>
              <w:rPr>
                <w:rFonts w:hint="default"/>
                <w:color w:val="auto"/>
                <w:highlight w:val="none"/>
                <w:vertAlign w:val="superscript"/>
                <w:lang w:val="en-US" w:eastAsia="zh-CN"/>
              </w:rPr>
              <w:t>-7</w:t>
            </w:r>
            <w:r>
              <w:rPr>
                <w:rFonts w:hint="default"/>
                <w:color w:val="auto"/>
                <w:highlight w:val="none"/>
                <w:lang w:val="en-US" w:eastAsia="zh-CN"/>
              </w:rPr>
              <w:t>cm/s，可采用抗渗混凝土地面硬化（C25，P6，厚度≥100mm）。仪器库、准备室、走廊、教师办公室等</w:t>
            </w:r>
            <w:r>
              <w:rPr>
                <w:rFonts w:hint="eastAsia"/>
                <w:color w:val="auto"/>
                <w:highlight w:val="none"/>
                <w:lang w:val="en-US" w:eastAsia="zh-CN"/>
              </w:rPr>
              <w:t>为简单防渗区</w:t>
            </w:r>
            <w:r>
              <w:rPr>
                <w:rFonts w:hint="default"/>
                <w:color w:val="auto"/>
                <w:highlight w:val="none"/>
                <w:lang w:val="en-US" w:eastAsia="zh-CN"/>
              </w:rPr>
              <w:t>，防渗措施采用常规混凝土地面+铺地砖。</w:t>
            </w:r>
          </w:p>
          <w:p w14:paraId="4E45EE2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不涉及地下水开采，不会影响当地地下水水位，不会产生地面沉降、岩溶塌陷等不良水文地质灾害；通过加强运行管理，做好防渗漏工作，在正常运行工况下，不会对地下水环境质量造成显著的不利影响，可不进行跟踪监测。</w:t>
            </w:r>
          </w:p>
          <w:p w14:paraId="02820EC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2、土壤环境影响</w:t>
            </w:r>
          </w:p>
          <w:p w14:paraId="323C9D8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场地土壤可能受到污染的污染源主要包括废气排放口、无组织排放源、实验室危险废物暂存库处理设施。根据废气排放的种类及其特征因子分析，废气污染因子不涉及重金属、持久性有机污染物；根据估算结果，废气排放的污染物浓度较低，营运期排放的废气不会引起土壤环境的盐化、酸化、碱化等生态环境变化。本项目的废水直接排至市政污水管网内。</w:t>
            </w:r>
            <w:r>
              <w:rPr>
                <w:rFonts w:hint="eastAsia"/>
                <w:color w:val="auto"/>
                <w:highlight w:val="none"/>
                <w:lang w:val="en-US" w:eastAsia="zh-CN"/>
              </w:rPr>
              <w:t>危险废物暂存库根据《危险废物贮存污染控制标准》（GB18597-2023）相关要求进行防渗，防渗要求：位于现有地面基础上直接铺设2mm厚高密度聚乙烯（HDPE）膜。药品库防渗措施根据《环境影响评价技术导则 地下水环境》（HJ610-2016）防渗要求：等效黏土防渗层Mb≥6.0m，K≤1.0×10</w:t>
            </w:r>
            <w:r>
              <w:rPr>
                <w:rFonts w:hint="eastAsia"/>
                <w:color w:val="auto"/>
                <w:highlight w:val="none"/>
                <w:vertAlign w:val="superscript"/>
                <w:lang w:val="en-US" w:eastAsia="zh-CN"/>
              </w:rPr>
              <w:t>-7c</w:t>
            </w:r>
            <w:r>
              <w:rPr>
                <w:rFonts w:hint="eastAsia"/>
                <w:color w:val="auto"/>
                <w:highlight w:val="none"/>
                <w:lang w:val="en-US" w:eastAsia="zh-CN"/>
              </w:rPr>
              <w:t>m/s。根据上述</w:t>
            </w:r>
            <w:r>
              <w:rPr>
                <w:rFonts w:hint="default" w:ascii="Times New Roman" w:hAnsi="Times New Roman" w:cs="Times New Roman"/>
                <w:color w:val="auto"/>
                <w:highlight w:val="none"/>
                <w:lang w:val="en-US" w:eastAsia="zh-CN"/>
              </w:rPr>
              <w:t>要求进行防渗后，正常工况下不会对周围土壤环境造成影响。</w:t>
            </w:r>
          </w:p>
          <w:p w14:paraId="342AA72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综合以上分析，本项目不涉及土壤污染因子，采取有效的污染物收集措施和防渗措施后，不会对土壤环境造成不良影响，可不开展土壤跟踪监测。</w:t>
            </w:r>
          </w:p>
          <w:p w14:paraId="1EC2C79B">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六、环境风险分析</w:t>
            </w:r>
          </w:p>
          <w:p w14:paraId="4E6B404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1、风险物质识别</w:t>
            </w:r>
          </w:p>
          <w:p w14:paraId="006D421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涉及的危险化学品主要为实验试剂，根据《建设项目环境风险评价技术导则》（HJ169-2018）、《企业突发环境事件风险分级方法》（HJ941-2018）、有关规定，本项目原辅材料属于危险化学品的主要为盐酸、硫酸、硝酸、乙醇等，学校实验室内各风险物质最大数量及分布情况如下表。</w:t>
            </w:r>
          </w:p>
          <w:p w14:paraId="40A1C463">
            <w:pPr>
              <w:bidi w:val="0"/>
              <w:ind w:left="0" w:leftChars="0" w:firstLine="0" w:firstLineChars="0"/>
              <w:jc w:val="center"/>
              <w:rPr>
                <w:rFonts w:hint="default" w:ascii="Times New Roman" w:hAnsi="Times New Roman" w:cs="Times New Roman"/>
                <w:b/>
                <w:bCs/>
                <w:color w:val="auto"/>
                <w:highlight w:val="none"/>
                <w:lang w:val="en-US" w:eastAsia="zh-CN"/>
              </w:rPr>
            </w:pPr>
          </w:p>
          <w:p w14:paraId="503D1DDF">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表4-1</w:t>
            </w:r>
            <w:r>
              <w:rPr>
                <w:rFonts w:hint="eastAsia" w:cs="Times New Roman"/>
                <w:b/>
                <w:bCs/>
                <w:color w:val="auto"/>
                <w:highlight w:val="none"/>
                <w:lang w:val="en-US" w:eastAsia="zh-CN"/>
              </w:rPr>
              <w:t>3</w:t>
            </w:r>
            <w:r>
              <w:rPr>
                <w:rFonts w:hint="default" w:ascii="Times New Roman" w:hAnsi="Times New Roman" w:cs="Times New Roman"/>
                <w:b/>
                <w:bCs/>
                <w:color w:val="auto"/>
                <w:highlight w:val="none"/>
                <w:lang w:val="en-US" w:eastAsia="zh-CN"/>
              </w:rPr>
              <w:t>危险物质数量与临界量比值表</w:t>
            </w:r>
          </w:p>
          <w:tbl>
            <w:tblPr>
              <w:tblStyle w:val="24"/>
              <w:tblW w:w="78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518"/>
              <w:gridCol w:w="1524"/>
              <w:gridCol w:w="1627"/>
              <w:gridCol w:w="1107"/>
              <w:gridCol w:w="1277"/>
            </w:tblGrid>
            <w:tr w14:paraId="6EAD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24" w:type="dxa"/>
                  <w:noWrap w:val="0"/>
                  <w:vAlign w:val="center"/>
                </w:tcPr>
                <w:p w14:paraId="3F6A58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序号</w:t>
                  </w:r>
                </w:p>
              </w:tc>
              <w:tc>
                <w:tcPr>
                  <w:tcW w:w="1518" w:type="dxa"/>
                  <w:noWrap w:val="0"/>
                  <w:vAlign w:val="center"/>
                </w:tcPr>
                <w:p w14:paraId="6760E8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物质名称</w:t>
                  </w:r>
                </w:p>
              </w:tc>
              <w:tc>
                <w:tcPr>
                  <w:tcW w:w="1524" w:type="dxa"/>
                  <w:noWrap w:val="0"/>
                  <w:vAlign w:val="center"/>
                </w:tcPr>
                <w:p w14:paraId="3EA79D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CAS号</w:t>
                  </w:r>
                </w:p>
              </w:tc>
              <w:tc>
                <w:tcPr>
                  <w:tcW w:w="1627" w:type="dxa"/>
                  <w:noWrap w:val="0"/>
                  <w:vAlign w:val="center"/>
                </w:tcPr>
                <w:p w14:paraId="0EA5AC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最大存在量q（t）</w:t>
                  </w:r>
                </w:p>
              </w:tc>
              <w:tc>
                <w:tcPr>
                  <w:tcW w:w="1107" w:type="dxa"/>
                  <w:noWrap w:val="0"/>
                  <w:vAlign w:val="center"/>
                </w:tcPr>
                <w:p w14:paraId="73D205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临界量Q（t）</w:t>
                  </w:r>
                </w:p>
              </w:tc>
              <w:tc>
                <w:tcPr>
                  <w:tcW w:w="1277" w:type="dxa"/>
                  <w:noWrap w:val="0"/>
                  <w:vAlign w:val="center"/>
                </w:tcPr>
                <w:p w14:paraId="7FB359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q/Q</w:t>
                  </w:r>
                </w:p>
              </w:tc>
            </w:tr>
            <w:tr w14:paraId="6B35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24" w:type="dxa"/>
                  <w:noWrap w:val="0"/>
                  <w:vAlign w:val="center"/>
                </w:tcPr>
                <w:p w14:paraId="795B04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1518" w:type="dxa"/>
                  <w:noWrap w:val="0"/>
                  <w:vAlign w:val="center"/>
                </w:tcPr>
                <w:p w14:paraId="48821F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盐酸（38%）</w:t>
                  </w:r>
                </w:p>
              </w:tc>
              <w:tc>
                <w:tcPr>
                  <w:tcW w:w="1524" w:type="dxa"/>
                  <w:noWrap w:val="0"/>
                  <w:vAlign w:val="center"/>
                </w:tcPr>
                <w:p w14:paraId="2017E3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7647-01-0</w:t>
                  </w:r>
                </w:p>
              </w:tc>
              <w:tc>
                <w:tcPr>
                  <w:tcW w:w="1627" w:type="dxa"/>
                  <w:noWrap w:val="0"/>
                  <w:vAlign w:val="center"/>
                </w:tcPr>
                <w:p w14:paraId="1B8650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0.0009</w:t>
                  </w:r>
                  <w:r>
                    <w:rPr>
                      <w:rFonts w:hint="default" w:ascii="Times New Roman" w:hAnsi="Times New Roman" w:cs="Times New Roman"/>
                      <w:b w:val="0"/>
                      <w:bCs w:val="0"/>
                      <w:color w:val="auto"/>
                      <w:sz w:val="22"/>
                      <w:szCs w:val="22"/>
                      <w:highlight w:val="none"/>
                      <w:vertAlign w:val="baseline"/>
                      <w:lang w:val="en-US" w:eastAsia="zh-CN"/>
                    </w:rPr>
                    <w:t>（折算为100%）</w:t>
                  </w:r>
                </w:p>
              </w:tc>
              <w:tc>
                <w:tcPr>
                  <w:tcW w:w="1107" w:type="dxa"/>
                  <w:noWrap w:val="0"/>
                  <w:vAlign w:val="center"/>
                </w:tcPr>
                <w:p w14:paraId="13510C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7.5</w:t>
                  </w:r>
                </w:p>
              </w:tc>
              <w:tc>
                <w:tcPr>
                  <w:tcW w:w="1277" w:type="dxa"/>
                  <w:noWrap w:val="0"/>
                  <w:vAlign w:val="center"/>
                </w:tcPr>
                <w:p w14:paraId="0C5D0D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0.00012</w:t>
                  </w:r>
                </w:p>
              </w:tc>
            </w:tr>
            <w:tr w14:paraId="0586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24" w:type="dxa"/>
                  <w:noWrap w:val="0"/>
                  <w:vAlign w:val="center"/>
                </w:tcPr>
                <w:p w14:paraId="5E6306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2</w:t>
                  </w:r>
                </w:p>
              </w:tc>
              <w:tc>
                <w:tcPr>
                  <w:tcW w:w="1518" w:type="dxa"/>
                  <w:noWrap w:val="0"/>
                  <w:vAlign w:val="center"/>
                </w:tcPr>
                <w:p w14:paraId="498945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硫酸（98%）</w:t>
                  </w:r>
                </w:p>
              </w:tc>
              <w:tc>
                <w:tcPr>
                  <w:tcW w:w="1524" w:type="dxa"/>
                  <w:noWrap w:val="0"/>
                  <w:vAlign w:val="center"/>
                </w:tcPr>
                <w:p w14:paraId="6A8FAC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7664-93-9</w:t>
                  </w:r>
                </w:p>
              </w:tc>
              <w:tc>
                <w:tcPr>
                  <w:tcW w:w="1627" w:type="dxa"/>
                  <w:noWrap w:val="0"/>
                  <w:vAlign w:val="center"/>
                </w:tcPr>
                <w:p w14:paraId="42FBE7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0.0036</w:t>
                  </w:r>
                  <w:r>
                    <w:rPr>
                      <w:rFonts w:hint="default" w:ascii="Times New Roman" w:hAnsi="Times New Roman" w:cs="Times New Roman"/>
                      <w:b w:val="0"/>
                      <w:bCs w:val="0"/>
                      <w:color w:val="auto"/>
                      <w:sz w:val="22"/>
                      <w:szCs w:val="22"/>
                      <w:highlight w:val="none"/>
                      <w:vertAlign w:val="baseline"/>
                      <w:lang w:val="en-US" w:eastAsia="zh-CN"/>
                    </w:rPr>
                    <w:t>（折算为100%）</w:t>
                  </w:r>
                </w:p>
              </w:tc>
              <w:tc>
                <w:tcPr>
                  <w:tcW w:w="1107" w:type="dxa"/>
                  <w:noWrap w:val="0"/>
                  <w:vAlign w:val="center"/>
                </w:tcPr>
                <w:p w14:paraId="75C1CF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10</w:t>
                  </w:r>
                </w:p>
              </w:tc>
              <w:tc>
                <w:tcPr>
                  <w:tcW w:w="1277" w:type="dxa"/>
                  <w:noWrap w:val="0"/>
                  <w:vAlign w:val="center"/>
                </w:tcPr>
                <w:p w14:paraId="78C66A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0.00036</w:t>
                  </w:r>
                </w:p>
              </w:tc>
            </w:tr>
            <w:tr w14:paraId="6313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24" w:type="dxa"/>
                  <w:noWrap w:val="0"/>
                  <w:vAlign w:val="center"/>
                </w:tcPr>
                <w:p w14:paraId="2CB584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3</w:t>
                  </w:r>
                </w:p>
              </w:tc>
              <w:tc>
                <w:tcPr>
                  <w:tcW w:w="1518" w:type="dxa"/>
                  <w:noWrap w:val="0"/>
                  <w:vAlign w:val="center"/>
                </w:tcPr>
                <w:p w14:paraId="00CD21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eastAsia="宋体" w:cs="Times New Roman"/>
                      <w:b w:val="0"/>
                      <w:bCs w:val="0"/>
                      <w:color w:val="auto"/>
                      <w:highlight w:val="none"/>
                      <w:vertAlign w:val="baseline"/>
                      <w:lang w:val="en-US" w:eastAsia="zh-CN"/>
                    </w:rPr>
                    <w:t>硝酸（68%）</w:t>
                  </w:r>
                </w:p>
              </w:tc>
              <w:tc>
                <w:tcPr>
                  <w:tcW w:w="1524" w:type="dxa"/>
                  <w:noWrap w:val="0"/>
                  <w:vAlign w:val="center"/>
                </w:tcPr>
                <w:p w14:paraId="3B926E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7697-37-2</w:t>
                  </w:r>
                </w:p>
              </w:tc>
              <w:tc>
                <w:tcPr>
                  <w:tcW w:w="1627" w:type="dxa"/>
                  <w:noWrap w:val="0"/>
                  <w:vAlign w:val="center"/>
                </w:tcPr>
                <w:p w14:paraId="7A4343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sz w:val="22"/>
                      <w:szCs w:val="22"/>
                      <w:highlight w:val="none"/>
                      <w:vertAlign w:val="baseline"/>
                      <w:lang w:val="en-US" w:eastAsia="zh-CN"/>
                    </w:rPr>
                    <w:t>0.0019（折算为100%）</w:t>
                  </w:r>
                </w:p>
              </w:tc>
              <w:tc>
                <w:tcPr>
                  <w:tcW w:w="1107" w:type="dxa"/>
                  <w:noWrap w:val="0"/>
                  <w:vAlign w:val="center"/>
                </w:tcPr>
                <w:p w14:paraId="797A43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7.5</w:t>
                  </w:r>
                </w:p>
              </w:tc>
              <w:tc>
                <w:tcPr>
                  <w:tcW w:w="1277" w:type="dxa"/>
                  <w:noWrap w:val="0"/>
                  <w:vAlign w:val="center"/>
                </w:tcPr>
                <w:p w14:paraId="276382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0.00025</w:t>
                  </w:r>
                </w:p>
              </w:tc>
            </w:tr>
            <w:tr w14:paraId="4FF1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824" w:type="dxa"/>
                  <w:noWrap w:val="0"/>
                  <w:vAlign w:val="center"/>
                </w:tcPr>
                <w:p w14:paraId="4AADF8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4</w:t>
                  </w:r>
                </w:p>
              </w:tc>
              <w:tc>
                <w:tcPr>
                  <w:tcW w:w="1518" w:type="dxa"/>
                  <w:noWrap w:val="0"/>
                  <w:vAlign w:val="center"/>
                </w:tcPr>
                <w:p w14:paraId="43E488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乙醇</w:t>
                  </w:r>
                </w:p>
              </w:tc>
              <w:tc>
                <w:tcPr>
                  <w:tcW w:w="1524" w:type="dxa"/>
                  <w:noWrap w:val="0"/>
                  <w:vAlign w:val="center"/>
                </w:tcPr>
                <w:p w14:paraId="0590DE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64-17-5</w:t>
                  </w:r>
                </w:p>
              </w:tc>
              <w:tc>
                <w:tcPr>
                  <w:tcW w:w="1627" w:type="dxa"/>
                  <w:noWrap w:val="0"/>
                  <w:vAlign w:val="center"/>
                </w:tcPr>
                <w:p w14:paraId="224003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0.0008</w:t>
                  </w:r>
                </w:p>
              </w:tc>
              <w:tc>
                <w:tcPr>
                  <w:tcW w:w="1107" w:type="dxa"/>
                  <w:noWrap w:val="0"/>
                  <w:vAlign w:val="center"/>
                </w:tcPr>
                <w:p w14:paraId="6A3C61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500</w:t>
                  </w:r>
                </w:p>
              </w:tc>
              <w:tc>
                <w:tcPr>
                  <w:tcW w:w="1277" w:type="dxa"/>
                  <w:noWrap w:val="0"/>
                  <w:vAlign w:val="center"/>
                </w:tcPr>
                <w:p w14:paraId="10F8B8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0.0000016</w:t>
                  </w:r>
                </w:p>
              </w:tc>
            </w:tr>
            <w:tr w14:paraId="5593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824" w:type="dxa"/>
                  <w:noWrap w:val="0"/>
                  <w:vAlign w:val="center"/>
                </w:tcPr>
                <w:p w14:paraId="5DE796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5</w:t>
                  </w:r>
                </w:p>
              </w:tc>
              <w:tc>
                <w:tcPr>
                  <w:tcW w:w="1518" w:type="dxa"/>
                  <w:noWrap w:val="0"/>
                  <w:vAlign w:val="center"/>
                </w:tcPr>
                <w:p w14:paraId="23F47E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丙酮</w:t>
                  </w:r>
                </w:p>
              </w:tc>
              <w:tc>
                <w:tcPr>
                  <w:tcW w:w="1524" w:type="dxa"/>
                  <w:noWrap w:val="0"/>
                  <w:vAlign w:val="center"/>
                </w:tcPr>
                <w:p w14:paraId="5815BB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67-64-1</w:t>
                  </w:r>
                </w:p>
              </w:tc>
              <w:tc>
                <w:tcPr>
                  <w:tcW w:w="1627" w:type="dxa"/>
                  <w:noWrap w:val="0"/>
                  <w:vAlign w:val="center"/>
                </w:tcPr>
                <w:p w14:paraId="678921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0.004</w:t>
                  </w:r>
                </w:p>
              </w:tc>
              <w:tc>
                <w:tcPr>
                  <w:tcW w:w="1107" w:type="dxa"/>
                  <w:noWrap w:val="0"/>
                  <w:vAlign w:val="center"/>
                </w:tcPr>
                <w:p w14:paraId="596ECD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10</w:t>
                  </w:r>
                </w:p>
              </w:tc>
              <w:tc>
                <w:tcPr>
                  <w:tcW w:w="1277" w:type="dxa"/>
                  <w:noWrap w:val="0"/>
                  <w:vAlign w:val="center"/>
                </w:tcPr>
                <w:p w14:paraId="580866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0.0004</w:t>
                  </w:r>
                </w:p>
              </w:tc>
            </w:tr>
            <w:tr w14:paraId="6365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824" w:type="dxa"/>
                  <w:shd w:val="clear" w:color="auto" w:fill="auto"/>
                  <w:noWrap w:val="0"/>
                  <w:vAlign w:val="center"/>
                </w:tcPr>
                <w:p w14:paraId="0B2DA0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cs="Times New Roman"/>
                      <w:b w:val="0"/>
                      <w:bCs w:val="0"/>
                      <w:color w:val="auto"/>
                      <w:highlight w:val="none"/>
                      <w:vertAlign w:val="baseline"/>
                      <w:lang w:val="en-US" w:eastAsia="zh-CN"/>
                    </w:rPr>
                    <w:t>6</w:t>
                  </w:r>
                </w:p>
              </w:tc>
              <w:tc>
                <w:tcPr>
                  <w:tcW w:w="1518" w:type="dxa"/>
                  <w:noWrap w:val="0"/>
                  <w:vAlign w:val="center"/>
                </w:tcPr>
                <w:p w14:paraId="0033AD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乙醚</w:t>
                  </w:r>
                </w:p>
              </w:tc>
              <w:tc>
                <w:tcPr>
                  <w:tcW w:w="1524" w:type="dxa"/>
                  <w:noWrap w:val="0"/>
                  <w:vAlign w:val="center"/>
                </w:tcPr>
                <w:p w14:paraId="14636E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w:t>
                  </w:r>
                </w:p>
              </w:tc>
              <w:tc>
                <w:tcPr>
                  <w:tcW w:w="1627" w:type="dxa"/>
                  <w:noWrap w:val="0"/>
                  <w:vAlign w:val="center"/>
                </w:tcPr>
                <w:p w14:paraId="575845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0.00071</w:t>
                  </w:r>
                </w:p>
              </w:tc>
              <w:tc>
                <w:tcPr>
                  <w:tcW w:w="1107" w:type="dxa"/>
                  <w:noWrap w:val="0"/>
                  <w:vAlign w:val="center"/>
                </w:tcPr>
                <w:p w14:paraId="460554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w:t>
                  </w:r>
                </w:p>
              </w:tc>
              <w:tc>
                <w:tcPr>
                  <w:tcW w:w="1277" w:type="dxa"/>
                  <w:noWrap w:val="0"/>
                  <w:vAlign w:val="center"/>
                </w:tcPr>
                <w:p w14:paraId="626CD1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0.000071</w:t>
                  </w:r>
                </w:p>
              </w:tc>
            </w:tr>
            <w:tr w14:paraId="6600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824" w:type="dxa"/>
                  <w:shd w:val="clear" w:color="auto" w:fill="auto"/>
                  <w:noWrap w:val="0"/>
                  <w:vAlign w:val="center"/>
                </w:tcPr>
                <w:p w14:paraId="4DC804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cs="Times New Roman"/>
                      <w:b w:val="0"/>
                      <w:bCs w:val="0"/>
                      <w:color w:val="auto"/>
                      <w:highlight w:val="none"/>
                      <w:vertAlign w:val="baseline"/>
                      <w:lang w:val="en-US" w:eastAsia="zh-CN"/>
                    </w:rPr>
                    <w:t>7</w:t>
                  </w:r>
                </w:p>
              </w:tc>
              <w:tc>
                <w:tcPr>
                  <w:tcW w:w="1518" w:type="dxa"/>
                  <w:noWrap w:val="0"/>
                  <w:vAlign w:val="center"/>
                </w:tcPr>
                <w:p w14:paraId="0103AB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25%氨水</w:t>
                  </w:r>
                </w:p>
              </w:tc>
              <w:tc>
                <w:tcPr>
                  <w:tcW w:w="1524" w:type="dxa"/>
                  <w:noWrap w:val="0"/>
                  <w:vAlign w:val="center"/>
                </w:tcPr>
                <w:p w14:paraId="67AF3F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1336-21-6</w:t>
                  </w:r>
                </w:p>
              </w:tc>
              <w:tc>
                <w:tcPr>
                  <w:tcW w:w="1627" w:type="dxa"/>
                  <w:noWrap w:val="0"/>
                  <w:vAlign w:val="center"/>
                </w:tcPr>
                <w:p w14:paraId="2A9B5F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0.0009</w:t>
                  </w:r>
                </w:p>
              </w:tc>
              <w:tc>
                <w:tcPr>
                  <w:tcW w:w="1107" w:type="dxa"/>
                  <w:noWrap w:val="0"/>
                  <w:vAlign w:val="center"/>
                </w:tcPr>
                <w:p w14:paraId="1296D0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10</w:t>
                  </w:r>
                </w:p>
              </w:tc>
              <w:tc>
                <w:tcPr>
                  <w:tcW w:w="1277" w:type="dxa"/>
                  <w:noWrap w:val="0"/>
                  <w:vAlign w:val="center"/>
                </w:tcPr>
                <w:p w14:paraId="4F5275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0.00009</w:t>
                  </w:r>
                </w:p>
              </w:tc>
            </w:tr>
            <w:tr w14:paraId="63FB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824" w:type="dxa"/>
                  <w:shd w:val="clear" w:color="auto" w:fill="auto"/>
                  <w:noWrap w:val="0"/>
                  <w:vAlign w:val="center"/>
                </w:tcPr>
                <w:p w14:paraId="05F431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default" w:ascii="Times New Roman" w:hAnsi="Times New Roman" w:cs="Times New Roman"/>
                      <w:b w:val="0"/>
                      <w:bCs w:val="0"/>
                      <w:color w:val="auto"/>
                      <w:highlight w:val="none"/>
                      <w:vertAlign w:val="baseline"/>
                      <w:lang w:val="en-US" w:eastAsia="zh-CN"/>
                    </w:rPr>
                    <w:t>8</w:t>
                  </w:r>
                </w:p>
              </w:tc>
              <w:tc>
                <w:tcPr>
                  <w:tcW w:w="1518" w:type="dxa"/>
                  <w:noWrap w:val="0"/>
                  <w:vAlign w:val="center"/>
                </w:tcPr>
                <w:p w14:paraId="49B3E8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铜</w:t>
                  </w:r>
                </w:p>
              </w:tc>
              <w:tc>
                <w:tcPr>
                  <w:tcW w:w="1524" w:type="dxa"/>
                  <w:noWrap w:val="0"/>
                  <w:vAlign w:val="center"/>
                </w:tcPr>
                <w:p w14:paraId="5834BA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w:t>
                  </w:r>
                </w:p>
              </w:tc>
              <w:tc>
                <w:tcPr>
                  <w:tcW w:w="1627" w:type="dxa"/>
                  <w:noWrap w:val="0"/>
                  <w:vAlign w:val="center"/>
                </w:tcPr>
                <w:p w14:paraId="7092BC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0.002</w:t>
                  </w:r>
                </w:p>
              </w:tc>
              <w:tc>
                <w:tcPr>
                  <w:tcW w:w="1107" w:type="dxa"/>
                  <w:noWrap w:val="0"/>
                  <w:vAlign w:val="center"/>
                </w:tcPr>
                <w:p w14:paraId="4ECD4D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0.25</w:t>
                  </w:r>
                </w:p>
              </w:tc>
              <w:tc>
                <w:tcPr>
                  <w:tcW w:w="1277" w:type="dxa"/>
                  <w:noWrap w:val="0"/>
                  <w:vAlign w:val="center"/>
                </w:tcPr>
                <w:p w14:paraId="0FEB43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0.008</w:t>
                  </w:r>
                </w:p>
              </w:tc>
            </w:tr>
            <w:tr w14:paraId="535B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824" w:type="dxa"/>
                  <w:noWrap w:val="0"/>
                  <w:vAlign w:val="center"/>
                </w:tcPr>
                <w:p w14:paraId="572A00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9</w:t>
                  </w:r>
                </w:p>
              </w:tc>
              <w:tc>
                <w:tcPr>
                  <w:tcW w:w="1518" w:type="dxa"/>
                  <w:noWrap w:val="0"/>
                  <w:vAlign w:val="center"/>
                </w:tcPr>
                <w:p w14:paraId="36B80C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硫酸铜</w:t>
                  </w:r>
                </w:p>
              </w:tc>
              <w:tc>
                <w:tcPr>
                  <w:tcW w:w="1524" w:type="dxa"/>
                  <w:noWrap w:val="0"/>
                  <w:vAlign w:val="center"/>
                </w:tcPr>
                <w:p w14:paraId="7E00CB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w:t>
                  </w:r>
                </w:p>
              </w:tc>
              <w:tc>
                <w:tcPr>
                  <w:tcW w:w="1627" w:type="dxa"/>
                  <w:noWrap w:val="0"/>
                  <w:vAlign w:val="center"/>
                </w:tcPr>
                <w:p w14:paraId="4DECB0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0.0006</w:t>
                  </w:r>
                </w:p>
              </w:tc>
              <w:tc>
                <w:tcPr>
                  <w:tcW w:w="1107" w:type="dxa"/>
                  <w:noWrap w:val="0"/>
                  <w:vAlign w:val="center"/>
                </w:tcPr>
                <w:p w14:paraId="767D1D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0.25</w:t>
                  </w:r>
                </w:p>
              </w:tc>
              <w:tc>
                <w:tcPr>
                  <w:tcW w:w="1277" w:type="dxa"/>
                  <w:noWrap w:val="0"/>
                  <w:vAlign w:val="center"/>
                </w:tcPr>
                <w:p w14:paraId="4BAED5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0.0024</w:t>
                  </w:r>
                </w:p>
              </w:tc>
            </w:tr>
            <w:tr w14:paraId="1BB4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824" w:type="dxa"/>
                  <w:noWrap w:val="0"/>
                  <w:vAlign w:val="center"/>
                </w:tcPr>
                <w:p w14:paraId="23C02A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w:t>
                  </w:r>
                </w:p>
              </w:tc>
              <w:tc>
                <w:tcPr>
                  <w:tcW w:w="1518" w:type="dxa"/>
                  <w:noWrap w:val="0"/>
                  <w:vAlign w:val="center"/>
                </w:tcPr>
                <w:p w14:paraId="2DFD25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高锰酸钾</w:t>
                  </w:r>
                </w:p>
              </w:tc>
              <w:tc>
                <w:tcPr>
                  <w:tcW w:w="1524" w:type="dxa"/>
                  <w:noWrap w:val="0"/>
                  <w:vAlign w:val="center"/>
                </w:tcPr>
                <w:p w14:paraId="762417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w:t>
                  </w:r>
                </w:p>
              </w:tc>
              <w:tc>
                <w:tcPr>
                  <w:tcW w:w="1627" w:type="dxa"/>
                  <w:noWrap w:val="0"/>
                  <w:vAlign w:val="center"/>
                </w:tcPr>
                <w:p w14:paraId="4C7BA3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0.0001</w:t>
                  </w:r>
                </w:p>
              </w:tc>
              <w:tc>
                <w:tcPr>
                  <w:tcW w:w="1107" w:type="dxa"/>
                  <w:noWrap w:val="0"/>
                  <w:vAlign w:val="center"/>
                </w:tcPr>
                <w:p w14:paraId="7FB190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0.25</w:t>
                  </w:r>
                </w:p>
              </w:tc>
              <w:tc>
                <w:tcPr>
                  <w:tcW w:w="1277" w:type="dxa"/>
                  <w:noWrap w:val="0"/>
                  <w:vAlign w:val="center"/>
                </w:tcPr>
                <w:p w14:paraId="554FFF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0.0004</w:t>
                  </w:r>
                </w:p>
              </w:tc>
            </w:tr>
            <w:tr w14:paraId="72F7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600" w:type="dxa"/>
                  <w:gridSpan w:val="5"/>
                  <w:noWrap w:val="0"/>
                  <w:vAlign w:val="center"/>
                </w:tcPr>
                <w:p w14:paraId="1BFC75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合计值∑Q</w:t>
                  </w:r>
                </w:p>
              </w:tc>
              <w:tc>
                <w:tcPr>
                  <w:tcW w:w="1277" w:type="dxa"/>
                  <w:shd w:val="clear" w:color="auto" w:fill="auto"/>
                  <w:noWrap w:val="0"/>
                  <w:vAlign w:val="center"/>
                </w:tcPr>
                <w:p w14:paraId="389188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4"/>
                      <w:szCs w:val="24"/>
                      <w:highlight w:val="none"/>
                      <w:vertAlign w:val="baseline"/>
                      <w:lang w:val="en-US" w:eastAsia="zh-CN" w:bidi="ar-SA"/>
                    </w:rPr>
                  </w:pPr>
                  <w:r>
                    <w:rPr>
                      <w:rFonts w:hint="eastAsia" w:ascii="Times New Roman" w:hAnsi="Times New Roman" w:cs="Times New Roman"/>
                      <w:b w:val="0"/>
                      <w:bCs w:val="0"/>
                      <w:color w:val="auto"/>
                      <w:highlight w:val="none"/>
                      <w:vertAlign w:val="baseline"/>
                      <w:lang w:val="en-US" w:eastAsia="zh-CN"/>
                    </w:rPr>
                    <w:fldChar w:fldCharType="begin"/>
                  </w:r>
                  <w:r>
                    <w:rPr>
                      <w:rFonts w:hint="eastAsia" w:ascii="Times New Roman" w:hAnsi="Times New Roman" w:cs="Times New Roman"/>
                      <w:b w:val="0"/>
                      <w:bCs w:val="0"/>
                      <w:color w:val="auto"/>
                      <w:highlight w:val="none"/>
                      <w:vertAlign w:val="baseline"/>
                      <w:lang w:val="en-US" w:eastAsia="zh-CN"/>
                    </w:rPr>
                    <w:instrText xml:space="preserve"> = sum(F2:F11) \* MERGEFORMAT </w:instrText>
                  </w:r>
                  <w:r>
                    <w:rPr>
                      <w:rFonts w:hint="eastAsia" w:ascii="Times New Roman" w:hAnsi="Times New Roman" w:cs="Times New Roman"/>
                      <w:b w:val="0"/>
                      <w:bCs w:val="0"/>
                      <w:color w:val="auto"/>
                      <w:highlight w:val="none"/>
                      <w:vertAlign w:val="baseline"/>
                      <w:lang w:val="en-US" w:eastAsia="zh-CN"/>
                    </w:rPr>
                    <w:fldChar w:fldCharType="separate"/>
                  </w:r>
                  <w:r>
                    <w:rPr>
                      <w:rFonts w:hint="eastAsia" w:ascii="Times New Roman" w:hAnsi="Times New Roman" w:cs="Times New Roman"/>
                      <w:b w:val="0"/>
                      <w:bCs w:val="0"/>
                      <w:color w:val="auto"/>
                      <w:highlight w:val="none"/>
                      <w:vertAlign w:val="baseline"/>
                      <w:lang w:val="en-US" w:eastAsia="zh-CN"/>
                    </w:rPr>
                    <w:t>0.0120926</w:t>
                  </w:r>
                  <w:r>
                    <w:rPr>
                      <w:rFonts w:hint="eastAsia" w:ascii="Times New Roman" w:hAnsi="Times New Roman" w:cs="Times New Roman"/>
                      <w:b w:val="0"/>
                      <w:bCs w:val="0"/>
                      <w:color w:val="auto"/>
                      <w:highlight w:val="none"/>
                      <w:vertAlign w:val="baseline"/>
                      <w:lang w:val="en-US" w:eastAsia="zh-CN"/>
                    </w:rPr>
                    <w:fldChar w:fldCharType="end"/>
                  </w:r>
                </w:p>
              </w:tc>
            </w:tr>
          </w:tbl>
          <w:p w14:paraId="3548139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根据上表计算结果，本项目危险物质数量与临界量比值为</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sum(F2:F11)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0.0120926</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，Q值小于1，根据《建设项目环境风险评价技术导则》（HJ/169-2018）附录C.1.1中规定，当Q＜1时，该项目环境风险潜势为I，对应的风险评价工作等级为简单分析。</w:t>
            </w:r>
          </w:p>
          <w:p w14:paraId="51B0A5E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2、环境风险识别</w:t>
            </w:r>
          </w:p>
          <w:p w14:paraId="0A6398B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根据《建设项目环境风险评价技术导则》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HJ169-2018</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，物质危险性识别包括主要原辅材料、燃料、中间产品、副产品、最终产品、污染物、火灾和爆炸伴生/衍生物等。本项目生产原料、生产工艺、贮存、运输、“三废”处理过程中涉及的主要有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液体原料或危险废物泄漏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对易燃物品操作不慎或保管不当，使火源接触易燃物质，引起对易燃物品操作不慎或保管不当，使火源接触易燃物质，引起火灾。</w:t>
            </w:r>
          </w:p>
          <w:p w14:paraId="41948981">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根据国内外同行业事故统计分析及典型式管理资料，项目</w:t>
            </w:r>
            <w:r>
              <w:rPr>
                <w:rFonts w:hint="eastAsia" w:cs="Times New Roman"/>
                <w:color w:val="auto"/>
                <w:highlight w:val="none"/>
                <w:lang w:val="en-US" w:eastAsia="zh-CN"/>
              </w:rPr>
              <w:t>涉及</w:t>
            </w:r>
            <w:r>
              <w:rPr>
                <w:rFonts w:hint="default" w:ascii="Times New Roman" w:hAnsi="Times New Roman" w:cs="Times New Roman"/>
                <w:color w:val="auto"/>
                <w:highlight w:val="none"/>
              </w:rPr>
              <w:t>主要生产装置、贮运系统、环保工程设施、公用工程系统，风险类型为危险废物泄漏事故、废气处理系统事故。本项目风险识别如下</w:t>
            </w:r>
            <w:r>
              <w:rPr>
                <w:rFonts w:hint="default" w:ascii="Times New Roman" w:hAnsi="Times New Roman" w:cs="Times New Roman"/>
                <w:color w:val="auto"/>
                <w:highlight w:val="none"/>
                <w:lang w:eastAsia="zh-CN"/>
              </w:rPr>
              <w:t>：</w:t>
            </w:r>
          </w:p>
          <w:p w14:paraId="6CC8D8E9">
            <w:pPr>
              <w:bidi w:val="0"/>
              <w:ind w:left="0" w:leftChars="0" w:firstLine="0" w:firstLineChars="0"/>
              <w:jc w:val="center"/>
              <w:rPr>
                <w:rFonts w:hint="default" w:ascii="Times New Roman" w:hAnsi="Times New Roman" w:cs="Times New Roman"/>
                <w:b/>
                <w:bCs/>
                <w:color w:val="auto"/>
                <w:highlight w:val="none"/>
                <w:lang w:val="en-US" w:eastAsia="zh-CN"/>
              </w:rPr>
            </w:pPr>
          </w:p>
          <w:p w14:paraId="7B1E6DEA">
            <w:pPr>
              <w:bidi w:val="0"/>
              <w:ind w:left="0" w:leftChars="0" w:firstLine="0" w:firstLineChars="0"/>
              <w:jc w:val="center"/>
              <w:rPr>
                <w:rFonts w:hint="default" w:ascii="Times New Roman" w:hAnsi="Times New Roman" w:cs="Times New Roman"/>
                <w:b/>
                <w:bCs/>
                <w:color w:val="auto"/>
                <w:highlight w:val="none"/>
                <w:lang w:val="en-US" w:eastAsia="zh-CN"/>
              </w:rPr>
            </w:pPr>
          </w:p>
          <w:p w14:paraId="440DB936">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表4-1</w:t>
            </w:r>
            <w:r>
              <w:rPr>
                <w:rFonts w:hint="eastAsia" w:cs="Times New Roman"/>
                <w:b/>
                <w:bCs/>
                <w:color w:val="auto"/>
                <w:highlight w:val="none"/>
                <w:lang w:val="en-US" w:eastAsia="zh-CN"/>
              </w:rPr>
              <w:t>4</w:t>
            </w:r>
            <w:r>
              <w:rPr>
                <w:rFonts w:hint="default" w:ascii="Times New Roman" w:hAnsi="Times New Roman" w:cs="Times New Roman"/>
                <w:b/>
                <w:bCs/>
                <w:color w:val="auto"/>
                <w:highlight w:val="none"/>
                <w:lang w:val="en-US" w:eastAsia="zh-CN"/>
              </w:rPr>
              <w:t>建设项目环境风险识别表</w:t>
            </w:r>
          </w:p>
          <w:tbl>
            <w:tblPr>
              <w:tblStyle w:val="24"/>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850"/>
              <w:gridCol w:w="1025"/>
              <w:gridCol w:w="3700"/>
              <w:gridCol w:w="1795"/>
            </w:tblGrid>
            <w:tr w14:paraId="0B26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Align w:val="center"/>
                </w:tcPr>
                <w:p w14:paraId="6265E8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序号</w:t>
                  </w:r>
                </w:p>
              </w:tc>
              <w:tc>
                <w:tcPr>
                  <w:tcW w:w="850" w:type="dxa"/>
                  <w:vAlign w:val="center"/>
                </w:tcPr>
                <w:p w14:paraId="07C579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风险单元</w:t>
                  </w:r>
                </w:p>
              </w:tc>
              <w:tc>
                <w:tcPr>
                  <w:tcW w:w="1025" w:type="dxa"/>
                  <w:vAlign w:val="center"/>
                </w:tcPr>
                <w:p w14:paraId="17A1CB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风险源</w:t>
                  </w:r>
                </w:p>
              </w:tc>
              <w:tc>
                <w:tcPr>
                  <w:tcW w:w="3700" w:type="dxa"/>
                  <w:vAlign w:val="center"/>
                </w:tcPr>
                <w:p w14:paraId="668D59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主要风险物质</w:t>
                  </w:r>
                </w:p>
              </w:tc>
              <w:tc>
                <w:tcPr>
                  <w:tcW w:w="1795" w:type="dxa"/>
                  <w:vAlign w:val="center"/>
                </w:tcPr>
                <w:p w14:paraId="4BBE04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环境影响途径</w:t>
                  </w:r>
                </w:p>
              </w:tc>
            </w:tr>
            <w:tr w14:paraId="23881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Merge w:val="restart"/>
                  <w:vAlign w:val="center"/>
                </w:tcPr>
                <w:p w14:paraId="44781A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1</w:t>
                  </w:r>
                </w:p>
              </w:tc>
              <w:tc>
                <w:tcPr>
                  <w:tcW w:w="1875" w:type="dxa"/>
                  <w:gridSpan w:val="2"/>
                  <w:vMerge w:val="restart"/>
                  <w:vAlign w:val="center"/>
                </w:tcPr>
                <w:p w14:paraId="6D1A14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危险废物暂存库、药剂库</w:t>
                  </w:r>
                </w:p>
              </w:tc>
              <w:tc>
                <w:tcPr>
                  <w:tcW w:w="3700" w:type="dxa"/>
                  <w:vAlign w:val="center"/>
                </w:tcPr>
                <w:p w14:paraId="38D479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危险废物、液体原辅材料</w:t>
                  </w:r>
                  <w:r>
                    <w:rPr>
                      <w:rFonts w:hint="eastAsia" w:cs="Times New Roman"/>
                      <w:b w:val="0"/>
                      <w:bCs w:val="0"/>
                      <w:color w:val="auto"/>
                      <w:highlight w:val="none"/>
                      <w:vertAlign w:val="baseline"/>
                      <w:lang w:val="en-US" w:eastAsia="zh-CN"/>
                    </w:rPr>
                    <w:t>泄漏</w:t>
                  </w:r>
                </w:p>
              </w:tc>
              <w:tc>
                <w:tcPr>
                  <w:tcW w:w="1795" w:type="dxa"/>
                  <w:vAlign w:val="center"/>
                </w:tcPr>
                <w:p w14:paraId="347780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地表水、大气</w:t>
                  </w:r>
                </w:p>
              </w:tc>
            </w:tr>
            <w:tr w14:paraId="3102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Merge w:val="continue"/>
                  <w:vAlign w:val="center"/>
                </w:tcPr>
                <w:p w14:paraId="581893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1875" w:type="dxa"/>
                  <w:gridSpan w:val="2"/>
                  <w:vMerge w:val="continue"/>
                  <w:vAlign w:val="center"/>
                </w:tcPr>
                <w:p w14:paraId="31E849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p>
              </w:tc>
              <w:tc>
                <w:tcPr>
                  <w:tcW w:w="3700" w:type="dxa"/>
                  <w:vAlign w:val="center"/>
                </w:tcPr>
                <w:p w14:paraId="407E43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对易燃物品操作不慎或保管不当，使火源接触易燃物质，引起对易燃物品操作不慎或保管不当，使火源接触易燃物质，引起火灾</w:t>
                  </w:r>
                </w:p>
              </w:tc>
              <w:tc>
                <w:tcPr>
                  <w:tcW w:w="1795" w:type="dxa"/>
                  <w:vAlign w:val="center"/>
                </w:tcPr>
                <w:p w14:paraId="11D430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地表水、大气</w:t>
                  </w:r>
                </w:p>
              </w:tc>
            </w:tr>
          </w:tbl>
          <w:p w14:paraId="36F257C8">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3、环境风险防范措施</w:t>
            </w:r>
          </w:p>
          <w:p w14:paraId="5E175F7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为确保危险化学品的安全存放、安全使用，学校拟制定以下管理办法：</w:t>
            </w:r>
          </w:p>
          <w:p w14:paraId="0221F56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健全实验室管理制度：实验室应定期登记和汇总本实验室各类试剂采购的种类和数量，存档、备查并报当地环境保护行政主管部门。实验室产生和排放的废液、固体废物等污染物，应按环境保护行政主管部门的要求进行申报登记、收集、运输和处置。严禁把废液、废渣和过期废弃化学药品等污染物直接向外界排放。</w:t>
            </w:r>
          </w:p>
          <w:p w14:paraId="01B862C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实验室化学品的安全储存管理：根据化学品的性质、数量，采用适当的贮存保管方法，此外应考虑化学品之间是否可能发生反应，以防引起事故。存放时要根据化学品的性质特点要求来存放；易挥发的物质需要封于试剂瓶中并置于阴凉处；易风化、易吸收水分、易吸收C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、易被O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氧化的物质需要密封保存；因光或受热变质的要用棕色瓶密封保存；固体一般用广口瓶，液态一般用细口瓶；盛放的器皿不能与实际发生反应。</w:t>
            </w:r>
          </w:p>
          <w:p w14:paraId="4D7D4A0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健全实验室污染防治措施：实验室根据其排放污染物类型及排放量，安装符合环境保护要求的污染治理设施，保证污染治理设施处于正常工作状态并达标排放。不能自行处理的废弃物，必须交由环境保护行政主管部门认可、持有危险废物经营许可证的单位处置。</w:t>
            </w:r>
          </w:p>
          <w:p w14:paraId="4AB5D10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④试剂</w:t>
            </w:r>
            <w:r>
              <w:rPr>
                <w:rFonts w:hint="eastAsia" w:cs="Times New Roman"/>
                <w:color w:val="auto"/>
                <w:highlight w:val="none"/>
                <w:lang w:val="en-US" w:eastAsia="zh-CN"/>
              </w:rPr>
              <w:t>采取</w:t>
            </w:r>
            <w:r>
              <w:rPr>
                <w:rFonts w:hint="default" w:ascii="Times New Roman" w:hAnsi="Times New Roman" w:cs="Times New Roman"/>
                <w:color w:val="auto"/>
                <w:highlight w:val="none"/>
                <w:lang w:val="en-US" w:eastAsia="zh-CN"/>
              </w:rPr>
              <w:t>防范措施：实验室应采用无毒、无害、不含重金属或者低毒、低害的试剂，替代毒性大、危害严重的试剂；采用试剂利用率高、污染物产生量少的实验方法和设备；应尽可能减少危险化学物品和生物物品的使用；必须使用的，要采取有效的措施，降低排放量，并分类收集和处理，以降低其危险性。</w:t>
            </w:r>
          </w:p>
          <w:p w14:paraId="46D589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⑤项目危险废物的储存除需设</w:t>
            </w:r>
            <w:r>
              <w:rPr>
                <w:rFonts w:hint="eastAsia" w:cs="Times New Roman"/>
                <w:color w:val="auto"/>
                <w:highlight w:val="none"/>
                <w:lang w:val="en-US" w:eastAsia="zh-CN"/>
              </w:rPr>
              <w:t>危险废物暂存库</w:t>
            </w:r>
            <w:r>
              <w:rPr>
                <w:rFonts w:hint="default" w:ascii="Times New Roman" w:hAnsi="Times New Roman" w:cs="Times New Roman"/>
                <w:color w:val="auto"/>
                <w:highlight w:val="none"/>
                <w:lang w:val="en-US" w:eastAsia="zh-CN"/>
              </w:rPr>
              <w:t>集中储存和管理外，必须遵守国务院下达的《危险化学品安全管理条例》。危险废物贮存严格按照《危险废物贮存污染控制标准》（GB18597-2023）中及修改单的规定执行，存放于防腐、防漏容器中，密封存放，定期委托有危险废物处置资质的单位回收处理。</w:t>
            </w:r>
          </w:p>
          <w:p w14:paraId="2E8826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⑥本项目在建筑设计过程中，充分注意所使用的材料、材质及设备的选择达到国家规定的防火要求。</w:t>
            </w:r>
          </w:p>
          <w:p w14:paraId="684377B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⑦危险化学品的使用不得离开实验室且仅限于教学实验使用，一律不准私人借用，坚决制止危险化学品向外借和流向社会。</w:t>
            </w:r>
          </w:p>
          <w:p w14:paraId="64F09AD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⑧危险废物暂存库及药品库内所有液体容器（含废液桶、原装试剂瓶）必须放置在不锈钢或PP材质防泄漏托盘上，设置集液池，集液池容积应不小于该区域单只最大容器容积的10%。药品库地面设置5cm高围堰，围堰内壁及地面做防渗处理。发生泄漏时，泄漏液首先被托盘或围堰收容，再使用吸附材料清理，严禁直接</w:t>
            </w:r>
            <w:r>
              <w:rPr>
                <w:rFonts w:hint="eastAsia" w:cs="Times New Roman"/>
                <w:color w:val="auto"/>
                <w:highlight w:val="none"/>
                <w:lang w:val="en-US" w:eastAsia="zh-CN"/>
              </w:rPr>
              <w:t>冲</w:t>
            </w:r>
            <w:r>
              <w:rPr>
                <w:rFonts w:hint="default" w:ascii="Times New Roman" w:hAnsi="Times New Roman" w:cs="Times New Roman"/>
                <w:color w:val="auto"/>
                <w:highlight w:val="none"/>
                <w:lang w:val="en-US" w:eastAsia="zh-CN"/>
              </w:rPr>
              <w:t>入下水道。</w:t>
            </w:r>
          </w:p>
          <w:p w14:paraId="7054B24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⑨药剂发生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应，泄漏液可能经地面裂缝渗透至下层土壤或通过地漏进入雨水管网，冲洗泄漏物或错误将废液倒入下水道，可能进入市政污水管网，污染市政污水管网，严禁直接冲洗泄漏物入下水道，实验室地漏应常闭或</w:t>
            </w:r>
            <w:r>
              <w:rPr>
                <w:rFonts w:hint="eastAsia" w:cs="Times New Roman"/>
                <w:color w:val="auto"/>
                <w:highlight w:val="none"/>
                <w:lang w:val="en-US" w:eastAsia="zh-CN"/>
              </w:rPr>
              <w:t>设置</w:t>
            </w:r>
            <w:r>
              <w:rPr>
                <w:rFonts w:hint="default" w:ascii="Times New Roman" w:hAnsi="Times New Roman" w:cs="Times New Roman"/>
                <w:color w:val="auto"/>
                <w:highlight w:val="none"/>
                <w:lang w:val="en-US" w:eastAsia="zh-CN"/>
              </w:rPr>
              <w:t>防渗措施；对于</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蒸汽可能形成爆炸性混合物，严禁明火和电火花，防止火灾爆炸风险；药剂发生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事故后，周围立即开启通风橱或窗户，避免蒸气积聚，实验室常备吸附巾、细沙，对</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的药剂尽快进行吸附处置，如若人员沾染</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药品，需使</w:t>
            </w:r>
            <w:r>
              <w:rPr>
                <w:rFonts w:hint="eastAsia" w:cs="Times New Roman"/>
                <w:color w:val="auto"/>
                <w:highlight w:val="none"/>
                <w:lang w:val="en-US" w:eastAsia="zh-CN"/>
              </w:rPr>
              <w:t>用大</w:t>
            </w:r>
            <w:r>
              <w:rPr>
                <w:rFonts w:hint="default" w:ascii="Times New Roman" w:hAnsi="Times New Roman" w:cs="Times New Roman"/>
                <w:color w:val="auto"/>
                <w:highlight w:val="none"/>
                <w:lang w:val="en-US" w:eastAsia="zh-CN"/>
              </w:rPr>
              <w:t>量清水冲洗至少15分钟，中和后就医，如果不慎进入眼睛，立即使用洗眼器冲洗15分钟后就医处理。</w:t>
            </w:r>
          </w:p>
          <w:p w14:paraId="6E18303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（1）对于液态无机酸（硫酸、盐酸、硝酸）发生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后，应急处置措施如下：</w:t>
            </w:r>
          </w:p>
          <w:p w14:paraId="038FA00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a用沙土或吸附巾围挡防止扩散。</w:t>
            </w:r>
          </w:p>
          <w:p w14:paraId="7956177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w:t>
            </w:r>
            <w:r>
              <w:rPr>
                <w:rFonts w:hint="eastAsia" w:cs="Times New Roman"/>
                <w:color w:val="auto"/>
                <w:highlight w:val="none"/>
                <w:lang w:val="en-US" w:eastAsia="zh-CN"/>
              </w:rPr>
              <w:t>洒</w:t>
            </w:r>
            <w:r>
              <w:rPr>
                <w:rFonts w:hint="default" w:ascii="Times New Roman" w:hAnsi="Times New Roman" w:cs="Times New Roman"/>
                <w:color w:val="auto"/>
                <w:highlight w:val="none"/>
                <w:lang w:val="en-US" w:eastAsia="zh-CN"/>
              </w:rPr>
              <w:t>碳酸氢钠中和至无气泡（检验：pH试纸测为中性）。</w:t>
            </w:r>
          </w:p>
          <w:p w14:paraId="4C6D7CC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c用塑料铲将中和后的固体糊状物铲入耐腐蚀塑料桶。</w:t>
            </w:r>
          </w:p>
          <w:p w14:paraId="33BA6A7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d残余地面用湿布擦拭，擦拭布同样放入桶中密封。</w:t>
            </w:r>
          </w:p>
          <w:p w14:paraId="482A4EE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（2）液态强碱（氢氧化钠溶液、氨水）发生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后的应急处置措施如下：</w:t>
            </w:r>
          </w:p>
          <w:p w14:paraId="2DB7206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a氨水泄漏先开通风橱，再用稀醋酸或硼酸溶液喷洒中和。</w:t>
            </w:r>
          </w:p>
          <w:p w14:paraId="5141D4C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b氢氧化钠溶液用干布或吸附巾吸干（不先中和，避免放热）。</w:t>
            </w:r>
          </w:p>
          <w:p w14:paraId="06FC87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c吸湿后的吸附物放入耐腐蚀塑料桶，标记“碱废液”。</w:t>
            </w:r>
          </w:p>
          <w:p w14:paraId="5109472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（3）有机溶剂（丙酮、乙醚、乙醇）发生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后的应急处置措施如下：</w:t>
            </w:r>
          </w:p>
          <w:p w14:paraId="0F4CFE4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a切断房间总电源，关闭所有电器（风扇除外），禁止明火、手机。</w:t>
            </w:r>
          </w:p>
          <w:p w14:paraId="2368612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b打开窗户和通风橱，加强自然通风。</w:t>
            </w:r>
          </w:p>
          <w:p w14:paraId="42A66D6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c用吸附巾、活性炭粉吸收至无流动。</w:t>
            </w:r>
          </w:p>
          <w:p w14:paraId="6B72500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d用防静电铲和刷子将吸附物轻轻扫入防静电塑料桶或金属桶，立即加盖密封。</w:t>
            </w:r>
          </w:p>
          <w:p w14:paraId="0BA6288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e地面用少量酒精擦拭（避免静电），擦布同样密封。</w:t>
            </w:r>
          </w:p>
          <w:p w14:paraId="0E907CF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（4）固体强碱（氢氧化钠颗粒、氢氧化钙粉末）发生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后的应急处置措施如下：</w:t>
            </w:r>
          </w:p>
          <w:p w14:paraId="1673FE3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a戴手套，用干燥的塑料铲和刷子将固体扫入干燥塑料桶。</w:t>
            </w:r>
          </w:p>
          <w:p w14:paraId="2411EC3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b剩余极少量用湿布擦拭，布放入桶中。</w:t>
            </w:r>
          </w:p>
          <w:p w14:paraId="1FAA6B3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（5）活泼金属（钠、镁条、铝粉）发生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后的应急处置措施如下：</w:t>
            </w:r>
          </w:p>
          <w:p w14:paraId="021F62F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a严禁用水、泡沫灭火器。</w:t>
            </w:r>
          </w:p>
          <w:p w14:paraId="4CB5732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b钠：用干</w:t>
            </w:r>
            <w:r>
              <w:rPr>
                <w:rFonts w:hint="eastAsia" w:cs="Times New Roman"/>
                <w:color w:val="auto"/>
                <w:highlight w:val="none"/>
                <w:lang w:val="en-US" w:eastAsia="zh-CN"/>
              </w:rPr>
              <w:t>砂</w:t>
            </w:r>
            <w:r>
              <w:rPr>
                <w:rFonts w:hint="default" w:ascii="Times New Roman" w:hAnsi="Times New Roman" w:cs="Times New Roman"/>
                <w:color w:val="auto"/>
                <w:highlight w:val="none"/>
                <w:lang w:val="en-US" w:eastAsia="zh-CN"/>
              </w:rPr>
              <w:t>覆盖，轻轻铲入装有矿物油的玻璃瓶或金属罐中，密封。</w:t>
            </w:r>
          </w:p>
          <w:p w14:paraId="654AC76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c镁条/铝粉：用干沙覆盖，戴手套夹取金属条放入干燥金属容器，剩余粉末用干布擦除。</w:t>
            </w:r>
          </w:p>
          <w:p w14:paraId="016A909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（6）氧化剂（高锰酸钾固体、过氧化氢溶液）发生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后的应急处置措施如下：</w:t>
            </w:r>
          </w:p>
          <w:p w14:paraId="0251A5D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a高锰酸钾固体：用干布或纸片擦拭，放入塑料桶，擦拭布</w:t>
            </w:r>
            <w:r>
              <w:rPr>
                <w:rFonts w:hint="eastAsia" w:cs="Times New Roman"/>
                <w:color w:val="auto"/>
                <w:highlight w:val="none"/>
                <w:lang w:val="en-US" w:eastAsia="zh-CN"/>
              </w:rPr>
              <w:t>做</w:t>
            </w:r>
            <w:r>
              <w:rPr>
                <w:rFonts w:hint="default" w:ascii="Times New Roman" w:hAnsi="Times New Roman" w:cs="Times New Roman"/>
                <w:color w:val="auto"/>
                <w:highlight w:val="none"/>
                <w:lang w:val="en-US" w:eastAsia="zh-CN"/>
              </w:rPr>
              <w:t>危废。避免与还原剂、有机物接触（如纸巾、抹布）。</w:t>
            </w:r>
          </w:p>
          <w:p w14:paraId="1FDF6AF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b过氧化氢：用吸附巾吸收，放入耐腐蚀桶。避免与金属接触。</w:t>
            </w:r>
          </w:p>
          <w:p w14:paraId="5C6D419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（7）重金属盐溶液（硫酸铜、氯化铁等）发生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后的应急处置措施如下：</w:t>
            </w:r>
          </w:p>
          <w:p w14:paraId="00D6709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a用吸附巾直接吸收液体。</w:t>
            </w:r>
          </w:p>
          <w:p w14:paraId="7B1634B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b吸后巾放入塑料桶，作为重金属危废处理。</w:t>
            </w:r>
          </w:p>
          <w:p w14:paraId="28B41EA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c地面用清水擦洗（废水收集至废液桶，不得倒入下水道）。</w:t>
            </w:r>
          </w:p>
          <w:p w14:paraId="0BC0AE2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（8）少量固体粉末（硫粉、铁粉等，无腐蚀性）发生</w:t>
            </w:r>
            <w:r>
              <w:rPr>
                <w:rFonts w:hint="eastAsia" w:cs="Times New Roman"/>
                <w:color w:val="auto"/>
                <w:highlight w:val="none"/>
                <w:lang w:val="en-US" w:eastAsia="zh-CN"/>
              </w:rPr>
              <w:t>泄漏</w:t>
            </w:r>
            <w:r>
              <w:rPr>
                <w:rFonts w:hint="default" w:ascii="Times New Roman" w:hAnsi="Times New Roman" w:cs="Times New Roman"/>
                <w:color w:val="auto"/>
                <w:highlight w:val="none"/>
                <w:lang w:val="en-US" w:eastAsia="zh-CN"/>
              </w:rPr>
              <w:t>后的应急处置措施如下：</w:t>
            </w:r>
          </w:p>
          <w:p w14:paraId="53ECEF0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a用湿润抹布擦拭，抹布作为一般固废（但硫粉作危废进行处置）。</w:t>
            </w:r>
          </w:p>
          <w:p w14:paraId="1790E9E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本项目主要危险物质数量与临界量比值Q&lt;1，未达到重大危险源级别，风险单元为危险废物暂存库、药品库。项目按照环评要求设置合理的环境风险防范措施和管理制度，则项目环境风险可控。</w:t>
            </w:r>
          </w:p>
          <w:p w14:paraId="3C5BF3F6">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表4-1</w:t>
            </w:r>
            <w:r>
              <w:rPr>
                <w:rFonts w:hint="eastAsia" w:cs="Times New Roman"/>
                <w:b/>
                <w:bCs/>
                <w:color w:val="auto"/>
                <w:highlight w:val="none"/>
                <w:lang w:val="en-US" w:eastAsia="zh-CN"/>
              </w:rPr>
              <w:t>5</w:t>
            </w:r>
            <w:r>
              <w:rPr>
                <w:rFonts w:hint="default" w:ascii="Times New Roman" w:hAnsi="Times New Roman" w:cs="Times New Roman"/>
                <w:b/>
                <w:bCs/>
                <w:color w:val="auto"/>
                <w:highlight w:val="none"/>
                <w:lang w:val="en-US" w:eastAsia="zh-CN"/>
              </w:rPr>
              <w:t>建设项目环境风险简单分析内容表</w:t>
            </w:r>
          </w:p>
          <w:tbl>
            <w:tblPr>
              <w:tblStyle w:val="24"/>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5"/>
              <w:gridCol w:w="6061"/>
            </w:tblGrid>
            <w:tr w14:paraId="617D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noWrap w:val="0"/>
                  <w:vAlign w:val="top"/>
                </w:tcPr>
                <w:p w14:paraId="4E61C8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建设项目名称</w:t>
                  </w:r>
                </w:p>
              </w:tc>
              <w:tc>
                <w:tcPr>
                  <w:tcW w:w="6061" w:type="dxa"/>
                  <w:noWrap w:val="0"/>
                  <w:vAlign w:val="top"/>
                </w:tcPr>
                <w:p w14:paraId="5768D9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24"/>
                      <w:szCs w:val="24"/>
                      <w:highlight w:val="none"/>
                      <w:lang w:eastAsia="zh-CN"/>
                    </w:rPr>
                    <w:t>鄂尔多斯市东胜区东联现代高级中学实验室建设项目</w:t>
                  </w:r>
                </w:p>
              </w:tc>
            </w:tr>
            <w:tr w14:paraId="7784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noWrap w:val="0"/>
                  <w:vAlign w:val="top"/>
                </w:tcPr>
                <w:p w14:paraId="2102CD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建设地点</w:t>
                  </w:r>
                </w:p>
              </w:tc>
              <w:tc>
                <w:tcPr>
                  <w:tcW w:w="6061" w:type="dxa"/>
                  <w:noWrap w:val="0"/>
                  <w:vAlign w:val="top"/>
                </w:tcPr>
                <w:p w14:paraId="702B16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内蒙古自治区鄂尔多斯市东胜区乌审东街40号东联现代高级中学竹轩教学楼</w:t>
                  </w:r>
                </w:p>
              </w:tc>
            </w:tr>
            <w:tr w14:paraId="40A5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noWrap w:val="0"/>
                  <w:vAlign w:val="top"/>
                </w:tcPr>
                <w:p w14:paraId="09BAC5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地理坐标</w:t>
                  </w:r>
                </w:p>
              </w:tc>
              <w:tc>
                <w:tcPr>
                  <w:tcW w:w="6061" w:type="dxa"/>
                  <w:noWrap w:val="0"/>
                  <w:vAlign w:val="top"/>
                </w:tcPr>
                <w:p w14:paraId="1B8FEB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eastAsia="宋体" w:cs="Times New Roman"/>
                      <w:color w:val="auto"/>
                      <w:sz w:val="24"/>
                      <w:szCs w:val="24"/>
                      <w:highlight w:val="none"/>
                      <w:lang w:val="en-US" w:eastAsia="zh-CN"/>
                    </w:rPr>
                    <w:t>110度1分24.031秒，39度48分15.826秒</w:t>
                  </w:r>
                </w:p>
              </w:tc>
            </w:tr>
            <w:tr w14:paraId="6B75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noWrap w:val="0"/>
                  <w:vAlign w:val="top"/>
                </w:tcPr>
                <w:p w14:paraId="3E27FE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主要危险物质及分布</w:t>
                  </w:r>
                </w:p>
              </w:tc>
              <w:tc>
                <w:tcPr>
                  <w:tcW w:w="6061" w:type="dxa"/>
                  <w:noWrap w:val="0"/>
                  <w:vAlign w:val="top"/>
                </w:tcPr>
                <w:p w14:paraId="4B9BF2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b w:val="0"/>
                      <w:bCs w:val="0"/>
                      <w:color w:val="auto"/>
                      <w:highlight w:val="none"/>
                      <w:vertAlign w:val="baseline"/>
                      <w:lang w:val="en-US" w:eastAsia="zh-CN"/>
                    </w:rPr>
                    <w:t>危险废物暂存库、</w:t>
                  </w:r>
                  <w:r>
                    <w:rPr>
                      <w:rFonts w:hint="eastAsia" w:ascii="Times New Roman" w:hAnsi="Times New Roman" w:cs="Times New Roman"/>
                      <w:b w:val="0"/>
                      <w:bCs w:val="0"/>
                      <w:color w:val="auto"/>
                      <w:highlight w:val="none"/>
                      <w:vertAlign w:val="baseline"/>
                      <w:lang w:val="en-US" w:eastAsia="zh-CN"/>
                    </w:rPr>
                    <w:t>药品库</w:t>
                  </w:r>
                </w:p>
              </w:tc>
            </w:tr>
            <w:tr w14:paraId="06D4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noWrap w:val="0"/>
                  <w:vAlign w:val="top"/>
                </w:tcPr>
                <w:p w14:paraId="24A530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环境影响途径及危害后果（大气、地表水、地下水等）</w:t>
                  </w:r>
                </w:p>
              </w:tc>
              <w:tc>
                <w:tcPr>
                  <w:tcW w:w="6061" w:type="dxa"/>
                  <w:noWrap w:val="0"/>
                  <w:vAlign w:val="top"/>
                </w:tcPr>
                <w:p w14:paraId="18CBB04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如发生泄漏将污染项目周边地表水体和土壤，如因泄漏发生火灾，火灾产生的有毒有害烟气将对区域环境空气和周边环境敏感目标造成较大影响。</w:t>
                  </w:r>
                </w:p>
              </w:tc>
            </w:tr>
            <w:tr w14:paraId="17BF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5" w:type="dxa"/>
                  <w:noWrap w:val="0"/>
                  <w:vAlign w:val="top"/>
                </w:tcPr>
                <w:p w14:paraId="0EBD7A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风险防范措施要求</w:t>
                  </w:r>
                </w:p>
              </w:tc>
              <w:tc>
                <w:tcPr>
                  <w:tcW w:w="6061" w:type="dxa"/>
                  <w:noWrap w:val="0"/>
                  <w:vAlign w:val="top"/>
                </w:tcPr>
                <w:p w14:paraId="6628972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1）严格按照相关设计规范和要求落实防护设施，制定安全操作规章制度，加强安全意识教育，加强监督管理，消除事故隐患。</w:t>
                  </w:r>
                </w:p>
                <w:p w14:paraId="7DF1D99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2）各类液体实验试剂应包装完好无损，不同化学品之间应隔开存放于药品室内。</w:t>
                  </w:r>
                </w:p>
                <w:p w14:paraId="705F6C3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3）配备大容量的槽筒或置换桶，实验试剂发生泄漏时可以安全转移。</w:t>
                  </w:r>
                </w:p>
                <w:p w14:paraId="117FC27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4）设专人管理化学品，加强巡视检查，实验室内禁止烟火。</w:t>
                  </w:r>
                </w:p>
              </w:tc>
            </w:tr>
            <w:tr w14:paraId="7B47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6" w:type="dxa"/>
                  <w:gridSpan w:val="2"/>
                  <w:noWrap w:val="0"/>
                  <w:vAlign w:val="top"/>
                </w:tcPr>
                <w:p w14:paraId="7DA3C883">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填表说明（列出项目相关信息及评价说明）：本项目环境风险评价等级为简单分析，在采取本报告提出的风险防范措施后，本项目环境风险水平在可接受范围内。</w:t>
                  </w:r>
                </w:p>
              </w:tc>
            </w:tr>
          </w:tbl>
          <w:p w14:paraId="3279D2C8">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六、环保投资情况</w:t>
            </w:r>
          </w:p>
          <w:p w14:paraId="0C01E3C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本项目总投资金额为150万元，其中环保投资金额为30万元，占总投资金额的20%。</w:t>
            </w:r>
          </w:p>
          <w:p w14:paraId="6396FEF9">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表4-1</w:t>
            </w:r>
            <w:r>
              <w:rPr>
                <w:rFonts w:hint="eastAsia" w:cs="Times New Roman"/>
                <w:b/>
                <w:bCs/>
                <w:color w:val="auto"/>
                <w:highlight w:val="none"/>
                <w:lang w:val="en-US" w:eastAsia="zh-CN"/>
              </w:rPr>
              <w:t>6</w:t>
            </w:r>
            <w:r>
              <w:rPr>
                <w:rFonts w:hint="default" w:ascii="Times New Roman" w:hAnsi="Times New Roman" w:cs="Times New Roman"/>
                <w:b/>
                <w:bCs/>
                <w:color w:val="auto"/>
                <w:highlight w:val="none"/>
                <w:lang w:val="en-US" w:eastAsia="zh-CN"/>
              </w:rPr>
              <w:t>环保投资情况一览表</w:t>
            </w:r>
          </w:p>
          <w:tbl>
            <w:tblPr>
              <w:tblStyle w:val="24"/>
              <w:tblW w:w="7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650"/>
              <w:gridCol w:w="5300"/>
              <w:gridCol w:w="1529"/>
            </w:tblGrid>
            <w:tr w14:paraId="7AB7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9" w:type="dxa"/>
                  <w:gridSpan w:val="2"/>
                  <w:noWrap w:val="0"/>
                  <w:vAlign w:val="center"/>
                </w:tcPr>
                <w:p w14:paraId="22574A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污染类别</w:t>
                  </w:r>
                </w:p>
              </w:tc>
              <w:tc>
                <w:tcPr>
                  <w:tcW w:w="5300" w:type="dxa"/>
                  <w:noWrap w:val="0"/>
                  <w:vAlign w:val="center"/>
                </w:tcPr>
                <w:p w14:paraId="52FA7F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环保措施</w:t>
                  </w:r>
                </w:p>
              </w:tc>
              <w:tc>
                <w:tcPr>
                  <w:tcW w:w="1529" w:type="dxa"/>
                  <w:noWrap w:val="0"/>
                  <w:vAlign w:val="center"/>
                </w:tcPr>
                <w:p w14:paraId="130069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环保投资情况（万元）</w:t>
                  </w:r>
                </w:p>
              </w:tc>
            </w:tr>
            <w:tr w14:paraId="400E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9" w:type="dxa"/>
                  <w:noWrap w:val="0"/>
                  <w:vAlign w:val="center"/>
                </w:tcPr>
                <w:p w14:paraId="0D10C7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废气</w:t>
                  </w:r>
                </w:p>
              </w:tc>
              <w:tc>
                <w:tcPr>
                  <w:tcW w:w="650" w:type="dxa"/>
                  <w:noWrap w:val="0"/>
                  <w:vAlign w:val="center"/>
                </w:tcPr>
                <w:p w14:paraId="16A140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实验室废气</w:t>
                  </w:r>
                </w:p>
              </w:tc>
              <w:tc>
                <w:tcPr>
                  <w:tcW w:w="5300" w:type="dxa"/>
                  <w:noWrap w:val="0"/>
                  <w:vAlign w:val="center"/>
                </w:tcPr>
                <w:p w14:paraId="2884CD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1、化学实验室废气：化学实验室内设置2个通风橱，实验过程中产生无机酸性废气、有机废气的实验位于通风橱下进行，废气经通风橱收集后，通</w:t>
                  </w:r>
                  <w:r>
                    <w:rPr>
                      <w:rFonts w:hint="eastAsia" w:cs="Times New Roman"/>
                      <w:color w:val="auto"/>
                      <w:sz w:val="24"/>
                      <w:szCs w:val="24"/>
                      <w:highlight w:val="none"/>
                      <w:lang w:val="en-US" w:eastAsia="zh-CN"/>
                    </w:rPr>
                    <w:t>过通</w:t>
                  </w:r>
                  <w:r>
                    <w:rPr>
                      <w:rFonts w:hint="default" w:ascii="Times New Roman" w:hAnsi="Times New Roman" w:cs="Times New Roman"/>
                      <w:color w:val="auto"/>
                      <w:sz w:val="24"/>
                      <w:szCs w:val="24"/>
                      <w:highlight w:val="none"/>
                      <w:lang w:val="en-US" w:eastAsia="zh-CN"/>
                    </w:rPr>
                    <w:t>风管道汇集至楼顶，经活性炭吸附装置（TA001）处理后，最终经楼顶1根20m高排气筒（DA001）排放</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（楼高18m，排气筒高于楼顶2m，排气筒总高度为20m）。</w:t>
                  </w:r>
                </w:p>
                <w:p w14:paraId="61E79FE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2、生物实验室废气：生物实验室</w:t>
                  </w:r>
                  <w:r>
                    <w:rPr>
                      <w:rFonts w:hint="eastAsia" w:cs="Times New Roman"/>
                      <w:color w:val="auto"/>
                      <w:sz w:val="24"/>
                      <w:szCs w:val="24"/>
                      <w:highlight w:val="none"/>
                      <w:lang w:val="en-US" w:eastAsia="zh-CN"/>
                    </w:rPr>
                    <w:t>产生氯化氢及非甲烷总烃的废气位于</w:t>
                  </w:r>
                  <w:r>
                    <w:rPr>
                      <w:rFonts w:hint="default" w:ascii="Times New Roman" w:hAnsi="Times New Roman" w:cs="Times New Roman"/>
                      <w:color w:val="auto"/>
                      <w:sz w:val="24"/>
                      <w:szCs w:val="24"/>
                      <w:highlight w:val="none"/>
                      <w:lang w:val="en-US" w:eastAsia="zh-CN"/>
                    </w:rPr>
                    <w:t>通风橱</w:t>
                  </w:r>
                  <w:r>
                    <w:rPr>
                      <w:rFonts w:hint="eastAsia" w:cs="Times New Roman"/>
                      <w:color w:val="auto"/>
                      <w:sz w:val="24"/>
                      <w:szCs w:val="24"/>
                      <w:highlight w:val="none"/>
                      <w:lang w:val="en-US" w:eastAsia="zh-CN"/>
                    </w:rPr>
                    <w:t>（1个通风橱）下</w:t>
                  </w:r>
                  <w:r>
                    <w:rPr>
                      <w:rFonts w:hint="default" w:ascii="Times New Roman" w:hAnsi="Times New Roman" w:cs="Times New Roman"/>
                      <w:color w:val="auto"/>
                      <w:sz w:val="24"/>
                      <w:szCs w:val="24"/>
                      <w:highlight w:val="none"/>
                      <w:lang w:val="en-US" w:eastAsia="zh-CN"/>
                    </w:rPr>
                    <w:t>收集后，通过通风管道将废气引至楼顶，经楼顶活性炭吸附装（TA001）置处理后，最终由楼顶1根20m高排气筒（DA001）排放。</w:t>
                  </w:r>
                </w:p>
                <w:p w14:paraId="121FFFD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3、物理实验室废气：</w:t>
                  </w:r>
                  <w:r>
                    <w:rPr>
                      <w:rFonts w:hint="eastAsia" w:cs="Times New Roman"/>
                      <w:color w:val="auto"/>
                      <w:sz w:val="24"/>
                      <w:szCs w:val="24"/>
                      <w:highlight w:val="none"/>
                      <w:lang w:val="en-US" w:eastAsia="zh-CN"/>
                    </w:rPr>
                    <w:t>实验过程中不产生废气。</w:t>
                  </w:r>
                </w:p>
                <w:p w14:paraId="4C72507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24"/>
                      <w:szCs w:val="24"/>
                      <w:highlight w:val="none"/>
                      <w:lang w:val="en-US" w:eastAsia="zh-CN"/>
                    </w:rPr>
                    <w:t>4、地理实验室废气：地理实验过程中不产生废气。</w:t>
                  </w:r>
                </w:p>
              </w:tc>
              <w:tc>
                <w:tcPr>
                  <w:tcW w:w="1529" w:type="dxa"/>
                  <w:noWrap w:val="0"/>
                  <w:vAlign w:val="center"/>
                </w:tcPr>
                <w:p w14:paraId="4B3FA2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15</w:t>
                  </w:r>
                </w:p>
              </w:tc>
            </w:tr>
            <w:tr w14:paraId="330F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9" w:type="dxa"/>
                  <w:noWrap w:val="0"/>
                  <w:vAlign w:val="center"/>
                </w:tcPr>
                <w:p w14:paraId="107014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废水</w:t>
                  </w:r>
                </w:p>
              </w:tc>
              <w:tc>
                <w:tcPr>
                  <w:tcW w:w="650" w:type="dxa"/>
                  <w:noWrap w:val="0"/>
                  <w:vAlign w:val="center"/>
                </w:tcPr>
                <w:p w14:paraId="56A91F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24"/>
                      <w:szCs w:val="24"/>
                      <w:highlight w:val="none"/>
                      <w:lang w:val="en-US" w:eastAsia="zh-CN"/>
                    </w:rPr>
                    <w:t>实验室废水</w:t>
                  </w:r>
                </w:p>
              </w:tc>
              <w:tc>
                <w:tcPr>
                  <w:tcW w:w="5300" w:type="dxa"/>
                  <w:noWrap w:val="0"/>
                  <w:vAlign w:val="center"/>
                </w:tcPr>
                <w:p w14:paraId="4F23DD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1、化学实验室废水：</w:t>
                  </w:r>
                </w:p>
                <w:p w14:paraId="29DFF8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lang w:val="en-US" w:eastAsia="zh-CN"/>
                    </w:rPr>
                    <w:t>①</w:t>
                  </w:r>
                  <w:r>
                    <w:rPr>
                      <w:rFonts w:hint="eastAsia" w:cs="Times New Roman"/>
                      <w:color w:val="auto"/>
                      <w:sz w:val="24"/>
                      <w:szCs w:val="24"/>
                      <w:highlight w:val="none"/>
                      <w:lang w:val="en-US" w:eastAsia="zh-CN"/>
                    </w:rPr>
                    <w:t>实验前器皿润洗废水进入化粪池（16m³）收集沉淀后，进入市政管网</w:t>
                  </w:r>
                  <w:r>
                    <w:rPr>
                      <w:rFonts w:hint="default" w:ascii="Times New Roman" w:hAnsi="Times New Roman" w:cs="Times New Roman"/>
                      <w:color w:val="auto"/>
                      <w:sz w:val="24"/>
                      <w:szCs w:val="24"/>
                      <w:highlight w:val="none"/>
                      <w:lang w:val="en-US" w:eastAsia="zh-CN"/>
                    </w:rPr>
                    <w:t>；</w:t>
                  </w:r>
                </w:p>
                <w:p w14:paraId="1A3003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②</w:t>
                  </w:r>
                  <w:r>
                    <w:rPr>
                      <w:rFonts w:hint="eastAsia" w:cs="Times New Roman"/>
                      <w:color w:val="auto"/>
                      <w:sz w:val="24"/>
                      <w:szCs w:val="24"/>
                      <w:highlight w:val="none"/>
                      <w:lang w:val="en-US" w:eastAsia="zh-CN"/>
                    </w:rPr>
                    <w:t>实验中冷凝冷却废水进入化粪池（16m³）收集沉淀后，进入市政管网；</w:t>
                  </w:r>
                </w:p>
                <w:p w14:paraId="3B930FD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③</w:t>
                  </w:r>
                  <w:r>
                    <w:rPr>
                      <w:rFonts w:hint="eastAsia" w:cs="Times New Roman"/>
                      <w:color w:val="auto"/>
                      <w:sz w:val="24"/>
                      <w:szCs w:val="24"/>
                      <w:highlight w:val="none"/>
                      <w:lang w:val="en-US" w:eastAsia="zh-CN"/>
                    </w:rPr>
                    <w:t>实验后第3~5次清洗废水进入化粪池（16m³）收集沉淀后，进入市政管网</w:t>
                  </w:r>
                  <w:r>
                    <w:rPr>
                      <w:rFonts w:hint="default" w:ascii="Times New Roman" w:hAnsi="Times New Roman" w:cs="Times New Roman"/>
                      <w:color w:val="auto"/>
                      <w:sz w:val="24"/>
                      <w:szCs w:val="24"/>
                      <w:highlight w:val="none"/>
                      <w:lang w:val="en-US" w:eastAsia="zh-CN"/>
                    </w:rPr>
                    <w:t>。</w:t>
                  </w:r>
                </w:p>
                <w:p w14:paraId="2528E0F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2、生物实验室废水：</w:t>
                  </w:r>
                </w:p>
                <w:p w14:paraId="1CA36C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①</w:t>
                  </w:r>
                  <w:r>
                    <w:rPr>
                      <w:rFonts w:hint="eastAsia" w:cs="Times New Roman"/>
                      <w:color w:val="auto"/>
                      <w:sz w:val="24"/>
                      <w:szCs w:val="24"/>
                      <w:highlight w:val="none"/>
                      <w:lang w:val="en-US" w:eastAsia="zh-CN"/>
                    </w:rPr>
                    <w:t>实验前器皿润洗废水进入化粪池（16m³）收集沉淀后，进入市政管网</w:t>
                  </w:r>
                  <w:r>
                    <w:rPr>
                      <w:rFonts w:hint="default" w:ascii="Times New Roman" w:hAnsi="Times New Roman" w:cs="Times New Roman"/>
                      <w:color w:val="auto"/>
                      <w:sz w:val="24"/>
                      <w:szCs w:val="24"/>
                      <w:highlight w:val="none"/>
                      <w:lang w:val="en-US" w:eastAsia="zh-CN"/>
                    </w:rPr>
                    <w:t>；</w:t>
                  </w:r>
                </w:p>
                <w:p w14:paraId="4EBCF98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②灭菌后废水</w:t>
                  </w:r>
                  <w:r>
                    <w:rPr>
                      <w:rFonts w:hint="eastAsia" w:cs="Times New Roman"/>
                      <w:color w:val="auto"/>
                      <w:sz w:val="24"/>
                      <w:szCs w:val="24"/>
                      <w:highlight w:val="none"/>
                      <w:lang w:val="en-US" w:eastAsia="zh-CN"/>
                    </w:rPr>
                    <w:t>进入化粪池（16m³）收集沉淀后，进入市政管网；</w:t>
                  </w:r>
                </w:p>
                <w:p w14:paraId="5ADCD0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color w:val="auto"/>
                      <w:sz w:val="24"/>
                      <w:szCs w:val="24"/>
                      <w:highlight w:val="none"/>
                      <w:lang w:val="en-US" w:eastAsia="zh-CN"/>
                    </w:rPr>
                    <w:t>③实验后第3~5次清洗废水进入化粪池（16m³）收集沉淀后，进入市政管网</w:t>
                  </w:r>
                  <w:r>
                    <w:rPr>
                      <w:rFonts w:hint="default" w:ascii="Times New Roman" w:hAnsi="Times New Roman" w:cs="Times New Roman"/>
                      <w:color w:val="auto"/>
                      <w:sz w:val="24"/>
                      <w:szCs w:val="24"/>
                      <w:highlight w:val="none"/>
                      <w:lang w:val="en-US" w:eastAsia="zh-CN"/>
                    </w:rPr>
                    <w:t>。</w:t>
                  </w:r>
                </w:p>
                <w:p w14:paraId="4EAE6B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3、物理实验室废水：</w:t>
                  </w:r>
                </w:p>
                <w:p w14:paraId="2A36D9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①实验前器皿润洗废水进入化粪池（16m³）收集沉淀后，进入市政管网</w:t>
                  </w:r>
                  <w:r>
                    <w:rPr>
                      <w:rFonts w:hint="default" w:ascii="Times New Roman" w:hAnsi="Times New Roman" w:cs="Times New Roman"/>
                      <w:color w:val="auto"/>
                      <w:sz w:val="24"/>
                      <w:szCs w:val="24"/>
                      <w:highlight w:val="none"/>
                      <w:lang w:val="en-US" w:eastAsia="zh-CN"/>
                    </w:rPr>
                    <w:t>；</w:t>
                  </w:r>
                </w:p>
                <w:p w14:paraId="31F55D6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②</w:t>
                  </w:r>
                  <w:r>
                    <w:rPr>
                      <w:rFonts w:hint="eastAsia" w:cs="Times New Roman"/>
                      <w:color w:val="auto"/>
                      <w:sz w:val="24"/>
                      <w:szCs w:val="24"/>
                      <w:highlight w:val="none"/>
                      <w:lang w:val="en-US" w:eastAsia="zh-CN"/>
                    </w:rPr>
                    <w:t>实验中冷凝冷却废水进入化粪池（16m³）收集沉淀后，进入市政管网；</w:t>
                  </w:r>
                </w:p>
                <w:p w14:paraId="52056D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③实验后器皿冲洗废水进入化粪池（16m³）收集沉淀后，进入市政管网。</w:t>
                  </w:r>
                </w:p>
                <w:p w14:paraId="3B39E97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24"/>
                      <w:szCs w:val="24"/>
                      <w:highlight w:val="none"/>
                      <w:lang w:val="en-US" w:eastAsia="zh-CN"/>
                    </w:rPr>
                    <w:t>4、地理实验室废水：不涉及用水。</w:t>
                  </w:r>
                </w:p>
              </w:tc>
              <w:tc>
                <w:tcPr>
                  <w:tcW w:w="1529" w:type="dxa"/>
                  <w:noWrap w:val="0"/>
                  <w:vAlign w:val="center"/>
                </w:tcPr>
                <w:p w14:paraId="5CC374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5</w:t>
                  </w:r>
                </w:p>
              </w:tc>
            </w:tr>
            <w:tr w14:paraId="16EB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9" w:type="dxa"/>
                  <w:gridSpan w:val="2"/>
                  <w:vMerge w:val="restart"/>
                  <w:noWrap w:val="0"/>
                  <w:vAlign w:val="center"/>
                </w:tcPr>
                <w:p w14:paraId="395597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固废</w:t>
                  </w:r>
                </w:p>
              </w:tc>
              <w:tc>
                <w:tcPr>
                  <w:tcW w:w="5300" w:type="dxa"/>
                  <w:noWrap w:val="0"/>
                  <w:vAlign w:val="center"/>
                </w:tcPr>
                <w:p w14:paraId="095F3BE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b w:val="0"/>
                      <w:bCs/>
                      <w:color w:val="auto"/>
                      <w:kern w:val="2"/>
                      <w:sz w:val="24"/>
                      <w:szCs w:val="24"/>
                      <w:highlight w:val="none"/>
                      <w:vertAlign w:val="baseline"/>
                      <w:lang w:val="en-US" w:eastAsia="zh-CN" w:bidi="ar-SA"/>
                    </w:rPr>
                  </w:pPr>
                  <w:r>
                    <w:rPr>
                      <w:rFonts w:hint="eastAsia" w:ascii="Times New Roman" w:hAnsi="Times New Roman" w:eastAsia="宋体" w:cs="Times New Roman"/>
                      <w:b w:val="0"/>
                      <w:bCs/>
                      <w:color w:val="auto"/>
                      <w:kern w:val="2"/>
                      <w:sz w:val="24"/>
                      <w:szCs w:val="24"/>
                      <w:highlight w:val="none"/>
                      <w:vertAlign w:val="baseline"/>
                      <w:lang w:val="en-US" w:eastAsia="zh-CN" w:bidi="ar-SA"/>
                    </w:rPr>
                    <w:t>一般固废：</w:t>
                  </w:r>
                </w:p>
                <w:p w14:paraId="289CF3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b w:val="0"/>
                      <w:bCs/>
                      <w:color w:val="auto"/>
                      <w:kern w:val="2"/>
                      <w:sz w:val="24"/>
                      <w:szCs w:val="24"/>
                      <w:highlight w:val="none"/>
                      <w:vertAlign w:val="baseline"/>
                      <w:lang w:val="en-US" w:eastAsia="zh-CN" w:bidi="ar-SA"/>
                    </w:rPr>
                  </w:pPr>
                  <w:r>
                    <w:rPr>
                      <w:rFonts w:hint="eastAsia" w:ascii="Times New Roman" w:hAnsi="Times New Roman" w:eastAsia="宋体" w:cs="Times New Roman"/>
                      <w:b w:val="0"/>
                      <w:bCs/>
                      <w:color w:val="auto"/>
                      <w:kern w:val="2"/>
                      <w:sz w:val="24"/>
                      <w:szCs w:val="24"/>
                      <w:highlight w:val="none"/>
                      <w:vertAlign w:val="baseline"/>
                      <w:lang w:val="en-US" w:eastAsia="zh-CN" w:bidi="ar-SA"/>
                    </w:rPr>
                    <w:t>1、没有沾染药剂的废包装物：</w:t>
                  </w:r>
                  <w:r>
                    <w:rPr>
                      <w:rFonts w:hint="default" w:ascii="Times New Roman" w:hAnsi="Times New Roman" w:eastAsia="宋体" w:cs="Times New Roman"/>
                      <w:b w:val="0"/>
                      <w:bCs/>
                      <w:color w:val="auto"/>
                      <w:kern w:val="2"/>
                      <w:sz w:val="24"/>
                      <w:szCs w:val="24"/>
                      <w:highlight w:val="none"/>
                      <w:vertAlign w:val="baseline"/>
                      <w:lang w:val="en-US" w:eastAsia="zh-CN" w:bidi="ar-SA"/>
                    </w:rPr>
                    <w:t>分类收集，</w:t>
                  </w:r>
                  <w:r>
                    <w:rPr>
                      <w:rFonts w:hint="eastAsia" w:ascii="Times New Roman" w:hAnsi="Times New Roman" w:eastAsia="宋体" w:cs="Times New Roman"/>
                      <w:b w:val="0"/>
                      <w:bCs/>
                      <w:color w:val="auto"/>
                      <w:kern w:val="2"/>
                      <w:sz w:val="24"/>
                      <w:szCs w:val="24"/>
                      <w:highlight w:val="none"/>
                      <w:vertAlign w:val="baseline"/>
                      <w:lang w:val="en-US" w:eastAsia="zh-CN" w:bidi="ar-SA"/>
                    </w:rPr>
                    <w:t>与</w:t>
                  </w:r>
                  <w:r>
                    <w:rPr>
                      <w:rFonts w:hint="default" w:ascii="Times New Roman" w:hAnsi="Times New Roman" w:eastAsia="宋体" w:cs="Times New Roman"/>
                      <w:b w:val="0"/>
                      <w:bCs/>
                      <w:color w:val="auto"/>
                      <w:kern w:val="2"/>
                      <w:sz w:val="24"/>
                      <w:szCs w:val="24"/>
                      <w:highlight w:val="none"/>
                      <w:vertAlign w:val="baseline"/>
                      <w:lang w:val="en-US" w:eastAsia="zh-CN" w:bidi="ar-SA"/>
                    </w:rPr>
                    <w:t>生活垃圾</w:t>
                  </w:r>
                  <w:r>
                    <w:rPr>
                      <w:rFonts w:hint="eastAsia" w:ascii="Times New Roman" w:hAnsi="Times New Roman" w:eastAsia="宋体" w:cs="Times New Roman"/>
                      <w:b w:val="0"/>
                      <w:bCs/>
                      <w:color w:val="auto"/>
                      <w:kern w:val="2"/>
                      <w:sz w:val="24"/>
                      <w:szCs w:val="24"/>
                      <w:highlight w:val="none"/>
                      <w:vertAlign w:val="baseline"/>
                      <w:lang w:val="en-US" w:eastAsia="zh-CN" w:bidi="ar-SA"/>
                    </w:rPr>
                    <w:t>一同</w:t>
                  </w:r>
                  <w:r>
                    <w:rPr>
                      <w:rFonts w:hint="default" w:ascii="Times New Roman" w:hAnsi="Times New Roman" w:eastAsia="宋体" w:cs="Times New Roman"/>
                      <w:b w:val="0"/>
                      <w:bCs/>
                      <w:color w:val="auto"/>
                      <w:kern w:val="2"/>
                      <w:sz w:val="24"/>
                      <w:szCs w:val="24"/>
                      <w:highlight w:val="none"/>
                      <w:vertAlign w:val="baseline"/>
                      <w:lang w:val="en-US" w:eastAsia="zh-CN" w:bidi="ar-SA"/>
                    </w:rPr>
                    <w:t>处理</w:t>
                  </w:r>
                  <w:r>
                    <w:rPr>
                      <w:rFonts w:hint="eastAsia" w:ascii="Times New Roman" w:hAnsi="Times New Roman" w:eastAsia="宋体" w:cs="Times New Roman"/>
                      <w:b w:val="0"/>
                      <w:bCs/>
                      <w:color w:val="auto"/>
                      <w:kern w:val="2"/>
                      <w:sz w:val="24"/>
                      <w:szCs w:val="24"/>
                      <w:highlight w:val="none"/>
                      <w:vertAlign w:val="baseline"/>
                      <w:lang w:val="en-US" w:eastAsia="zh-CN" w:bidi="ar-SA"/>
                    </w:rPr>
                    <w:t>；</w:t>
                  </w:r>
                </w:p>
                <w:p w14:paraId="1EE244B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kern w:val="2"/>
                      <w:sz w:val="24"/>
                      <w:szCs w:val="24"/>
                      <w:highlight w:val="none"/>
                      <w:vertAlign w:val="baseline"/>
                      <w:lang w:val="en-US" w:eastAsia="zh-CN" w:bidi="ar-SA"/>
                    </w:rPr>
                  </w:pPr>
                  <w:r>
                    <w:rPr>
                      <w:rFonts w:hint="eastAsia" w:ascii="Times New Roman" w:hAnsi="Times New Roman" w:eastAsia="宋体" w:cs="Times New Roman"/>
                      <w:b w:val="0"/>
                      <w:bCs/>
                      <w:color w:val="auto"/>
                      <w:kern w:val="2"/>
                      <w:sz w:val="24"/>
                      <w:szCs w:val="24"/>
                      <w:highlight w:val="none"/>
                      <w:vertAlign w:val="baseline"/>
                      <w:lang w:val="en-US" w:eastAsia="zh-CN" w:bidi="ar-SA"/>
                    </w:rPr>
                    <w:t>2、灭活废弃培养基：统一收集后与生活垃圾一同处置</w:t>
                  </w:r>
                  <w:r>
                    <w:rPr>
                      <w:rFonts w:hint="eastAsia" w:cs="Times New Roman"/>
                      <w:b w:val="0"/>
                      <w:bCs/>
                      <w:color w:val="auto"/>
                      <w:kern w:val="2"/>
                      <w:sz w:val="24"/>
                      <w:szCs w:val="24"/>
                      <w:highlight w:val="none"/>
                      <w:vertAlign w:val="baseline"/>
                      <w:lang w:val="en-US" w:eastAsia="zh-CN" w:bidi="ar-SA"/>
                    </w:rPr>
                    <w:t>。</w:t>
                  </w:r>
                </w:p>
                <w:p w14:paraId="3195D6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kern w:val="2"/>
                      <w:sz w:val="24"/>
                      <w:szCs w:val="24"/>
                      <w:highlight w:val="none"/>
                      <w:vertAlign w:val="baseline"/>
                      <w:lang w:val="en-US" w:eastAsia="zh-CN" w:bidi="ar-SA"/>
                    </w:rPr>
                    <w:t>3、生物、物理实验室</w:t>
                  </w:r>
                  <w:r>
                    <w:rPr>
                      <w:rFonts w:hint="eastAsia" w:cs="Times New Roman"/>
                      <w:b w:val="0"/>
                      <w:bCs/>
                      <w:color w:val="auto"/>
                      <w:sz w:val="24"/>
                      <w:szCs w:val="24"/>
                      <w:highlight w:val="none"/>
                      <w:vertAlign w:val="baseline"/>
                      <w:lang w:val="en-US" w:eastAsia="zh-CN"/>
                    </w:rPr>
                    <w:t>废弃包装物：统一收集后，与生活垃圾一同处置。</w:t>
                  </w:r>
                </w:p>
                <w:p w14:paraId="7B731D3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vertAlign w:val="baseline"/>
                      <w:lang w:val="en-US" w:eastAsia="zh-CN"/>
                    </w:rPr>
                  </w:pPr>
                  <w:r>
                    <w:rPr>
                      <w:rFonts w:hint="eastAsia" w:cs="Times New Roman"/>
                      <w:b w:val="0"/>
                      <w:bCs/>
                      <w:color w:val="auto"/>
                      <w:sz w:val="24"/>
                      <w:szCs w:val="24"/>
                      <w:highlight w:val="none"/>
                      <w:vertAlign w:val="baseline"/>
                      <w:lang w:val="en-US" w:eastAsia="zh-CN"/>
                    </w:rPr>
                    <w:t>4、生活垃圾：由生活垃圾桶统一收集后，定期交由当地环卫部门统一处理。</w:t>
                  </w:r>
                </w:p>
              </w:tc>
              <w:tc>
                <w:tcPr>
                  <w:tcW w:w="1529" w:type="dxa"/>
                  <w:vMerge w:val="restart"/>
                  <w:noWrap w:val="0"/>
                  <w:vAlign w:val="center"/>
                </w:tcPr>
                <w:p w14:paraId="4758B0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5</w:t>
                  </w:r>
                </w:p>
              </w:tc>
            </w:tr>
            <w:tr w14:paraId="4164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089" w:type="dxa"/>
                  <w:gridSpan w:val="2"/>
                  <w:vMerge w:val="continue"/>
                  <w:noWrap w:val="0"/>
                  <w:vAlign w:val="center"/>
                </w:tcPr>
                <w:p w14:paraId="1A071088">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color w:val="auto"/>
                      <w:highlight w:val="none"/>
                    </w:rPr>
                  </w:pPr>
                </w:p>
              </w:tc>
              <w:tc>
                <w:tcPr>
                  <w:tcW w:w="5300" w:type="dxa"/>
                  <w:noWrap w:val="0"/>
                  <w:vAlign w:val="center"/>
                </w:tcPr>
                <w:p w14:paraId="21ED15F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危险废物：</w:t>
                  </w:r>
                </w:p>
                <w:p w14:paraId="380B24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eastAsia"/>
                      <w:color w:val="auto"/>
                      <w:highlight w:val="none"/>
                      <w:lang w:val="en-US" w:eastAsia="zh-CN"/>
                    </w:rPr>
                    <w:t>1、实验后器皿清洗（第1~2次清洗废水）废水，</w:t>
                  </w:r>
                  <w:r>
                    <w:rPr>
                      <w:rFonts w:hint="default" w:ascii="Times New Roman" w:hAnsi="Times New Roman" w:eastAsia="宋体" w:cs="Times New Roman"/>
                      <w:b w:val="0"/>
                      <w:bCs/>
                      <w:color w:val="auto"/>
                      <w:kern w:val="2"/>
                      <w:sz w:val="24"/>
                      <w:szCs w:val="24"/>
                      <w:highlight w:val="none"/>
                      <w:vertAlign w:val="baseline"/>
                      <w:lang w:val="en-US" w:eastAsia="zh-CN" w:bidi="ar-SA"/>
                    </w:rPr>
                    <w:t>作为危险废物进行处理，收集至PE桶内，定期交由有资质单位进行处置</w:t>
                  </w:r>
                  <w:r>
                    <w:rPr>
                      <w:rFonts w:hint="eastAsia" w:cs="Times New Roman"/>
                      <w:b w:val="0"/>
                      <w:bCs/>
                      <w:color w:val="auto"/>
                      <w:kern w:val="2"/>
                      <w:sz w:val="24"/>
                      <w:szCs w:val="24"/>
                      <w:highlight w:val="none"/>
                      <w:vertAlign w:val="baseline"/>
                      <w:lang w:val="en-US" w:eastAsia="zh-CN" w:bidi="ar-SA"/>
                    </w:rPr>
                    <w:t>。</w:t>
                  </w:r>
                </w:p>
                <w:p w14:paraId="416A77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kern w:val="2"/>
                      <w:sz w:val="24"/>
                      <w:szCs w:val="24"/>
                      <w:highlight w:val="none"/>
                      <w:vertAlign w:val="baseline"/>
                      <w:lang w:val="en-US" w:eastAsia="zh-CN" w:bidi="ar-SA"/>
                    </w:rPr>
                    <w:t>2、</w:t>
                  </w:r>
                  <w:r>
                    <w:rPr>
                      <w:rFonts w:hint="eastAsia" w:cs="Times New Roman"/>
                      <w:b w:val="0"/>
                      <w:bCs/>
                      <w:color w:val="auto"/>
                      <w:sz w:val="24"/>
                      <w:szCs w:val="24"/>
                      <w:highlight w:val="none"/>
                      <w:vertAlign w:val="baseline"/>
                      <w:lang w:val="en-US" w:eastAsia="zh-CN"/>
                    </w:rPr>
                    <w:t>实验废液（试剂配制废液）PE桶收集后，暂存于危险废物暂存库内，定期交由有资质单位进行处置。</w:t>
                  </w:r>
                </w:p>
                <w:p w14:paraId="322ED5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auto"/>
                      <w:kern w:val="2"/>
                      <w:sz w:val="24"/>
                      <w:szCs w:val="24"/>
                      <w:highlight w:val="none"/>
                      <w:vertAlign w:val="baseline"/>
                      <w:lang w:val="en-US" w:eastAsia="zh-CN" w:bidi="ar-SA"/>
                    </w:rPr>
                  </w:pPr>
                  <w:r>
                    <w:rPr>
                      <w:rFonts w:hint="eastAsia" w:cs="Times New Roman"/>
                      <w:b w:val="0"/>
                      <w:bCs/>
                      <w:color w:val="auto"/>
                      <w:sz w:val="24"/>
                      <w:szCs w:val="24"/>
                      <w:highlight w:val="none"/>
                      <w:vertAlign w:val="baseline"/>
                      <w:lang w:val="en-US" w:eastAsia="zh-CN"/>
                    </w:rPr>
                    <w:t>3、废试剂瓶：</w:t>
                  </w:r>
                  <w:r>
                    <w:rPr>
                      <w:rFonts w:hint="default" w:ascii="Times New Roman" w:hAnsi="Times New Roman" w:eastAsia="宋体" w:cs="Times New Roman"/>
                      <w:b w:val="0"/>
                      <w:bCs/>
                      <w:color w:val="auto"/>
                      <w:kern w:val="2"/>
                      <w:sz w:val="24"/>
                      <w:szCs w:val="24"/>
                      <w:highlight w:val="none"/>
                      <w:vertAlign w:val="baseline"/>
                      <w:lang w:val="en-US" w:eastAsia="zh-CN" w:bidi="ar-SA"/>
                    </w:rPr>
                    <w:t>加盖后使用大口PE桶集中存放，防止残留液体泄漏，暂存于危险废物暂存库内，定期交由有资质单位进行处置。</w:t>
                  </w:r>
                </w:p>
                <w:p w14:paraId="5F836A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b w:val="0"/>
                      <w:bCs/>
                      <w:color w:val="auto"/>
                      <w:sz w:val="24"/>
                      <w:szCs w:val="24"/>
                      <w:highlight w:val="none"/>
                      <w:vertAlign w:val="baseline"/>
                      <w:lang w:val="en-US" w:eastAsia="zh-CN"/>
                    </w:rPr>
                  </w:pPr>
                  <w:r>
                    <w:rPr>
                      <w:rFonts w:hint="eastAsia" w:cs="Times New Roman"/>
                      <w:b w:val="0"/>
                      <w:bCs/>
                      <w:color w:val="auto"/>
                      <w:kern w:val="2"/>
                      <w:sz w:val="24"/>
                      <w:szCs w:val="24"/>
                      <w:highlight w:val="none"/>
                      <w:vertAlign w:val="baseline"/>
                      <w:lang w:val="en-US" w:eastAsia="zh-CN" w:bidi="ar-SA"/>
                    </w:rPr>
                    <w:t>4、活性炭吸附装置定期更换下的废活性炭</w:t>
                  </w:r>
                  <w:r>
                    <w:rPr>
                      <w:rFonts w:hint="default" w:ascii="Times New Roman" w:hAnsi="Times New Roman" w:cs="Times New Roman"/>
                      <w:b w:val="0"/>
                      <w:bCs/>
                      <w:color w:val="auto"/>
                      <w:sz w:val="24"/>
                      <w:szCs w:val="24"/>
                      <w:highlight w:val="none"/>
                      <w:vertAlign w:val="baseline"/>
                      <w:lang w:val="en-US" w:eastAsia="zh-CN"/>
                    </w:rPr>
                    <w:t>使用防漏塑料袋密封后放入专用纸箱，暂存于危险废物暂存库内，定期交由有资质单位进行处置。</w:t>
                  </w:r>
                </w:p>
                <w:p w14:paraId="10250A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auto"/>
                      <w:sz w:val="24"/>
                      <w:szCs w:val="24"/>
                      <w:highlight w:val="none"/>
                      <w:vertAlign w:val="baseline"/>
                      <w:lang w:val="en-US" w:eastAsia="zh-CN"/>
                    </w:rPr>
                  </w:pPr>
                  <w:r>
                    <w:rPr>
                      <w:rFonts w:hint="eastAsia" w:cs="Times New Roman"/>
                      <w:b w:val="0"/>
                      <w:bCs/>
                      <w:color w:val="auto"/>
                      <w:sz w:val="24"/>
                      <w:szCs w:val="24"/>
                      <w:highlight w:val="none"/>
                      <w:vertAlign w:val="baseline"/>
                      <w:lang w:val="en-US" w:eastAsia="zh-CN"/>
                    </w:rPr>
                    <w:t>5、</w:t>
                  </w:r>
                  <w:r>
                    <w:rPr>
                      <w:rFonts w:hint="default" w:ascii="Times New Roman" w:hAnsi="Times New Roman" w:cs="Times New Roman"/>
                      <w:color w:val="auto"/>
                      <w:highlight w:val="none"/>
                      <w:lang w:val="en-US" w:eastAsia="zh-CN"/>
                    </w:rPr>
                    <w:t>变质或失效的试剂</w:t>
                  </w:r>
                  <w:r>
                    <w:rPr>
                      <w:rFonts w:hint="eastAsia" w:ascii="Times New Roman" w:hAnsi="Times New Roman" w:cs="Times New Roman"/>
                      <w:color w:val="auto"/>
                      <w:highlight w:val="none"/>
                      <w:lang w:val="en-US" w:eastAsia="zh-CN"/>
                    </w:rPr>
                    <w:t>：原包装瓶外加PE塑料袋密封，再放入专用纸箱。暂存于危险废物暂存库内，定期交由有资质单位进行处置。</w:t>
                  </w:r>
                </w:p>
                <w:p w14:paraId="667BA503">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b w:val="0"/>
                      <w:bCs/>
                      <w:color w:val="auto"/>
                      <w:sz w:val="24"/>
                      <w:szCs w:val="24"/>
                      <w:highlight w:val="none"/>
                      <w:vertAlign w:val="baseline"/>
                      <w:lang w:val="en-US" w:eastAsia="zh-CN"/>
                    </w:rPr>
                    <w:t>6、沾染试剂的废弃包装物：</w:t>
                  </w:r>
                  <w:r>
                    <w:rPr>
                      <w:rFonts w:hint="default" w:ascii="Times New Roman" w:hAnsi="Times New Roman" w:cs="Times New Roman"/>
                      <w:b w:val="0"/>
                      <w:bCs/>
                      <w:color w:val="auto"/>
                      <w:sz w:val="24"/>
                      <w:szCs w:val="24"/>
                      <w:highlight w:val="none"/>
                      <w:vertAlign w:val="baseline"/>
                      <w:lang w:val="en-US" w:eastAsia="zh-CN"/>
                    </w:rPr>
                    <w:t>暂存于危险废物暂存库内，定期交由有资质单位进行处置。</w:t>
                  </w:r>
                </w:p>
              </w:tc>
              <w:tc>
                <w:tcPr>
                  <w:tcW w:w="1529" w:type="dxa"/>
                  <w:vMerge w:val="continue"/>
                  <w:noWrap w:val="0"/>
                  <w:vAlign w:val="center"/>
                </w:tcPr>
                <w:p w14:paraId="67F4D43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vertAlign w:val="baseline"/>
                      <w:lang w:val="en-US" w:eastAsia="zh-CN"/>
                    </w:rPr>
                  </w:pPr>
                </w:p>
              </w:tc>
            </w:tr>
            <w:tr w14:paraId="6E0F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089" w:type="dxa"/>
                  <w:gridSpan w:val="2"/>
                  <w:noWrap w:val="0"/>
                  <w:vAlign w:val="center"/>
                </w:tcPr>
                <w:p w14:paraId="417912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防渗</w:t>
                  </w:r>
                </w:p>
              </w:tc>
              <w:tc>
                <w:tcPr>
                  <w:tcW w:w="5300" w:type="dxa"/>
                  <w:noWrap w:val="0"/>
                  <w:vAlign w:val="center"/>
                </w:tcPr>
                <w:p w14:paraId="1375171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重点防渗区域：</w:t>
                  </w:r>
                  <w:r>
                    <w:rPr>
                      <w:rFonts w:hint="eastAsia" w:cs="Times New Roman"/>
                      <w:color w:val="auto"/>
                      <w:sz w:val="24"/>
                      <w:szCs w:val="24"/>
                      <w:highlight w:val="none"/>
                      <w:lang w:val="en-US" w:eastAsia="zh-CN"/>
                    </w:rPr>
                    <w:t>危险废物暂存库根据《危险废物贮存污染控制标准》（GB18597-2023）相关要求进行防渗，防渗要求：位于现有地面基础上直接铺设2mm厚高密度聚乙烯（HDPE）膜。药品库防渗措施根据《环境影响评价技术导则 地下水环境》（HJ610-2016）防渗要求：等效黏土防渗层Mb≥6.0m，K≤1.0×10</w:t>
                  </w:r>
                  <w:r>
                    <w:rPr>
                      <w:rFonts w:hint="eastAsia" w:cs="Times New Roman"/>
                      <w:color w:val="auto"/>
                      <w:sz w:val="24"/>
                      <w:szCs w:val="24"/>
                      <w:highlight w:val="none"/>
                      <w:vertAlign w:val="superscript"/>
                      <w:lang w:val="en-US" w:eastAsia="zh-CN"/>
                    </w:rPr>
                    <w:t>-7</w:t>
                  </w:r>
                  <w:r>
                    <w:rPr>
                      <w:rFonts w:hint="eastAsia" w:cs="Times New Roman"/>
                      <w:color w:val="auto"/>
                      <w:sz w:val="24"/>
                      <w:szCs w:val="24"/>
                      <w:highlight w:val="none"/>
                      <w:lang w:val="en-US" w:eastAsia="zh-CN"/>
                    </w:rPr>
                    <w:t>cm/s。</w:t>
                  </w:r>
                </w:p>
                <w:p w14:paraId="1514B3E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一般防渗区：实验室</w:t>
                  </w:r>
                  <w:r>
                    <w:rPr>
                      <w:rFonts w:hint="eastAsia" w:cs="Times New Roman"/>
                      <w:color w:val="auto"/>
                      <w:sz w:val="24"/>
                      <w:szCs w:val="24"/>
                      <w:highlight w:val="none"/>
                      <w:lang w:val="en-US" w:eastAsia="zh-CN"/>
                    </w:rPr>
                    <w:t>、数字化实验室</w:t>
                  </w:r>
                  <w:r>
                    <w:rPr>
                      <w:rFonts w:hint="default" w:ascii="Times New Roman" w:hAnsi="Times New Roman" w:cs="Times New Roman"/>
                      <w:color w:val="auto"/>
                      <w:sz w:val="24"/>
                      <w:szCs w:val="24"/>
                      <w:highlight w:val="none"/>
                      <w:lang w:val="en-US" w:eastAsia="zh-CN"/>
                    </w:rPr>
                    <w:t>地面按照一般防渗要求进行建设，防渗措施采用等效黏土防渗层Mb≥1.5m，渗透系数K</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1×10</w:t>
                  </w:r>
                  <w:r>
                    <w:rPr>
                      <w:rFonts w:hint="default" w:ascii="Times New Roman" w:hAnsi="Times New Roman" w:cs="Times New Roman"/>
                      <w:color w:val="auto"/>
                      <w:sz w:val="24"/>
                      <w:szCs w:val="24"/>
                      <w:highlight w:val="none"/>
                      <w:vertAlign w:val="superscript"/>
                      <w:lang w:val="en-US" w:eastAsia="zh-CN"/>
                    </w:rPr>
                    <w:t>-7</w:t>
                  </w:r>
                  <w:r>
                    <w:rPr>
                      <w:rFonts w:hint="default" w:ascii="Times New Roman" w:hAnsi="Times New Roman" w:cs="Times New Roman"/>
                      <w:color w:val="auto"/>
                      <w:sz w:val="24"/>
                      <w:szCs w:val="24"/>
                      <w:highlight w:val="none"/>
                      <w:lang w:val="en-US" w:eastAsia="zh-CN"/>
                    </w:rPr>
                    <w:t>cm/s，可采用抗渗混凝土地面硬化（C25，P6，厚度≥100mm）。</w:t>
                  </w:r>
                </w:p>
                <w:p w14:paraId="64E2ADB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auto"/>
                      <w:kern w:val="2"/>
                      <w:sz w:val="24"/>
                      <w:szCs w:val="24"/>
                      <w:highlight w:val="none"/>
                      <w:vertAlign w:val="baseline"/>
                      <w:lang w:val="en-US" w:eastAsia="zh-CN" w:bidi="ar-SA"/>
                    </w:rPr>
                  </w:pPr>
                  <w:r>
                    <w:rPr>
                      <w:rFonts w:hint="eastAsia" w:cs="Times New Roman"/>
                      <w:color w:val="auto"/>
                      <w:sz w:val="24"/>
                      <w:szCs w:val="24"/>
                      <w:highlight w:val="none"/>
                      <w:lang w:val="en-US" w:eastAsia="zh-CN"/>
                    </w:rPr>
                    <w:t>简单防渗区：仪器库、准备室、走廊、教师办公室等，防渗措施采用常规混凝土地面+铺地砖。</w:t>
                  </w:r>
                </w:p>
              </w:tc>
              <w:tc>
                <w:tcPr>
                  <w:tcW w:w="1529" w:type="dxa"/>
                  <w:noWrap w:val="0"/>
                  <w:vAlign w:val="center"/>
                </w:tcPr>
                <w:p w14:paraId="43893D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5</w:t>
                  </w:r>
                </w:p>
              </w:tc>
            </w:tr>
            <w:tr w14:paraId="28B2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389" w:type="dxa"/>
                  <w:gridSpan w:val="3"/>
                  <w:noWrap w:val="0"/>
                  <w:vAlign w:val="center"/>
                </w:tcPr>
                <w:p w14:paraId="280B41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3"/>
                      <w:sz w:val="24"/>
                      <w:szCs w:val="24"/>
                      <w:highlight w:val="none"/>
                      <w:lang w:val="en-US" w:eastAsia="zh-CN"/>
                    </w:rPr>
                  </w:pPr>
                  <w:r>
                    <w:rPr>
                      <w:rFonts w:hint="default" w:ascii="Times New Roman" w:hAnsi="Times New Roman" w:eastAsia="宋体" w:cs="Times New Roman"/>
                      <w:b w:val="0"/>
                      <w:bCs w:val="0"/>
                      <w:color w:val="auto"/>
                      <w:spacing w:val="-3"/>
                      <w:sz w:val="24"/>
                      <w:szCs w:val="24"/>
                      <w:highlight w:val="none"/>
                      <w:lang w:val="en-US" w:eastAsia="zh-CN"/>
                    </w:rPr>
                    <w:t>合计</w:t>
                  </w:r>
                </w:p>
              </w:tc>
              <w:tc>
                <w:tcPr>
                  <w:tcW w:w="1529" w:type="dxa"/>
                  <w:noWrap w:val="0"/>
                  <w:vAlign w:val="center"/>
                </w:tcPr>
                <w:p w14:paraId="5EC467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30</w:t>
                  </w:r>
                </w:p>
              </w:tc>
            </w:tr>
          </w:tbl>
          <w:p w14:paraId="2FA738E2">
            <w:pPr>
              <w:bidi w:val="0"/>
              <w:rPr>
                <w:rFonts w:hint="default" w:ascii="Times New Roman" w:hAnsi="Times New Roman" w:cs="Times New Roman"/>
                <w:color w:val="auto"/>
                <w:highlight w:val="none"/>
                <w:lang w:val="en-US" w:eastAsia="zh-CN"/>
              </w:rPr>
            </w:pPr>
          </w:p>
        </w:tc>
      </w:tr>
      <w:bookmarkEnd w:id="5"/>
    </w:tbl>
    <w:p w14:paraId="66CCA67C">
      <w:pPr>
        <w:adjustRightInd w:val="0"/>
        <w:snapToGrid w:val="0"/>
        <w:spacing w:line="360" w:lineRule="auto"/>
        <w:rPr>
          <w:rFonts w:hint="default" w:ascii="Times New Roman" w:hAnsi="Times New Roman" w:cs="Times New Roman"/>
          <w:b/>
          <w:color w:val="000000" w:themeColor="text1"/>
          <w:kern w:val="0"/>
          <w:sz w:val="28"/>
          <w:szCs w:val="28"/>
          <w:highlight w:val="none"/>
          <w14:textFill>
            <w14:solidFill>
              <w14:schemeClr w14:val="tx1"/>
            </w14:solidFill>
          </w14:textFill>
        </w:rPr>
        <w:sectPr>
          <w:footerReference r:id="rId11" w:type="default"/>
          <w:pgSz w:w="11907" w:h="16840"/>
          <w:pgMar w:top="1701" w:right="1531" w:bottom="2127"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4D439094">
      <w:pPr>
        <w:pStyle w:val="20"/>
        <w:jc w:val="center"/>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五、</w:t>
      </w:r>
      <w:bookmarkStart w:id="4" w:name="_Hlk54167917"/>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环境保护措施监督检查清单</w:t>
      </w:r>
      <w:bookmarkEnd w:id="4"/>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755"/>
        <w:gridCol w:w="1755"/>
        <w:gridCol w:w="1757"/>
      </w:tblGrid>
      <w:tr w14:paraId="72721A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6384B1B2">
            <w:pPr>
              <w:keepNext w:val="0"/>
              <w:keepLines w:val="0"/>
              <w:pageBreakBefore w:val="0"/>
              <w:widowControl w:val="0"/>
              <w:kinsoku/>
              <w:wordWrap/>
              <w:overflowPunct/>
              <w:topLinePunct w:val="0"/>
              <w:autoSpaceDE/>
              <w:autoSpaceDN/>
              <w:bidi w:val="0"/>
              <w:adjustRightInd/>
              <w:snapToGrid/>
              <w:spacing w:line="240" w:lineRule="auto"/>
              <w:ind w:firstLine="960" w:firstLineChars="40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内容</w:t>
            </w:r>
          </w:p>
          <w:p w14:paraId="11B6635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要素</w:t>
            </w:r>
          </w:p>
        </w:tc>
        <w:tc>
          <w:tcPr>
            <w:tcW w:w="1755" w:type="dxa"/>
            <w:noWrap w:val="0"/>
            <w:vAlign w:val="center"/>
          </w:tcPr>
          <w:p w14:paraId="0107604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排放口</w:t>
            </w:r>
            <w:r>
              <w:rPr>
                <w:rFonts w:hint="default"/>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编号、</w:t>
            </w:r>
          </w:p>
          <w:p w14:paraId="5420EB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名称</w:t>
            </w:r>
            <w:r>
              <w:rPr>
                <w:rFonts w:hint="default"/>
                <w:color w:val="000000" w:themeColor="text1"/>
                <w:highlight w:val="none"/>
                <w:lang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污染源</w:t>
            </w:r>
          </w:p>
        </w:tc>
        <w:tc>
          <w:tcPr>
            <w:tcW w:w="1755" w:type="dxa"/>
            <w:noWrap w:val="0"/>
            <w:vAlign w:val="center"/>
          </w:tcPr>
          <w:p w14:paraId="414DA7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污染物项目</w:t>
            </w:r>
          </w:p>
        </w:tc>
        <w:tc>
          <w:tcPr>
            <w:tcW w:w="1755" w:type="dxa"/>
            <w:noWrap w:val="0"/>
            <w:vAlign w:val="center"/>
          </w:tcPr>
          <w:p w14:paraId="79A92A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环境保护措施</w:t>
            </w:r>
          </w:p>
        </w:tc>
        <w:tc>
          <w:tcPr>
            <w:tcW w:w="1757" w:type="dxa"/>
            <w:noWrap w:val="0"/>
            <w:vAlign w:val="center"/>
          </w:tcPr>
          <w:p w14:paraId="636A82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执行标准</w:t>
            </w:r>
          </w:p>
        </w:tc>
      </w:tr>
      <w:tr w14:paraId="09E179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noWrap w:val="0"/>
            <w:vAlign w:val="center"/>
          </w:tcPr>
          <w:p w14:paraId="4EDDE1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大气环境</w:t>
            </w:r>
          </w:p>
        </w:tc>
        <w:tc>
          <w:tcPr>
            <w:tcW w:w="1755" w:type="dxa"/>
            <w:noWrap w:val="0"/>
            <w:vAlign w:val="center"/>
          </w:tcPr>
          <w:p w14:paraId="0644ECDB">
            <w:pPr>
              <w:pStyle w:val="15"/>
              <w:ind w:left="0" w:leftChars="0" w:firstLine="0" w:firstLineChars="0"/>
              <w:rPr>
                <w:rFonts w:hint="default"/>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化学实验室废气</w:t>
            </w:r>
          </w:p>
        </w:tc>
        <w:tc>
          <w:tcPr>
            <w:tcW w:w="1755" w:type="dxa"/>
            <w:noWrap w:val="0"/>
            <w:vAlign w:val="center"/>
          </w:tcPr>
          <w:p w14:paraId="227B47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硫酸雾、氯化氢、</w:t>
            </w:r>
            <w:r>
              <w:rPr>
                <w:rFonts w:hint="eastAsia" w:cs="Times New Roman"/>
                <w:bCs/>
                <w:color w:val="000000" w:themeColor="text1"/>
                <w:spacing w:val="-10"/>
                <w:sz w:val="24"/>
                <w:szCs w:val="24"/>
                <w:highlight w:val="none"/>
                <w:vertAlign w:val="baseline"/>
                <w:lang w:val="en-US" w:eastAsia="zh-CN"/>
                <w14:textFill>
                  <w14:solidFill>
                    <w14:schemeClr w14:val="tx1"/>
                  </w14:solidFill>
                </w14:textFill>
              </w:rPr>
              <w:t>非甲烷总烃、</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NOx</w:t>
            </w:r>
            <w:r>
              <w:rPr>
                <w:rFonts w:hint="eastAsia" w:cs="Times New Roman"/>
                <w:snapToGrid w:val="0"/>
                <w:color w:val="000000" w:themeColor="text1"/>
                <w:kern w:val="21"/>
                <w:szCs w:val="21"/>
                <w:highlight w:val="none"/>
                <w:lang w:val="en-US" w:eastAsia="zh-CN"/>
                <w14:textFill>
                  <w14:solidFill>
                    <w14:schemeClr w14:val="tx1"/>
                  </w14:solidFill>
                </w14:textFill>
              </w:rPr>
              <w:t>、氨气</w:t>
            </w:r>
          </w:p>
        </w:tc>
        <w:tc>
          <w:tcPr>
            <w:tcW w:w="1755" w:type="dxa"/>
            <w:shd w:val="clear" w:color="auto" w:fill="auto"/>
            <w:noWrap w:val="0"/>
            <w:vAlign w:val="center"/>
          </w:tcPr>
          <w:p w14:paraId="3FECC4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通风橱</w:t>
            </w:r>
            <w:r>
              <w:rPr>
                <w:rFonts w:hint="eastAsia" w:cs="Times New Roman"/>
                <w:b w:val="0"/>
                <w:bCs/>
                <w:color w:val="000000" w:themeColor="text1"/>
                <w:sz w:val="24"/>
                <w:szCs w:val="24"/>
                <w:highlight w:val="none"/>
                <w:vertAlign w:val="baseline"/>
                <w:lang w:val="en-US" w:eastAsia="zh-CN"/>
                <w14:textFill>
                  <w14:solidFill>
                    <w14:schemeClr w14:val="tx1"/>
                  </w14:solidFill>
                </w14:textFill>
              </w:rPr>
              <w:t>2个+</w:t>
            </w:r>
            <w:r>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通风管道+引至楼顶活性炭吸附</w:t>
            </w:r>
            <w:r>
              <w:rPr>
                <w:rFonts w:hint="eastAsia"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装置（TA001）处置后经1根20m高（DA001）</w:t>
            </w:r>
            <w:r>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排气筒排放</w:t>
            </w:r>
          </w:p>
        </w:tc>
        <w:tc>
          <w:tcPr>
            <w:tcW w:w="1757" w:type="dxa"/>
            <w:vMerge w:val="restart"/>
            <w:noWrap w:val="0"/>
            <w:vAlign w:val="center"/>
          </w:tcPr>
          <w:p w14:paraId="316EEE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硫酸雾、氯化氢、</w:t>
            </w:r>
            <w:r>
              <w:rPr>
                <w:rFonts w:hint="eastAsia" w:cs="Times New Roman"/>
                <w:bCs/>
                <w:color w:val="000000" w:themeColor="text1"/>
                <w:spacing w:val="-10"/>
                <w:sz w:val="24"/>
                <w:szCs w:val="24"/>
                <w:highlight w:val="none"/>
                <w:vertAlign w:val="baseline"/>
                <w:lang w:val="en-US" w:eastAsia="zh-CN"/>
                <w14:textFill>
                  <w14:solidFill>
                    <w14:schemeClr w14:val="tx1"/>
                  </w14:solidFill>
                </w14:textFill>
              </w:rPr>
              <w:t>非甲烷总烃、</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NOx</w:t>
            </w:r>
            <w:r>
              <w:rPr>
                <w:rFonts w:hint="eastAsia" w:cs="Times New Roman"/>
                <w:snapToGrid w:val="0"/>
                <w:color w:val="000000" w:themeColor="text1"/>
                <w:kern w:val="21"/>
                <w:szCs w:val="21"/>
                <w:highlight w:val="none"/>
                <w:lang w:val="en-US" w:eastAsia="zh-CN"/>
                <w14:textFill>
                  <w14:solidFill>
                    <w14:schemeClr w14:val="tx1"/>
                  </w14:solidFill>
                </w14:textFill>
              </w:rPr>
              <w:t>排放速率、排放浓度满足</w:t>
            </w:r>
            <w:r>
              <w:rPr>
                <w:rFonts w:hint="default"/>
                <w:color w:val="000000" w:themeColor="text1"/>
                <w:highlight w:val="none"/>
                <w:lang w:val="en-US" w:eastAsia="zh-CN"/>
                <w14:textFill>
                  <w14:solidFill>
                    <w14:schemeClr w14:val="tx1"/>
                  </w14:solidFill>
                </w14:textFill>
              </w:rPr>
              <w:t>《大气污染物综合排放标准》（GB16297-1996）表2新污染源大气污染物排放限值二级标准限值</w:t>
            </w:r>
            <w:r>
              <w:rPr>
                <w:rFonts w:hint="eastAsia"/>
                <w:color w:val="000000" w:themeColor="text1"/>
                <w:highlight w:val="none"/>
                <w:lang w:val="en-US" w:eastAsia="zh-CN"/>
                <w14:textFill>
                  <w14:solidFill>
                    <w14:schemeClr w14:val="tx1"/>
                  </w14:solidFill>
                </w14:textFill>
              </w:rPr>
              <w:t>；氨气排放速率满足恶臭污染物排放标准》（GB14554-93）表2恶臭污染物排放标准值</w:t>
            </w:r>
          </w:p>
        </w:tc>
      </w:tr>
      <w:tr w14:paraId="5E08A2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1D35FED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p>
        </w:tc>
        <w:tc>
          <w:tcPr>
            <w:tcW w:w="1755" w:type="dxa"/>
            <w:noWrap w:val="0"/>
            <w:vAlign w:val="center"/>
          </w:tcPr>
          <w:p w14:paraId="0BEAED0C">
            <w:pPr>
              <w:pStyle w:val="15"/>
              <w:ind w:left="0" w:leftChars="0" w:firstLine="0" w:firstLineChars="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生物实验室废气</w:t>
            </w:r>
          </w:p>
        </w:tc>
        <w:tc>
          <w:tcPr>
            <w:tcW w:w="1755" w:type="dxa"/>
            <w:noWrap w:val="0"/>
            <w:vAlign w:val="center"/>
          </w:tcPr>
          <w:p w14:paraId="0EAD6E3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氯化氢、非甲烷总烃、臭气浓度</w:t>
            </w:r>
          </w:p>
        </w:tc>
        <w:tc>
          <w:tcPr>
            <w:tcW w:w="1755" w:type="dxa"/>
            <w:shd w:val="clear" w:color="auto" w:fill="auto"/>
            <w:noWrap w:val="0"/>
            <w:vAlign w:val="center"/>
          </w:tcPr>
          <w:p w14:paraId="38B676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通风橱</w:t>
            </w:r>
            <w:r>
              <w:rPr>
                <w:rFonts w:hint="eastAsia" w:cs="Times New Roman"/>
                <w:b w:val="0"/>
                <w:bCs/>
                <w:color w:val="000000" w:themeColor="text1"/>
                <w:sz w:val="24"/>
                <w:szCs w:val="24"/>
                <w:highlight w:val="none"/>
                <w:vertAlign w:val="baseline"/>
                <w:lang w:val="en-US" w:eastAsia="zh-CN"/>
                <w14:textFill>
                  <w14:solidFill>
                    <w14:schemeClr w14:val="tx1"/>
                  </w14:solidFill>
                </w14:textFill>
              </w:rPr>
              <w:t>1个+</w:t>
            </w:r>
            <w:r>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通风管道+引至楼顶活性炭吸附</w:t>
            </w:r>
            <w:r>
              <w:rPr>
                <w:rFonts w:hint="eastAsia"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装置（TA001）处置后经1根20m高（DA001）</w:t>
            </w:r>
            <w:r>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排气筒排放</w:t>
            </w:r>
          </w:p>
        </w:tc>
        <w:tc>
          <w:tcPr>
            <w:tcW w:w="1757" w:type="dxa"/>
            <w:vMerge w:val="continue"/>
            <w:noWrap w:val="0"/>
            <w:vAlign w:val="center"/>
          </w:tcPr>
          <w:p w14:paraId="06236E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lang w:val="en-US" w:eastAsia="zh-CN"/>
                <w14:textFill>
                  <w14:solidFill>
                    <w14:schemeClr w14:val="tx1"/>
                  </w14:solidFill>
                </w14:textFill>
              </w:rPr>
            </w:pPr>
          </w:p>
        </w:tc>
      </w:tr>
      <w:tr w14:paraId="0A8094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noWrap w:val="0"/>
            <w:vAlign w:val="center"/>
          </w:tcPr>
          <w:p w14:paraId="65F7E68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p>
        </w:tc>
        <w:tc>
          <w:tcPr>
            <w:tcW w:w="1755" w:type="dxa"/>
            <w:noWrap w:val="0"/>
            <w:vAlign w:val="center"/>
          </w:tcPr>
          <w:p w14:paraId="31C2D624">
            <w:pPr>
              <w:pStyle w:val="15"/>
              <w:ind w:left="0" w:leftChars="0" w:firstLine="0" w:firstLineChars="0"/>
              <w:jc w:val="cente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厂界</w:t>
            </w:r>
          </w:p>
        </w:tc>
        <w:tc>
          <w:tcPr>
            <w:tcW w:w="1755" w:type="dxa"/>
            <w:noWrap w:val="0"/>
            <w:vAlign w:val="center"/>
          </w:tcPr>
          <w:p w14:paraId="2657201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硫酸雾、氯化氢、</w:t>
            </w:r>
            <w:r>
              <w:rPr>
                <w:rFonts w:hint="eastAsia" w:cs="Times New Roman"/>
                <w:bCs/>
                <w:color w:val="000000" w:themeColor="text1"/>
                <w:spacing w:val="-10"/>
                <w:sz w:val="24"/>
                <w:szCs w:val="24"/>
                <w:highlight w:val="none"/>
                <w:vertAlign w:val="baseline"/>
                <w:lang w:val="en-US" w:eastAsia="zh-CN"/>
                <w14:textFill>
                  <w14:solidFill>
                    <w14:schemeClr w14:val="tx1"/>
                  </w14:solidFill>
                </w14:textFill>
              </w:rPr>
              <w:t>非甲烷总烃、</w:t>
            </w: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NOx</w:t>
            </w:r>
            <w:r>
              <w:rPr>
                <w:rFonts w:hint="eastAsia" w:cs="Times New Roman"/>
                <w:snapToGrid w:val="0"/>
                <w:color w:val="000000" w:themeColor="text1"/>
                <w:kern w:val="21"/>
                <w:szCs w:val="21"/>
                <w:highlight w:val="none"/>
                <w:lang w:val="en-US" w:eastAsia="zh-CN"/>
                <w14:textFill>
                  <w14:solidFill>
                    <w14:schemeClr w14:val="tx1"/>
                  </w14:solidFill>
                </w14:textFill>
              </w:rPr>
              <w:t>、氨气、臭气浓度</w:t>
            </w:r>
          </w:p>
        </w:tc>
        <w:tc>
          <w:tcPr>
            <w:tcW w:w="1755" w:type="dxa"/>
            <w:noWrap w:val="0"/>
            <w:vAlign w:val="center"/>
          </w:tcPr>
          <w:p w14:paraId="21A289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加强通风</w:t>
            </w:r>
          </w:p>
        </w:tc>
        <w:tc>
          <w:tcPr>
            <w:tcW w:w="1757" w:type="dxa"/>
            <w:noWrap w:val="0"/>
            <w:vAlign w:val="center"/>
          </w:tcPr>
          <w:p w14:paraId="653372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厂界无组织非甲烷总烃、硫酸雾、氯化氢排放浓度执行《大气污染物综合排放标准》（GB16297-1996）表2新污染源大气污染物排放限值无组织排放标准限值。厂界无组织氨</w:t>
            </w:r>
            <w:r>
              <w:rPr>
                <w:rFonts w:hint="eastAsia"/>
                <w:color w:val="000000" w:themeColor="text1"/>
                <w:highlight w:val="none"/>
                <w:lang w:val="en-US" w:eastAsia="zh-CN"/>
                <w14:textFill>
                  <w14:solidFill>
                    <w14:schemeClr w14:val="tx1"/>
                  </w14:solidFill>
                </w14:textFill>
              </w:rPr>
              <w:t>、臭气浓度</w:t>
            </w:r>
            <w:r>
              <w:rPr>
                <w:rFonts w:hint="default"/>
                <w:color w:val="000000" w:themeColor="text1"/>
                <w:highlight w:val="none"/>
                <w:lang w:val="en-US" w:eastAsia="zh-CN"/>
                <w14:textFill>
                  <w14:solidFill>
                    <w14:schemeClr w14:val="tx1"/>
                  </w14:solidFill>
                </w14:textFill>
              </w:rPr>
              <w:t>排放浓度满足《恶臭污染物排放标准》（GB14554-93）表1恶臭污染物厂界标准二级（新扩改建）标准</w:t>
            </w:r>
          </w:p>
        </w:tc>
      </w:tr>
      <w:tr w14:paraId="5E163A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5F514DC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地表水环境</w:t>
            </w:r>
          </w:p>
        </w:tc>
        <w:tc>
          <w:tcPr>
            <w:tcW w:w="7022" w:type="dxa"/>
            <w:gridSpan w:val="4"/>
            <w:noWrap w:val="0"/>
            <w:vAlign w:val="center"/>
          </w:tcPr>
          <w:p w14:paraId="31B391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1、化学实验室废水：</w:t>
            </w:r>
          </w:p>
          <w:p w14:paraId="55B095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①</w:t>
            </w:r>
            <w:r>
              <w:rPr>
                <w:rFonts w:hint="eastAsia" w:cs="Times New Roman"/>
                <w:color w:val="000000" w:themeColor="text1"/>
                <w:sz w:val="24"/>
                <w:szCs w:val="24"/>
                <w:highlight w:val="none"/>
                <w:lang w:val="en-US" w:eastAsia="zh-CN"/>
                <w14:textFill>
                  <w14:solidFill>
                    <w14:schemeClr w14:val="tx1"/>
                  </w14:solidFill>
                </w14:textFill>
              </w:rPr>
              <w:t>实验前器皿润洗废水进入化粪池（16m³）收集沉淀后，进入市政管网</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6642E4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②</w:t>
            </w:r>
            <w:r>
              <w:rPr>
                <w:rFonts w:hint="eastAsia" w:cs="Times New Roman"/>
                <w:color w:val="000000" w:themeColor="text1"/>
                <w:sz w:val="24"/>
                <w:szCs w:val="24"/>
                <w:highlight w:val="none"/>
                <w:lang w:val="en-US" w:eastAsia="zh-CN"/>
                <w14:textFill>
                  <w14:solidFill>
                    <w14:schemeClr w14:val="tx1"/>
                  </w14:solidFill>
                </w14:textFill>
              </w:rPr>
              <w:t>实验中冷凝冷却废水进入化粪池（16m³）收集沉淀后，进入市政管网；</w:t>
            </w:r>
          </w:p>
          <w:p w14:paraId="02C2735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③</w:t>
            </w:r>
            <w:r>
              <w:rPr>
                <w:rFonts w:hint="eastAsia" w:cs="Times New Roman"/>
                <w:color w:val="000000" w:themeColor="text1"/>
                <w:sz w:val="24"/>
                <w:szCs w:val="24"/>
                <w:highlight w:val="none"/>
                <w:lang w:val="en-US" w:eastAsia="zh-CN"/>
                <w14:textFill>
                  <w14:solidFill>
                    <w14:schemeClr w14:val="tx1"/>
                  </w14:solidFill>
                </w14:textFill>
              </w:rPr>
              <w:t>实验后第3~5次清洗废水进入化粪池（16m³）收集沉淀后，进入市政管网</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3CE604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2、生物实验室废水：</w:t>
            </w:r>
          </w:p>
          <w:p w14:paraId="2CA8022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①</w:t>
            </w:r>
            <w:r>
              <w:rPr>
                <w:rFonts w:hint="eastAsia" w:cs="Times New Roman"/>
                <w:color w:val="000000" w:themeColor="text1"/>
                <w:sz w:val="24"/>
                <w:szCs w:val="24"/>
                <w:highlight w:val="none"/>
                <w:lang w:val="en-US" w:eastAsia="zh-CN"/>
                <w14:textFill>
                  <w14:solidFill>
                    <w14:schemeClr w14:val="tx1"/>
                  </w14:solidFill>
                </w14:textFill>
              </w:rPr>
              <w:t>实验前器皿润洗废水进入化粪池（16m³）收集沉淀后，进入市政管网</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7E70BD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②灭菌后废水</w:t>
            </w:r>
            <w:r>
              <w:rPr>
                <w:rFonts w:hint="eastAsia" w:cs="Times New Roman"/>
                <w:color w:val="000000" w:themeColor="text1"/>
                <w:sz w:val="24"/>
                <w:szCs w:val="24"/>
                <w:highlight w:val="none"/>
                <w:lang w:val="en-US" w:eastAsia="zh-CN"/>
                <w14:textFill>
                  <w14:solidFill>
                    <w14:schemeClr w14:val="tx1"/>
                  </w14:solidFill>
                </w14:textFill>
              </w:rPr>
              <w:t>进入化粪池（16m³）收集沉淀后，进入市政管网；</w:t>
            </w:r>
          </w:p>
          <w:p w14:paraId="208264A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③实验后第3~5次清洗废水进入化粪池（16m³）收集沉淀后，进入市政管网</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54438C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3、物理实验室废水：</w:t>
            </w:r>
          </w:p>
          <w:p w14:paraId="43D7E45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①实验前器皿润洗废水进入化粪池（16m³）收集沉淀后，进入市政管网</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443B39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②</w:t>
            </w:r>
            <w:r>
              <w:rPr>
                <w:rFonts w:hint="eastAsia" w:cs="Times New Roman"/>
                <w:color w:val="000000" w:themeColor="text1"/>
                <w:sz w:val="24"/>
                <w:szCs w:val="24"/>
                <w:highlight w:val="none"/>
                <w:lang w:val="en-US" w:eastAsia="zh-CN"/>
                <w14:textFill>
                  <w14:solidFill>
                    <w14:schemeClr w14:val="tx1"/>
                  </w14:solidFill>
                </w14:textFill>
              </w:rPr>
              <w:t>实验中冷凝冷却废水进入化粪池（16m³）收集沉淀后，进入市政管网；</w:t>
            </w:r>
          </w:p>
          <w:p w14:paraId="5773F0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③实验后器皿冲洗废水进入化粪池（16m³）收集沉淀后，进入市政管网。</w:t>
            </w:r>
          </w:p>
          <w:p w14:paraId="0CAB39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4、地理实验室废水：不涉及用水。</w:t>
            </w:r>
          </w:p>
        </w:tc>
      </w:tr>
      <w:tr w14:paraId="675E94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41B0F1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声环境</w:t>
            </w:r>
          </w:p>
        </w:tc>
        <w:tc>
          <w:tcPr>
            <w:tcW w:w="1755" w:type="dxa"/>
            <w:noWrap w:val="0"/>
            <w:vAlign w:val="center"/>
          </w:tcPr>
          <w:p w14:paraId="434F82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通风橱、风机</w:t>
            </w:r>
          </w:p>
        </w:tc>
        <w:tc>
          <w:tcPr>
            <w:tcW w:w="1755" w:type="dxa"/>
            <w:noWrap w:val="0"/>
            <w:vAlign w:val="center"/>
          </w:tcPr>
          <w:p w14:paraId="5F43F9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LeqdB（A）</w:t>
            </w:r>
          </w:p>
        </w:tc>
        <w:tc>
          <w:tcPr>
            <w:tcW w:w="1755" w:type="dxa"/>
            <w:noWrap w:val="0"/>
            <w:vAlign w:val="center"/>
          </w:tcPr>
          <w:p w14:paraId="5639970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采用低噪设备，设置隔声罩及基础减振；通风系统风机设在楼顶处并装设消声器</w:t>
            </w:r>
          </w:p>
        </w:tc>
        <w:tc>
          <w:tcPr>
            <w:tcW w:w="1757" w:type="dxa"/>
            <w:noWrap w:val="0"/>
            <w:vAlign w:val="center"/>
          </w:tcPr>
          <w:p w14:paraId="1C2BEF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《工业企业厂界环境噪声标准》（GB12348-2008）1类标准要求</w:t>
            </w:r>
          </w:p>
        </w:tc>
      </w:tr>
      <w:tr w14:paraId="371574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1FBC69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电磁辐射</w:t>
            </w:r>
          </w:p>
        </w:tc>
        <w:tc>
          <w:tcPr>
            <w:tcW w:w="1755" w:type="dxa"/>
            <w:noWrap w:val="0"/>
            <w:vAlign w:val="center"/>
          </w:tcPr>
          <w:p w14:paraId="247492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755" w:type="dxa"/>
            <w:noWrap w:val="0"/>
            <w:vAlign w:val="center"/>
          </w:tcPr>
          <w:p w14:paraId="56F78F9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755" w:type="dxa"/>
            <w:noWrap w:val="0"/>
            <w:vAlign w:val="center"/>
          </w:tcPr>
          <w:p w14:paraId="4F620B5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757" w:type="dxa"/>
            <w:noWrap w:val="0"/>
            <w:vAlign w:val="center"/>
          </w:tcPr>
          <w:p w14:paraId="46CC6F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r w14:paraId="076C35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8" w:type="dxa"/>
            <w:noWrap w:val="0"/>
            <w:vAlign w:val="center"/>
          </w:tcPr>
          <w:p w14:paraId="0C32C3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固体废物</w:t>
            </w:r>
          </w:p>
        </w:tc>
        <w:tc>
          <w:tcPr>
            <w:tcW w:w="7022" w:type="dxa"/>
            <w:gridSpan w:val="4"/>
            <w:noWrap w:val="0"/>
            <w:vAlign w:val="center"/>
          </w:tcPr>
          <w:p w14:paraId="5976CA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一般固废：</w:t>
            </w:r>
          </w:p>
          <w:p w14:paraId="5BFC6C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1、没有沾染药剂的废包装物：</w:t>
            </w: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分类收集，</w:t>
            </w:r>
            <w:r>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与</w:t>
            </w: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生活垃圾</w:t>
            </w:r>
            <w:r>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一同</w:t>
            </w: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处理</w:t>
            </w:r>
            <w:r>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w:t>
            </w:r>
          </w:p>
          <w:p w14:paraId="18A821D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eastAsia" w:cs="Times New Roman"/>
                <w:b w:val="0"/>
                <w:bCs/>
                <w:color w:val="000000" w:themeColor="text1"/>
                <w:kern w:val="2"/>
                <w:sz w:val="24"/>
                <w:szCs w:val="24"/>
                <w:highlight w:val="none"/>
                <w:vertAlign w:val="baseline"/>
                <w:lang w:val="en-US" w:eastAsia="zh-CN" w:bidi="ar-SA"/>
                <w14:textFill>
                  <w14:solidFill>
                    <w14:schemeClr w14:val="tx1"/>
                  </w14:solidFill>
                </w14:textFill>
              </w:rPr>
              <w:t>2、生物、物理实验室废弃包装物：统一收集后，与生活垃圾一同处置。</w:t>
            </w:r>
          </w:p>
          <w:p w14:paraId="0DAE37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eastAsia" w:cs="Times New Roman"/>
                <w:b w:val="0"/>
                <w:bCs/>
                <w:color w:val="000000" w:themeColor="text1"/>
                <w:kern w:val="2"/>
                <w:sz w:val="24"/>
                <w:szCs w:val="24"/>
                <w:highlight w:val="none"/>
                <w:vertAlign w:val="baseline"/>
                <w:lang w:val="en-US" w:eastAsia="zh-CN" w:bidi="ar-SA"/>
                <w14:textFill>
                  <w14:solidFill>
                    <w14:schemeClr w14:val="tx1"/>
                  </w14:solidFill>
                </w14:textFill>
              </w:rPr>
              <w:t>3</w:t>
            </w:r>
            <w:r>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、灭活废弃培养基：统一收集后与生活垃圾一同处置；</w:t>
            </w:r>
          </w:p>
          <w:p w14:paraId="788758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eastAsia" w:cs="Times New Roman"/>
                <w:b w:val="0"/>
                <w:bCs/>
                <w:color w:val="000000" w:themeColor="text1"/>
                <w:kern w:val="2"/>
                <w:sz w:val="24"/>
                <w:szCs w:val="24"/>
                <w:highlight w:val="none"/>
                <w:vertAlign w:val="baseline"/>
                <w:lang w:val="en-US" w:eastAsia="zh-CN" w:bidi="ar-SA"/>
                <w14:textFill>
                  <w14:solidFill>
                    <w14:schemeClr w14:val="tx1"/>
                  </w14:solidFill>
                </w14:textFill>
              </w:rPr>
              <w:t>4、生活垃圾：</w:t>
            </w:r>
            <w:r>
              <w:rPr>
                <w:rFonts w:hint="eastAsia"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由生活垃圾桶统一收集后，定期交由当地环卫部门统一处理。</w:t>
            </w:r>
          </w:p>
          <w:p w14:paraId="2841D34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危险废物：</w:t>
            </w:r>
          </w:p>
          <w:p w14:paraId="356ACDA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1、实验后器皿清洗（第1~2次清洗废水）废水，</w:t>
            </w: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作为危险废物进行处理，收集至PE桶内，定期交由有资质单位进行处置</w:t>
            </w:r>
            <w:r>
              <w:rPr>
                <w:rFonts w:hint="eastAsia" w:cs="Times New Roman"/>
                <w:b w:val="0"/>
                <w:bCs/>
                <w:color w:val="000000" w:themeColor="text1"/>
                <w:kern w:val="2"/>
                <w:sz w:val="24"/>
                <w:szCs w:val="24"/>
                <w:highlight w:val="none"/>
                <w:vertAlign w:val="baseline"/>
                <w:lang w:val="en-US" w:eastAsia="zh-CN" w:bidi="ar-SA"/>
                <w14:textFill>
                  <w14:solidFill>
                    <w14:schemeClr w14:val="tx1"/>
                  </w14:solidFill>
                </w14:textFill>
              </w:rPr>
              <w:t>。</w:t>
            </w:r>
          </w:p>
          <w:p w14:paraId="181119B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color w:val="000000" w:themeColor="text1"/>
                <w:kern w:val="2"/>
                <w:sz w:val="24"/>
                <w:szCs w:val="24"/>
                <w:highlight w:val="none"/>
                <w:vertAlign w:val="baseline"/>
                <w:lang w:val="en-US" w:eastAsia="zh-CN" w:bidi="ar-SA"/>
                <w14:textFill>
                  <w14:solidFill>
                    <w14:schemeClr w14:val="tx1"/>
                  </w14:solidFill>
                </w14:textFill>
              </w:rPr>
              <w:t>2、</w:t>
            </w:r>
            <w:r>
              <w:rPr>
                <w:rFonts w:hint="eastAsia" w:cs="Times New Roman"/>
                <w:b w:val="0"/>
                <w:bCs/>
                <w:color w:val="000000" w:themeColor="text1"/>
                <w:sz w:val="24"/>
                <w:szCs w:val="24"/>
                <w:highlight w:val="none"/>
                <w:vertAlign w:val="baseline"/>
                <w:lang w:val="en-US" w:eastAsia="zh-CN"/>
                <w14:textFill>
                  <w14:solidFill>
                    <w14:schemeClr w14:val="tx1"/>
                  </w14:solidFill>
                </w14:textFill>
              </w:rPr>
              <w:t>实验废液（试剂配制废液）PE桶收集后，暂存于危险废物暂存库内，定期交由有资质单位进行处置。</w:t>
            </w:r>
          </w:p>
          <w:p w14:paraId="3433EA3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pPr>
            <w:r>
              <w:rPr>
                <w:rFonts w:hint="eastAsia" w:cs="Times New Roman"/>
                <w:b w:val="0"/>
                <w:bCs/>
                <w:color w:val="000000" w:themeColor="text1"/>
                <w:sz w:val="24"/>
                <w:szCs w:val="24"/>
                <w:highlight w:val="none"/>
                <w:vertAlign w:val="baseline"/>
                <w:lang w:val="en-US" w:eastAsia="zh-CN"/>
                <w14:textFill>
                  <w14:solidFill>
                    <w14:schemeClr w14:val="tx1"/>
                  </w14:solidFill>
                </w14:textFill>
              </w:rPr>
              <w:t>3、废试剂瓶：</w:t>
            </w:r>
            <w:r>
              <w:rPr>
                <w:rFonts w:hint="default" w:ascii="Times New Roman" w:hAnsi="Times New Roman" w:eastAsia="宋体" w:cs="Times New Roman"/>
                <w:b w:val="0"/>
                <w:bCs/>
                <w:color w:val="000000" w:themeColor="text1"/>
                <w:kern w:val="2"/>
                <w:sz w:val="24"/>
                <w:szCs w:val="24"/>
                <w:highlight w:val="none"/>
                <w:vertAlign w:val="baseline"/>
                <w:lang w:val="en-US" w:eastAsia="zh-CN" w:bidi="ar-SA"/>
                <w14:textFill>
                  <w14:solidFill>
                    <w14:schemeClr w14:val="tx1"/>
                  </w14:solidFill>
                </w14:textFill>
              </w:rPr>
              <w:t>加盖后使用大口PE桶集中存放，防止残留液体泄漏，暂存于危险废物暂存库内，定期交由有资质单位进行处置。</w:t>
            </w:r>
          </w:p>
          <w:p w14:paraId="76ABBF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color w:val="000000" w:themeColor="text1"/>
                <w:kern w:val="2"/>
                <w:sz w:val="24"/>
                <w:szCs w:val="24"/>
                <w:highlight w:val="none"/>
                <w:vertAlign w:val="baseline"/>
                <w:lang w:val="en-US" w:eastAsia="zh-CN" w:bidi="ar-SA"/>
                <w14:textFill>
                  <w14:solidFill>
                    <w14:schemeClr w14:val="tx1"/>
                  </w14:solidFill>
                </w14:textFill>
              </w:rPr>
              <w:t>4、活性炭吸附装置定期更换下的废活性炭</w:t>
            </w:r>
            <w:r>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使用防漏塑料袋密封后放入专用纸箱，暂存于危险废物暂存库内，定期交由有资质单位进行处置。</w:t>
            </w:r>
          </w:p>
          <w:p w14:paraId="79F52D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b w:val="0"/>
                <w:bCs/>
                <w:color w:val="000000" w:themeColor="text1"/>
                <w:sz w:val="24"/>
                <w:szCs w:val="24"/>
                <w:highlight w:val="none"/>
                <w:vertAlign w:val="baseline"/>
                <w:lang w:val="en-US" w:eastAsia="zh-CN"/>
                <w14:textFill>
                  <w14:solidFill>
                    <w14:schemeClr w14:val="tx1"/>
                  </w14:solidFill>
                </w14:textFill>
              </w:rPr>
            </w:pPr>
            <w:r>
              <w:rPr>
                <w:rFonts w:hint="eastAsia" w:cs="Times New Roman"/>
                <w:b w:val="0"/>
                <w:bCs/>
                <w:color w:val="000000" w:themeColor="text1"/>
                <w:sz w:val="24"/>
                <w:szCs w:val="24"/>
                <w:highlight w:val="none"/>
                <w:vertAlign w:val="baseline"/>
                <w:lang w:val="en-US" w:eastAsia="zh-CN"/>
                <w14:textFill>
                  <w14:solidFill>
                    <w14:schemeClr w14:val="tx1"/>
                  </w14:solidFill>
                </w14:textFill>
              </w:rPr>
              <w:t>5、</w:t>
            </w:r>
            <w:r>
              <w:rPr>
                <w:rFonts w:hint="default" w:ascii="Times New Roman" w:hAnsi="Times New Roman" w:cs="Times New Roman"/>
                <w:color w:val="000000" w:themeColor="text1"/>
                <w:highlight w:val="none"/>
                <w:lang w:val="en-US" w:eastAsia="zh-CN"/>
                <w14:textFill>
                  <w14:solidFill>
                    <w14:schemeClr w14:val="tx1"/>
                  </w14:solidFill>
                </w14:textFill>
              </w:rPr>
              <w:t>变质或失效的试剂</w:t>
            </w:r>
            <w:r>
              <w:rPr>
                <w:rFonts w:hint="eastAsia" w:ascii="Times New Roman" w:hAnsi="Times New Roman" w:cs="Times New Roman"/>
                <w:color w:val="000000" w:themeColor="text1"/>
                <w:highlight w:val="none"/>
                <w:lang w:val="en-US" w:eastAsia="zh-CN"/>
                <w14:textFill>
                  <w14:solidFill>
                    <w14:schemeClr w14:val="tx1"/>
                  </w14:solidFill>
                </w14:textFill>
              </w:rPr>
              <w:t>：原包装瓶外加PE塑料袋密封，再放入专用纸箱。暂存于危险废物暂存库内，定期交由有资质单位进行处置。</w:t>
            </w:r>
          </w:p>
          <w:p w14:paraId="7B03C16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eastAsia" w:cs="Times New Roman"/>
                <w:b w:val="0"/>
                <w:bCs/>
                <w:color w:val="000000" w:themeColor="text1"/>
                <w:sz w:val="24"/>
                <w:szCs w:val="24"/>
                <w:highlight w:val="none"/>
                <w:vertAlign w:val="baseline"/>
                <w:lang w:val="en-US" w:eastAsia="zh-CN"/>
                <w14:textFill>
                  <w14:solidFill>
                    <w14:schemeClr w14:val="tx1"/>
                  </w14:solidFill>
                </w14:textFill>
              </w:rPr>
              <w:t>6、沾染试剂的废弃包装物：</w:t>
            </w:r>
            <w:r>
              <w:rPr>
                <w:rFonts w:hint="default" w:ascii="Times New Roman" w:hAnsi="Times New Roman" w:cs="Times New Roman"/>
                <w:b w:val="0"/>
                <w:bCs/>
                <w:color w:val="000000" w:themeColor="text1"/>
                <w:sz w:val="24"/>
                <w:szCs w:val="24"/>
                <w:highlight w:val="none"/>
                <w:vertAlign w:val="baseline"/>
                <w:lang w:val="en-US" w:eastAsia="zh-CN"/>
                <w14:textFill>
                  <w14:solidFill>
                    <w14:schemeClr w14:val="tx1"/>
                  </w14:solidFill>
                </w14:textFill>
              </w:rPr>
              <w:t>暂存于危险废物暂存库内，定期交由有资质单位进行处置。</w:t>
            </w:r>
          </w:p>
        </w:tc>
      </w:tr>
      <w:tr w14:paraId="79F1BA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1778" w:type="dxa"/>
            <w:noWrap w:val="0"/>
            <w:vAlign w:val="center"/>
          </w:tcPr>
          <w:p w14:paraId="098443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土壤及地下水</w:t>
            </w:r>
          </w:p>
          <w:p w14:paraId="16F674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污染防治措施</w:t>
            </w:r>
          </w:p>
        </w:tc>
        <w:tc>
          <w:tcPr>
            <w:tcW w:w="7022" w:type="dxa"/>
            <w:gridSpan w:val="4"/>
            <w:noWrap w:val="0"/>
            <w:vAlign w:val="center"/>
          </w:tcPr>
          <w:p w14:paraId="175A676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重点防渗区域：</w:t>
            </w:r>
            <w:r>
              <w:rPr>
                <w:rFonts w:hint="eastAsia" w:cs="Times New Roman"/>
                <w:color w:val="000000" w:themeColor="text1"/>
                <w:sz w:val="24"/>
                <w:szCs w:val="24"/>
                <w:highlight w:val="none"/>
                <w:lang w:val="en-US" w:eastAsia="zh-CN"/>
                <w14:textFill>
                  <w14:solidFill>
                    <w14:schemeClr w14:val="tx1"/>
                  </w14:solidFill>
                </w14:textFill>
              </w:rPr>
              <w:t>危险废物暂存库根据《危险废物贮存污染控制标准》（GB18597-2023）相关要求进行防渗，防渗要求：位于现有地面基础上直接铺设2mm厚高密度聚乙烯（HDPE）膜。药品库防渗措施根据《环境影响评价技术导则 地下水环境》（HJ610-2016）防渗要求：等效黏土防渗层Mb≥6.0m，K≤1.0×10</w:t>
            </w:r>
            <w:r>
              <w:rPr>
                <w:rFonts w:hint="eastAsia" w:cs="Times New Roman"/>
                <w:color w:val="000000" w:themeColor="text1"/>
                <w:sz w:val="24"/>
                <w:szCs w:val="24"/>
                <w:highlight w:val="none"/>
                <w:vertAlign w:val="superscript"/>
                <w:lang w:val="en-US" w:eastAsia="zh-CN"/>
                <w14:textFill>
                  <w14:solidFill>
                    <w14:schemeClr w14:val="tx1"/>
                  </w14:solidFill>
                </w14:textFill>
              </w:rPr>
              <w:t>-7</w:t>
            </w:r>
            <w:r>
              <w:rPr>
                <w:rFonts w:hint="eastAsia" w:cs="Times New Roman"/>
                <w:color w:val="000000" w:themeColor="text1"/>
                <w:sz w:val="24"/>
                <w:szCs w:val="24"/>
                <w:highlight w:val="none"/>
                <w:lang w:val="en-US" w:eastAsia="zh-CN"/>
                <w14:textFill>
                  <w14:solidFill>
                    <w14:schemeClr w14:val="tx1"/>
                  </w14:solidFill>
                </w14:textFill>
              </w:rPr>
              <w:t>cm/s。</w:t>
            </w:r>
          </w:p>
          <w:p w14:paraId="7FCD473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一般防渗区：实验室</w:t>
            </w:r>
            <w:r>
              <w:rPr>
                <w:rFonts w:hint="eastAsia" w:cs="Times New Roman"/>
                <w:color w:val="000000" w:themeColor="text1"/>
                <w:sz w:val="24"/>
                <w:szCs w:val="24"/>
                <w:highlight w:val="none"/>
                <w:lang w:val="en-US" w:eastAsia="zh-CN"/>
                <w14:textFill>
                  <w14:solidFill>
                    <w14:schemeClr w14:val="tx1"/>
                  </w14:solidFill>
                </w14:textFill>
              </w:rPr>
              <w:t>、数字化实验室</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地面按照一般防渗要求进行建设，防渗措施采用等效黏土防渗层Mb≥1.5m，渗透系数K</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1×10</w:t>
            </w:r>
            <w:r>
              <w:rPr>
                <w:rFonts w:hint="default" w:ascii="Times New Roman" w:hAnsi="Times New Roman" w:cs="Times New Roman"/>
                <w:color w:val="000000" w:themeColor="text1"/>
                <w:sz w:val="24"/>
                <w:szCs w:val="24"/>
                <w:highlight w:val="none"/>
                <w:vertAlign w:val="superscript"/>
                <w:lang w:val="en-US" w:eastAsia="zh-CN"/>
                <w14:textFill>
                  <w14:solidFill>
                    <w14:schemeClr w14:val="tx1"/>
                  </w14:solidFill>
                </w14:textFill>
              </w:rPr>
              <w:t>-7</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cm/s，可采用抗渗混凝土地面硬化（C25，P6，厚度≥100mm）。</w:t>
            </w:r>
          </w:p>
          <w:p w14:paraId="4A68CA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简单防渗区：仪器库、准备室、走廊、教师办公室等，防渗措施采用常规混凝土地面+铺地砖。</w:t>
            </w:r>
          </w:p>
        </w:tc>
      </w:tr>
      <w:tr w14:paraId="55587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778" w:type="dxa"/>
            <w:noWrap w:val="0"/>
            <w:vAlign w:val="center"/>
          </w:tcPr>
          <w:p w14:paraId="4EB595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生态保护措施</w:t>
            </w:r>
          </w:p>
        </w:tc>
        <w:tc>
          <w:tcPr>
            <w:tcW w:w="7022" w:type="dxa"/>
            <w:gridSpan w:val="4"/>
            <w:noWrap w:val="0"/>
            <w:vAlign w:val="center"/>
          </w:tcPr>
          <w:p w14:paraId="67F5FC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项目不新增占地，故对生态环境无影响</w:t>
            </w:r>
          </w:p>
        </w:tc>
      </w:tr>
      <w:tr w14:paraId="738FD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73EC8D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环境风险</w:t>
            </w:r>
          </w:p>
          <w:p w14:paraId="2A7BDA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防范措施</w:t>
            </w:r>
          </w:p>
        </w:tc>
        <w:tc>
          <w:tcPr>
            <w:tcW w:w="7022" w:type="dxa"/>
            <w:gridSpan w:val="4"/>
            <w:noWrap w:val="0"/>
            <w:vAlign w:val="center"/>
          </w:tcPr>
          <w:p w14:paraId="3E8094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严格按照相关设计规范和要求落实防护设施，设专人管理化学品，制定安全操作规章制度，各类液体实验试剂应包装完好无损，不同化学品之间应隔开存放于药品室内；配备大容量的槽筒或置换桶，实验试剂发生泄漏时可以安全转移。</w:t>
            </w:r>
          </w:p>
        </w:tc>
      </w:tr>
      <w:tr w14:paraId="65909A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354162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其他环境</w:t>
            </w:r>
          </w:p>
          <w:p w14:paraId="68B195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管理要求</w:t>
            </w:r>
          </w:p>
        </w:tc>
        <w:tc>
          <w:tcPr>
            <w:tcW w:w="7022" w:type="dxa"/>
            <w:gridSpan w:val="4"/>
            <w:noWrap w:val="0"/>
            <w:vAlign w:val="center"/>
          </w:tcPr>
          <w:p w14:paraId="3E89A2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监测计划管理：按照《排污单位自行监测技术指南总则》（HJ819-2017）中的有关规定，建设单位应开展自行监测活动，结合具体情况，建设单位可委托其他监测机构代其开展自行监测，排污单位对委托监测的数据负总责。</w:t>
            </w:r>
          </w:p>
          <w:p w14:paraId="0CD917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加强内部人员管理，制定专门的环境管理规章制度，加强环境管理工作。</w:t>
            </w:r>
          </w:p>
          <w:p w14:paraId="3AF3F1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积极配合当地环境保护管理部门的监督和管理。遵守有关环境</w:t>
            </w:r>
            <w:r>
              <w:rPr>
                <w:rFonts w:hint="eastAsia"/>
                <w:color w:val="000000" w:themeColor="text1"/>
                <w:highlight w:val="none"/>
                <w:lang w:val="en-US" w:eastAsia="zh-CN"/>
                <w14:textFill>
                  <w14:solidFill>
                    <w14:schemeClr w14:val="tx1"/>
                  </w14:solidFill>
                </w14:textFill>
              </w:rPr>
              <w:t>法律法规</w:t>
            </w:r>
            <w:r>
              <w:rPr>
                <w:rFonts w:hint="default"/>
                <w:color w:val="000000" w:themeColor="text1"/>
                <w:highlight w:val="none"/>
                <w:lang w:val="en-US" w:eastAsia="zh-CN"/>
                <w14:textFill>
                  <w14:solidFill>
                    <w14:schemeClr w14:val="tx1"/>
                  </w14:solidFill>
                </w14:textFill>
              </w:rPr>
              <w:t>，树立良好的企业形象，实现经济效益与社会效益、</w:t>
            </w:r>
          </w:p>
          <w:p w14:paraId="6534E2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环境效益相统一。</w:t>
            </w:r>
          </w:p>
        </w:tc>
      </w:tr>
    </w:tbl>
    <w:p w14:paraId="7217D54B">
      <w:pPr>
        <w:pStyle w:val="20"/>
        <w:jc w:val="center"/>
        <w:outlineLvl w:val="0"/>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pPr>
      <w:r>
        <w:rPr>
          <w:rFonts w:hint="default" w:ascii="Times New Roman" w:hAnsi="Times New Roman" w:cs="Times New Roman"/>
          <w:snapToGrid w:val="0"/>
          <w:color w:val="000000" w:themeColor="text1"/>
          <w:highlight w:val="none"/>
          <w14:textFill>
            <w14:solidFill>
              <w14:schemeClr w14:val="tx1"/>
            </w14:solidFill>
          </w14:textFill>
        </w:rPr>
        <w:br w:type="page"/>
      </w:r>
      <w:r>
        <w:rPr>
          <w:rFonts w:hint="default" w:ascii="Times New Roman" w:hAnsi="Times New Roman" w:eastAsia="黑体" w:cs="Times New Roman"/>
          <w:snapToGrid w:val="0"/>
          <w:color w:val="000000" w:themeColor="text1"/>
          <w:sz w:val="30"/>
          <w:szCs w:val="30"/>
          <w:highlight w:val="none"/>
          <w14:textFill>
            <w14:solidFill>
              <w14:schemeClr w14:val="tx1"/>
            </w14:solidFill>
          </w14:textFill>
        </w:rPr>
        <w:t>六、结论</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29562E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05FB8C32">
            <w:pPr>
              <w:bidi w:val="0"/>
              <w:rPr>
                <w:rFonts w:hint="default"/>
                <w:color w:val="000000" w:themeColor="text1"/>
                <w:highlight w:val="none"/>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符合国家现行的产业政策，项目用地符合用地性质，项目所在区域内无重大环境制约要素。项目营运期污染物在采取相应的污染防治措施后可实现达标排放，对环境的影响小；在建设单位落实本评价提出的各项污染物防治措施的前提下，从环境保护角度考虑，本项目建设可行。</w:t>
            </w:r>
          </w:p>
        </w:tc>
      </w:tr>
    </w:tbl>
    <w:p w14:paraId="18C700DA">
      <w:pPr>
        <w:rPr>
          <w:rFonts w:hint="default" w:ascii="Times New Roman" w:hAnsi="Times New Roman" w:cs="Times New Roman"/>
          <w:color w:val="000000" w:themeColor="text1"/>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63BDB182">
      <w:pPr>
        <w:pStyle w:val="20"/>
        <w:adjustRightInd w:val="0"/>
        <w:snapToGrid w:val="0"/>
        <w:spacing w:before="0" w:beforeAutospacing="0" w:after="0" w:afterAutospacing="0" w:line="648" w:lineRule="auto"/>
        <w:ind w:left="0" w:leftChars="0" w:firstLine="0" w:firstLineChars="0"/>
        <w:outlineLvl w:val="0"/>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pPr>
      <w:r>
        <w:rPr>
          <w:rFonts w:hint="default" w:ascii="Times New Roman" w:hAnsi="Times New Roman" w:eastAsia="黑体" w:cs="Times New Roman"/>
          <w:snapToGrid w:val="0"/>
          <w:color w:val="000000" w:themeColor="text1"/>
          <w:sz w:val="32"/>
          <w:szCs w:val="32"/>
          <w:highlight w:val="none"/>
          <w14:textFill>
            <w14:solidFill>
              <w14:schemeClr w14:val="tx1"/>
            </w14:solidFill>
          </w14:textFill>
        </w:rPr>
        <w:t>附表</w:t>
      </w:r>
    </w:p>
    <w:p w14:paraId="1E064D75">
      <w:pPr>
        <w:pStyle w:val="20"/>
        <w:adjustRightInd w:val="0"/>
        <w:snapToGrid w:val="0"/>
        <w:spacing w:before="0" w:beforeAutospacing="0" w:after="0" w:afterAutospacing="0" w:line="552" w:lineRule="auto"/>
        <w:jc w:val="center"/>
        <w:outlineLvl w:val="0"/>
        <w:rPr>
          <w:rFonts w:hint="default" w:ascii="Times New Roman" w:hAnsi="Times New Roman" w:eastAsia="方正小标宋_GBK" w:cs="Times New Roman"/>
          <w:snapToGrid w:val="0"/>
          <w:color w:val="000000" w:themeColor="text1"/>
          <w:sz w:val="38"/>
          <w:szCs w:val="38"/>
          <w:highlight w:val="none"/>
          <w14:textFill>
            <w14:solidFill>
              <w14:schemeClr w14:val="tx1"/>
            </w14:solidFill>
          </w14:textFill>
        </w:rPr>
      </w:pPr>
      <w:r>
        <w:rPr>
          <w:rFonts w:hint="default" w:ascii="Times New Roman" w:hAnsi="Times New Roman" w:eastAsia="方正小标宋_GBK" w:cs="Times New Roman"/>
          <w:snapToGrid w:val="0"/>
          <w:color w:val="000000" w:themeColor="text1"/>
          <w:sz w:val="38"/>
          <w:szCs w:val="38"/>
          <w:highlight w:val="none"/>
          <w14:textFill>
            <w14:solidFill>
              <w14:schemeClr w14:val="tx1"/>
            </w14:solidFill>
          </w14:textFill>
        </w:rPr>
        <w:t>建设项目污染物排放量汇总表</w:t>
      </w:r>
    </w:p>
    <w:tbl>
      <w:tblPr>
        <w:tblStyle w:val="23"/>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524"/>
        <w:gridCol w:w="1260"/>
        <w:gridCol w:w="1545"/>
        <w:gridCol w:w="1530"/>
        <w:gridCol w:w="1560"/>
        <w:gridCol w:w="1802"/>
        <w:gridCol w:w="1562"/>
      </w:tblGrid>
      <w:tr w14:paraId="037E5B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3C1F0E2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right"/>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项目</w:t>
            </w:r>
          </w:p>
          <w:p w14:paraId="5819025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left"/>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分类</w:t>
            </w:r>
          </w:p>
        </w:tc>
        <w:tc>
          <w:tcPr>
            <w:tcW w:w="1417" w:type="dxa"/>
            <w:noWrap w:val="0"/>
            <w:tcMar>
              <w:left w:w="28" w:type="dxa"/>
              <w:right w:w="28" w:type="dxa"/>
            </w:tcMar>
            <w:vAlign w:val="center"/>
          </w:tcPr>
          <w:p w14:paraId="2917D4D8">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污染物名称</w:t>
            </w:r>
          </w:p>
        </w:tc>
        <w:tc>
          <w:tcPr>
            <w:tcW w:w="1524" w:type="dxa"/>
            <w:noWrap w:val="0"/>
            <w:tcMar>
              <w:left w:w="28" w:type="dxa"/>
              <w:right w:w="28" w:type="dxa"/>
            </w:tcMar>
            <w:vAlign w:val="center"/>
          </w:tcPr>
          <w:p w14:paraId="1EB9617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现有工程排放量（固体废物产生量）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①</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260" w:type="dxa"/>
            <w:noWrap w:val="0"/>
            <w:tcMar>
              <w:left w:w="28" w:type="dxa"/>
              <w:right w:w="28" w:type="dxa"/>
            </w:tcMar>
            <w:vAlign w:val="center"/>
          </w:tcPr>
          <w:p w14:paraId="650ECB6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现有工程许可排放量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2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②</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545" w:type="dxa"/>
            <w:noWrap w:val="0"/>
            <w:tcMar>
              <w:left w:w="28" w:type="dxa"/>
              <w:right w:w="28" w:type="dxa"/>
            </w:tcMar>
            <w:vAlign w:val="center"/>
          </w:tcPr>
          <w:p w14:paraId="3B92F3B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在建工程排放量（固体废物产生量）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3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③</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530" w:type="dxa"/>
            <w:noWrap w:val="0"/>
            <w:tcMar>
              <w:left w:w="28" w:type="dxa"/>
              <w:right w:w="28" w:type="dxa"/>
            </w:tcMar>
            <w:vAlign w:val="center"/>
          </w:tcPr>
          <w:p w14:paraId="242CDED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本项目排放量（固体废物产生量）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4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④</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560" w:type="dxa"/>
            <w:noWrap w:val="0"/>
            <w:tcMar>
              <w:left w:w="28" w:type="dxa"/>
              <w:right w:w="28" w:type="dxa"/>
            </w:tcMar>
            <w:vAlign w:val="center"/>
          </w:tcPr>
          <w:p w14:paraId="58D6BFA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以新带老削减量（新建项目不填）</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instrText xml:space="preserve"> = 5 \* GB3 \* MERGEFORMAT </w:instrTex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⑤</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end"/>
            </w:r>
          </w:p>
        </w:tc>
        <w:tc>
          <w:tcPr>
            <w:tcW w:w="1802" w:type="dxa"/>
            <w:noWrap w:val="0"/>
            <w:tcMar>
              <w:left w:w="28" w:type="dxa"/>
              <w:right w:w="28" w:type="dxa"/>
            </w:tcMar>
            <w:vAlign w:val="center"/>
          </w:tcPr>
          <w:p w14:paraId="584450C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本项目建成后全厂排放量（固体废物产生量）</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⑥</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end"/>
            </w:r>
          </w:p>
        </w:tc>
        <w:tc>
          <w:tcPr>
            <w:tcW w:w="1562" w:type="dxa"/>
            <w:noWrap w:val="0"/>
            <w:tcMar>
              <w:left w:w="28" w:type="dxa"/>
              <w:right w:w="28" w:type="dxa"/>
            </w:tcMar>
            <w:vAlign w:val="center"/>
          </w:tcPr>
          <w:p w14:paraId="59C743C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变化量</w:t>
            </w:r>
          </w:p>
          <w:p w14:paraId="359E7E5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7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⑦</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r>
      <w:tr w14:paraId="4DF77D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1588" w:type="dxa"/>
            <w:vMerge w:val="restart"/>
            <w:noWrap w:val="0"/>
            <w:vAlign w:val="center"/>
          </w:tcPr>
          <w:p w14:paraId="422B59A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废气</w:t>
            </w:r>
          </w:p>
        </w:tc>
        <w:tc>
          <w:tcPr>
            <w:tcW w:w="1417" w:type="dxa"/>
            <w:noWrap w:val="0"/>
            <w:vAlign w:val="center"/>
          </w:tcPr>
          <w:p w14:paraId="3C758B2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氯化氢</w:t>
            </w:r>
          </w:p>
        </w:tc>
        <w:tc>
          <w:tcPr>
            <w:tcW w:w="1524" w:type="dxa"/>
            <w:noWrap w:val="0"/>
            <w:vAlign w:val="center"/>
          </w:tcPr>
          <w:p w14:paraId="6E90462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2969BAD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044FC76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21AABD79">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0.23kg/a</w:t>
            </w:r>
          </w:p>
        </w:tc>
        <w:tc>
          <w:tcPr>
            <w:tcW w:w="1560" w:type="dxa"/>
            <w:noWrap w:val="0"/>
            <w:vAlign w:val="center"/>
          </w:tcPr>
          <w:p w14:paraId="3E220394">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56B925F4">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0.23kg/a</w:t>
            </w:r>
          </w:p>
        </w:tc>
        <w:tc>
          <w:tcPr>
            <w:tcW w:w="1562" w:type="dxa"/>
            <w:noWrap w:val="0"/>
            <w:vAlign w:val="center"/>
          </w:tcPr>
          <w:p w14:paraId="4A6DDFA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0.23kg/a</w:t>
            </w:r>
          </w:p>
        </w:tc>
      </w:tr>
      <w:tr w14:paraId="6759AB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588" w:type="dxa"/>
            <w:vMerge w:val="continue"/>
            <w:noWrap w:val="0"/>
            <w:vAlign w:val="center"/>
          </w:tcPr>
          <w:p w14:paraId="6447E15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30327B38">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硫酸雾</w:t>
            </w:r>
          </w:p>
        </w:tc>
        <w:tc>
          <w:tcPr>
            <w:tcW w:w="1524" w:type="dxa"/>
            <w:noWrap w:val="0"/>
            <w:vAlign w:val="center"/>
          </w:tcPr>
          <w:p w14:paraId="5ABD613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2CA8393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6DDE9A1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165D628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0.9kg/a</w:t>
            </w:r>
          </w:p>
        </w:tc>
        <w:tc>
          <w:tcPr>
            <w:tcW w:w="1560" w:type="dxa"/>
            <w:noWrap w:val="0"/>
            <w:vAlign w:val="center"/>
          </w:tcPr>
          <w:p w14:paraId="58A2559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7BF450B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0.9kg/a</w:t>
            </w:r>
          </w:p>
        </w:tc>
        <w:tc>
          <w:tcPr>
            <w:tcW w:w="1562" w:type="dxa"/>
            <w:noWrap w:val="0"/>
            <w:vAlign w:val="center"/>
          </w:tcPr>
          <w:p w14:paraId="0187232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0.9kg/a</w:t>
            </w:r>
          </w:p>
        </w:tc>
      </w:tr>
      <w:tr w14:paraId="4B7F80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588" w:type="dxa"/>
            <w:vMerge w:val="continue"/>
            <w:noWrap w:val="0"/>
            <w:vAlign w:val="center"/>
          </w:tcPr>
          <w:p w14:paraId="3A7831B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5A3C9037">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非甲烷总烃</w:t>
            </w:r>
          </w:p>
        </w:tc>
        <w:tc>
          <w:tcPr>
            <w:tcW w:w="1524" w:type="dxa"/>
            <w:noWrap w:val="0"/>
            <w:vAlign w:val="center"/>
          </w:tcPr>
          <w:p w14:paraId="5578622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615777C9">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6B3344F7">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006ECF78">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0.081kg/a</w:t>
            </w:r>
          </w:p>
        </w:tc>
        <w:tc>
          <w:tcPr>
            <w:tcW w:w="1560" w:type="dxa"/>
            <w:noWrap w:val="0"/>
            <w:vAlign w:val="center"/>
          </w:tcPr>
          <w:p w14:paraId="042AD97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2171148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0.081kg/a</w:t>
            </w:r>
          </w:p>
        </w:tc>
        <w:tc>
          <w:tcPr>
            <w:tcW w:w="1562" w:type="dxa"/>
            <w:noWrap w:val="0"/>
            <w:vAlign w:val="center"/>
          </w:tcPr>
          <w:p w14:paraId="162D534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0.081kg/a</w:t>
            </w:r>
          </w:p>
        </w:tc>
      </w:tr>
      <w:tr w14:paraId="032A06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1588" w:type="dxa"/>
            <w:vMerge w:val="continue"/>
            <w:noWrap w:val="0"/>
            <w:vAlign w:val="center"/>
          </w:tcPr>
          <w:p w14:paraId="6F5D1EF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6E8D65B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NOx</w:t>
            </w:r>
          </w:p>
        </w:tc>
        <w:tc>
          <w:tcPr>
            <w:tcW w:w="1524" w:type="dxa"/>
            <w:noWrap w:val="0"/>
            <w:vAlign w:val="center"/>
          </w:tcPr>
          <w:p w14:paraId="0746228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54C10DC7">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52A1FE0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1486601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0.1kg/a</w:t>
            </w:r>
          </w:p>
        </w:tc>
        <w:tc>
          <w:tcPr>
            <w:tcW w:w="1560" w:type="dxa"/>
            <w:noWrap w:val="0"/>
            <w:vAlign w:val="center"/>
          </w:tcPr>
          <w:p w14:paraId="663EEA4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5A8FCB1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0.1kg/a</w:t>
            </w:r>
          </w:p>
        </w:tc>
        <w:tc>
          <w:tcPr>
            <w:tcW w:w="1562" w:type="dxa"/>
            <w:noWrap w:val="0"/>
            <w:vAlign w:val="center"/>
          </w:tcPr>
          <w:p w14:paraId="1B569AB8">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0.1kg/a</w:t>
            </w:r>
          </w:p>
        </w:tc>
      </w:tr>
      <w:tr w14:paraId="330663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588" w:type="dxa"/>
            <w:vMerge w:val="continue"/>
            <w:noWrap w:val="0"/>
            <w:vAlign w:val="center"/>
          </w:tcPr>
          <w:p w14:paraId="587AB927">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7E2CE9F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氨气</w:t>
            </w:r>
          </w:p>
        </w:tc>
        <w:tc>
          <w:tcPr>
            <w:tcW w:w="1524" w:type="dxa"/>
            <w:noWrap w:val="0"/>
            <w:vAlign w:val="center"/>
          </w:tcPr>
          <w:p w14:paraId="2AB1588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2527523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1DC9C25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1951141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0.02kg/a</w:t>
            </w:r>
          </w:p>
        </w:tc>
        <w:tc>
          <w:tcPr>
            <w:tcW w:w="1560" w:type="dxa"/>
            <w:noWrap w:val="0"/>
            <w:vAlign w:val="center"/>
          </w:tcPr>
          <w:p w14:paraId="4826997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shd w:val="clear" w:color="auto" w:fill="auto"/>
            <w:noWrap w:val="0"/>
            <w:vAlign w:val="center"/>
          </w:tcPr>
          <w:p w14:paraId="5172847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宋体"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0.02kg/a</w:t>
            </w:r>
          </w:p>
        </w:tc>
        <w:tc>
          <w:tcPr>
            <w:tcW w:w="1562" w:type="dxa"/>
            <w:shd w:val="clear" w:color="auto" w:fill="auto"/>
            <w:noWrap w:val="0"/>
            <w:vAlign w:val="center"/>
          </w:tcPr>
          <w:p w14:paraId="1D92673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宋体" w:hAnsi="Times New Roman" w:eastAsia="宋体" w:cs="Times New Roman"/>
                <w:color w:val="000000" w:themeColor="text1"/>
                <w:kern w:val="0"/>
                <w:sz w:val="24"/>
                <w:szCs w:val="20"/>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0.02kg/a</w:t>
            </w:r>
          </w:p>
        </w:tc>
      </w:tr>
      <w:tr w14:paraId="4CA7CE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588" w:type="dxa"/>
            <w:noWrap w:val="0"/>
            <w:vAlign w:val="center"/>
          </w:tcPr>
          <w:p w14:paraId="65D2363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废水</w:t>
            </w:r>
          </w:p>
        </w:tc>
        <w:tc>
          <w:tcPr>
            <w:tcW w:w="1417" w:type="dxa"/>
            <w:noWrap w:val="0"/>
            <w:vAlign w:val="center"/>
          </w:tcPr>
          <w:p w14:paraId="379D1B2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ascii="Times New Roman" w:cs="Times New Roman"/>
                <w:snapToGrid w:val="0"/>
                <w:color w:val="000000" w:themeColor="text1"/>
                <w:kern w:val="21"/>
                <w:szCs w:val="21"/>
                <w:highlight w:val="none"/>
                <w:lang w:val="en-US" w:eastAsia="zh-CN"/>
                <w14:textFill>
                  <w14:solidFill>
                    <w14:schemeClr w14:val="tx1"/>
                  </w14:solidFill>
                </w14:textFill>
              </w:rPr>
              <w:t>/</w:t>
            </w:r>
          </w:p>
        </w:tc>
        <w:tc>
          <w:tcPr>
            <w:tcW w:w="1524" w:type="dxa"/>
            <w:noWrap w:val="0"/>
            <w:vAlign w:val="center"/>
          </w:tcPr>
          <w:p w14:paraId="6483EC7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7CCF22E9">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4BCB5C0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57FA0D6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560" w:type="dxa"/>
            <w:noWrap w:val="0"/>
            <w:vAlign w:val="center"/>
          </w:tcPr>
          <w:p w14:paraId="6E387B77">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05F7D49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1562" w:type="dxa"/>
            <w:noWrap w:val="0"/>
            <w:vAlign w:val="center"/>
          </w:tcPr>
          <w:p w14:paraId="11CA71E8">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r w14:paraId="417FA0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8" w:type="dxa"/>
            <w:vMerge w:val="restart"/>
            <w:noWrap w:val="0"/>
            <w:vAlign w:val="center"/>
          </w:tcPr>
          <w:p w14:paraId="131C736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一般工业</w:t>
            </w:r>
          </w:p>
          <w:p w14:paraId="767C4007">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固体废物</w:t>
            </w:r>
          </w:p>
        </w:tc>
        <w:tc>
          <w:tcPr>
            <w:tcW w:w="1417" w:type="dxa"/>
            <w:noWrap w:val="0"/>
            <w:vAlign w:val="center"/>
          </w:tcPr>
          <w:p w14:paraId="02B65AF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没有沾染药剂的废包装物</w:t>
            </w:r>
          </w:p>
        </w:tc>
        <w:tc>
          <w:tcPr>
            <w:tcW w:w="1524" w:type="dxa"/>
            <w:noWrap w:val="0"/>
            <w:vAlign w:val="center"/>
          </w:tcPr>
          <w:p w14:paraId="37895A1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62CEB69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10356B5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346EF51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0.1t/a</w:t>
            </w:r>
          </w:p>
        </w:tc>
        <w:tc>
          <w:tcPr>
            <w:tcW w:w="1560" w:type="dxa"/>
            <w:noWrap w:val="0"/>
            <w:vAlign w:val="center"/>
          </w:tcPr>
          <w:p w14:paraId="71DD4E4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3F8314D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0.1t/a</w:t>
            </w:r>
          </w:p>
        </w:tc>
        <w:tc>
          <w:tcPr>
            <w:tcW w:w="1562" w:type="dxa"/>
            <w:noWrap w:val="0"/>
            <w:vAlign w:val="center"/>
          </w:tcPr>
          <w:p w14:paraId="1F1AE07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cs="Times New Roman"/>
                <w:snapToGrid w:val="0"/>
                <w:color w:val="000000" w:themeColor="text1"/>
                <w:kern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0.1t/a</w:t>
            </w:r>
          </w:p>
        </w:tc>
      </w:tr>
      <w:tr w14:paraId="7BF380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95A427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1AD85CA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灭活废弃培养基</w:t>
            </w:r>
          </w:p>
        </w:tc>
        <w:tc>
          <w:tcPr>
            <w:tcW w:w="1524" w:type="dxa"/>
            <w:noWrap w:val="0"/>
            <w:vAlign w:val="center"/>
          </w:tcPr>
          <w:p w14:paraId="7A85B68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3FBA4BA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310BB2A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6EF29E8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0.02t/a</w:t>
            </w:r>
          </w:p>
        </w:tc>
        <w:tc>
          <w:tcPr>
            <w:tcW w:w="1560" w:type="dxa"/>
            <w:noWrap w:val="0"/>
            <w:vAlign w:val="center"/>
          </w:tcPr>
          <w:p w14:paraId="43FDA61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321B2EA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0.02t/a</w:t>
            </w:r>
          </w:p>
        </w:tc>
        <w:tc>
          <w:tcPr>
            <w:tcW w:w="1562" w:type="dxa"/>
            <w:noWrap w:val="0"/>
            <w:vAlign w:val="center"/>
          </w:tcPr>
          <w:p w14:paraId="019806B9">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0.02t/a</w:t>
            </w:r>
          </w:p>
        </w:tc>
      </w:tr>
      <w:tr w14:paraId="74B237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FE0DCD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0EF29E4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cs="Times New Roman"/>
                <w:color w:val="000000" w:themeColor="text1"/>
                <w:highlight w:val="none"/>
                <w:lang w:val="en-US" w:eastAsia="zh-CN"/>
                <w14:textFill>
                  <w14:solidFill>
                    <w14:schemeClr w14:val="tx1"/>
                  </w14:solidFill>
                </w14:textFill>
              </w:rPr>
              <w:t>废弃包装物</w:t>
            </w:r>
          </w:p>
        </w:tc>
        <w:tc>
          <w:tcPr>
            <w:tcW w:w="1524" w:type="dxa"/>
            <w:noWrap w:val="0"/>
            <w:vAlign w:val="center"/>
          </w:tcPr>
          <w:p w14:paraId="225DE0F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2EFC517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37ABC3C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0F7EF19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0.1t/a</w:t>
            </w:r>
          </w:p>
        </w:tc>
        <w:tc>
          <w:tcPr>
            <w:tcW w:w="1560" w:type="dxa"/>
            <w:noWrap w:val="0"/>
            <w:vAlign w:val="center"/>
          </w:tcPr>
          <w:p w14:paraId="507EAAF9">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1B73370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0.1t/a</w:t>
            </w:r>
          </w:p>
        </w:tc>
        <w:tc>
          <w:tcPr>
            <w:tcW w:w="1562" w:type="dxa"/>
            <w:noWrap w:val="0"/>
            <w:vAlign w:val="center"/>
          </w:tcPr>
          <w:p w14:paraId="594C88D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0.1t/a</w:t>
            </w:r>
          </w:p>
        </w:tc>
      </w:tr>
      <w:tr w14:paraId="7EBFF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005" w:type="dxa"/>
            <w:gridSpan w:val="2"/>
            <w:noWrap w:val="0"/>
            <w:vAlign w:val="center"/>
          </w:tcPr>
          <w:p w14:paraId="7F4313B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cs="Times New Roman"/>
                <w:color w:val="000000" w:themeColor="text1"/>
                <w:highlight w:val="none"/>
                <w:lang w:val="en-US" w:eastAsia="zh-CN"/>
                <w14:textFill>
                  <w14:solidFill>
                    <w14:schemeClr w14:val="tx1"/>
                  </w14:solidFill>
                </w14:textFill>
              </w:rPr>
            </w:pPr>
            <w:r>
              <w:rPr>
                <w:rFonts w:hint="eastAsia" w:ascii="Times New Roman" w:cs="Times New Roman"/>
                <w:color w:val="000000" w:themeColor="text1"/>
                <w:highlight w:val="none"/>
                <w:lang w:val="en-US" w:eastAsia="zh-CN"/>
                <w14:textFill>
                  <w14:solidFill>
                    <w14:schemeClr w14:val="tx1"/>
                  </w14:solidFill>
                </w14:textFill>
              </w:rPr>
              <w:t>生活垃圾</w:t>
            </w:r>
          </w:p>
        </w:tc>
        <w:tc>
          <w:tcPr>
            <w:tcW w:w="1524" w:type="dxa"/>
            <w:noWrap w:val="0"/>
            <w:vAlign w:val="center"/>
          </w:tcPr>
          <w:p w14:paraId="5D83550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205830E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60A17BC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0575B8A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270t/a</w:t>
            </w:r>
          </w:p>
        </w:tc>
        <w:tc>
          <w:tcPr>
            <w:tcW w:w="1560" w:type="dxa"/>
            <w:noWrap w:val="0"/>
            <w:vAlign w:val="center"/>
          </w:tcPr>
          <w:p w14:paraId="72093EE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1924F3F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270t/a</w:t>
            </w:r>
          </w:p>
        </w:tc>
        <w:tc>
          <w:tcPr>
            <w:tcW w:w="1562" w:type="dxa"/>
            <w:noWrap w:val="0"/>
            <w:vAlign w:val="center"/>
          </w:tcPr>
          <w:p w14:paraId="5620D45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270t/a</w:t>
            </w:r>
          </w:p>
        </w:tc>
      </w:tr>
      <w:tr w14:paraId="309C5A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2B31388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危险废物</w:t>
            </w:r>
          </w:p>
        </w:tc>
        <w:tc>
          <w:tcPr>
            <w:tcW w:w="1417" w:type="dxa"/>
            <w:noWrap w:val="0"/>
            <w:vAlign w:val="center"/>
          </w:tcPr>
          <w:p w14:paraId="4092241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实验后器皿清洗废水（第1~2次）</w:t>
            </w:r>
          </w:p>
        </w:tc>
        <w:tc>
          <w:tcPr>
            <w:tcW w:w="1524" w:type="dxa"/>
            <w:noWrap w:val="0"/>
            <w:vAlign w:val="center"/>
          </w:tcPr>
          <w:p w14:paraId="472CDA2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09682E7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7EE18F3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2721BB9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6.4m³/a</w:t>
            </w:r>
          </w:p>
        </w:tc>
        <w:tc>
          <w:tcPr>
            <w:tcW w:w="1560" w:type="dxa"/>
            <w:noWrap w:val="0"/>
            <w:vAlign w:val="center"/>
          </w:tcPr>
          <w:p w14:paraId="14900CE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17EF4E7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6.4m³/a</w:t>
            </w:r>
          </w:p>
        </w:tc>
        <w:tc>
          <w:tcPr>
            <w:tcW w:w="1562" w:type="dxa"/>
            <w:noWrap w:val="0"/>
            <w:vAlign w:val="center"/>
          </w:tcPr>
          <w:p w14:paraId="0089BF6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6.4m³/a</w:t>
            </w:r>
          </w:p>
        </w:tc>
      </w:tr>
      <w:tr w14:paraId="7A9DD4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522D3F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4EE3614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实验废液（试剂配制、培养基）</w:t>
            </w:r>
          </w:p>
        </w:tc>
        <w:tc>
          <w:tcPr>
            <w:tcW w:w="1524" w:type="dxa"/>
            <w:noWrap w:val="0"/>
            <w:vAlign w:val="center"/>
          </w:tcPr>
          <w:p w14:paraId="191872F9">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5CF8B64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79358CD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1DF1BCCA">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0.14m³/a</w:t>
            </w:r>
          </w:p>
        </w:tc>
        <w:tc>
          <w:tcPr>
            <w:tcW w:w="1560" w:type="dxa"/>
            <w:noWrap w:val="0"/>
            <w:vAlign w:val="center"/>
          </w:tcPr>
          <w:p w14:paraId="06B72B4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6609533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0.14m³/a</w:t>
            </w:r>
          </w:p>
        </w:tc>
        <w:tc>
          <w:tcPr>
            <w:tcW w:w="1562" w:type="dxa"/>
            <w:noWrap w:val="0"/>
            <w:vAlign w:val="center"/>
          </w:tcPr>
          <w:p w14:paraId="3CB2BA04">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lang w:val="en-US" w:eastAsia="zh-CN"/>
                <w14:textFill>
                  <w14:solidFill>
                    <w14:schemeClr w14:val="tx1"/>
                  </w14:solidFill>
                </w14:textFill>
              </w:rPr>
              <w:t>0.14m³/a</w:t>
            </w:r>
          </w:p>
        </w:tc>
      </w:tr>
      <w:tr w14:paraId="5953F2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11D35C5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09B6658D">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eastAsia="宋体"/>
                <w:color w:val="000000" w:themeColor="text1"/>
                <w:sz w:val="24"/>
                <w:szCs w:val="24"/>
                <w:highlight w:val="none"/>
                <w:lang w:val="en-US" w:eastAsia="zh-CN"/>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废试剂瓶</w:t>
            </w:r>
          </w:p>
        </w:tc>
        <w:tc>
          <w:tcPr>
            <w:tcW w:w="1524" w:type="dxa"/>
            <w:noWrap w:val="0"/>
            <w:vAlign w:val="center"/>
          </w:tcPr>
          <w:p w14:paraId="07381959">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1F11FC9A">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5FA8EE73">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077BF7C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eastAsia="宋体"/>
                <w:color w:val="000000" w:themeColor="text1"/>
                <w:sz w:val="24"/>
                <w:szCs w:val="24"/>
                <w:highlight w:val="none"/>
                <w:lang w:val="en-US" w:eastAsia="zh-CN"/>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0.05t/a</w:t>
            </w:r>
          </w:p>
        </w:tc>
        <w:tc>
          <w:tcPr>
            <w:tcW w:w="1560" w:type="dxa"/>
            <w:noWrap w:val="0"/>
            <w:vAlign w:val="center"/>
          </w:tcPr>
          <w:p w14:paraId="1A399C9F">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232A892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eastAsia="宋体"/>
                <w:color w:val="000000" w:themeColor="text1"/>
                <w:sz w:val="24"/>
                <w:szCs w:val="24"/>
                <w:highlight w:val="none"/>
                <w:lang w:val="en-US" w:eastAsia="zh-CN"/>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0.05t/a</w:t>
            </w:r>
          </w:p>
        </w:tc>
        <w:tc>
          <w:tcPr>
            <w:tcW w:w="1562" w:type="dxa"/>
            <w:noWrap w:val="0"/>
            <w:vAlign w:val="center"/>
          </w:tcPr>
          <w:p w14:paraId="6CF8175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eastAsia="宋体"/>
                <w:color w:val="000000" w:themeColor="text1"/>
                <w:sz w:val="24"/>
                <w:szCs w:val="24"/>
                <w:highlight w:val="none"/>
                <w:lang w:val="en-US" w:eastAsia="zh-CN"/>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0.05t/a</w:t>
            </w:r>
          </w:p>
        </w:tc>
      </w:tr>
      <w:tr w14:paraId="3A19A7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6374A39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0163435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eastAsia="宋体"/>
                <w:color w:val="000000" w:themeColor="text1"/>
                <w:sz w:val="24"/>
                <w:szCs w:val="24"/>
                <w:highlight w:val="none"/>
                <w:lang w:val="en-US" w:eastAsia="zh-CN"/>
                <w14:textFill>
                  <w14:solidFill>
                    <w14:schemeClr w14:val="tx1"/>
                  </w14:solidFill>
                </w14:textFill>
              </w:rPr>
            </w:pPr>
            <w:r>
              <w:rPr>
                <w:rFonts w:hint="eastAsia" w:eastAsia="宋体"/>
                <w:color w:val="000000" w:themeColor="text1"/>
                <w:sz w:val="24"/>
                <w:szCs w:val="24"/>
                <w:highlight w:val="none"/>
                <w:lang w:val="en-US" w:eastAsia="zh-CN"/>
                <w14:textFill>
                  <w14:solidFill>
                    <w14:schemeClr w14:val="tx1"/>
                  </w14:solidFill>
                </w14:textFill>
              </w:rPr>
              <w:t>废活性炭</w:t>
            </w:r>
          </w:p>
        </w:tc>
        <w:tc>
          <w:tcPr>
            <w:tcW w:w="1524" w:type="dxa"/>
            <w:noWrap w:val="0"/>
            <w:vAlign w:val="center"/>
          </w:tcPr>
          <w:p w14:paraId="1AA0A07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01FD907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49BEB5C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7C63686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0.005t/a</w:t>
            </w:r>
          </w:p>
        </w:tc>
        <w:tc>
          <w:tcPr>
            <w:tcW w:w="1560" w:type="dxa"/>
            <w:noWrap w:val="0"/>
            <w:vAlign w:val="center"/>
          </w:tcPr>
          <w:p w14:paraId="2DA6B16A">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127B278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0.005t/a</w:t>
            </w:r>
          </w:p>
        </w:tc>
        <w:tc>
          <w:tcPr>
            <w:tcW w:w="1562" w:type="dxa"/>
            <w:noWrap w:val="0"/>
            <w:vAlign w:val="center"/>
          </w:tcPr>
          <w:p w14:paraId="7B0B83D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0.005t/a</w:t>
            </w:r>
          </w:p>
        </w:tc>
      </w:tr>
      <w:tr w14:paraId="4E65E9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7E604039">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2D898B3A">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变质或失效的化学试剂</w:t>
            </w:r>
          </w:p>
        </w:tc>
        <w:tc>
          <w:tcPr>
            <w:tcW w:w="1524" w:type="dxa"/>
            <w:noWrap w:val="0"/>
            <w:vAlign w:val="center"/>
          </w:tcPr>
          <w:p w14:paraId="4D4B43F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766C4516">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0C1FA3A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365032B4">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0.01t/a</w:t>
            </w:r>
          </w:p>
        </w:tc>
        <w:tc>
          <w:tcPr>
            <w:tcW w:w="1560" w:type="dxa"/>
            <w:noWrap w:val="0"/>
            <w:vAlign w:val="center"/>
          </w:tcPr>
          <w:p w14:paraId="24D5DD5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0E62563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0.01t/a</w:t>
            </w:r>
          </w:p>
        </w:tc>
        <w:tc>
          <w:tcPr>
            <w:tcW w:w="1562" w:type="dxa"/>
            <w:noWrap w:val="0"/>
            <w:vAlign w:val="center"/>
          </w:tcPr>
          <w:p w14:paraId="40D3F2D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0.01t/a</w:t>
            </w:r>
          </w:p>
        </w:tc>
      </w:tr>
      <w:tr w14:paraId="6FF4EB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4747A25">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6593DDDB">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沾染药剂的废弃物</w:t>
            </w:r>
          </w:p>
        </w:tc>
        <w:tc>
          <w:tcPr>
            <w:tcW w:w="1524" w:type="dxa"/>
            <w:noWrap w:val="0"/>
            <w:vAlign w:val="center"/>
          </w:tcPr>
          <w:p w14:paraId="52E81D71">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260" w:type="dxa"/>
            <w:noWrap w:val="0"/>
            <w:vAlign w:val="center"/>
          </w:tcPr>
          <w:p w14:paraId="74573A42">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45" w:type="dxa"/>
            <w:noWrap w:val="0"/>
            <w:vAlign w:val="center"/>
          </w:tcPr>
          <w:p w14:paraId="4D35AA1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530" w:type="dxa"/>
            <w:noWrap w:val="0"/>
            <w:vAlign w:val="center"/>
          </w:tcPr>
          <w:p w14:paraId="198EAFFC">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0.02t/a</w:t>
            </w:r>
          </w:p>
        </w:tc>
        <w:tc>
          <w:tcPr>
            <w:tcW w:w="1560" w:type="dxa"/>
            <w:noWrap w:val="0"/>
            <w:vAlign w:val="center"/>
          </w:tcPr>
          <w:p w14:paraId="44EC2029">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802" w:type="dxa"/>
            <w:noWrap w:val="0"/>
            <w:vAlign w:val="center"/>
          </w:tcPr>
          <w:p w14:paraId="15FF7A00">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0.02t/a</w:t>
            </w:r>
          </w:p>
        </w:tc>
        <w:tc>
          <w:tcPr>
            <w:tcW w:w="1562" w:type="dxa"/>
            <w:noWrap w:val="0"/>
            <w:vAlign w:val="center"/>
          </w:tcPr>
          <w:p w14:paraId="0CEECD6E">
            <w:pPr>
              <w:pStyle w:val="48"/>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0.02t/a</w:t>
            </w:r>
          </w:p>
        </w:tc>
      </w:tr>
    </w:tbl>
    <w:p w14:paraId="46437DB2">
      <w:pPr>
        <w:pStyle w:val="48"/>
        <w:spacing w:before="192" w:beforeLines="80" w:after="24"/>
        <w:jc w:val="left"/>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注：</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⑥</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3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③</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4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④</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instrText xml:space="preserve"> = 5 \* GB3 \* MERGEFORMAT </w:instrTex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⑤</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7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⑦</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⑥</w:t>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fldChar w:fldCharType="end"/>
      </w:r>
      <w:r>
        <w:rPr>
          <w:rFonts w:hint="default" w:ascii="Times New Roman" w:hAnsi="Times New Roman" w:cs="Times New Roman"/>
          <w:snapToGrid w:val="0"/>
          <w:color w:val="000000" w:themeColor="text1"/>
          <w:spacing w:val="-16"/>
          <w:kern w:val="21"/>
          <w:szCs w:val="21"/>
          <w:highlight w:val="none"/>
          <w14:textFill>
            <w14:solidFill>
              <w14:schemeClr w14:val="tx1"/>
            </w14:solidFill>
          </w14:textFill>
        </w:rPr>
        <w:t>-</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snapToGrid w:val="0"/>
          <w:color w:val="000000" w:themeColor="text1"/>
          <w:spacing w:val="-6"/>
          <w:kern w:val="21"/>
          <w:szCs w:val="21"/>
          <w:highlight w:val="none"/>
          <w14:textFill>
            <w14:solidFill>
              <w14:schemeClr w14:val="tx1"/>
            </w14:solidFill>
          </w14:textFill>
        </w:rPr>
        <w:fldChar w:fldCharType="end"/>
      </w:r>
    </w:p>
    <w:p w14:paraId="4E5DC6D1">
      <w:pPr>
        <w:rPr>
          <w:rFonts w:hint="default" w:ascii="Times New Roman" w:hAnsi="Times New Roman" w:cs="Times New Roman"/>
          <w:color w:val="000000" w:themeColor="text1"/>
          <w:highlight w:val="none"/>
          <w14:textFill>
            <w14:solidFill>
              <w14:schemeClr w14:val="tx1"/>
            </w14:solidFill>
          </w14:textFill>
        </w:rPr>
      </w:pPr>
    </w:p>
    <w:p w14:paraId="1C7C3949">
      <w:pPr>
        <w:rPr>
          <w:rFonts w:hint="default" w:ascii="Times New Roman" w:hAnsi="Times New Roman" w:cs="Times New Roman"/>
          <w:color w:val="000000" w:themeColor="text1"/>
          <w:highlight w:val="none"/>
          <w14:textFill>
            <w14:solidFill>
              <w14:schemeClr w14:val="tx1"/>
            </w14:solidFill>
          </w14:textFill>
        </w:rPr>
        <w:sectPr>
          <w:footerReference r:id="rId12" w:type="default"/>
          <w:pgSz w:w="16838" w:h="11906" w:orient="landscape"/>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1F897C65">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附件1委托书</w:t>
      </w:r>
    </w:p>
    <w:p w14:paraId="4686AA0F">
      <w:pPr>
        <w:rPr>
          <w:rFonts w:hint="eastAsia" w:ascii="Times New Roman" w:hAnsi="Times New Roman" w:eastAsia="黑体" w:cs="Times New Roman"/>
          <w:color w:val="000000" w:themeColor="text1"/>
          <w:highlight w:val="none"/>
          <w:lang w:val="en-US" w:eastAsia="zh-CN"/>
          <w14:textFill>
            <w14:solidFill>
              <w14:schemeClr w14:val="tx1"/>
            </w14:solidFill>
          </w14:textFill>
        </w:rPr>
      </w:pPr>
    </w:p>
    <w:p w14:paraId="177B7305">
      <w:pPr>
        <w:jc w:val="center"/>
        <w:rPr>
          <w:rFonts w:hint="default" w:ascii="Times New Roman" w:hAnsi="Times New Roman" w:cs="Times New Roman"/>
          <w:b/>
          <w:bCs/>
          <w:color w:val="000000" w:themeColor="text1"/>
          <w:sz w:val="36"/>
          <w:szCs w:val="36"/>
          <w:highlight w:val="none"/>
          <w:lang w:eastAsia="zh-CN"/>
          <w14:textFill>
            <w14:solidFill>
              <w14:schemeClr w14:val="tx1"/>
            </w14:solidFill>
          </w14:textFill>
        </w:rPr>
      </w:pPr>
    </w:p>
    <w:p w14:paraId="096B3D64">
      <w:pPr>
        <w:jc w:val="center"/>
        <w:rPr>
          <w:rFonts w:hint="default" w:ascii="Times New Roman" w:hAnsi="Times New Roman" w:cs="Times New Roman"/>
          <w:b/>
          <w:bCs/>
          <w:color w:val="000000" w:themeColor="text1"/>
          <w:sz w:val="36"/>
          <w:szCs w:val="36"/>
          <w:highlight w:val="none"/>
          <w:lang w:eastAsia="zh-CN"/>
          <w14:textFill>
            <w14:solidFill>
              <w14:schemeClr w14:val="tx1"/>
            </w14:solidFill>
          </w14:textFill>
        </w:rPr>
      </w:pPr>
    </w:p>
    <w:p w14:paraId="27403B89">
      <w:pPr>
        <w:jc w:val="center"/>
        <w:rPr>
          <w:rFonts w:hint="default" w:ascii="Times New Roman" w:hAnsi="Times New Roman" w:cs="Times New Roman"/>
          <w:b/>
          <w:bCs/>
          <w:color w:val="000000" w:themeColor="text1"/>
          <w:sz w:val="36"/>
          <w:szCs w:val="36"/>
          <w:highlight w:val="none"/>
          <w:lang w:eastAsia="zh-CN"/>
          <w14:textFill>
            <w14:solidFill>
              <w14:schemeClr w14:val="tx1"/>
            </w14:solidFill>
          </w14:textFill>
        </w:rPr>
      </w:pPr>
    </w:p>
    <w:p w14:paraId="2D1B78C0">
      <w:pPr>
        <w:jc w:val="center"/>
        <w:rPr>
          <w:rFonts w:hint="default" w:ascii="Times New Roman" w:hAnsi="Times New Roman" w:cs="Times New Roman"/>
          <w:b/>
          <w:bCs/>
          <w:color w:val="000000" w:themeColor="text1"/>
          <w:sz w:val="36"/>
          <w:szCs w:val="36"/>
          <w:highlight w:val="none"/>
          <w:lang w:eastAsia="zh-CN"/>
          <w14:textFill>
            <w14:solidFill>
              <w14:schemeClr w14:val="tx1"/>
            </w14:solidFill>
          </w14:textFill>
        </w:rPr>
      </w:pPr>
      <w:r>
        <w:rPr>
          <w:rFonts w:hint="default" w:ascii="Times New Roman" w:hAnsi="Times New Roman" w:cs="Times New Roman"/>
          <w:b/>
          <w:bCs/>
          <w:color w:val="000000" w:themeColor="text1"/>
          <w:sz w:val="36"/>
          <w:szCs w:val="36"/>
          <w:highlight w:val="none"/>
          <w:lang w:eastAsia="zh-CN"/>
          <w14:textFill>
            <w14:solidFill>
              <w14:schemeClr w14:val="tx1"/>
            </w14:solidFill>
          </w14:textFill>
        </w:rPr>
        <w:t>委托书</w:t>
      </w:r>
    </w:p>
    <w:p w14:paraId="303CA5A2">
      <w:pPr>
        <w:jc w:val="both"/>
        <w:rPr>
          <w:rFonts w:hint="default" w:ascii="Times New Roman" w:hAnsi="Times New Roman" w:cs="Times New Roman"/>
          <w:b/>
          <w:bCs/>
          <w:color w:val="000000" w:themeColor="text1"/>
          <w:sz w:val="36"/>
          <w:szCs w:val="36"/>
          <w:highlight w:val="none"/>
          <w:lang w:eastAsia="zh-CN"/>
          <w14:textFill>
            <w14:solidFill>
              <w14:schemeClr w14:val="tx1"/>
            </w14:solidFill>
          </w14:textFill>
        </w:rPr>
      </w:pPr>
    </w:p>
    <w:p w14:paraId="5220626F">
      <w:pPr>
        <w:jc w:val="both"/>
        <w:rPr>
          <w:rFonts w:hint="default" w:ascii="Times New Roman" w:hAnsi="Times New Roman" w:cs="Times New Roman"/>
          <w:b/>
          <w:bCs/>
          <w:color w:val="000000" w:themeColor="text1"/>
          <w:sz w:val="36"/>
          <w:szCs w:val="36"/>
          <w:highlight w:val="none"/>
          <w:lang w:eastAsia="zh-CN"/>
          <w14:textFill>
            <w14:solidFill>
              <w14:schemeClr w14:val="tx1"/>
            </w14:solidFill>
          </w14:textFill>
        </w:rPr>
      </w:pPr>
    </w:p>
    <w:p w14:paraId="4940320D">
      <w:pPr>
        <w:ind w:left="0" w:leftChars="0" w:firstLine="0" w:firstLineChars="0"/>
        <w:jc w:val="left"/>
        <w:rPr>
          <w:rFonts w:hint="default" w:ascii="Times New Roman" w:hAnsi="Times New Roman" w:cs="Times New Roman"/>
          <w:b w:val="0"/>
          <w:bCs w:val="0"/>
          <w:color w:val="000000" w:themeColor="text1"/>
          <w:sz w:val="28"/>
          <w:szCs w:val="28"/>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t>鄂尔多斯市奇胜安环科技有限</w:t>
      </w:r>
      <w:r>
        <w:rPr>
          <w:rFonts w:hint="eastAsia" w:ascii="Times New Roman" w:hAnsi="Times New Roman" w:cs="Times New Roman"/>
          <w:b w:val="0"/>
          <w:bCs w:val="0"/>
          <w:color w:val="000000" w:themeColor="text1"/>
          <w:sz w:val="28"/>
          <w:szCs w:val="28"/>
          <w:highlight w:val="none"/>
          <w:lang w:val="en-US" w:eastAsia="zh-CN"/>
          <w14:textFill>
            <w14:solidFill>
              <w14:schemeClr w14:val="tx1"/>
            </w14:solidFill>
          </w14:textFill>
        </w:rPr>
        <w:t>公司</w:t>
      </w:r>
      <w:r>
        <w:rPr>
          <w:rFonts w:hint="default" w:ascii="Times New Roman" w:hAnsi="Times New Roman" w:cs="Times New Roman"/>
          <w:b w:val="0"/>
          <w:bCs w:val="0"/>
          <w:color w:val="000000" w:themeColor="text1"/>
          <w:sz w:val="28"/>
          <w:szCs w:val="28"/>
          <w:highlight w:val="none"/>
          <w:lang w:eastAsia="zh-CN"/>
          <w14:textFill>
            <w14:solidFill>
              <w14:schemeClr w14:val="tx1"/>
            </w14:solidFill>
          </w14:textFill>
        </w:rPr>
        <w:t>：</w:t>
      </w:r>
    </w:p>
    <w:p w14:paraId="34A6D1D6">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p>
    <w:p w14:paraId="6F19976C">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t>根据《中华人民共和国环境影响评价法》的有关规定，特委托</w:t>
      </w:r>
      <w:r>
        <w:rPr>
          <w:rFonts w:hint="eastAsia" w:ascii="Times New Roman" w:hAnsi="Times New Roman" w:cs="Times New Roman"/>
          <w:b w:val="0"/>
          <w:bCs w:val="0"/>
          <w:color w:val="000000" w:themeColor="text1"/>
          <w:sz w:val="28"/>
          <w:szCs w:val="28"/>
          <w:highlight w:val="none"/>
          <w:lang w:val="en-US" w:eastAsia="zh-CN"/>
          <w14:textFill>
            <w14:solidFill>
              <w14:schemeClr w14:val="tx1"/>
            </w14:solidFill>
          </w14:textFill>
        </w:rPr>
        <w:t>你单位</w:t>
      </w:r>
      <w:r>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t>承担</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鄂尔多斯市东胜区东联现代高级中学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实验室建设项目》的环境影</w:t>
      </w:r>
      <w:r>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t>响评价工作，其环境影响报告文本应满足有关环评技术导则和环境保护主管部门的规定和要求。</w:t>
      </w:r>
    </w:p>
    <w:p w14:paraId="6B156AA0">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p>
    <w:p w14:paraId="0B949D9F">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p>
    <w:p w14:paraId="5CC8DD10">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p>
    <w:p w14:paraId="3E865EE3">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p>
    <w:p w14:paraId="1F53429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p>
    <w:p w14:paraId="6E44C059">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p>
    <w:p w14:paraId="04EE940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p>
    <w:p w14:paraId="6F697CAA">
      <w:pPr>
        <w:jc w:val="right"/>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鄂尔多斯市东胜区东联现代高级中学</w:t>
      </w:r>
    </w:p>
    <w:p w14:paraId="03748971">
      <w:pPr>
        <w:jc w:val="right"/>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t>202</w:t>
      </w:r>
      <w:r>
        <w:rPr>
          <w:rFonts w:hint="eastAsia" w:ascii="Times New Roman" w:hAnsi="Times New Roman" w:cs="Times New Roman"/>
          <w:b w:val="0"/>
          <w:bCs w:val="0"/>
          <w:color w:val="000000" w:themeColor="text1"/>
          <w:sz w:val="28"/>
          <w:szCs w:val="28"/>
          <w:highlight w:val="none"/>
          <w:lang w:val="en-US" w:eastAsia="zh-CN"/>
          <w14:textFill>
            <w14:solidFill>
              <w14:schemeClr w14:val="tx1"/>
            </w14:solidFill>
          </w14:textFill>
        </w:rPr>
        <w:t>6</w:t>
      </w:r>
      <w:r>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t>年</w:t>
      </w:r>
      <w:r>
        <w:rPr>
          <w:rFonts w:hint="eastAsia" w:ascii="Times New Roman" w:hAnsi="Times New Roman" w:cs="Times New Roman"/>
          <w:b w:val="0"/>
          <w:bCs w:val="0"/>
          <w:color w:val="000000" w:themeColor="text1"/>
          <w:sz w:val="28"/>
          <w:szCs w:val="28"/>
          <w:highlight w:val="none"/>
          <w:lang w:val="en-US" w:eastAsia="zh-CN"/>
          <w14:textFill>
            <w14:solidFill>
              <w14:schemeClr w14:val="tx1"/>
            </w14:solidFill>
          </w14:textFill>
        </w:rPr>
        <w:t>3</w:t>
      </w:r>
      <w:r>
        <w:rPr>
          <w:rFonts w:hint="default" w:ascii="Times New Roman" w:hAnsi="Times New Roman" w:cs="Times New Roman"/>
          <w:b w:val="0"/>
          <w:bCs w:val="0"/>
          <w:color w:val="000000" w:themeColor="text1"/>
          <w:sz w:val="28"/>
          <w:szCs w:val="28"/>
          <w:highlight w:val="none"/>
          <w:lang w:val="en-US" w:eastAsia="zh-CN"/>
          <w14:textFill>
            <w14:solidFill>
              <w14:schemeClr w14:val="tx1"/>
            </w14:solidFill>
          </w14:textFill>
        </w:rPr>
        <w:t>月</w:t>
      </w:r>
    </w:p>
    <w:p w14:paraId="201A3898">
      <w:pPr>
        <w:rPr>
          <w:rFonts w:hint="eastAsia" w:ascii="Times New Roman" w:hAnsi="Times New Roman" w:eastAsia="黑体" w:cs="Times New Roman"/>
          <w:color w:val="000000" w:themeColor="text1"/>
          <w:highlight w:val="none"/>
          <w:lang w:val="en-US" w:eastAsia="zh-CN"/>
          <w14:textFill>
            <w14:solidFill>
              <w14:schemeClr w14:val="tx1"/>
            </w14:solidFill>
          </w14:textFill>
        </w:rPr>
      </w:pPr>
    </w:p>
    <w:p w14:paraId="0F192840">
      <w:pPr>
        <w:bidi w:val="0"/>
        <w:rPr>
          <w:rFonts w:hint="eastAsia"/>
          <w:color w:val="000000" w:themeColor="text1"/>
          <w:highlight w:val="none"/>
          <w:lang w:val="en-US" w:eastAsia="zh-CN"/>
          <w14:textFill>
            <w14:solidFill>
              <w14:schemeClr w14:val="tx1"/>
            </w14:solidFill>
          </w14:textFill>
        </w:rPr>
      </w:pPr>
    </w:p>
    <w:p w14:paraId="6A1BD536">
      <w:pPr>
        <w:bidi w:val="0"/>
        <w:rPr>
          <w:rFonts w:hint="eastAsia"/>
          <w:color w:val="000000" w:themeColor="text1"/>
          <w:highlight w:val="none"/>
          <w:lang w:val="en-US" w:eastAsia="zh-CN"/>
          <w14:textFill>
            <w14:solidFill>
              <w14:schemeClr w14:val="tx1"/>
            </w14:solidFill>
          </w14:textFill>
        </w:rPr>
        <w:sectPr>
          <w:footerReference r:id="rId13"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4F744121">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附件2营业执照</w:t>
      </w:r>
    </w:p>
    <w:p w14:paraId="2109A3CC">
      <w:pPr>
        <w:ind w:left="0" w:leftChars="0" w:firstLine="0" w:firstLineChars="0"/>
        <w:jc w:val="both"/>
        <w:rPr>
          <w:rFonts w:hint="default" w:ascii="Times New Roman" w:hAnsi="Times New Roman" w:eastAsia="黑体" w:cs="Times New Roman"/>
          <w:color w:val="000000" w:themeColor="text1"/>
          <w:highlight w:val="none"/>
          <w:lang w:val="en-US" w:eastAsia="zh-CN"/>
          <w14:textFill>
            <w14:solidFill>
              <w14:schemeClr w14:val="tx1"/>
            </w14:solidFill>
          </w14:textFill>
        </w:rPr>
      </w:pPr>
      <w:r>
        <w:rPr>
          <w:rFonts w:hint="default" w:ascii="Times New Roman" w:hAnsi="Times New Roman" w:eastAsia="黑体" w:cs="Times New Roman"/>
          <w:color w:val="000000" w:themeColor="text1"/>
          <w:highlight w:val="none"/>
          <w:lang w:val="en-US" w:eastAsia="zh-CN"/>
          <w14:textFill>
            <w14:solidFill>
              <w14:schemeClr w14:val="tx1"/>
            </w14:solidFill>
          </w14:textFill>
        </w:rPr>
        <w:drawing>
          <wp:inline distT="0" distB="0" distL="114300" distR="114300">
            <wp:extent cx="5591175" cy="7914005"/>
            <wp:effectExtent l="0" t="0" r="9525" b="10795"/>
            <wp:docPr id="5" name="图片 31" descr="5b935fb98788e97aa31f3c0df48f6d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1" descr="5b935fb98788e97aa31f3c0df48f6def"/>
                    <pic:cNvPicPr>
                      <a:picLocks noChangeAspect="1"/>
                    </pic:cNvPicPr>
                  </pic:nvPicPr>
                  <pic:blipFill>
                    <a:blip r:embed="rId19"/>
                    <a:stretch>
                      <a:fillRect/>
                    </a:stretch>
                  </pic:blipFill>
                  <pic:spPr>
                    <a:xfrm rot="10800000">
                      <a:off x="0" y="0"/>
                      <a:ext cx="5591175" cy="7914005"/>
                    </a:xfrm>
                    <a:prstGeom prst="rect">
                      <a:avLst/>
                    </a:prstGeom>
                    <a:noFill/>
                    <a:ln>
                      <a:noFill/>
                    </a:ln>
                  </pic:spPr>
                </pic:pic>
              </a:graphicData>
            </a:graphic>
          </wp:inline>
        </w:drawing>
      </w:r>
    </w:p>
    <w:p w14:paraId="5D7D73F0">
      <w:pPr>
        <w:rPr>
          <w:rFonts w:hint="eastAsia" w:ascii="Times New Roman" w:hAnsi="Times New Roman" w:eastAsia="黑体" w:cs="Times New Roman"/>
          <w:color w:val="000000" w:themeColor="text1"/>
          <w:highlight w:val="none"/>
          <w:lang w:val="en-US" w:eastAsia="zh-CN"/>
          <w14:textFill>
            <w14:solidFill>
              <w14:schemeClr w14:val="tx1"/>
            </w14:solidFill>
          </w14:textFill>
        </w:rPr>
      </w:pPr>
    </w:p>
    <w:p w14:paraId="316F1680">
      <w:pPr>
        <w:rPr>
          <w:rFonts w:hint="eastAsia" w:ascii="Times New Roman" w:hAnsi="Times New Roman" w:eastAsia="黑体" w:cs="Times New Roman"/>
          <w:color w:val="000000" w:themeColor="text1"/>
          <w:highlight w:val="none"/>
          <w:lang w:val="en-US" w:eastAsia="zh-CN"/>
          <w14:textFill>
            <w14:solidFill>
              <w14:schemeClr w14:val="tx1"/>
            </w14:solidFill>
          </w14:textFill>
        </w:rPr>
        <w:sectPr>
          <w:pgSz w:w="11906" w:h="16838"/>
          <w:pgMar w:top="1701" w:right="1531" w:bottom="1701" w:left="1531" w:header="1134" w:footer="1134" w:gutter="0"/>
          <w:pgBorders>
            <w:top w:val="none" w:sz="0" w:space="0"/>
            <w:left w:val="none" w:sz="0" w:space="0"/>
            <w:bottom w:val="none" w:sz="0" w:space="0"/>
            <w:right w:val="none" w:sz="0" w:space="0"/>
          </w:pgBorders>
          <w:pgNumType w:fmt="numberInDash"/>
          <w:cols w:space="720" w:num="1"/>
          <w:docGrid w:linePitch="312" w:charSpace="0"/>
        </w:sectPr>
      </w:pPr>
    </w:p>
    <w:p w14:paraId="30BF5CCB">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附件3检测报告</w:t>
      </w:r>
    </w:p>
    <w:p w14:paraId="29B5B1D4">
      <w:pPr>
        <w:ind w:left="0" w:leftChars="0" w:firstLine="0" w:firstLineChars="0"/>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514975" cy="7067550"/>
            <wp:effectExtent l="0" t="0" r="9525" b="0"/>
            <wp:docPr id="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3"/>
                    <pic:cNvPicPr>
                      <a:picLocks noChangeAspect="1"/>
                    </pic:cNvPicPr>
                  </pic:nvPicPr>
                  <pic:blipFill>
                    <a:blip r:embed="rId20"/>
                    <a:stretch>
                      <a:fillRect/>
                    </a:stretch>
                  </pic:blipFill>
                  <pic:spPr>
                    <a:xfrm>
                      <a:off x="0" y="0"/>
                      <a:ext cx="5514975" cy="706755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61965" cy="7124700"/>
            <wp:effectExtent l="0" t="0" r="635" b="0"/>
            <wp:docPr id="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4"/>
                    <pic:cNvPicPr>
                      <a:picLocks noChangeAspect="1"/>
                    </pic:cNvPicPr>
                  </pic:nvPicPr>
                  <pic:blipFill>
                    <a:blip r:embed="rId21"/>
                    <a:stretch>
                      <a:fillRect/>
                    </a:stretch>
                  </pic:blipFill>
                  <pic:spPr>
                    <a:xfrm>
                      <a:off x="0" y="0"/>
                      <a:ext cx="5561965" cy="712470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72125" cy="7124700"/>
            <wp:effectExtent l="0" t="0" r="9525" b="0"/>
            <wp:docPr id="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5"/>
                    <pic:cNvPicPr>
                      <a:picLocks noChangeAspect="1"/>
                    </pic:cNvPicPr>
                  </pic:nvPicPr>
                  <pic:blipFill>
                    <a:blip r:embed="rId22"/>
                    <a:stretch>
                      <a:fillRect/>
                    </a:stretch>
                  </pic:blipFill>
                  <pic:spPr>
                    <a:xfrm>
                      <a:off x="0" y="0"/>
                      <a:ext cx="5572125" cy="712470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0225" cy="7077075"/>
            <wp:effectExtent l="0" t="0" r="9525" b="9525"/>
            <wp:docPr id="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6"/>
                    <pic:cNvPicPr>
                      <a:picLocks noChangeAspect="1"/>
                    </pic:cNvPicPr>
                  </pic:nvPicPr>
                  <pic:blipFill>
                    <a:blip r:embed="rId23"/>
                    <a:stretch>
                      <a:fillRect/>
                    </a:stretch>
                  </pic:blipFill>
                  <pic:spPr>
                    <a:xfrm>
                      <a:off x="0" y="0"/>
                      <a:ext cx="5610225" cy="707707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9750" cy="7172325"/>
            <wp:effectExtent l="0" t="0" r="0" b="9525"/>
            <wp:docPr id="1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
                    <pic:cNvPicPr>
                      <a:picLocks noChangeAspect="1"/>
                    </pic:cNvPicPr>
                  </pic:nvPicPr>
                  <pic:blipFill>
                    <a:blip r:embed="rId24"/>
                    <a:stretch>
                      <a:fillRect/>
                    </a:stretch>
                  </pic:blipFill>
                  <pic:spPr>
                    <a:xfrm>
                      <a:off x="0" y="0"/>
                      <a:ext cx="5619750" cy="717232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9115" cy="7105650"/>
            <wp:effectExtent l="0" t="0" r="635" b="0"/>
            <wp:docPr id="1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8"/>
                    <pic:cNvPicPr>
                      <a:picLocks noChangeAspect="1"/>
                    </pic:cNvPicPr>
                  </pic:nvPicPr>
                  <pic:blipFill>
                    <a:blip r:embed="rId25"/>
                    <a:stretch>
                      <a:fillRect/>
                    </a:stretch>
                  </pic:blipFill>
                  <pic:spPr>
                    <a:xfrm>
                      <a:off x="0" y="0"/>
                      <a:ext cx="5619115" cy="710565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29275" cy="7105650"/>
            <wp:effectExtent l="0" t="0" r="9525" b="0"/>
            <wp:docPr id="1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
                    <pic:cNvPicPr>
                      <a:picLocks noChangeAspect="1"/>
                    </pic:cNvPicPr>
                  </pic:nvPicPr>
                  <pic:blipFill>
                    <a:blip r:embed="rId26"/>
                    <a:stretch>
                      <a:fillRect/>
                    </a:stretch>
                  </pic:blipFill>
                  <pic:spPr>
                    <a:xfrm>
                      <a:off x="0" y="0"/>
                      <a:ext cx="5629275" cy="710565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38165" cy="7181850"/>
            <wp:effectExtent l="0" t="0" r="635" b="0"/>
            <wp:docPr id="1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0"/>
                    <pic:cNvPicPr>
                      <a:picLocks noChangeAspect="1"/>
                    </pic:cNvPicPr>
                  </pic:nvPicPr>
                  <pic:blipFill>
                    <a:blip r:embed="rId27"/>
                    <a:stretch>
                      <a:fillRect/>
                    </a:stretch>
                  </pic:blipFill>
                  <pic:spPr>
                    <a:xfrm>
                      <a:off x="0" y="0"/>
                      <a:ext cx="5638165" cy="718185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57850" cy="7115175"/>
            <wp:effectExtent l="0" t="0" r="0" b="9525"/>
            <wp:docPr id="1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pic:cNvPicPr>
                      <a:picLocks noChangeAspect="1"/>
                    </pic:cNvPicPr>
                  </pic:nvPicPr>
                  <pic:blipFill>
                    <a:blip r:embed="rId28"/>
                    <a:stretch>
                      <a:fillRect/>
                    </a:stretch>
                  </pic:blipFill>
                  <pic:spPr>
                    <a:xfrm>
                      <a:off x="0" y="0"/>
                      <a:ext cx="5657850" cy="711517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90540" cy="7124700"/>
            <wp:effectExtent l="0" t="0" r="10160" b="0"/>
            <wp:docPr id="1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2"/>
                    <pic:cNvPicPr>
                      <a:picLocks noChangeAspect="1"/>
                    </pic:cNvPicPr>
                  </pic:nvPicPr>
                  <pic:blipFill>
                    <a:blip r:embed="rId29"/>
                    <a:stretch>
                      <a:fillRect/>
                    </a:stretch>
                  </pic:blipFill>
                  <pic:spPr>
                    <a:xfrm>
                      <a:off x="0" y="0"/>
                      <a:ext cx="5590540" cy="712470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29275" cy="7124700"/>
            <wp:effectExtent l="0" t="0" r="9525" b="0"/>
            <wp:docPr id="1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3"/>
                    <pic:cNvPicPr>
                      <a:picLocks noChangeAspect="1"/>
                    </pic:cNvPicPr>
                  </pic:nvPicPr>
                  <pic:blipFill>
                    <a:blip r:embed="rId30"/>
                    <a:stretch>
                      <a:fillRect/>
                    </a:stretch>
                  </pic:blipFill>
                  <pic:spPr>
                    <a:xfrm>
                      <a:off x="0" y="0"/>
                      <a:ext cx="5629275" cy="7124700"/>
                    </a:xfrm>
                    <a:prstGeom prst="rect">
                      <a:avLst/>
                    </a:prstGeom>
                    <a:noFill/>
                    <a:ln>
                      <a:noFill/>
                    </a:ln>
                  </pic:spPr>
                </pic:pic>
              </a:graphicData>
            </a:graphic>
          </wp:inline>
        </w:drawing>
      </w:r>
    </w:p>
    <w:p w14:paraId="051D723C">
      <w:pPr>
        <w:rPr>
          <w:rFonts w:hint="eastAsia" w:ascii="Times New Roman" w:hAnsi="Times New Roman" w:eastAsia="黑体" w:cs="Times New Roman"/>
          <w:color w:val="000000" w:themeColor="text1"/>
          <w:highlight w:val="none"/>
          <w:lang w:val="en-US" w:eastAsia="zh-CN"/>
          <w14:textFill>
            <w14:solidFill>
              <w14:schemeClr w14:val="tx1"/>
            </w14:solidFill>
          </w14:textFill>
        </w:rPr>
      </w:pPr>
    </w:p>
    <w:p w14:paraId="26DA2287">
      <w:pPr>
        <w:rPr>
          <w:rFonts w:hint="eastAsia" w:ascii="Times New Roman" w:hAnsi="Times New Roman" w:eastAsia="黑体" w:cs="Times New Roman"/>
          <w:color w:val="000000" w:themeColor="text1"/>
          <w:highlight w:val="none"/>
          <w:lang w:val="en-US" w:eastAsia="zh-CN"/>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32830794">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附图1鄂尔多斯市环境管控单元图</w:t>
      </w:r>
    </w:p>
    <w:p w14:paraId="2FEF7F1F">
      <w:pPr>
        <w:ind w:left="0" w:leftChars="0" w:firstLine="0" w:firstLineChars="0"/>
        <w:jc w:val="center"/>
        <w:rPr>
          <w:rFonts w:hint="default" w:eastAsia="黑体" w:cs="Times New Roman"/>
          <w:b/>
          <w:bCs/>
          <w:color w:val="000000" w:themeColor="text1"/>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5878830</wp:posOffset>
                </wp:positionH>
                <wp:positionV relativeFrom="paragraph">
                  <wp:posOffset>1280160</wp:posOffset>
                </wp:positionV>
                <wp:extent cx="848360" cy="340995"/>
                <wp:effectExtent l="50800" t="4445" r="15240" b="245110"/>
                <wp:wrapNone/>
                <wp:docPr id="1" name="自选图形 5"/>
                <wp:cNvGraphicFramePr/>
                <a:graphic xmlns:a="http://schemas.openxmlformats.org/drawingml/2006/main">
                  <a:graphicData uri="http://schemas.microsoft.com/office/word/2010/wordprocessingShape">
                    <wps:wsp>
                      <wps:cNvSpPr/>
                      <wps:spPr>
                        <a:xfrm>
                          <a:off x="0" y="0"/>
                          <a:ext cx="848360" cy="340995"/>
                        </a:xfrm>
                        <a:prstGeom prst="wedgeRectCallout">
                          <a:avLst>
                            <a:gd name="adj1" fmla="val -53731"/>
                            <a:gd name="adj2" fmla="val 114060"/>
                          </a:avLst>
                        </a:prstGeom>
                        <a:solidFill>
                          <a:srgbClr val="FFFFFF"/>
                        </a:solidFill>
                        <a:ln w="9525" cap="flat" cmpd="sng">
                          <a:solidFill>
                            <a:srgbClr val="000000"/>
                          </a:solidFill>
                          <a:prstDash val="solid"/>
                          <a:miter/>
                          <a:headEnd type="none" w="med" len="med"/>
                          <a:tailEnd type="none" w="med" len="med"/>
                        </a:ln>
                      </wps:spPr>
                      <wps:txbx>
                        <w:txbxContent>
                          <w:p w14:paraId="50FA2C45">
                            <w:pPr>
                              <w:ind w:left="0" w:leftChars="0" w:firstLine="0" w:firstLineChars="0"/>
                              <w:rPr>
                                <w:rFonts w:hint="default" w:eastAsia="宋体"/>
                                <w:lang w:val="en-US" w:eastAsia="zh-CN"/>
                              </w:rPr>
                            </w:pPr>
                            <w:r>
                              <w:rPr>
                                <w:rFonts w:hint="eastAsia"/>
                                <w:lang w:val="en-US" w:eastAsia="zh-CN"/>
                              </w:rPr>
                              <w:t>项目位置</w:t>
                            </w:r>
                          </w:p>
                        </w:txbxContent>
                      </wps:txbx>
                      <wps:bodyPr vert="horz" wrap="square" anchor="t" anchorCtr="0" upright="1"/>
                    </wps:wsp>
                  </a:graphicData>
                </a:graphic>
              </wp:anchor>
            </w:drawing>
          </mc:Choice>
          <mc:Fallback>
            <w:pict>
              <v:shape id="自选图形 5" o:spid="_x0000_s1026" o:spt="61" type="#_x0000_t61" style="position:absolute;left:0pt;margin-left:462.9pt;margin-top:100.8pt;height:26.85pt;width:66.8pt;z-index:251659264;mso-width-relative:page;mso-height-relative:page;" fillcolor="#FFFFFF" filled="t" stroked="t" coordsize="21600,21600" o:gfxdata="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q608na&#10;AAAADAEAAA8AAAAAAAAAAQAgAAAAIgAAAGRycy9kb3ducmV2LnhtbFBLAQIUABQAAAAIAIdO4kB2&#10;Rs2BVwIAAMAEAAAOAAAAAAAAAAEAIAAAACkBAABkcnMvZTJvRG9jLnhtbFBLBQYAAAAABgAGAFkB&#10;AADyBQAAAAA=&#10;" adj="-806,35437">
                <v:fill on="t" focussize="0,0"/>
                <v:stroke color="#000000" joinstyle="miter"/>
                <v:imagedata o:title=""/>
                <o:lock v:ext="edit" aspectratio="f"/>
                <v:textbox>
                  <w:txbxContent>
                    <w:p w14:paraId="50FA2C45">
                      <w:pPr>
                        <w:ind w:left="0" w:leftChars="0" w:firstLine="0" w:firstLineChars="0"/>
                        <w:rPr>
                          <w:rFonts w:hint="default" w:eastAsia="宋体"/>
                          <w:lang w:val="en-US" w:eastAsia="zh-CN"/>
                        </w:rPr>
                      </w:pPr>
                      <w:r>
                        <w:rPr>
                          <w:rFonts w:hint="eastAsia"/>
                          <w:lang w:val="en-US" w:eastAsia="zh-CN"/>
                        </w:rPr>
                        <w:t>项目位置</w:t>
                      </w:r>
                    </w:p>
                  </w:txbxContent>
                </v:textbox>
              </v:shape>
            </w:pict>
          </mc:Fallback>
        </mc:AlternateContent>
      </w:r>
      <w:r>
        <w:rPr>
          <w:rFonts w:ascii="宋体" w:hAnsi="宋体" w:eastAsia="宋体" w:cs="宋体"/>
          <w:color w:val="000000" w:themeColor="text1"/>
          <w:sz w:val="24"/>
          <w:szCs w:val="24"/>
          <w:highlight w:val="none"/>
          <w14:textFill>
            <w14:solidFill>
              <w14:schemeClr w14:val="tx1"/>
            </w14:solidFill>
          </w14:textFill>
        </w:rPr>
        <w:drawing>
          <wp:inline distT="0" distB="0" distL="114300" distR="114300">
            <wp:extent cx="8495030" cy="5109845"/>
            <wp:effectExtent l="0" t="0" r="1270" b="14605"/>
            <wp:docPr id="17"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IMG_256"/>
                    <pic:cNvPicPr>
                      <a:picLocks noChangeAspect="1"/>
                    </pic:cNvPicPr>
                  </pic:nvPicPr>
                  <pic:blipFill>
                    <a:blip r:embed="rId31"/>
                    <a:stretch>
                      <a:fillRect/>
                    </a:stretch>
                  </pic:blipFill>
                  <pic:spPr>
                    <a:xfrm>
                      <a:off x="0" y="0"/>
                      <a:ext cx="8495030" cy="510984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8523605" cy="5370195"/>
            <wp:effectExtent l="0" t="0" r="10795" b="190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32"/>
                    <a:stretch>
                      <a:fillRect/>
                    </a:stretch>
                  </pic:blipFill>
                  <pic:spPr>
                    <a:xfrm>
                      <a:off x="0" y="0"/>
                      <a:ext cx="8523605" cy="537019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248400" cy="4162425"/>
            <wp:effectExtent l="0" t="0" r="0" b="952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33"/>
                    <a:stretch>
                      <a:fillRect/>
                    </a:stretch>
                  </pic:blipFill>
                  <pic:spPr>
                    <a:xfrm>
                      <a:off x="0" y="0"/>
                      <a:ext cx="6248400" cy="416242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219825" cy="4095750"/>
            <wp:effectExtent l="0" t="0" r="9525" b="0"/>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34"/>
                    <a:stretch>
                      <a:fillRect/>
                    </a:stretch>
                  </pic:blipFill>
                  <pic:spPr>
                    <a:xfrm>
                      <a:off x="0" y="0"/>
                      <a:ext cx="6219825" cy="4095750"/>
                    </a:xfrm>
                    <a:prstGeom prst="rect">
                      <a:avLst/>
                    </a:prstGeom>
                    <a:noFill/>
                    <a:ln>
                      <a:noFill/>
                    </a:ln>
                  </pic:spPr>
                </pic:pic>
              </a:graphicData>
            </a:graphic>
          </wp:inline>
        </w:drawing>
      </w:r>
    </w:p>
    <w:p w14:paraId="36FDC61C">
      <w:pPr>
        <w:ind w:left="0" w:leftChars="0" w:firstLine="0" w:firstLineChars="0"/>
        <w:rPr>
          <w:rFonts w:hint="eastAsia" w:ascii="Times New Roman" w:hAnsi="Times New Roman" w:eastAsia="黑体" w:cs="Times New Roman"/>
          <w:color w:val="000000" w:themeColor="text1"/>
          <w:highlight w:val="none"/>
          <w:lang w:val="en-US" w:eastAsia="zh-CN"/>
          <w14:textFill>
            <w14:solidFill>
              <w14:schemeClr w14:val="tx1"/>
            </w14:solidFill>
          </w14:textFill>
        </w:rPr>
      </w:pPr>
    </w:p>
    <w:p w14:paraId="56333231">
      <w:pPr>
        <w:ind w:left="0" w:leftChars="0" w:firstLine="0" w:firstLineChars="0"/>
        <w:rPr>
          <w:rFonts w:hint="eastAsia" w:ascii="Times New Roman" w:hAnsi="Times New Roman" w:eastAsia="黑体" w:cs="Times New Roman"/>
          <w:color w:val="000000" w:themeColor="text1"/>
          <w:highlight w:val="none"/>
          <w:lang w:val="en-US" w:eastAsia="zh-CN"/>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4F70E044">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附图2项目地理位置图</w:t>
      </w:r>
    </w:p>
    <w:p w14:paraId="17DA9061">
      <w:pPr>
        <w:ind w:left="0" w:leftChars="0" w:firstLine="0" w:firstLineChars="0"/>
        <w:rPr>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5984875</wp:posOffset>
                </wp:positionH>
                <wp:positionV relativeFrom="paragraph">
                  <wp:posOffset>1803400</wp:posOffset>
                </wp:positionV>
                <wp:extent cx="821690" cy="286385"/>
                <wp:effectExtent l="4445" t="4445" r="12065" b="166370"/>
                <wp:wrapNone/>
                <wp:docPr id="2" name="自选图形 6"/>
                <wp:cNvGraphicFramePr/>
                <a:graphic xmlns:a="http://schemas.openxmlformats.org/drawingml/2006/main">
                  <a:graphicData uri="http://schemas.microsoft.com/office/word/2010/wordprocessingShape">
                    <wps:wsp>
                      <wps:cNvSpPr/>
                      <wps:spPr>
                        <a:xfrm>
                          <a:off x="0" y="0"/>
                          <a:ext cx="821690" cy="286385"/>
                        </a:xfrm>
                        <a:prstGeom prst="wedgeRectCallout">
                          <a:avLst>
                            <a:gd name="adj1" fmla="val -47370"/>
                            <a:gd name="adj2" fmla="val 99000"/>
                          </a:avLst>
                        </a:prstGeom>
                        <a:solidFill>
                          <a:srgbClr val="FFFFFF"/>
                        </a:solidFill>
                        <a:ln w="9525" cap="flat" cmpd="sng">
                          <a:solidFill>
                            <a:srgbClr val="000000"/>
                          </a:solidFill>
                          <a:prstDash val="solid"/>
                          <a:miter/>
                          <a:headEnd type="none" w="med" len="med"/>
                          <a:tailEnd type="none" w="med" len="med"/>
                        </a:ln>
                      </wps:spPr>
                      <wps:txbx>
                        <w:txbxContent>
                          <w:p w14:paraId="5F5772FD">
                            <w:pPr>
                              <w:ind w:left="0" w:leftChars="0" w:firstLine="0" w:firstLineChars="0"/>
                              <w:rPr>
                                <w:rFonts w:hint="default" w:eastAsia="宋体"/>
                                <w:lang w:val="en-US" w:eastAsia="zh-CN"/>
                              </w:rPr>
                            </w:pPr>
                            <w:r>
                              <w:rPr>
                                <w:rFonts w:hint="eastAsia"/>
                                <w:lang w:val="en-US" w:eastAsia="zh-CN"/>
                              </w:rPr>
                              <w:t>项目位置</w:t>
                            </w:r>
                          </w:p>
                        </w:txbxContent>
                      </wps:txbx>
                      <wps:bodyPr vert="horz" wrap="square" anchor="t" anchorCtr="0" upright="1"/>
                    </wps:wsp>
                  </a:graphicData>
                </a:graphic>
              </wp:anchor>
            </w:drawing>
          </mc:Choice>
          <mc:Fallback>
            <w:pict>
              <v:shape id="自选图形 6" o:spid="_x0000_s1026" o:spt="61" type="#_x0000_t61" style="position:absolute;left:0pt;margin-left:471.25pt;margin-top:142pt;height:22.55pt;width:64.7pt;z-index:251660288;mso-width-relative:page;mso-height-relative:page;" fillcolor="#FFFFFF" filled="t" stroked="t" coordsize="21600,21600" o:gfxdata="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Ka87tDbAAAADAEAAA8AAAAAAAAAAQAgAAAAIgAAAGRycy9kb3ducmV2LnhtbFBLAQIUABQAAAAI&#10;AIdO4kC7ezSYXAIAAL8EAAAOAAAAAAAAAAEAIAAAACoBAABkcnMvZTJvRG9jLnhtbFBLBQYAAAAA&#10;BgAGAFkBAAD4BQAAAAA=&#10;" adj="568,32184">
                <v:fill on="t" focussize="0,0"/>
                <v:stroke color="#000000" joinstyle="miter"/>
                <v:imagedata o:title=""/>
                <o:lock v:ext="edit" aspectratio="f"/>
                <v:textbox>
                  <w:txbxContent>
                    <w:p w14:paraId="5F5772FD">
                      <w:pPr>
                        <w:ind w:left="0" w:leftChars="0" w:firstLine="0" w:firstLineChars="0"/>
                        <w:rPr>
                          <w:rFonts w:hint="default" w:eastAsia="宋体"/>
                          <w:lang w:val="en-US" w:eastAsia="zh-CN"/>
                        </w:rPr>
                      </w:pPr>
                      <w:r>
                        <w:rPr>
                          <w:rFonts w:hint="eastAsia"/>
                          <w:lang w:val="en-US" w:eastAsia="zh-CN"/>
                        </w:rPr>
                        <w:t>项目位置</w:t>
                      </w:r>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8498205" cy="5367020"/>
            <wp:effectExtent l="0" t="0" r="17145" b="5080"/>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35"/>
                    <a:stretch>
                      <a:fillRect/>
                    </a:stretch>
                  </pic:blipFill>
                  <pic:spPr>
                    <a:xfrm>
                      <a:off x="0" y="0"/>
                      <a:ext cx="8498205" cy="5367020"/>
                    </a:xfrm>
                    <a:prstGeom prst="rect">
                      <a:avLst/>
                    </a:prstGeom>
                    <a:noFill/>
                    <a:ln>
                      <a:noFill/>
                    </a:ln>
                  </pic:spPr>
                </pic:pic>
              </a:graphicData>
            </a:graphic>
          </wp:inline>
        </w:drawing>
      </w:r>
    </w:p>
    <w:p w14:paraId="18E0776D">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附图3声环境功能区划图</w:t>
      </w:r>
    </w:p>
    <w:p w14:paraId="0B7E2896">
      <w:pPr>
        <w:ind w:left="0" w:leftChars="0" w:firstLine="0" w:firstLineChars="0"/>
        <w:rPr>
          <w:rFonts w:hint="eastAsia"/>
          <w:color w:val="000000" w:themeColor="text1"/>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5247640</wp:posOffset>
                </wp:positionH>
                <wp:positionV relativeFrom="paragraph">
                  <wp:posOffset>1708150</wp:posOffset>
                </wp:positionV>
                <wp:extent cx="780415" cy="293370"/>
                <wp:effectExtent l="4445" t="4445" r="15240" b="83185"/>
                <wp:wrapNone/>
                <wp:docPr id="3" name="自选图形 7"/>
                <wp:cNvGraphicFramePr/>
                <a:graphic xmlns:a="http://schemas.openxmlformats.org/drawingml/2006/main">
                  <a:graphicData uri="http://schemas.microsoft.com/office/word/2010/wordprocessingShape">
                    <wps:wsp>
                      <wps:cNvSpPr/>
                      <wps:spPr>
                        <a:xfrm>
                          <a:off x="0" y="0"/>
                          <a:ext cx="780415" cy="293370"/>
                        </a:xfrm>
                        <a:prstGeom prst="wedgeRoundRectCallout">
                          <a:avLst>
                            <a:gd name="adj1" fmla="val -43750"/>
                            <a:gd name="adj2" fmla="val 7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24917889">
                            <w:pPr>
                              <w:ind w:left="0" w:leftChars="0" w:firstLine="0" w:firstLineChars="0"/>
                              <w:rPr>
                                <w:rFonts w:hint="default" w:eastAsia="宋体"/>
                                <w:sz w:val="21"/>
                                <w:szCs w:val="21"/>
                                <w:lang w:val="en-US" w:eastAsia="zh-CN"/>
                              </w:rPr>
                            </w:pPr>
                            <w:r>
                              <w:rPr>
                                <w:rFonts w:hint="eastAsia"/>
                                <w:sz w:val="21"/>
                                <w:szCs w:val="21"/>
                                <w:lang w:val="en-US" w:eastAsia="zh-CN"/>
                              </w:rPr>
                              <w:t>项目位置</w:t>
                            </w:r>
                          </w:p>
                        </w:txbxContent>
                      </wps:txbx>
                      <wps:bodyPr vert="horz" wrap="square" anchor="t" anchorCtr="0" upright="1"/>
                    </wps:wsp>
                  </a:graphicData>
                </a:graphic>
              </wp:anchor>
            </w:drawing>
          </mc:Choice>
          <mc:Fallback>
            <w:pict>
              <v:shape id="自选图形 7" o:spid="_x0000_s1026" o:spt="62" type="#_x0000_t62" style="position:absolute;left:0pt;margin-left:413.2pt;margin-top:134.5pt;height:23.1pt;width:61.45pt;z-index:251661312;mso-width-relative:page;mso-height-relative:page;" fillcolor="#FFFFFF" filled="t" stroked="t" coordsize="21600,21600" o:gfxdata="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fmQ6C2gAAAAsBAAAPAAAAAAAAAAEAIAAAACIAAABkcnMvZG93bnJldi54&#10;bWxQSwECFAAUAAAACACHTuJABTvPRWoCAADoBAAADgAAAAAAAAABACAAAAApAQAAZHJzL2Uyb0Rv&#10;Yy54bWxQSwUGAAAAAAYABgBZAQAABQYAAAAA&#10;" adj="1350,25920,14400">
                <v:fill on="t" focussize="0,0"/>
                <v:stroke color="#000000" joinstyle="miter"/>
                <v:imagedata o:title=""/>
                <o:lock v:ext="edit" aspectratio="f"/>
                <v:textbox>
                  <w:txbxContent>
                    <w:p w14:paraId="24917889">
                      <w:pPr>
                        <w:ind w:left="0" w:leftChars="0" w:firstLine="0" w:firstLineChars="0"/>
                        <w:rPr>
                          <w:rFonts w:hint="default" w:eastAsia="宋体"/>
                          <w:sz w:val="21"/>
                          <w:szCs w:val="21"/>
                          <w:lang w:val="en-US" w:eastAsia="zh-CN"/>
                        </w:rPr>
                      </w:pPr>
                      <w:r>
                        <w:rPr>
                          <w:rFonts w:hint="eastAsia"/>
                          <w:sz w:val="21"/>
                          <w:szCs w:val="21"/>
                          <w:lang w:val="en-US" w:eastAsia="zh-CN"/>
                        </w:rPr>
                        <w:t>项目位置</w:t>
                      </w:r>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8518525" cy="5274310"/>
            <wp:effectExtent l="0" t="0" r="15875" b="2540"/>
            <wp:docPr id="22" name="图片 198" descr="鄂尔多斯市（东胜区、康巴什区）声环境功能区划分示意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8" descr="鄂尔多斯市（东胜区、康巴什区）声环境功能区划分示意图 (1)"/>
                    <pic:cNvPicPr>
                      <a:picLocks noChangeAspect="1"/>
                    </pic:cNvPicPr>
                  </pic:nvPicPr>
                  <pic:blipFill>
                    <a:blip r:embed="rId36"/>
                    <a:stretch>
                      <a:fillRect/>
                    </a:stretch>
                  </pic:blipFill>
                  <pic:spPr>
                    <a:xfrm>
                      <a:off x="0" y="0"/>
                      <a:ext cx="8518525" cy="5274310"/>
                    </a:xfrm>
                    <a:prstGeom prst="rect">
                      <a:avLst/>
                    </a:prstGeom>
                    <a:noFill/>
                    <a:ln>
                      <a:noFill/>
                    </a:ln>
                  </pic:spPr>
                </pic:pic>
              </a:graphicData>
            </a:graphic>
          </wp:inline>
        </w:drawing>
      </w:r>
    </w:p>
    <w:p w14:paraId="416EF770">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附图4平面布置图</w:t>
      </w:r>
    </w:p>
    <w:p w14:paraId="1D3CE315">
      <w:pPr>
        <w:ind w:left="0" w:lef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8524240" cy="5311775"/>
            <wp:effectExtent l="0" t="0" r="10160" b="3175"/>
            <wp:docPr id="2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5"/>
                    <pic:cNvPicPr>
                      <a:picLocks noChangeAspect="1"/>
                    </pic:cNvPicPr>
                  </pic:nvPicPr>
                  <pic:blipFill>
                    <a:blip r:embed="rId37"/>
                    <a:stretch>
                      <a:fillRect/>
                    </a:stretch>
                  </pic:blipFill>
                  <pic:spPr>
                    <a:xfrm>
                      <a:off x="0" y="0"/>
                      <a:ext cx="8524240" cy="5311775"/>
                    </a:xfrm>
                    <a:prstGeom prst="rect">
                      <a:avLst/>
                    </a:prstGeom>
                    <a:noFill/>
                    <a:ln>
                      <a:noFill/>
                    </a:ln>
                  </pic:spPr>
                </pic:pic>
              </a:graphicData>
            </a:graphic>
          </wp:inline>
        </w:drawing>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-25400</wp:posOffset>
                </wp:positionH>
                <wp:positionV relativeFrom="paragraph">
                  <wp:posOffset>846455</wp:posOffset>
                </wp:positionV>
                <wp:extent cx="638175" cy="280035"/>
                <wp:effectExtent l="179070" t="0" r="0" b="0"/>
                <wp:wrapNone/>
                <wp:docPr id="34" name="文本框 34"/>
                <wp:cNvGraphicFramePr/>
                <a:graphic xmlns:a="http://schemas.openxmlformats.org/drawingml/2006/main">
                  <a:graphicData uri="http://schemas.microsoft.com/office/word/2010/wordprocessingShape">
                    <wps:wsp>
                      <wps:cNvSpPr txBox="1"/>
                      <wps:spPr>
                        <a:xfrm rot="16200000">
                          <a:off x="0" y="0"/>
                          <a:ext cx="638175" cy="280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93C5C">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18"/>
                                <w:szCs w:val="18"/>
                                <w:lang w:val="en-US" w:eastAsia="zh-CN"/>
                              </w:rPr>
                            </w:pPr>
                            <w:r>
                              <w:rPr>
                                <w:rFonts w:hint="eastAsia"/>
                                <w:sz w:val="18"/>
                                <w:szCs w:val="18"/>
                                <w:lang w:val="en-US" w:eastAsia="zh-CN"/>
                              </w:rPr>
                              <w:t>通风橱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pt;margin-top:66.65pt;height:22.05pt;width:50.25pt;rotation:-5898240f;z-index:251674624;mso-width-relative:page;mso-height-relative:page;" filled="f" stroked="f" coordsize="21600,21600" o:gfxdata="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tumRfZAAAACQEAAA8AAAAAAAAAAQAgAAAA&#10;IgAAAGRycy9kb3ducmV2LnhtbFBLAQIUABQAAAAIAIdO4kDUhYg/QwIAAHYEAAAOAAAAAAAAAAEA&#10;IAAAACgBAABkcnMvZTJvRG9jLnhtbFBLBQYAAAAABgAGAFkBAADdBQAAAAA=&#10;">
                <v:fill on="f" focussize="0,0"/>
                <v:stroke on="f" weight="0.5pt"/>
                <v:imagedata o:title=""/>
                <o:lock v:ext="edit" aspectratio="f"/>
                <v:textbox>
                  <w:txbxContent>
                    <w:p w14:paraId="38893C5C">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18"/>
                          <w:szCs w:val="18"/>
                          <w:lang w:val="en-US" w:eastAsia="zh-CN"/>
                        </w:rPr>
                      </w:pPr>
                      <w:r>
                        <w:rPr>
                          <w:rFonts w:hint="eastAsia"/>
                          <w:sz w:val="18"/>
                          <w:szCs w:val="18"/>
                          <w:lang w:val="en-US" w:eastAsia="zh-CN"/>
                        </w:rPr>
                        <w:t>通风橱</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7456170</wp:posOffset>
                </wp:positionH>
                <wp:positionV relativeFrom="paragraph">
                  <wp:posOffset>1010920</wp:posOffset>
                </wp:positionV>
                <wp:extent cx="638175" cy="280035"/>
                <wp:effectExtent l="179070" t="0" r="0" b="0"/>
                <wp:wrapNone/>
                <wp:docPr id="49" name="文本框 49"/>
                <wp:cNvGraphicFramePr/>
                <a:graphic xmlns:a="http://schemas.openxmlformats.org/drawingml/2006/main">
                  <a:graphicData uri="http://schemas.microsoft.com/office/word/2010/wordprocessingShape">
                    <wps:wsp>
                      <wps:cNvSpPr txBox="1"/>
                      <wps:spPr>
                        <a:xfrm rot="5400000">
                          <a:off x="0" y="0"/>
                          <a:ext cx="638175" cy="280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B8AF6">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18"/>
                                <w:szCs w:val="18"/>
                                <w:lang w:val="en-US" w:eastAsia="zh-CN"/>
                              </w:rPr>
                            </w:pPr>
                            <w:r>
                              <w:rPr>
                                <w:rFonts w:hint="eastAsia"/>
                                <w:sz w:val="18"/>
                                <w:szCs w:val="18"/>
                                <w:lang w:val="en-US" w:eastAsia="zh-CN"/>
                              </w:rPr>
                              <w:t>通风橱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7.1pt;margin-top:79.6pt;height:22.05pt;width:50.25pt;rotation:5898240f;z-index:251671552;mso-width-relative:page;mso-height-relative:page;" filled="f" stroked="f" coordsize="21600,21600" o:gfxdata="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LPylkDXAAAADQEAAA8AAAAAAAAAAQAgAAAAIgAA&#10;AGRycy9kb3ducmV2LnhtbFBLAQIUABQAAAAIAIdO4kAZvNmPQgIAAHUEAAAOAAAAAAAAAAEAIAAA&#10;ACYBAABkcnMvZTJvRG9jLnhtbFBLBQYAAAAABgAGAFkBAADaBQAAAAA=&#10;">
                <v:fill on="f" focussize="0,0"/>
                <v:stroke on="f" weight="0.5pt"/>
                <v:imagedata o:title=""/>
                <o:lock v:ext="edit" aspectratio="f"/>
                <v:textbox>
                  <w:txbxContent>
                    <w:p w14:paraId="58FB8AF6">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18"/>
                          <w:szCs w:val="18"/>
                          <w:lang w:val="en-US" w:eastAsia="zh-CN"/>
                        </w:rPr>
                      </w:pPr>
                      <w:r>
                        <w:rPr>
                          <w:rFonts w:hint="eastAsia"/>
                          <w:sz w:val="18"/>
                          <w:szCs w:val="18"/>
                          <w:lang w:val="en-US" w:eastAsia="zh-CN"/>
                        </w:rPr>
                        <w:t>通风橱</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7880985</wp:posOffset>
                </wp:positionH>
                <wp:positionV relativeFrom="paragraph">
                  <wp:posOffset>876300</wp:posOffset>
                </wp:positionV>
                <wp:extent cx="104140" cy="220980"/>
                <wp:effectExtent l="12700" t="12700" r="16510" b="13970"/>
                <wp:wrapNone/>
                <wp:docPr id="50" name="矩形 50"/>
                <wp:cNvGraphicFramePr/>
                <a:graphic xmlns:a="http://schemas.openxmlformats.org/drawingml/2006/main">
                  <a:graphicData uri="http://schemas.microsoft.com/office/word/2010/wordprocessingShape">
                    <wps:wsp>
                      <wps:cNvSpPr/>
                      <wps:spPr>
                        <a:xfrm>
                          <a:off x="0" y="0"/>
                          <a:ext cx="104140" cy="220980"/>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20.55pt;margin-top:69pt;height:17.4pt;width:8.2pt;z-index:251672576;v-text-anchor:middle;mso-width-relative:page;mso-height-relative:page;" fillcolor="#00B050" filled="t" stroked="t" coordsize="21600,21600" o:gfxdata="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fX/4u2gAAAA0BAAAPAAAAAAAAAAEAIAAAACIAAABkcnMvZG93bnJldi54bWxQSwECFAAUAAAA&#10;CACHTuJATXyKiF4CAADeBAAADgAAAAAAAAABACAAAAApAQAAZHJzL2Uyb0RvYy54bWxQSwUGAAAA&#10;AAYABgBZAQAA+QUAAAAA&#10;">
                <v:fill on="t" focussize="0,0"/>
                <v:stroke weight="2pt" color="#00B050 [2404]" joinstyle="round"/>
                <v:imagedata o:title=""/>
                <o:lock v:ext="edit" aspectratio="f"/>
              </v:rect>
            </w:pict>
          </mc:Fallback>
        </mc:AlternateContent>
      </w:r>
      <w:r>
        <w:rPr>
          <w:color w:val="000000" w:themeColor="text1"/>
          <w:highlight w:val="none"/>
          <w14:textFill>
            <w14:solidFill>
              <w14:schemeClr w14:val="tx1"/>
            </w14:solidFill>
          </w14:textFill>
        </w:rPr>
        <w:drawing>
          <wp:inline distT="0" distB="0" distL="114300" distR="114300">
            <wp:extent cx="8048625" cy="5520690"/>
            <wp:effectExtent l="0" t="0" r="9525" b="3810"/>
            <wp:docPr id="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6"/>
                    <pic:cNvPicPr>
                      <a:picLocks noChangeAspect="1"/>
                    </pic:cNvPicPr>
                  </pic:nvPicPr>
                  <pic:blipFill>
                    <a:blip r:embed="rId38"/>
                    <a:stretch>
                      <a:fillRect/>
                    </a:stretch>
                  </pic:blipFill>
                  <pic:spPr>
                    <a:xfrm>
                      <a:off x="0" y="0"/>
                      <a:ext cx="8048625" cy="5520690"/>
                    </a:xfrm>
                    <a:prstGeom prst="rect">
                      <a:avLst/>
                    </a:prstGeom>
                    <a:noFill/>
                    <a:ln>
                      <a:noFill/>
                    </a:ln>
                  </pic:spPr>
                </pic:pic>
              </a:graphicData>
            </a:graphic>
          </wp:inline>
        </w:drawing>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86360</wp:posOffset>
                </wp:positionH>
                <wp:positionV relativeFrom="paragraph">
                  <wp:posOffset>1193800</wp:posOffset>
                </wp:positionV>
                <wp:extent cx="104140" cy="220980"/>
                <wp:effectExtent l="12700" t="12700" r="16510" b="13970"/>
                <wp:wrapNone/>
                <wp:docPr id="48" name="矩形 48"/>
                <wp:cNvGraphicFramePr/>
                <a:graphic xmlns:a="http://schemas.openxmlformats.org/drawingml/2006/main">
                  <a:graphicData uri="http://schemas.microsoft.com/office/word/2010/wordprocessingShape">
                    <wps:wsp>
                      <wps:cNvSpPr/>
                      <wps:spPr>
                        <a:xfrm>
                          <a:off x="0" y="0"/>
                          <a:ext cx="104140" cy="220980"/>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8pt;margin-top:94pt;height:17.4pt;width:8.2pt;z-index:251670528;v-text-anchor:middle;mso-width-relative:page;mso-height-relative:page;" fillcolor="#00B050" filled="t" stroked="t" coordsize="21600,21600" o:gfxdata="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Nmp&#10;ggTWAAAACQEAAA8AAAAAAAAAAQAgAAAAIgAAAGRycy9kb3ducmV2LnhtbFBLAQIUABQAAAAIAIdO&#10;4kDWW0VOXgIAAN4EAAAOAAAAAAAAAAEAIAAAACUBAABkcnMvZTJvRG9jLnhtbFBLBQYAAAAABgAG&#10;AFkBAAD1BQAAAAA=&#10;">
                <v:fill on="t" focussize="0,0"/>
                <v:stroke weight="2pt" color="#00B050 [2404]" joinstyle="round"/>
                <v:imagedata o:title=""/>
                <o:lock v:ext="edit" aspectratio="f"/>
              </v:rect>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76835</wp:posOffset>
                </wp:positionH>
                <wp:positionV relativeFrom="paragraph">
                  <wp:posOffset>835025</wp:posOffset>
                </wp:positionV>
                <wp:extent cx="104140" cy="220980"/>
                <wp:effectExtent l="12700" t="12700" r="16510" b="13970"/>
                <wp:wrapNone/>
                <wp:docPr id="47" name="矩形 47"/>
                <wp:cNvGraphicFramePr/>
                <a:graphic xmlns:a="http://schemas.openxmlformats.org/drawingml/2006/main">
                  <a:graphicData uri="http://schemas.microsoft.com/office/word/2010/wordprocessingShape">
                    <wps:wsp>
                      <wps:cNvSpPr/>
                      <wps:spPr>
                        <a:xfrm>
                          <a:off x="0" y="0"/>
                          <a:ext cx="104140" cy="220980"/>
                        </a:xfrm>
                        <a:prstGeom prst="rect">
                          <a:avLst/>
                        </a:prstGeom>
                        <a:solidFill>
                          <a:srgbClr val="00B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05pt;margin-top:65.75pt;height:17.4pt;width:8.2pt;z-index:251669504;v-text-anchor:middle;mso-width-relative:page;mso-height-relative:page;" fillcolor="#00B050" filled="t" stroked="t" coordsize="21600,21600" o:gfxdata="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z&#10;3fH21gAAAAkBAAAPAAAAAAAAAAEAIAAAACIAAABkcnMvZG93bnJldi54bWxQSwECFAAUAAAACACH&#10;TuJAX44Y0F8CAADeBAAADgAAAAAAAAABACAAAAAlAQAAZHJzL2Uyb0RvYy54bWxQSwUGAAAAAAYA&#10;BgBZAQAA9gUAAAAA&#10;">
                <v:fill on="t" focussize="0,0"/>
                <v:stroke weight="2pt" color="#00B050 [2404]" joinstyle="round"/>
                <v:imagedata o:title=""/>
                <o:lock v:ext="edit" aspectratio="f"/>
              </v:rect>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1529080</wp:posOffset>
                </wp:positionH>
                <wp:positionV relativeFrom="paragraph">
                  <wp:posOffset>3320415</wp:posOffset>
                </wp:positionV>
                <wp:extent cx="621030" cy="280035"/>
                <wp:effectExtent l="0" t="0" r="7620" b="5715"/>
                <wp:wrapNone/>
                <wp:docPr id="46" name="文本框 46"/>
                <wp:cNvGraphicFramePr/>
                <a:graphic xmlns:a="http://schemas.openxmlformats.org/drawingml/2006/main">
                  <a:graphicData uri="http://schemas.microsoft.com/office/word/2010/wordprocessingShape">
                    <wps:wsp>
                      <wps:cNvSpPr txBox="1"/>
                      <wps:spPr>
                        <a:xfrm>
                          <a:off x="0" y="0"/>
                          <a:ext cx="621030" cy="2800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854A9B6">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22"/>
                                <w:szCs w:val="22"/>
                                <w:lang w:val="en-US" w:eastAsia="zh-CN"/>
                              </w:rPr>
                            </w:pPr>
                            <w:r>
                              <w:rPr>
                                <w:rFonts w:hint="eastAsia"/>
                                <w:sz w:val="22"/>
                                <w:szCs w:val="22"/>
                                <w:lang w:val="en-US" w:eastAsia="zh-CN"/>
                              </w:rPr>
                              <w:t>药品库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0.4pt;margin-top:261.45pt;height:22.05pt;width:48.9pt;z-index:251668480;mso-width-relative:page;mso-height-relative:page;" fillcolor="#FFFFFF [3201]" filled="t" stroked="f" coordsize="21600,21600" o:gfxdata="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iaiG29cAAAALAQAADwAA&#10;AAAAAAABACAAAAAiAAAAZHJzL2Rvd25yZXYueG1sUEsBAhQAFAAAAAgAh07iQI0ce+lQAgAAkAQA&#10;AA4AAAAAAAAAAQAgAAAAJgEAAGRycy9lMm9Eb2MueG1sUEsFBgAAAAAGAAYAWQEAAOgFAAAAAA==&#10;">
                <v:fill on="t" focussize="0,0"/>
                <v:stroke on="f" weight="0.5pt"/>
                <v:imagedata o:title=""/>
                <o:lock v:ext="edit" aspectratio="f"/>
                <v:textbox>
                  <w:txbxContent>
                    <w:p w14:paraId="5854A9B6">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22"/>
                          <w:szCs w:val="22"/>
                          <w:lang w:val="en-US" w:eastAsia="zh-CN"/>
                        </w:rPr>
                      </w:pPr>
                      <w:r>
                        <w:rPr>
                          <w:rFonts w:hint="eastAsia"/>
                          <w:sz w:val="22"/>
                          <w:szCs w:val="22"/>
                          <w:lang w:val="en-US" w:eastAsia="zh-CN"/>
                        </w:rPr>
                        <w:t>药品库</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1742440</wp:posOffset>
                </wp:positionH>
                <wp:positionV relativeFrom="paragraph">
                  <wp:posOffset>3627120</wp:posOffset>
                </wp:positionV>
                <wp:extent cx="214630" cy="220980"/>
                <wp:effectExtent l="12700" t="12700" r="20320" b="13970"/>
                <wp:wrapNone/>
                <wp:docPr id="45" name="矩形 45"/>
                <wp:cNvGraphicFramePr/>
                <a:graphic xmlns:a="http://schemas.openxmlformats.org/drawingml/2006/main">
                  <a:graphicData uri="http://schemas.microsoft.com/office/word/2010/wordprocessingShape">
                    <wps:wsp>
                      <wps:cNvSpPr/>
                      <wps:spPr>
                        <a:xfrm>
                          <a:off x="0" y="0"/>
                          <a:ext cx="214630" cy="22098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2pt;margin-top:285.6pt;height:17.4pt;width:16.9pt;z-index:251667456;v-text-anchor:middle;mso-width-relative:page;mso-height-relative:page;" fillcolor="#4F81BD [3204]" filled="t" stroked="t" coordsize="21600,21600" o:gfxdata="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N0gdU9sAAAALAQAADwAAAAAAAAABACAAAAAi&#10;AAAAZHJzL2Rvd25yZXYueG1sUEsBAhQAFAAAAAgAh07iQAHW3nR5AgAAAAUAAA4AAAAAAAAAAQAg&#10;AAAAKgEAAGRycy9lMm9Eb2MueG1sUEsFBgAAAAAGAAYAWQEAABUGAAAAAA==&#10;">
                <v:fill on="t" focussize="0,0"/>
                <v:stroke weight="2pt" color="#376092 [2404]" joinstyle="round"/>
                <v:imagedata o:title=""/>
                <o:lock v:ext="edit" aspectratio="f"/>
              </v:rect>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3313430</wp:posOffset>
                </wp:positionH>
                <wp:positionV relativeFrom="paragraph">
                  <wp:posOffset>4986020</wp:posOffset>
                </wp:positionV>
                <wp:extent cx="621030" cy="280035"/>
                <wp:effectExtent l="0" t="0" r="7620" b="5715"/>
                <wp:wrapNone/>
                <wp:docPr id="44" name="文本框 44"/>
                <wp:cNvGraphicFramePr/>
                <a:graphic xmlns:a="http://schemas.openxmlformats.org/drawingml/2006/main">
                  <a:graphicData uri="http://schemas.microsoft.com/office/word/2010/wordprocessingShape">
                    <wps:wsp>
                      <wps:cNvSpPr txBox="1"/>
                      <wps:spPr>
                        <a:xfrm>
                          <a:off x="0" y="0"/>
                          <a:ext cx="621030" cy="2800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3AC8E37">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22"/>
                                <w:szCs w:val="22"/>
                                <w:lang w:val="en-US" w:eastAsia="zh-CN"/>
                              </w:rPr>
                            </w:pPr>
                            <w:r>
                              <w:rPr>
                                <w:rFonts w:hint="eastAsia"/>
                                <w:sz w:val="22"/>
                                <w:szCs w:val="22"/>
                                <w:lang w:val="en-US" w:eastAsia="zh-CN"/>
                              </w:rPr>
                              <w:t>药品库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9pt;margin-top:392.6pt;height:22.05pt;width:48.9pt;z-index:251666432;mso-width-relative:page;mso-height-relative:page;" fillcolor="#FFFFFF [3201]" filled="t" stroked="f" coordsize="21600,21600" o:gfxdata="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vSbzA1wAAAAsBAAAPAAAA&#10;AAAAAAEAIAAAACIAAABkcnMvZG93bnJldi54bWxQSwECFAAUAAAACACHTuJAjCDPeE8CAACQBAAA&#10;DgAAAAAAAAABACAAAAAmAQAAZHJzL2Uyb0RvYy54bWxQSwUGAAAAAAYABgBZAQAA5wUAAAAA&#10;">
                <v:fill on="t" focussize="0,0"/>
                <v:stroke on="f" weight="0.5pt"/>
                <v:imagedata o:title=""/>
                <o:lock v:ext="edit" aspectratio="f"/>
                <v:textbox>
                  <w:txbxContent>
                    <w:p w14:paraId="53AC8E37">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22"/>
                          <w:szCs w:val="22"/>
                          <w:lang w:val="en-US" w:eastAsia="zh-CN"/>
                        </w:rPr>
                      </w:pPr>
                      <w:r>
                        <w:rPr>
                          <w:rFonts w:hint="eastAsia"/>
                          <w:sz w:val="22"/>
                          <w:szCs w:val="22"/>
                          <w:lang w:val="en-US" w:eastAsia="zh-CN"/>
                        </w:rPr>
                        <w:t>药品库</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3597910</wp:posOffset>
                </wp:positionH>
                <wp:positionV relativeFrom="paragraph">
                  <wp:posOffset>4768215</wp:posOffset>
                </wp:positionV>
                <wp:extent cx="214630" cy="182245"/>
                <wp:effectExtent l="12700" t="12700" r="20320" b="14605"/>
                <wp:wrapNone/>
                <wp:docPr id="43" name="矩形 43"/>
                <wp:cNvGraphicFramePr/>
                <a:graphic xmlns:a="http://schemas.openxmlformats.org/drawingml/2006/main">
                  <a:graphicData uri="http://schemas.microsoft.com/office/word/2010/wordprocessingShape">
                    <wps:wsp>
                      <wps:cNvSpPr/>
                      <wps:spPr>
                        <a:xfrm>
                          <a:off x="0" y="0"/>
                          <a:ext cx="214630" cy="18224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3.3pt;margin-top:375.45pt;height:14.35pt;width:16.9pt;z-index:251665408;v-text-anchor:middle;mso-width-relative:page;mso-height-relative:page;" fillcolor="#4F81BD [3204]" filled="t" stroked="t" coordsize="21600,21600" o:gfxdata="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OB5ZL2gAAAAsBAAAPAAAAAAAAAAEAIAAAACIA&#10;AABkcnMvZG93bnJldi54bWxQSwECFAAUAAAACACHTuJA4rJVynkCAAAABQAADgAAAAAAAAABACAA&#10;AAApAQAAZHJzL2Uyb0RvYy54bWxQSwUGAAAAAAYABgBZAQAAFAYAAAAA&#10;">
                <v:fill on="t" focussize="0,0"/>
                <v:stroke weight="2pt" color="#376092 [2404]" joinstyle="round"/>
                <v:imagedata o:title=""/>
                <o:lock v:ext="edit" aspectratio="f"/>
              </v:rect>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819150</wp:posOffset>
                </wp:positionH>
                <wp:positionV relativeFrom="paragraph">
                  <wp:posOffset>5000625</wp:posOffset>
                </wp:positionV>
                <wp:extent cx="1184910" cy="280035"/>
                <wp:effectExtent l="0" t="0" r="15240" b="5715"/>
                <wp:wrapNone/>
                <wp:docPr id="41" name="文本框 41"/>
                <wp:cNvGraphicFramePr/>
                <a:graphic xmlns:a="http://schemas.openxmlformats.org/drawingml/2006/main">
                  <a:graphicData uri="http://schemas.microsoft.com/office/word/2010/wordprocessingShape">
                    <wps:wsp>
                      <wps:cNvSpPr txBox="1"/>
                      <wps:spPr>
                        <a:xfrm>
                          <a:off x="2066290" y="5996305"/>
                          <a:ext cx="1184910" cy="2800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4E8AA31">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22"/>
                                <w:szCs w:val="22"/>
                                <w:lang w:val="en-US" w:eastAsia="zh-CN"/>
                              </w:rPr>
                            </w:pPr>
                            <w:r>
                              <w:rPr>
                                <w:rFonts w:hint="eastAsia"/>
                                <w:sz w:val="22"/>
                                <w:szCs w:val="22"/>
                                <w:lang w:val="en-US" w:eastAsia="zh-CN"/>
                              </w:rPr>
                              <w:t>危险废物暂存库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5pt;margin-top:393.75pt;height:22.05pt;width:93.3pt;z-index:251664384;mso-width-relative:page;mso-height-relative:page;" fillcolor="#FFFFFF [3201]" filled="t" stroked="f" coordsize="21600,21600" o:gfxdata="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6&#10;2Ngh1wAAAAsBAAAPAAAAAAAAAAEAIAAAACIAAABkcnMvZG93bnJldi54bWxQSwECFAAUAAAACACH&#10;TuJA7o2ODV4CAACdBAAADgAAAAAAAAABACAAAAAmAQAAZHJzL2Uyb0RvYy54bWxQSwUGAAAAAAYA&#10;BgBZAQAA9gUAAAAA&#10;">
                <v:fill on="t" focussize="0,0"/>
                <v:stroke on="f" weight="0.5pt"/>
                <v:imagedata o:title=""/>
                <o:lock v:ext="edit" aspectratio="f"/>
                <v:textbox>
                  <w:txbxContent>
                    <w:p w14:paraId="14E8AA31">
                      <w:pPr>
                        <w:keepNext w:val="0"/>
                        <w:keepLines w:val="0"/>
                        <w:pageBreakBefore w:val="0"/>
                        <w:widowControl w:val="0"/>
                        <w:kinsoku/>
                        <w:wordWrap/>
                        <w:overflowPunct/>
                        <w:topLinePunct w:val="0"/>
                        <w:bidi w:val="0"/>
                        <w:adjustRightInd/>
                        <w:snapToGrid/>
                        <w:spacing w:line="240" w:lineRule="auto"/>
                        <w:ind w:left="0" w:leftChars="0" w:firstLine="0" w:firstLineChars="0"/>
                        <w:textAlignment w:val="auto"/>
                        <w:rPr>
                          <w:rFonts w:hint="default" w:eastAsia="宋体"/>
                          <w:sz w:val="22"/>
                          <w:szCs w:val="22"/>
                          <w:lang w:val="en-US" w:eastAsia="zh-CN"/>
                        </w:rPr>
                      </w:pPr>
                      <w:r>
                        <w:rPr>
                          <w:rFonts w:hint="eastAsia"/>
                          <w:sz w:val="22"/>
                          <w:szCs w:val="22"/>
                          <w:lang w:val="en-US" w:eastAsia="zh-CN"/>
                        </w:rPr>
                        <w:t>危险废物暂存库</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1033780</wp:posOffset>
                </wp:positionH>
                <wp:positionV relativeFrom="paragraph">
                  <wp:posOffset>4770120</wp:posOffset>
                </wp:positionV>
                <wp:extent cx="302260" cy="182245"/>
                <wp:effectExtent l="12700" t="12700" r="27940" b="14605"/>
                <wp:wrapNone/>
                <wp:docPr id="40" name="矩形 40"/>
                <wp:cNvGraphicFramePr/>
                <a:graphic xmlns:a="http://schemas.openxmlformats.org/drawingml/2006/main">
                  <a:graphicData uri="http://schemas.microsoft.com/office/word/2010/wordprocessingShape">
                    <wps:wsp>
                      <wps:cNvSpPr/>
                      <wps:spPr>
                        <a:xfrm>
                          <a:off x="2113915" y="5742305"/>
                          <a:ext cx="302260" cy="182245"/>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1.4pt;margin-top:375.6pt;height:14.35pt;width:23.8pt;z-index:251663360;v-text-anchor:middle;mso-width-relative:page;mso-height-relative:page;" fillcolor="#4F81BD [3204]" filled="t" stroked="t" coordsize="21600,21600" o:gfxdata="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FustbnaAAAACwEAAA8A&#10;AAAAAAAAAQAgAAAAIgAAAGRycy9kb3ducmV2LnhtbFBLAQIUABQAAAAIAIdO4kD0Rjb+hwIAAAwF&#10;AAAOAAAAAAAAAAEAIAAAACkBAABkcnMvZTJvRG9jLnhtbFBLBQYAAAAABgAGAFkBAAAiBgAAAAA=&#10;">
                <v:fill on="t" focussize="0,0"/>
                <v:stroke weight="2pt" color="#376092 [2404]" joinstyle="round"/>
                <v:imagedata o:title=""/>
                <o:lock v:ext="edit" aspectratio="f"/>
              </v:rect>
            </w:pict>
          </mc:Fallback>
        </mc:AlternateContent>
      </w:r>
    </w:p>
    <w:p w14:paraId="3C7F74BD">
      <w:pPr>
        <w:pStyle w:val="32"/>
        <w:ind w:left="0" w:leftChars="0" w:firstLine="0" w:firstLineChars="0"/>
        <w:jc w:val="both"/>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8229600" cy="5419725"/>
            <wp:effectExtent l="0" t="0" r="0" b="9525"/>
            <wp:docPr id="2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7"/>
                    <pic:cNvPicPr>
                      <a:picLocks noChangeAspect="1"/>
                    </pic:cNvPicPr>
                  </pic:nvPicPr>
                  <pic:blipFill>
                    <a:blip r:embed="rId39"/>
                    <a:stretch>
                      <a:fillRect/>
                    </a:stretch>
                  </pic:blipFill>
                  <pic:spPr>
                    <a:xfrm>
                      <a:off x="0" y="0"/>
                      <a:ext cx="8229600" cy="5419725"/>
                    </a:xfrm>
                    <a:prstGeom prst="rect">
                      <a:avLst/>
                    </a:prstGeom>
                    <a:noFill/>
                    <a:ln>
                      <a:noFill/>
                    </a:ln>
                  </pic:spPr>
                </pic:pic>
              </a:graphicData>
            </a:graphic>
          </wp:inline>
        </w:drawing>
      </w:r>
    </w:p>
    <w:p w14:paraId="039C5FB2">
      <w:pPr>
        <w:rPr>
          <w:color w:val="000000" w:themeColor="text1"/>
          <w:highlight w:val="none"/>
          <w14:textFill>
            <w14:solidFill>
              <w14:schemeClr w14:val="tx1"/>
            </w14:solidFill>
          </w14:textFill>
        </w:rPr>
      </w:pPr>
    </w:p>
    <w:p w14:paraId="0ABD4E5F">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附图5环境敏感目标</w:t>
      </w:r>
    </w:p>
    <w:p w14:paraId="074E1AED">
      <w:pPr>
        <w:pStyle w:val="30"/>
        <w:ind w:left="0" w:leftChars="0" w:firstLine="0" w:firstLineChars="0"/>
        <w:jc w:val="center"/>
        <w:rPr>
          <w:rFonts w:hint="default"/>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62336" behindDoc="0" locked="0" layoutInCell="1" allowOverlap="1">
            <wp:simplePos x="0" y="0"/>
            <wp:positionH relativeFrom="column">
              <wp:posOffset>6696075</wp:posOffset>
            </wp:positionH>
            <wp:positionV relativeFrom="paragraph">
              <wp:posOffset>10795</wp:posOffset>
            </wp:positionV>
            <wp:extent cx="1081405" cy="1287780"/>
            <wp:effectExtent l="0" t="0" r="4445" b="7620"/>
            <wp:wrapNone/>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40"/>
                    <a:stretch>
                      <a:fillRect/>
                    </a:stretch>
                  </pic:blipFill>
                  <pic:spPr>
                    <a:xfrm>
                      <a:off x="0" y="0"/>
                      <a:ext cx="1081405" cy="1287780"/>
                    </a:xfrm>
                    <a:prstGeom prst="rect">
                      <a:avLst/>
                    </a:prstGeom>
                    <a:noFill/>
                    <a:ln>
                      <a:noFill/>
                    </a:ln>
                  </pic:spPr>
                </pic:pic>
              </a:graphicData>
            </a:graphic>
          </wp:anchor>
        </w:drawing>
      </w:r>
      <w:r>
        <w:rPr>
          <w:color w:val="000000" w:themeColor="text1"/>
          <w:highlight w:val="none"/>
          <w14:textFill>
            <w14:solidFill>
              <w14:schemeClr w14:val="tx1"/>
            </w14:solidFill>
          </w14:textFill>
        </w:rPr>
        <w:drawing>
          <wp:inline distT="0" distB="0" distL="114300" distR="114300">
            <wp:extent cx="7018655" cy="5199380"/>
            <wp:effectExtent l="0" t="0" r="10795" b="1270"/>
            <wp:docPr id="2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0"/>
                    <pic:cNvPicPr>
                      <a:picLocks noChangeAspect="1"/>
                    </pic:cNvPicPr>
                  </pic:nvPicPr>
                  <pic:blipFill>
                    <a:blip r:embed="rId41"/>
                    <a:stretch>
                      <a:fillRect/>
                    </a:stretch>
                  </pic:blipFill>
                  <pic:spPr>
                    <a:xfrm>
                      <a:off x="0" y="0"/>
                      <a:ext cx="7018655" cy="5199380"/>
                    </a:xfrm>
                    <a:prstGeom prst="rect">
                      <a:avLst/>
                    </a:prstGeom>
                    <a:noFill/>
                    <a:ln>
                      <a:noFill/>
                    </a:ln>
                  </pic:spPr>
                </pic:pic>
              </a:graphicData>
            </a:graphic>
          </wp:inline>
        </w:drawing>
      </w:r>
    </w:p>
    <w:sectPr>
      <w:pgSz w:w="16838" w:h="11906" w:orient="landscape"/>
      <w:pgMar w:top="1531" w:right="1701" w:bottom="1531" w:left="1701" w:header="851" w:footer="851" w:gutter="0"/>
      <w:pgBorders>
        <w:top w:val="none" w:sz="0" w:space="0"/>
        <w:left w:val="none" w:sz="0" w:space="0"/>
        <w:bottom w:val="none" w:sz="0" w:space="0"/>
        <w:right w:val="none" w:sz="0" w:space="0"/>
      </w:pgBorders>
      <w:pgNumType w:fmt="numberInDash"/>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47C602-C81D-44C4-BD77-15C5BEF373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2" w:fontKey="{CCFE3D06-A90B-435D-8855-A639C23323D4}"/>
  </w:font>
  <w:font w:name="方正小标宋_GBK">
    <w:panose1 w:val="02000000000000000000"/>
    <w:charset w:val="86"/>
    <w:family w:val="script"/>
    <w:pitch w:val="default"/>
    <w:sig w:usb0="A00002BF" w:usb1="38CF7CFA" w:usb2="00082016" w:usb3="00000000" w:csb0="00040001" w:csb1="00000000"/>
    <w:embedRegular r:id="rId3" w:fontKey="{047C8A0D-A257-482D-B762-6E635009B722}"/>
  </w:font>
  <w:font w:name="楷体_GB2312">
    <w:panose1 w:val="02010609030101010101"/>
    <w:charset w:val="86"/>
    <w:family w:val="modern"/>
    <w:pitch w:val="default"/>
    <w:sig w:usb0="00000001" w:usb1="080E0000" w:usb2="00000000" w:usb3="00000000" w:csb0="00040000" w:csb1="00000000"/>
    <w:embedRegular r:id="rId4" w:fontKey="{1995E4C9-A287-4F21-9DB4-91D60256A028}"/>
  </w:font>
  <w:font w:name="华文仿宋">
    <w:panose1 w:val="02010600040101010101"/>
    <w:charset w:val="86"/>
    <w:family w:val="auto"/>
    <w:pitch w:val="default"/>
    <w:sig w:usb0="00000287" w:usb1="080F0000" w:usb2="00000000" w:usb3="00000000" w:csb0="0004009F" w:csb1="DFD70000"/>
    <w:embedRegular r:id="rId5" w:fontKey="{5DEE9C6C-5C28-4873-9336-E34E40F5AC21}"/>
  </w:font>
  <w:font w:name="仿宋">
    <w:panose1 w:val="02010609060101010101"/>
    <w:charset w:val="86"/>
    <w:family w:val="modern"/>
    <w:pitch w:val="default"/>
    <w:sig w:usb0="800002BF" w:usb1="38CF7CFA" w:usb2="00000016" w:usb3="00000000" w:csb0="00040001" w:csb1="00000000"/>
    <w:embedRegular r:id="rId6" w:fontKey="{7FC358EF-91EC-41B0-98A4-474FB7A0B7B1}"/>
  </w:font>
  <w:font w:name="Segoe UI">
    <w:panose1 w:val="020B0502040204020203"/>
    <w:charset w:val="00"/>
    <w:family w:val="auto"/>
    <w:pitch w:val="default"/>
    <w:sig w:usb0="E4002EFF" w:usb1="C000E47F" w:usb2="00000009" w:usb3="00000000" w:csb0="200001FF" w:csb1="00000000"/>
    <w:embedRegular r:id="rId7" w:fontKey="{EF1D0E7F-D629-4100-BB38-272A2A8C63A0}"/>
  </w:font>
  <w:font w:name="WPSEMBED4">
    <w:panose1 w:val="02000000000000000000"/>
    <w:charset w:val="86"/>
    <w:family w:val="auto"/>
    <w:pitch w:val="default"/>
    <w:sig w:usb0="A00002BF" w:usb1="38CF7CFA" w:usb2="00082016" w:usb3="00000000" w:csb0="00040001" w:csb1="00000000"/>
  </w:font>
  <w:font w:name="WPSEMBED5">
    <w:panose1 w:val="02010600040101010101"/>
    <w:charset w:val="86"/>
    <w:family w:val="auto"/>
    <w:pitch w:val="default"/>
    <w:sig w:usb0="00000287" w:usb1="080F0000" w:usb2="00000000" w:usb3="00000000" w:csb0="0004009F" w:csb1="DFD7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45F6">
    <w:pPr>
      <w:pStyle w:val="17"/>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6D23F">
    <w:pPr>
      <w:pStyle w:val="17"/>
      <w:framePr w:wrap="around" w:vAnchor="text" w:hAnchor="margin" w:xAlign="center" w:y="1"/>
      <w:rPr>
        <w:rStyle w:val="27"/>
      </w:rPr>
    </w:pPr>
    <w:r>
      <w:fldChar w:fldCharType="begin"/>
    </w:r>
    <w:r>
      <w:rPr>
        <w:rStyle w:val="27"/>
      </w:rPr>
      <w:instrText xml:space="preserve">PAGE  </w:instrText>
    </w:r>
    <w:r>
      <w:fldChar w:fldCharType="end"/>
    </w:r>
  </w:p>
  <w:p w14:paraId="1AC3B2DF">
    <w:pPr>
      <w:pStyle w:val="1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8155B">
    <w:pPr>
      <w:pStyle w:val="17"/>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5DF156">
                          <w:pPr>
                            <w:pStyle w:val="17"/>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BsPFHLgAQAAwgMAAA4AAAAA&#10;AAAAAQAgAAAAHgEAAGRycy9lMm9Eb2MueG1sUEsFBgAAAAAGAAYAWQEAAHAFAAAAAA==&#10;">
              <v:fill on="f" focussize="0,0"/>
              <v:stroke on="f"/>
              <v:imagedata o:title=""/>
              <o:lock v:ext="edit" aspectratio="f"/>
              <v:textbox inset="0mm,0mm,0mm,0mm" style="mso-fit-shape-to-text:t;">
                <w:txbxContent>
                  <w:p w14:paraId="6C5DF156">
                    <w:pPr>
                      <w:pStyle w:val="17"/>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30A3C">
    <w:pPr>
      <w:pStyle w:val="17"/>
      <w:ind w:right="360" w:firstLine="360"/>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A67644">
                          <w:pPr>
                            <w:pStyle w:val="17"/>
                            <w:ind w:left="0" w:leftChars="0" w:firstLine="0" w:firstLineChars="0"/>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8Z5vO4QEAAMIDAAAOAAAA&#10;AAAAAAEAIAAAAB4BAABkcnMvZTJvRG9jLnhtbFBLBQYAAAAABgAGAFkBAABxBQAAAAA=&#10;">
              <v:fill on="f" focussize="0,0"/>
              <v:stroke on="f"/>
              <v:imagedata o:title=""/>
              <o:lock v:ext="edit" aspectratio="f"/>
              <v:textbox inset="0mm,0mm,0mm,0mm" style="mso-fit-shape-to-text:t;">
                <w:txbxContent>
                  <w:p w14:paraId="72A67644">
                    <w:pPr>
                      <w:pStyle w:val="17"/>
                      <w:ind w:left="0" w:leftChars="0" w:firstLine="0" w:firstLineChars="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CBEA4">
    <w:pPr>
      <w:pStyle w:val="17"/>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2333D8">
                          <w:pPr>
                            <w:pStyle w:val="17"/>
                            <w:ind w:left="0" w:leftChars="0" w:firstLine="0" w:firstLineChars="0"/>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Ld4YAuIBAADCAwAADgAA&#10;AAAAAAABACAAAAAeAQAAZHJzL2Uyb0RvYy54bWxQSwUGAAAAAAYABgBZAQAAcgUAAAAA&#10;">
              <v:fill on="f" focussize="0,0"/>
              <v:stroke on="f"/>
              <v:imagedata o:title=""/>
              <o:lock v:ext="edit" aspectratio="f"/>
              <v:textbox inset="0mm,0mm,0mm,0mm" style="mso-fit-shape-to-text:t;">
                <w:txbxContent>
                  <w:p w14:paraId="062333D8">
                    <w:pPr>
                      <w:pStyle w:val="17"/>
                      <w:ind w:left="0" w:leftChars="0" w:firstLine="0" w:firstLineChars="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FF111">
    <w:pPr>
      <w:pStyle w:val="17"/>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123D56">
                          <w:pPr>
                            <w:pStyle w:val="17"/>
                          </w:pPr>
                          <w:r>
                            <w:fldChar w:fldCharType="begin"/>
                          </w:r>
                          <w:r>
                            <w:instrText xml:space="preserve"> PAGE  \* MERGEFORMAT </w:instrText>
                          </w:r>
                          <w:r>
                            <w:fldChar w:fldCharType="separate"/>
                          </w:r>
                          <w:r>
                            <w:t>7</w:t>
                          </w:r>
                          <w:r>
                            <w:fldChar w:fldCharType="end"/>
                          </w:r>
                        </w:p>
                      </w:txbxContent>
                    </wps:txbx>
                    <wps:bodyPr vert="horz" wrap="none" lIns="0" tIns="0" rIns="0" bIns="0" anchor="t" anchorCtr="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FRUkU4QEAAMIDAAAOAAAA&#10;AAAAAAEAIAAAAB4BAABkcnMvZTJvRG9jLnhtbFBLBQYAAAAABgAGAFkBAABxBQAAAAA=&#10;">
              <v:fill on="f" focussize="0,0"/>
              <v:stroke on="f"/>
              <v:imagedata o:title=""/>
              <o:lock v:ext="edit" aspectratio="f"/>
              <v:textbox inset="0mm,0mm,0mm,0mm" style="mso-fit-shape-to-text:t;">
                <w:txbxContent>
                  <w:p w14:paraId="19123D56">
                    <w:pPr>
                      <w:pStyle w:val="17"/>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E91C6">
    <w:pPr>
      <w:pStyle w:val="17"/>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BF8F84">
                          <w:pPr>
                            <w:pStyle w:val="17"/>
                            <w:ind w:left="0" w:leftChars="0" w:firstLine="0" w:firstLineChars="0"/>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s5RFZOIBAADCAwAADgAA&#10;AAAAAAABACAAAAAeAQAAZHJzL2Uyb0RvYy54bWxQSwUGAAAAAAYABgBZAQAAcgUAAAAA&#10;">
              <v:fill on="f" focussize="0,0"/>
              <v:stroke on="f"/>
              <v:imagedata o:title=""/>
              <o:lock v:ext="edit" aspectratio="f"/>
              <v:textbox inset="0mm,0mm,0mm,0mm" style="mso-fit-shape-to-text:t;">
                <w:txbxContent>
                  <w:p w14:paraId="70BF8F84">
                    <w:pPr>
                      <w:pStyle w:val="17"/>
                      <w:ind w:left="0" w:leftChars="0" w:firstLine="0" w:firstLineChars="0"/>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E91E0">
    <w:pPr>
      <w:pStyle w:val="18"/>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03FD2">
    <w:pPr>
      <w:pStyle w:val="18"/>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bidi w:val="0"/>
      <w:adjustRightInd/>
      <w:snapToGrid w:val="0"/>
      <w:spacing w:line="240" w:lineRule="auto"/>
      <w:ind w:firstLine="0" w:firstLineChars="0"/>
      <w:jc w:val="both"/>
      <w:textAlignment w:val="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yZWY4NzczNWEzNjAxOTdkOWVjYTQ2MWQ0OTUwZDMifQ=="/>
  </w:docVars>
  <w:rsids>
    <w:rsidRoot w:val="00A14947"/>
    <w:rsid w:val="000060B3"/>
    <w:rsid w:val="000074EF"/>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0979E2"/>
    <w:rsid w:val="01290F7E"/>
    <w:rsid w:val="01292073"/>
    <w:rsid w:val="015D1E09"/>
    <w:rsid w:val="0173115E"/>
    <w:rsid w:val="01A06883"/>
    <w:rsid w:val="01D7740E"/>
    <w:rsid w:val="0203188F"/>
    <w:rsid w:val="022C24DE"/>
    <w:rsid w:val="02697903"/>
    <w:rsid w:val="029D0EA8"/>
    <w:rsid w:val="02F96569"/>
    <w:rsid w:val="03D251BA"/>
    <w:rsid w:val="03EA7B21"/>
    <w:rsid w:val="05160A69"/>
    <w:rsid w:val="0535675D"/>
    <w:rsid w:val="0551238E"/>
    <w:rsid w:val="05C852DC"/>
    <w:rsid w:val="05F83EAE"/>
    <w:rsid w:val="061858ED"/>
    <w:rsid w:val="063E7D85"/>
    <w:rsid w:val="07293586"/>
    <w:rsid w:val="07295285"/>
    <w:rsid w:val="07636392"/>
    <w:rsid w:val="076E3F95"/>
    <w:rsid w:val="07770C56"/>
    <w:rsid w:val="092217DD"/>
    <w:rsid w:val="093A7294"/>
    <w:rsid w:val="09811645"/>
    <w:rsid w:val="09F935EE"/>
    <w:rsid w:val="09FB4A3F"/>
    <w:rsid w:val="0A263993"/>
    <w:rsid w:val="0A2D3AC2"/>
    <w:rsid w:val="0A496C6B"/>
    <w:rsid w:val="0AA755DF"/>
    <w:rsid w:val="0B120D44"/>
    <w:rsid w:val="0BD27BF6"/>
    <w:rsid w:val="0C3B3C7D"/>
    <w:rsid w:val="0C807C1D"/>
    <w:rsid w:val="0CAB2EAE"/>
    <w:rsid w:val="0D132753"/>
    <w:rsid w:val="0D621C7D"/>
    <w:rsid w:val="0E3A57F2"/>
    <w:rsid w:val="0E73034D"/>
    <w:rsid w:val="0EB44065"/>
    <w:rsid w:val="0EED33D8"/>
    <w:rsid w:val="0F13775A"/>
    <w:rsid w:val="0F177452"/>
    <w:rsid w:val="0F5F45FE"/>
    <w:rsid w:val="0F9A112B"/>
    <w:rsid w:val="0FFA1C2D"/>
    <w:rsid w:val="10527855"/>
    <w:rsid w:val="106D2F64"/>
    <w:rsid w:val="10B63710"/>
    <w:rsid w:val="10F10820"/>
    <w:rsid w:val="111C2F7A"/>
    <w:rsid w:val="112666C7"/>
    <w:rsid w:val="11665CA1"/>
    <w:rsid w:val="133228BF"/>
    <w:rsid w:val="13951726"/>
    <w:rsid w:val="13AB451D"/>
    <w:rsid w:val="13DF3855"/>
    <w:rsid w:val="14396509"/>
    <w:rsid w:val="14DD2C3C"/>
    <w:rsid w:val="152C6DBD"/>
    <w:rsid w:val="16087E1D"/>
    <w:rsid w:val="1636770B"/>
    <w:rsid w:val="17192E80"/>
    <w:rsid w:val="17701D14"/>
    <w:rsid w:val="17735226"/>
    <w:rsid w:val="17E603C4"/>
    <w:rsid w:val="189F624C"/>
    <w:rsid w:val="18D9405C"/>
    <w:rsid w:val="195B4EC8"/>
    <w:rsid w:val="1A1C66C0"/>
    <w:rsid w:val="1A2F2BCD"/>
    <w:rsid w:val="1A42393B"/>
    <w:rsid w:val="1AAD45DE"/>
    <w:rsid w:val="1B046F80"/>
    <w:rsid w:val="1B3267B5"/>
    <w:rsid w:val="1B40161D"/>
    <w:rsid w:val="1B441859"/>
    <w:rsid w:val="1B6606B1"/>
    <w:rsid w:val="1C5E7925"/>
    <w:rsid w:val="1C6A081D"/>
    <w:rsid w:val="1C712900"/>
    <w:rsid w:val="1C78322A"/>
    <w:rsid w:val="1CFD070F"/>
    <w:rsid w:val="1D5F6196"/>
    <w:rsid w:val="1D6132A5"/>
    <w:rsid w:val="1D8E56D5"/>
    <w:rsid w:val="1E1F48C5"/>
    <w:rsid w:val="1E7A43DA"/>
    <w:rsid w:val="1E84187B"/>
    <w:rsid w:val="1F432C71"/>
    <w:rsid w:val="1FE103DE"/>
    <w:rsid w:val="1FE7539E"/>
    <w:rsid w:val="20671BE0"/>
    <w:rsid w:val="20963CB8"/>
    <w:rsid w:val="20A81A1B"/>
    <w:rsid w:val="20B07FB6"/>
    <w:rsid w:val="20B646FB"/>
    <w:rsid w:val="211B07CF"/>
    <w:rsid w:val="213B74B1"/>
    <w:rsid w:val="215A2310"/>
    <w:rsid w:val="21DE318A"/>
    <w:rsid w:val="21EF5B80"/>
    <w:rsid w:val="22576990"/>
    <w:rsid w:val="22F47480"/>
    <w:rsid w:val="233C121A"/>
    <w:rsid w:val="23413A4B"/>
    <w:rsid w:val="23DE1C48"/>
    <w:rsid w:val="240210CD"/>
    <w:rsid w:val="24732B99"/>
    <w:rsid w:val="24BF09F7"/>
    <w:rsid w:val="252D53FE"/>
    <w:rsid w:val="2552593C"/>
    <w:rsid w:val="25EC2D81"/>
    <w:rsid w:val="26143B06"/>
    <w:rsid w:val="26256302"/>
    <w:rsid w:val="265D6277"/>
    <w:rsid w:val="266802A5"/>
    <w:rsid w:val="26731922"/>
    <w:rsid w:val="277057A2"/>
    <w:rsid w:val="27B75BC9"/>
    <w:rsid w:val="280845E1"/>
    <w:rsid w:val="28E026ED"/>
    <w:rsid w:val="28F33BD2"/>
    <w:rsid w:val="29083A7B"/>
    <w:rsid w:val="29206EB8"/>
    <w:rsid w:val="29595666"/>
    <w:rsid w:val="29874881"/>
    <w:rsid w:val="29E325E0"/>
    <w:rsid w:val="2A452503"/>
    <w:rsid w:val="2A8874E4"/>
    <w:rsid w:val="2B143D22"/>
    <w:rsid w:val="2B61314E"/>
    <w:rsid w:val="2B8E3551"/>
    <w:rsid w:val="2BA936A8"/>
    <w:rsid w:val="2C2C2488"/>
    <w:rsid w:val="2C315A5A"/>
    <w:rsid w:val="2C4B1C25"/>
    <w:rsid w:val="2CAC23A9"/>
    <w:rsid w:val="2CFE6FBB"/>
    <w:rsid w:val="2D9E56F5"/>
    <w:rsid w:val="2E667F96"/>
    <w:rsid w:val="2E8226AB"/>
    <w:rsid w:val="2F72337D"/>
    <w:rsid w:val="2FD065E6"/>
    <w:rsid w:val="2FD96870"/>
    <w:rsid w:val="301D28BC"/>
    <w:rsid w:val="303C651C"/>
    <w:rsid w:val="30580BC9"/>
    <w:rsid w:val="311E2ED7"/>
    <w:rsid w:val="314042DB"/>
    <w:rsid w:val="315619EE"/>
    <w:rsid w:val="315C449C"/>
    <w:rsid w:val="31633DAB"/>
    <w:rsid w:val="31B82709"/>
    <w:rsid w:val="31D05482"/>
    <w:rsid w:val="32400B34"/>
    <w:rsid w:val="32785F06"/>
    <w:rsid w:val="329E6876"/>
    <w:rsid w:val="330E1609"/>
    <w:rsid w:val="333015F2"/>
    <w:rsid w:val="334B6320"/>
    <w:rsid w:val="33D934D4"/>
    <w:rsid w:val="33FE2F6A"/>
    <w:rsid w:val="340E07E5"/>
    <w:rsid w:val="34235BF7"/>
    <w:rsid w:val="34654B69"/>
    <w:rsid w:val="352549E8"/>
    <w:rsid w:val="353B0A55"/>
    <w:rsid w:val="358C5FA8"/>
    <w:rsid w:val="35C15DF1"/>
    <w:rsid w:val="36074A7F"/>
    <w:rsid w:val="36923549"/>
    <w:rsid w:val="36B75FBF"/>
    <w:rsid w:val="36BD0C45"/>
    <w:rsid w:val="37023F74"/>
    <w:rsid w:val="37E00298"/>
    <w:rsid w:val="37EC14F8"/>
    <w:rsid w:val="38587817"/>
    <w:rsid w:val="38B302F9"/>
    <w:rsid w:val="38EE3475"/>
    <w:rsid w:val="38F12CD3"/>
    <w:rsid w:val="38F94775"/>
    <w:rsid w:val="392971ED"/>
    <w:rsid w:val="39325651"/>
    <w:rsid w:val="39EA1A31"/>
    <w:rsid w:val="3A872856"/>
    <w:rsid w:val="3AFE25FF"/>
    <w:rsid w:val="3B191D2F"/>
    <w:rsid w:val="3B3763D1"/>
    <w:rsid w:val="3C177690"/>
    <w:rsid w:val="3C2F6E1E"/>
    <w:rsid w:val="3C3E4550"/>
    <w:rsid w:val="3C4F64BA"/>
    <w:rsid w:val="3CDA245A"/>
    <w:rsid w:val="3D153845"/>
    <w:rsid w:val="3D1E06B7"/>
    <w:rsid w:val="3DA07850"/>
    <w:rsid w:val="3E897235"/>
    <w:rsid w:val="3EDA0523"/>
    <w:rsid w:val="407A6407"/>
    <w:rsid w:val="40CD06B9"/>
    <w:rsid w:val="410D73A4"/>
    <w:rsid w:val="411A5C7F"/>
    <w:rsid w:val="416941BC"/>
    <w:rsid w:val="4176763F"/>
    <w:rsid w:val="4182669E"/>
    <w:rsid w:val="4200449D"/>
    <w:rsid w:val="423A3BCC"/>
    <w:rsid w:val="424E57D2"/>
    <w:rsid w:val="42B26C49"/>
    <w:rsid w:val="433A6FE6"/>
    <w:rsid w:val="43480868"/>
    <w:rsid w:val="4350713C"/>
    <w:rsid w:val="436653E0"/>
    <w:rsid w:val="43B827E5"/>
    <w:rsid w:val="43C4431A"/>
    <w:rsid w:val="44B951CC"/>
    <w:rsid w:val="44CD14E0"/>
    <w:rsid w:val="44D24DC0"/>
    <w:rsid w:val="44F20B0B"/>
    <w:rsid w:val="450703F9"/>
    <w:rsid w:val="452E5F4C"/>
    <w:rsid w:val="45612018"/>
    <w:rsid w:val="458946E9"/>
    <w:rsid w:val="45A47C0E"/>
    <w:rsid w:val="46094A05"/>
    <w:rsid w:val="464745B8"/>
    <w:rsid w:val="46577FD6"/>
    <w:rsid w:val="46D955A7"/>
    <w:rsid w:val="47133957"/>
    <w:rsid w:val="471A1161"/>
    <w:rsid w:val="47A07E0C"/>
    <w:rsid w:val="47C3090A"/>
    <w:rsid w:val="4870272E"/>
    <w:rsid w:val="49DC7715"/>
    <w:rsid w:val="4A023139"/>
    <w:rsid w:val="4A193C5A"/>
    <w:rsid w:val="4A7B576F"/>
    <w:rsid w:val="4AF561A9"/>
    <w:rsid w:val="4C4A0649"/>
    <w:rsid w:val="4C7B4A86"/>
    <w:rsid w:val="4C7E5ECA"/>
    <w:rsid w:val="4C876AA5"/>
    <w:rsid w:val="4C9F1477"/>
    <w:rsid w:val="4CC2421E"/>
    <w:rsid w:val="4CCC649F"/>
    <w:rsid w:val="4D0E00FB"/>
    <w:rsid w:val="4D176606"/>
    <w:rsid w:val="4DB84D64"/>
    <w:rsid w:val="4DE214AF"/>
    <w:rsid w:val="4DE8262D"/>
    <w:rsid w:val="4DEC4FB0"/>
    <w:rsid w:val="4DFF77E8"/>
    <w:rsid w:val="4E075D8A"/>
    <w:rsid w:val="4EC00FAD"/>
    <w:rsid w:val="4EC92072"/>
    <w:rsid w:val="4F635A31"/>
    <w:rsid w:val="4F9843DC"/>
    <w:rsid w:val="4FC62A8C"/>
    <w:rsid w:val="4FE20F0D"/>
    <w:rsid w:val="4FE442AD"/>
    <w:rsid w:val="4FE51552"/>
    <w:rsid w:val="50504C4B"/>
    <w:rsid w:val="509C6E7C"/>
    <w:rsid w:val="50CE6F9F"/>
    <w:rsid w:val="5162104E"/>
    <w:rsid w:val="51DA2A33"/>
    <w:rsid w:val="51F5326B"/>
    <w:rsid w:val="53595AB1"/>
    <w:rsid w:val="53640830"/>
    <w:rsid w:val="5383124E"/>
    <w:rsid w:val="53A039CC"/>
    <w:rsid w:val="53A1505A"/>
    <w:rsid w:val="54063E08"/>
    <w:rsid w:val="543437E8"/>
    <w:rsid w:val="54F73313"/>
    <w:rsid w:val="54F80955"/>
    <w:rsid w:val="555170A7"/>
    <w:rsid w:val="5587536D"/>
    <w:rsid w:val="559B174B"/>
    <w:rsid w:val="55CE0CF4"/>
    <w:rsid w:val="56B22A9C"/>
    <w:rsid w:val="57B72A76"/>
    <w:rsid w:val="57C3426C"/>
    <w:rsid w:val="57CA3180"/>
    <w:rsid w:val="57CE1F93"/>
    <w:rsid w:val="585F1909"/>
    <w:rsid w:val="588743D1"/>
    <w:rsid w:val="5887701A"/>
    <w:rsid w:val="58B42185"/>
    <w:rsid w:val="594A6647"/>
    <w:rsid w:val="59C0439F"/>
    <w:rsid w:val="5ABE2233"/>
    <w:rsid w:val="5B853065"/>
    <w:rsid w:val="5BB67402"/>
    <w:rsid w:val="5BDF5D95"/>
    <w:rsid w:val="5BFE7528"/>
    <w:rsid w:val="5D0102EC"/>
    <w:rsid w:val="5E2467F1"/>
    <w:rsid w:val="5F1A2B43"/>
    <w:rsid w:val="5F223BC2"/>
    <w:rsid w:val="5F5C5FB8"/>
    <w:rsid w:val="5FB837BB"/>
    <w:rsid w:val="60A47BB3"/>
    <w:rsid w:val="60CC405A"/>
    <w:rsid w:val="61E215D8"/>
    <w:rsid w:val="621B3775"/>
    <w:rsid w:val="62364782"/>
    <w:rsid w:val="6394356A"/>
    <w:rsid w:val="63C61B2C"/>
    <w:rsid w:val="63D40BE9"/>
    <w:rsid w:val="64102431"/>
    <w:rsid w:val="64A5243A"/>
    <w:rsid w:val="64F531DE"/>
    <w:rsid w:val="65373578"/>
    <w:rsid w:val="662F40B6"/>
    <w:rsid w:val="668E330A"/>
    <w:rsid w:val="669647C9"/>
    <w:rsid w:val="6715092B"/>
    <w:rsid w:val="671F124A"/>
    <w:rsid w:val="677A33C6"/>
    <w:rsid w:val="67FB68A8"/>
    <w:rsid w:val="681F6961"/>
    <w:rsid w:val="68610A2F"/>
    <w:rsid w:val="68805514"/>
    <w:rsid w:val="69316E2F"/>
    <w:rsid w:val="694E2071"/>
    <w:rsid w:val="69766163"/>
    <w:rsid w:val="697A3B33"/>
    <w:rsid w:val="69D44760"/>
    <w:rsid w:val="6A520EC7"/>
    <w:rsid w:val="6AF87E20"/>
    <w:rsid w:val="6B322639"/>
    <w:rsid w:val="6BAD3123"/>
    <w:rsid w:val="6C636C38"/>
    <w:rsid w:val="6D397FE3"/>
    <w:rsid w:val="6DB34098"/>
    <w:rsid w:val="6DB545B6"/>
    <w:rsid w:val="6DE02FB4"/>
    <w:rsid w:val="6E514CED"/>
    <w:rsid w:val="6EB563D5"/>
    <w:rsid w:val="6ED92677"/>
    <w:rsid w:val="6F0912E7"/>
    <w:rsid w:val="6F123F9C"/>
    <w:rsid w:val="6F225983"/>
    <w:rsid w:val="6FFC5590"/>
    <w:rsid w:val="706D1DD0"/>
    <w:rsid w:val="70856B87"/>
    <w:rsid w:val="70BA1B75"/>
    <w:rsid w:val="70CD2C58"/>
    <w:rsid w:val="70D527EE"/>
    <w:rsid w:val="715B5300"/>
    <w:rsid w:val="7169749E"/>
    <w:rsid w:val="71D27F8A"/>
    <w:rsid w:val="720A4D5E"/>
    <w:rsid w:val="72553024"/>
    <w:rsid w:val="72C50946"/>
    <w:rsid w:val="72CE179B"/>
    <w:rsid w:val="73122968"/>
    <w:rsid w:val="731F5D5E"/>
    <w:rsid w:val="739A3943"/>
    <w:rsid w:val="73A04CBE"/>
    <w:rsid w:val="73C3376E"/>
    <w:rsid w:val="73C51AD5"/>
    <w:rsid w:val="741E793C"/>
    <w:rsid w:val="745E3944"/>
    <w:rsid w:val="74D643E7"/>
    <w:rsid w:val="74E75AC7"/>
    <w:rsid w:val="75F11191"/>
    <w:rsid w:val="7635099D"/>
    <w:rsid w:val="76541A86"/>
    <w:rsid w:val="766B6FDE"/>
    <w:rsid w:val="76742AFE"/>
    <w:rsid w:val="77762421"/>
    <w:rsid w:val="77B56B1F"/>
    <w:rsid w:val="77C57139"/>
    <w:rsid w:val="77ED1A8D"/>
    <w:rsid w:val="780F09F4"/>
    <w:rsid w:val="787E67E6"/>
    <w:rsid w:val="78A90480"/>
    <w:rsid w:val="78F2470C"/>
    <w:rsid w:val="79442C5B"/>
    <w:rsid w:val="79B70DAA"/>
    <w:rsid w:val="7A364017"/>
    <w:rsid w:val="7A8265E1"/>
    <w:rsid w:val="7ACF755D"/>
    <w:rsid w:val="7B686D42"/>
    <w:rsid w:val="7B841746"/>
    <w:rsid w:val="7C6C5AC7"/>
    <w:rsid w:val="7CC6544B"/>
    <w:rsid w:val="7CEF5986"/>
    <w:rsid w:val="7CF9768C"/>
    <w:rsid w:val="7D0239FF"/>
    <w:rsid w:val="7D5E40CD"/>
    <w:rsid w:val="7D7C0CC7"/>
    <w:rsid w:val="7DCD56F2"/>
    <w:rsid w:val="7DFF6C8A"/>
    <w:rsid w:val="7E4E0F6D"/>
    <w:rsid w:val="7F001CE7"/>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locked/>
    <w:uiPriority w:val="99"/>
    <w:pPr>
      <w:keepNext/>
      <w:overflowPunct w:val="0"/>
      <w:snapToGrid w:val="0"/>
      <w:spacing w:line="240" w:lineRule="auto"/>
      <w:ind w:left="0" w:firstLine="0" w:firstLineChars="0"/>
      <w:outlineLvl w:val="0"/>
    </w:pPr>
    <w:rPr>
      <w:rFonts w:eastAsia="黑体"/>
      <w:b/>
      <w:bCs/>
      <w:color w:val="000000"/>
      <w:kern w:val="44"/>
      <w:sz w:val="24"/>
      <w:szCs w:val="30"/>
    </w:rPr>
  </w:style>
  <w:style w:type="paragraph" w:styleId="4">
    <w:name w:val="heading 2"/>
    <w:basedOn w:val="1"/>
    <w:next w:val="1"/>
    <w:unhideWhenUsed/>
    <w:qFormat/>
    <w:locked/>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7">
    <w:name w:val="heading 5"/>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25">
    <w:name w:val="Default Paragraph Font"/>
    <w:semiHidden/>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8">
    <w:name w:val="Normal Indent"/>
    <w:basedOn w:val="1"/>
    <w:next w:val="9"/>
    <w:qFormat/>
    <w:locked/>
    <w:uiPriority w:val="0"/>
    <w:pPr>
      <w:adjustRightInd w:val="0"/>
      <w:spacing w:line="320" w:lineRule="atLeast"/>
      <w:ind w:firstLine="420"/>
      <w:textAlignment w:val="baseline"/>
    </w:pPr>
    <w:rPr>
      <w:rFonts w:ascii="Times New Roman" w:hAnsi="Times New Roman" w:eastAsia="宋体" w:cs="Times New Roman"/>
      <w:kern w:val="0"/>
      <w:sz w:val="21"/>
      <w:szCs w:val="20"/>
    </w:rPr>
  </w:style>
  <w:style w:type="paragraph" w:styleId="9">
    <w:name w:val="Body Text First Indent 2"/>
    <w:basedOn w:val="10"/>
    <w:next w:val="1"/>
    <w:qFormat/>
    <w:locked/>
    <w:uiPriority w:val="0"/>
    <w:pPr>
      <w:spacing w:after="120" w:afterLines="0" w:line="240" w:lineRule="auto"/>
      <w:ind w:left="420" w:leftChars="200" w:firstLine="420" w:firstLineChars="200"/>
    </w:pPr>
    <w:rPr>
      <w:sz w:val="21"/>
      <w:szCs w:val="24"/>
    </w:rPr>
  </w:style>
  <w:style w:type="paragraph" w:styleId="10">
    <w:name w:val="Body Text Indent"/>
    <w:basedOn w:val="1"/>
    <w:next w:val="1"/>
    <w:link w:val="35"/>
    <w:qFormat/>
    <w:uiPriority w:val="0"/>
    <w:pPr>
      <w:spacing w:after="120"/>
      <w:ind w:left="420" w:leftChars="200"/>
    </w:pPr>
    <w:rPr>
      <w:kern w:val="0"/>
      <w:sz w:val="24"/>
      <w:szCs w:val="20"/>
    </w:rPr>
  </w:style>
  <w:style w:type="paragraph" w:styleId="11">
    <w:name w:val="annotation text"/>
    <w:basedOn w:val="1"/>
    <w:next w:val="1"/>
    <w:link w:val="34"/>
    <w:semiHidden/>
    <w:qFormat/>
    <w:uiPriority w:val="0"/>
    <w:pPr>
      <w:jc w:val="left"/>
    </w:pPr>
    <w:rPr>
      <w:kern w:val="0"/>
      <w:sz w:val="24"/>
      <w:szCs w:val="20"/>
    </w:rPr>
  </w:style>
  <w:style w:type="paragraph" w:styleId="12">
    <w:name w:val="Body Text"/>
    <w:basedOn w:val="1"/>
    <w:next w:val="13"/>
    <w:link w:val="33"/>
    <w:qFormat/>
    <w:uiPriority w:val="0"/>
    <w:pPr>
      <w:widowControl/>
      <w:snapToGrid w:val="0"/>
      <w:spacing w:before="60" w:after="160" w:line="259" w:lineRule="auto"/>
      <w:ind w:right="113"/>
    </w:pPr>
    <w:rPr>
      <w:kern w:val="0"/>
      <w:sz w:val="18"/>
      <w:szCs w:val="20"/>
    </w:rPr>
  </w:style>
  <w:style w:type="paragraph" w:customStyle="1" w:styleId="13">
    <w:name w:val="xl27"/>
    <w:basedOn w:val="1"/>
    <w:next w:val="11"/>
    <w:qFormat/>
    <w:uiPriority w:val="0"/>
    <w:pPr>
      <w:widowControl/>
      <w:pBdr>
        <w:bottom w:val="single" w:color="auto" w:sz="4" w:space="0"/>
        <w:right w:val="single" w:color="auto" w:sz="4" w:space="0"/>
      </w:pBdr>
      <w:adjustRightInd w:val="0"/>
      <w:snapToGrid w:val="0"/>
      <w:spacing w:before="100" w:beforeAutospacing="1" w:after="100" w:afterAutospacing="1" w:line="500" w:lineRule="exact"/>
      <w:ind w:firstLine="720" w:firstLineChars="200"/>
      <w:jc w:val="center"/>
    </w:pPr>
    <w:rPr>
      <w:rFonts w:ascii="Times New Roman" w:hAnsi="Times New Roman" w:eastAsia="Arial Unicode MS" w:cs="Times New Roman"/>
      <w:kern w:val="0"/>
      <w:szCs w:val="21"/>
    </w:rPr>
  </w:style>
  <w:style w:type="paragraph" w:styleId="14">
    <w:name w:val="Date"/>
    <w:basedOn w:val="1"/>
    <w:next w:val="1"/>
    <w:link w:val="36"/>
    <w:qFormat/>
    <w:uiPriority w:val="0"/>
    <w:pPr>
      <w:ind w:left="100" w:leftChars="2500"/>
    </w:pPr>
    <w:rPr>
      <w:kern w:val="0"/>
      <w:sz w:val="24"/>
      <w:szCs w:val="20"/>
    </w:rPr>
  </w:style>
  <w:style w:type="paragraph" w:styleId="15">
    <w:name w:val="Body Text Indent 2"/>
    <w:basedOn w:val="1"/>
    <w:next w:val="1"/>
    <w:qFormat/>
    <w:locked/>
    <w:uiPriority w:val="0"/>
    <w:pPr>
      <w:spacing w:line="360" w:lineRule="auto"/>
      <w:ind w:firstLine="624"/>
    </w:pPr>
    <w:rPr>
      <w:sz w:val="28"/>
    </w:rPr>
  </w:style>
  <w:style w:type="paragraph" w:styleId="16">
    <w:name w:val="Balloon Text"/>
    <w:basedOn w:val="1"/>
    <w:link w:val="37"/>
    <w:semiHidden/>
    <w:qFormat/>
    <w:uiPriority w:val="0"/>
    <w:rPr>
      <w:kern w:val="0"/>
      <w:sz w:val="18"/>
      <w:szCs w:val="20"/>
    </w:rPr>
  </w:style>
  <w:style w:type="paragraph" w:styleId="17">
    <w:name w:val="footer"/>
    <w:basedOn w:val="1"/>
    <w:link w:val="38"/>
    <w:qFormat/>
    <w:uiPriority w:val="99"/>
    <w:pPr>
      <w:tabs>
        <w:tab w:val="center" w:pos="4153"/>
        <w:tab w:val="right" w:pos="8306"/>
      </w:tabs>
      <w:snapToGrid w:val="0"/>
      <w:jc w:val="left"/>
    </w:pPr>
    <w:rPr>
      <w:kern w:val="0"/>
      <w:sz w:val="18"/>
      <w:szCs w:val="20"/>
    </w:rPr>
  </w:style>
  <w:style w:type="paragraph" w:styleId="18">
    <w:name w:val="header"/>
    <w:basedOn w:val="1"/>
    <w:link w:val="39"/>
    <w:qFormat/>
    <w:uiPriority w:val="0"/>
    <w:pPr>
      <w:pBdr>
        <w:bottom w:val="single" w:color="auto" w:sz="6" w:space="1"/>
      </w:pBdr>
      <w:tabs>
        <w:tab w:val="center" w:pos="4153"/>
        <w:tab w:val="right" w:pos="8306"/>
      </w:tabs>
      <w:snapToGrid w:val="0"/>
      <w:jc w:val="center"/>
    </w:pPr>
    <w:rPr>
      <w:kern w:val="0"/>
      <w:sz w:val="18"/>
      <w:szCs w:val="20"/>
    </w:rPr>
  </w:style>
  <w:style w:type="paragraph" w:styleId="19">
    <w:name w:val="toc 2"/>
    <w:basedOn w:val="1"/>
    <w:next w:val="1"/>
    <w:qFormat/>
    <w:locked/>
    <w:uiPriority w:val="0"/>
    <w:pPr>
      <w:ind w:left="420" w:leftChars="200"/>
    </w:pPr>
  </w:style>
  <w:style w:type="paragraph" w:styleId="20">
    <w:name w:val="Normal (Web)"/>
    <w:basedOn w:val="1"/>
    <w:link w:val="40"/>
    <w:qFormat/>
    <w:uiPriority w:val="0"/>
    <w:pPr>
      <w:widowControl/>
      <w:spacing w:before="100" w:beforeAutospacing="1" w:after="100" w:afterAutospacing="1"/>
      <w:jc w:val="left"/>
    </w:pPr>
    <w:rPr>
      <w:rFonts w:ascii="宋体" w:hAnsi="宋体"/>
      <w:kern w:val="0"/>
      <w:sz w:val="24"/>
      <w:szCs w:val="20"/>
    </w:rPr>
  </w:style>
  <w:style w:type="paragraph" w:styleId="21">
    <w:name w:val="Title"/>
    <w:basedOn w:val="1"/>
    <w:next w:val="1"/>
    <w:qFormat/>
    <w:locked/>
    <w:uiPriority w:val="0"/>
    <w:pPr>
      <w:spacing w:before="60" w:after="60" w:line="576" w:lineRule="auto"/>
      <w:ind w:firstLine="0" w:firstLineChars="0"/>
      <w:jc w:val="left"/>
      <w:outlineLvl w:val="0"/>
    </w:pPr>
    <w:rPr>
      <w:b/>
      <w:bCs/>
      <w:sz w:val="36"/>
      <w:szCs w:val="32"/>
      <w:lang w:val="zh-CN"/>
    </w:rPr>
  </w:style>
  <w:style w:type="paragraph" w:styleId="22">
    <w:name w:val="annotation subject"/>
    <w:basedOn w:val="11"/>
    <w:next w:val="11"/>
    <w:link w:val="41"/>
    <w:semiHidden/>
    <w:qFormat/>
    <w:uiPriority w:val="0"/>
    <w:rPr>
      <w:b/>
      <w:sz w:val="24"/>
      <w:szCs w:val="20"/>
    </w:rPr>
  </w:style>
  <w:style w:type="table" w:styleId="24">
    <w:name w:val="Table Grid"/>
    <w:basedOn w:val="23"/>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locked/>
    <w:uiPriority w:val="0"/>
    <w:rPr>
      <w:b/>
    </w:rPr>
  </w:style>
  <w:style w:type="character" w:styleId="27">
    <w:name w:val="page number"/>
    <w:basedOn w:val="25"/>
    <w:qFormat/>
    <w:locked/>
    <w:uiPriority w:val="0"/>
  </w:style>
  <w:style w:type="character" w:styleId="28">
    <w:name w:val="Hyperlink"/>
    <w:basedOn w:val="25"/>
    <w:qFormat/>
    <w:locked/>
    <w:uiPriority w:val="0"/>
    <w:rPr>
      <w:color w:val="0000FF"/>
      <w:u w:val="single"/>
    </w:rPr>
  </w:style>
  <w:style w:type="character" w:styleId="29">
    <w:name w:val="annotation reference"/>
    <w:semiHidden/>
    <w:qFormat/>
    <w:uiPriority w:val="0"/>
    <w:rPr>
      <w:sz w:val="21"/>
    </w:rPr>
  </w:style>
  <w:style w:type="paragraph" w:customStyle="1" w:styleId="30">
    <w:name w:val="Default"/>
    <w:basedOn w:val="31"/>
    <w:next w:val="32"/>
    <w:qFormat/>
    <w:uiPriority w:val="0"/>
    <w:pPr>
      <w:widowControl w:val="0"/>
      <w:autoSpaceDE w:val="0"/>
      <w:autoSpaceDN w:val="0"/>
      <w:adjustRightInd w:val="0"/>
    </w:pPr>
    <w:rPr>
      <w:rFonts w:ascii="黑体" w:eastAsia="黑体" w:cs="黑体"/>
      <w:color w:val="000000"/>
      <w:sz w:val="24"/>
      <w:szCs w:val="24"/>
      <w:lang w:val="en-US" w:eastAsia="zh-CN" w:bidi="ar-SA"/>
    </w:rPr>
  </w:style>
  <w:style w:type="paragraph" w:customStyle="1" w:styleId="31">
    <w:name w:val="文本"/>
    <w:basedOn w:val="1"/>
    <w:next w:val="1"/>
    <w:qFormat/>
    <w:uiPriority w:val="0"/>
    <w:pPr>
      <w:autoSpaceDE w:val="0"/>
      <w:autoSpaceDN w:val="0"/>
      <w:ind w:firstLine="480"/>
    </w:pPr>
    <w:rPr>
      <w:szCs w:val="24"/>
      <w:lang w:val="zh-CN"/>
    </w:rPr>
  </w:style>
  <w:style w:type="paragraph" w:customStyle="1" w:styleId="32">
    <w:name w:val="表格文字"/>
    <w:basedOn w:val="12"/>
    <w:next w:val="1"/>
    <w:qFormat/>
    <w:uiPriority w:val="0"/>
    <w:pPr>
      <w:widowControl w:val="0"/>
      <w:adjustRightInd w:val="0"/>
      <w:snapToGrid/>
      <w:spacing w:before="0" w:after="0" w:line="240" w:lineRule="auto"/>
      <w:ind w:right="0"/>
      <w:jc w:val="center"/>
      <w:textAlignment w:val="baseline"/>
    </w:pPr>
    <w:rPr>
      <w:kern w:val="2"/>
      <w:sz w:val="21"/>
      <w:szCs w:val="21"/>
    </w:rPr>
  </w:style>
  <w:style w:type="character" w:customStyle="1" w:styleId="33">
    <w:name w:val="正文文本 Char"/>
    <w:link w:val="12"/>
    <w:qFormat/>
    <w:locked/>
    <w:uiPriority w:val="0"/>
    <w:rPr>
      <w:sz w:val="18"/>
    </w:rPr>
  </w:style>
  <w:style w:type="character" w:customStyle="1" w:styleId="34">
    <w:name w:val="批注文字 Char"/>
    <w:link w:val="11"/>
    <w:qFormat/>
    <w:locked/>
    <w:uiPriority w:val="0"/>
    <w:rPr>
      <w:rFonts w:ascii="Times New Roman" w:hAnsi="Times New Roman" w:eastAsia="宋体"/>
      <w:sz w:val="24"/>
    </w:rPr>
  </w:style>
  <w:style w:type="character" w:customStyle="1" w:styleId="35">
    <w:name w:val="正文文本缩进 Char"/>
    <w:link w:val="10"/>
    <w:semiHidden/>
    <w:qFormat/>
    <w:locked/>
    <w:uiPriority w:val="0"/>
    <w:rPr>
      <w:rFonts w:ascii="Times New Roman" w:hAnsi="Times New Roman" w:eastAsia="宋体"/>
      <w:sz w:val="24"/>
    </w:rPr>
  </w:style>
  <w:style w:type="character" w:customStyle="1" w:styleId="36">
    <w:name w:val="日期 Char"/>
    <w:link w:val="14"/>
    <w:qFormat/>
    <w:locked/>
    <w:uiPriority w:val="0"/>
    <w:rPr>
      <w:rFonts w:ascii="Times New Roman" w:hAnsi="Times New Roman" w:eastAsia="宋体"/>
      <w:sz w:val="24"/>
    </w:rPr>
  </w:style>
  <w:style w:type="character" w:customStyle="1" w:styleId="37">
    <w:name w:val="批注框文本 Char"/>
    <w:link w:val="16"/>
    <w:semiHidden/>
    <w:qFormat/>
    <w:locked/>
    <w:uiPriority w:val="0"/>
    <w:rPr>
      <w:rFonts w:ascii="Times New Roman" w:hAnsi="Times New Roman" w:eastAsia="宋体"/>
      <w:sz w:val="18"/>
    </w:rPr>
  </w:style>
  <w:style w:type="character" w:customStyle="1" w:styleId="38">
    <w:name w:val="页脚 Char"/>
    <w:link w:val="17"/>
    <w:qFormat/>
    <w:locked/>
    <w:uiPriority w:val="99"/>
    <w:rPr>
      <w:sz w:val="18"/>
    </w:rPr>
  </w:style>
  <w:style w:type="character" w:customStyle="1" w:styleId="39">
    <w:name w:val="页眉 Char"/>
    <w:link w:val="18"/>
    <w:qFormat/>
    <w:locked/>
    <w:uiPriority w:val="0"/>
    <w:rPr>
      <w:sz w:val="18"/>
    </w:rPr>
  </w:style>
  <w:style w:type="character" w:customStyle="1" w:styleId="40">
    <w:name w:val="普通(网站) Char"/>
    <w:link w:val="20"/>
    <w:qFormat/>
    <w:locked/>
    <w:uiPriority w:val="0"/>
    <w:rPr>
      <w:rFonts w:ascii="宋体" w:hAnsi="宋体" w:eastAsia="宋体"/>
      <w:sz w:val="24"/>
    </w:rPr>
  </w:style>
  <w:style w:type="character" w:customStyle="1" w:styleId="41">
    <w:name w:val="批注主题 Char"/>
    <w:link w:val="22"/>
    <w:semiHidden/>
    <w:qFormat/>
    <w:locked/>
    <w:uiPriority w:val="0"/>
    <w:rPr>
      <w:rFonts w:ascii="Times New Roman" w:hAnsi="Times New Roman" w:eastAsia="宋体"/>
      <w:b/>
      <w:kern w:val="2"/>
      <w:sz w:val="24"/>
    </w:rPr>
  </w:style>
  <w:style w:type="paragraph" w:customStyle="1" w:styleId="42">
    <w:name w:val="样式 样式 样式 四号 左侧:  1.53 厘米 + 首行缩进:  2 字符 + 居中 左侧:  2 字符 首行缩进:  2..."/>
    <w:basedOn w:val="43"/>
    <w:qFormat/>
    <w:uiPriority w:val="0"/>
    <w:pPr>
      <w:jc w:val="center"/>
    </w:pPr>
  </w:style>
  <w:style w:type="paragraph" w:customStyle="1" w:styleId="43">
    <w:name w:val="样式 样式 四号 左侧:  1.53 厘米 + 首行缩进:  2 字符"/>
    <w:basedOn w:val="44"/>
    <w:qFormat/>
    <w:uiPriority w:val="0"/>
    <w:pPr>
      <w:ind w:left="200" w:leftChars="200"/>
    </w:pPr>
    <w:rPr>
      <w:szCs w:val="20"/>
    </w:rPr>
  </w:style>
  <w:style w:type="paragraph" w:customStyle="1" w:styleId="44">
    <w:name w:val="样式 四号 左侧:  1.53 厘米"/>
    <w:basedOn w:val="1"/>
    <w:qFormat/>
    <w:uiPriority w:val="0"/>
    <w:pPr>
      <w:adjustRightInd w:val="0"/>
    </w:pPr>
    <w:rPr>
      <w:w w:val="90"/>
      <w:sz w:val="28"/>
      <w:szCs w:val="28"/>
    </w:rPr>
  </w:style>
  <w:style w:type="character" w:customStyle="1" w:styleId="45">
    <w:name w:val="页脚 字符"/>
    <w:basedOn w:val="25"/>
    <w:qFormat/>
    <w:uiPriority w:val="99"/>
  </w:style>
  <w:style w:type="character" w:customStyle="1" w:styleId="46">
    <w:name w:val="正文文本 字符1"/>
    <w:semiHidden/>
    <w:qFormat/>
    <w:uiPriority w:val="0"/>
    <w:rPr>
      <w:rFonts w:ascii="Times New Roman" w:hAnsi="Times New Roman" w:eastAsia="宋体"/>
      <w:sz w:val="24"/>
    </w:rPr>
  </w:style>
  <w:style w:type="character" w:customStyle="1" w:styleId="47">
    <w:name w:val="表格 Char"/>
    <w:link w:val="48"/>
    <w:qFormat/>
    <w:locked/>
    <w:uiPriority w:val="0"/>
    <w:rPr>
      <w:rFonts w:ascii="宋体"/>
      <w:sz w:val="21"/>
    </w:rPr>
  </w:style>
  <w:style w:type="paragraph" w:customStyle="1" w:styleId="48">
    <w:name w:val="表格"/>
    <w:basedOn w:val="1"/>
    <w:next w:val="1"/>
    <w:link w:val="47"/>
    <w:qFormat/>
    <w:uiPriority w:val="0"/>
    <w:pPr>
      <w:adjustRightInd w:val="0"/>
      <w:snapToGrid w:val="0"/>
      <w:spacing w:beforeLines="10" w:afterLines="10" w:line="259" w:lineRule="auto"/>
      <w:jc w:val="center"/>
    </w:pPr>
    <w:rPr>
      <w:rFonts w:ascii="宋体"/>
      <w:kern w:val="0"/>
      <w:szCs w:val="20"/>
    </w:rPr>
  </w:style>
  <w:style w:type="character" w:customStyle="1" w:styleId="49">
    <w:name w:val="日期 字符"/>
    <w:semiHidden/>
    <w:qFormat/>
    <w:uiPriority w:val="0"/>
    <w:rPr>
      <w:rFonts w:ascii="Times New Roman" w:hAnsi="Times New Roman" w:eastAsia="宋体"/>
      <w:sz w:val="24"/>
    </w:rPr>
  </w:style>
  <w:style w:type="character" w:customStyle="1" w:styleId="50">
    <w:name w:val="批注文字 字符1"/>
    <w:semiHidden/>
    <w:qFormat/>
    <w:uiPriority w:val="0"/>
    <w:rPr>
      <w:rFonts w:ascii="Times New Roman" w:hAnsi="Times New Roman" w:eastAsia="宋体"/>
      <w:sz w:val="24"/>
    </w:rPr>
  </w:style>
  <w:style w:type="paragraph" w:customStyle="1" w:styleId="5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3">
    <w:name w:val="李-正文"/>
    <w:basedOn w:val="1"/>
    <w:qFormat/>
    <w:uiPriority w:val="0"/>
    <w:pPr>
      <w:spacing w:line="360" w:lineRule="auto"/>
      <w:ind w:firstLine="560" w:firstLineChars="200"/>
    </w:pPr>
    <w:rPr>
      <w:rFonts w:ascii="Times New Roman" w:hAnsi="Times New Roman"/>
      <w:sz w:val="24"/>
    </w:rPr>
  </w:style>
  <w:style w:type="paragraph" w:customStyle="1" w:styleId="54">
    <w:name w:val="p0"/>
    <w:basedOn w:val="1"/>
    <w:qFormat/>
    <w:uiPriority w:val="0"/>
    <w:pPr>
      <w:widowControl/>
    </w:pPr>
    <w:rPr>
      <w:kern w:val="0"/>
    </w:rPr>
  </w:style>
  <w:style w:type="character" w:customStyle="1" w:styleId="55">
    <w:name w:val="表文字 Char Char Char Char Char Char"/>
    <w:qFormat/>
    <w:uiPriority w:val="0"/>
    <w:rPr>
      <w:rFonts w:eastAsia="宋体"/>
      <w:kern w:val="2"/>
      <w:sz w:val="21"/>
      <w:szCs w:val="21"/>
      <w:lang w:val="en-US" w:eastAsia="zh-CN" w:bidi="ar-SA"/>
    </w:rPr>
  </w:style>
  <w:style w:type="paragraph" w:customStyle="1" w:styleId="56">
    <w:name w:val="龙正文表格"/>
    <w:basedOn w:val="1"/>
    <w:qFormat/>
    <w:uiPriority w:val="0"/>
    <w:pPr>
      <w:autoSpaceDE w:val="0"/>
      <w:autoSpaceDN w:val="0"/>
      <w:adjustRightInd w:val="0"/>
      <w:jc w:val="center"/>
    </w:pPr>
    <w:rPr>
      <w:rFonts w:hAnsi="宋体"/>
      <w:kern w:val="0"/>
      <w:szCs w:val="21"/>
    </w:rPr>
  </w:style>
  <w:style w:type="paragraph" w:customStyle="1" w:styleId="57">
    <w:name w:val="小标题"/>
    <w:basedOn w:val="58"/>
    <w:qFormat/>
    <w:uiPriority w:val="0"/>
    <w:pPr>
      <w:spacing w:line="480" w:lineRule="exact"/>
      <w:ind w:firstLine="0" w:firstLineChars="0"/>
      <w:jc w:val="left"/>
    </w:pPr>
    <w:rPr>
      <w:rFonts w:eastAsia="宋体"/>
      <w:b/>
      <w:color w:val="000000"/>
      <w:sz w:val="24"/>
    </w:rPr>
  </w:style>
  <w:style w:type="paragraph" w:customStyle="1" w:styleId="58">
    <w:name w:val="List Paragraph"/>
    <w:basedOn w:val="1"/>
    <w:qFormat/>
    <w:uiPriority w:val="99"/>
    <w:pPr>
      <w:ind w:firstLine="420" w:firstLineChars="200"/>
    </w:pPr>
  </w:style>
  <w:style w:type="paragraph" w:customStyle="1" w:styleId="59">
    <w:name w:val="报告表样式"/>
    <w:basedOn w:val="1"/>
    <w:qFormat/>
    <w:uiPriority w:val="0"/>
    <w:pPr>
      <w:adjustRightInd w:val="0"/>
      <w:snapToGrid w:val="0"/>
      <w:spacing w:line="360" w:lineRule="auto"/>
      <w:ind w:firstLine="200" w:firstLineChars="200"/>
    </w:pPr>
    <w:rPr>
      <w:kern w:val="0"/>
      <w:sz w:val="28"/>
      <w:szCs w:val="28"/>
    </w:rPr>
  </w:style>
  <w:style w:type="paragraph" w:customStyle="1" w:styleId="60">
    <w:name w:val="0-正文"/>
    <w:qFormat/>
    <w:uiPriority w:val="0"/>
    <w:pPr>
      <w:spacing w:line="360" w:lineRule="auto"/>
      <w:ind w:firstLine="200" w:firstLineChars="200"/>
      <w:jc w:val="both"/>
    </w:pPr>
    <w:rPr>
      <w:rFonts w:ascii="Times New Roman" w:hAnsi="Times New Roman" w:eastAsia="宋体" w:cs="Times New Roman"/>
      <w:sz w:val="24"/>
      <w:lang w:val="en-US" w:eastAsia="zh-CN" w:bidi="ar-SA"/>
    </w:rPr>
  </w:style>
  <w:style w:type="character" w:customStyle="1" w:styleId="61">
    <w:name w:val="font21"/>
    <w:basedOn w:val="25"/>
    <w:qFormat/>
    <w:uiPriority w:val="0"/>
    <w:rPr>
      <w:rFonts w:hint="eastAsia" w:ascii="宋体" w:hAnsi="宋体" w:eastAsia="宋体" w:cs="宋体"/>
      <w:color w:val="000000"/>
      <w:sz w:val="22"/>
      <w:szCs w:val="22"/>
      <w:u w:val="none"/>
    </w:rPr>
  </w:style>
  <w:style w:type="character" w:customStyle="1" w:styleId="62">
    <w:name w:val="font11"/>
    <w:basedOn w:val="25"/>
    <w:qFormat/>
    <w:uiPriority w:val="0"/>
    <w:rPr>
      <w:rFonts w:hint="eastAsia" w:ascii="宋体" w:hAnsi="宋体" w:eastAsia="宋体" w:cs="宋体"/>
      <w:color w:val="000000"/>
      <w:sz w:val="22"/>
      <w:szCs w:val="22"/>
      <w:u w:val="none"/>
    </w:rPr>
  </w:style>
  <w:style w:type="character" w:customStyle="1" w:styleId="63">
    <w:name w:val="font51"/>
    <w:basedOn w:val="25"/>
    <w:qFormat/>
    <w:uiPriority w:val="0"/>
    <w:rPr>
      <w:rFonts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customXml" Target="../customXml/item1.xml"/><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endnotes" Target="endnotes.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jpe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footnotes" Target="footnotes.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jZhMEY2WVdKMVEyOXFNVEl3TlRreEpUSXlKVE5CSlRkQ0pUSXlhV1FsTWpJbE0wRWxNako2YTBGNllXSjFRMjlxTVRJd05Ua3h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UV4VVVXNVlka0p3V0RNNE1qSXdOaVV5TWlVM1JDVXlReVUzUWlVeU1tNWhiV1VsTWpJbE0wRWxNaklsUlRVbE9UQWxPRVFsUlRjbFFUY2xRakFsTWpJbE1rTWxNakowZVhCbEpUSXlKVE5CSlRJeWMzUnlhVzVuSlRJeUpUSkRKVEl5ZG1Gc2RXVWxNaklsTTBFbE1qSWxNaklsTWtNbE1qSmpZWFJsWjI5eWVTVXlNaVV6UVNVeU1tUmxabUYxYkhRbE1qSWxNa01sTWpKcFpDVXlNaVV6UVNVeU1sVlZkM2xQUVd0Q1dtUXpOVEkyTU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FVsT0VNbE9UWWxSVFVsUVVRbFFUWWxSVFVsUVVVbE9VVWxSVGtsUVVFbE9FTWxSVFVsUVVVbFFUU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lExcGxRbXRNUkd4UE5UWXpOVGt6SlRJeUpUTkJKVGRDSlRJeWFXUWxNaklsTTBFbE1qSnZRMXBsUW10TVJHeFBOVFl6TlRrek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RMVZxWTBOTGRHVnFkVFEwTkRVNE1DVXlNaVUzUkNVeVF5VTNRaVV5TW01aGJXVWxNaklsTTBFbE1qSWxSVFVsT1RBbE9FUWxSVGNsUVRjbFFqQWxNaklsTWtNbE1qSjBlWEJsSlRJeUpUTkJKVEl5YzNSeWFXNW5KVEl5SlRKREpUSXlkbUZzZFdVbE1qSWxNMEVsTWpJbE1qSWxNa01sTWpKallYUmxaMjl5ZVNVeU1pVXpRU1V5TW1SbFptRjFiSFFsTWpJbE1rTWxNakpwWkNVeU1pVXpRU1V5TWxwWVdVTjJkVWhoWjA0NE1Ea3dOak1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pVTNSQ1V5UXlVeU1uUmxlSFJDYkc5amF5VXlNaVV6UVNVMVFpVTNRaVV5TW5CdmMybDBhVzl1SlRJeUpUTkJKVGRDSlRJeWVDVXlNaVV6UVRFd0pUSkRKVEl5ZVNVeU1pVXpRVEFsTWtNbE1qSjNKVEl5SlROQkpUSXlkeTB5TUNVeU1pVXlReVV5TW1nbE1qSWxNMEVsTWpKb0pUSXlKVGRFSlRKREpUSXlkR1Y0ZENVeU1pVXpRU1V5TWlWRk9DVTROeVZCUVNWRk5pVTVSQ1ZCTlNWRk5pVkNNQ1ZD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XRaYkhGSFEzTkNRbW8xTVRVM016Z2xNaklsTTBFbE4wSWxNakpwWkNVeU1pVXpRU1V5TW10WmJIRkhRM05DUW1vMU1UVTNNemdsTWpJbE1rTWxNakp1WVcxbEpUSXlKVE5CSlRJeWNtOTFibVJTWldOMFlXNW5iR1VsTWpJbE1rTWxNakowYVhSc1pTVXlNaVV6UVNVeU1pVkZOU1U1UXlVNE5pVkZPQ1ZCTnlVN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VZGTjRiVkJ5Ulc1Sk1EQXlOekk1SlRJeUpUZEVKVEpESlRkQ0pUSXlibUZ0WlNVeU1pVXpRU1V5TWlWRk5TVTVNQ1U0UkNWRk55VkJOeVZDTUNVeU1pVXlReVV5TW5SNWNHVWxNaklsTTBFbE1qSnpkSEpwYm1jbE1qSWxNa01sTWpKMllXeDFaU1V5TWlVelFTVXlNaVV5TWlVeVF5VXlNbU5oZEdWbmIzSjVKVEl5SlROQkpUSXlaR1ZtWVhWc2RDVXlNaVV5UXlVeU1tbGtKVEl5SlROQkpUSXlhMWR3ZVZsSlkzcGtXamN3TnpFeE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M1JDVXlReVV5TW5SbGVIUkNiRzlqYXlVeU1pVXpRU1UxUWlVM1FpVXlNbkJ2YzJsMGFXOXVKVEl5SlROQkpUZENKVEl5ZUNVeU1pVXpRVEV3SlRKREpUSXllU1V5TWlVelFUQWxNa01sTWpKM0pUSXlKVE5CSlRJeWR5MHlNQ1V5TWlVeVF5VXlNbWdsTWpJbE0wRWxNakpvSlRJeUpUZEVKVEpESlRJeWRHVjRkQ1V5TWlVelFTVXlNaVZGTnlWQ1FTVkJSaV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UjNhblJZZDJsSldXZzNOakUzTlRNbE1qSWxNMEVsTjBJbE1qSnBaQ1V5TWlVelFTVXlNa1IzYW5SWWQybEpXV2czTmpFM05UTW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KUm1WdFlVZFJRV0ZHTlRBMk1UTTNKVEl5SlRkRUpUSkRKVGRDSlRJeWJtRnRaU1V5TWlVelFTVXlNaVZGTlNVNU1DVTRSQ1ZGTnlWQk55VkNNQ1V5TWlVeVF5VXlNblI1Y0dVbE1qSWxNMEVsTWpKemRISnBibWNsTWpJbE1rTWxNakoyWVd4MVpTVXlNaVV6UVNVeU1pVXlNaVV5UXlVeU1tTmhkR1ZuYjNKNUpUSXlKVE5CSlRJeVpHVm1ZWFZzZENVeU1pVXlReVV5TW1sa0pUSXlKVE5CSlRJeVFsTkVSMjlXWkdWR1ZUSTNNVFl6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UQWxNa01sTWpKNUpUSXlKVE5CTUNVeVF5VXlNbmNsTWpJbE0wRWxNakozTFRJd0pUSXlKVEpESlRJeWFDVXlNaVV6UVNVeU1tZ2xNaklsTjBRbE1rTWxNakowWlhoMEpUSXlKVE5CSlRJeUpVVTFKVUZGSlRsRkpVVTVKVUZCSlRoREpVVTFKVGcySlVJM0pVVTFKVGczSlRsRUpVVTFKVGcySlVJM0pVVTFKVGhFSlVJ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0UxS1NVMUxRa2RaYURnNU1qY3lOaVV5TWlVelFTVTNRaVV5TW1sa0pUSXlKVE5CSlRJeWNFMUtTVTFMUWtkWmFEZzVNamN5Tml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dHVaVXRzWVZSbGIwdzJNakEwT1RjbE1qSWxOMFFsTWtNbE4wSWxNakp1WVcxbEpUSXlKVE5CSlRJeUpVVTFKVGt3SlRoRUpVVTNKVUUzSlVJd0pUSXlKVEpESlRJeWRIbHdaU1V5TWlVelFTVXlNbk4wY21sdVp5VXlNaVV5UXlVeU1uWmhiSFZsSlRJeUpUTkJKVEl5SlRJeUpUSkRKVEl5WTJGMFpXZHZjbmtsTWpJbE0wRWxNakprWldaaGRXeDBKVEl5SlRKREpUSXlhV1FsTWpJbE0wRWxNakpqVG1aWGFXMWhUbHBJT0RJNU56VX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VRBbE1rTWxNako1SlRJeUpUTkJNQ1V5UXlVeU1uY2xNaklsTTBFbE1qSjNMVEl3SlRJeUpUSkRKVEl5YUNVeU1pVXpRU1V5TW1nbE1qSWxOMFFsTWtNbE1qSjBaWGgwSlRJeUpUTkJKVEl5SlVVMUpVRkZKVGxGSlVVNUpVRkJKVGhESlVVMUpUa3dKVGhGSlVVM0pVRkRKVUZETVMweUpVVTJKVUZESlVFeEpVVTFKVGs1SlVFNEpVVTNKVGxCSlVKR0pVVTJKVUk0SlRnMUpVVTJKVUkwSlRrM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1hSUFExWnpWR2QzVVRBMk56WTNOeVV5TWlVelFTVTNRaVV5TW1sa0pUSXlKVE5CSlRJeVdYUlBRMVp6VkdkM1VUQTJOelkzTnl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aFpTa04zUW5aQmFsazNNak0xT1RNbE1qSWxOMFFsTWtNbE4wSWxNakp1WVcxbEpUSXlKVE5CSlRJeUpVVTFKVGt3SlRoRUpVVTNKVUUzSlVJd0pUSXlKVEpESlRJeWRIbHdaU1V5TWlVelFTVXlNbk4wY21sdVp5VXlNaVV5UXlVeU1uWmhiSFZsSlRJeUpUTkJKVEl5SlRJeUpUSkRKVEl5WTJGMFpXZHZjbmtsTWpJbE0wRWxNakprWldaaGRXeDBKVEl5SlRKREpUSXlhV1FsTWpJbE0wRWxNakptV0hwYVNVNUxka05qTnpBMk16azB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VRBbE1rTWxNako1SlRJeUpUTkJNQ1V5UXlVeU1uY2xNaklsTTBFbE1qSjNMVEl3SlRJeUpUSkRKVEl5YUNVeU1pVXpRU1V5TW1nbE1qSWxOMFFsTWtNbE1qSjBaWGgwSlRJeUpUTkJKVEl5SlVVMUpVRkZKVGxGSlVVNUpVRkJKVGhESlVVMUpUZzVKVGhFSlVVM0pVSkJKVUZHSlVVMkpVSXdKVUkwSlVVMkpVSTJKVUUySlVVMkpVSTBKVGszSlVVMUpUazVKVUU0SlVVM0pUbEJKVUpH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WMmRrYVhSa2VYUnZiRFEzTmpNME5TVXlNaVV6UVNVM1FpVXlNbWxrSlRJeUpUTkJKVEl5VjJka2FYUmtlWFJ2YkRRM05qTTBOU1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GNVZtbE9ZWFJzYkVVd09EazNOVEFsTWpJbE4wUWxNa01sTjBJbE1qSnVZVzFsSlRJeUpUTkJKVEl5SlVVMUpUa3dKVGhFSlVVM0pVRTNKVUl3SlRJeUpUSkRKVEl5ZEhsd1pTVXlNaVV6UVNVeU1uTjBjbWx1WnlVeU1pVXlReVV5TW5aaGJIVmxKVEl5SlROQkpUSXlKVEl5SlRKREpUSXlZMkYwWldkdmNua2xNaklsTTBFbE1qSmtaV1poZFd4MEpUSXlKVEpESlRJeWFXUWxNaklsTTBFbE1qSndTR0pqYzNWb1NVaERPVGc1TmpVe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0SlVGR0pUazFKVVUxSlRnNUpUZ3lKVVU1SlRnMUpUaEVKVVUxSlRnNEpVST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VGVnlhRmhNZUZCMmNETTBOak0yTmlVeU1pVXpRU1UzUWlVeU1tbGtKVEl5SlROQkpUSXllRlZ5YUZoTWVGQjJjRE0wTmpNMk5pVXlNaVV5UXlVeU1tNWhiV1VsTWpJbE0wRWxNakp5YjNWdVpGSmxZM1JoYm1kc1pTVXlNaVV5UXlVeU1uUnBkR3hsSlRJeUpUTkJKVEl5SlVVMUpUbERKVGcySlVVNEpVRTNKVGt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R0Y1VwMVpXOTNWbEU1T1RnMk9Ua2xNaklsTjBRbE1rTWxOMElsTWpKdVlXMWxKVEl5SlROQkpUSXlKVVUxSlRrd0pUaEVKVVUzSlVFM0pVSXdKVEl5SlRKREpUSXlkSGx3WlNVeU1pVXpRU1V5TW5OMGNtbHVaeVV5TWlVeVF5VXlNblpoYkhWbEpUSXlKVE5CSlRJeUpUSXlKVEpESlRJeVkyRjBaV2R2Y25rbE1qSWxNMEVsTWpKa1pXWmhkV3gwSlRJeUpUSkRKVEl5YVdRbE1qSWxNMEVsTWpKcmRsUkpibXBIYms5S05UWTRNREE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UQWxNa01sTWpKNUpUSXlKVE5CTUNVeVF5VXlNbmNsTWpJbE0wRWxNakozTFRJd0pUSXlKVEpESlRJeWFDVXlNaVV6UVNVeU1tZ2xNaklsTjBRbE1rTWxNakowWlhoMEpUSXlKVE5CSlRJeUpVVTFKVUZGSlRsRkpVVTVKVUZCSlRoREpVVTFKVGt3SlRoRkpVVTNKVUZESlVGRE15MDFKVVUySlVGREpVRXhKVVUxSlRrNUpVRTRKVVUzSlRsQkpVSkdKVVUySlVJNEpUZzFKVVUySlVJMEpUaz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MzWndhMmRZV21sQ2Rqa3pNemczTmlVeU1pVXpRU1UzUWlVeU1tbGtKVEl5SlROQkpUSXlTM1p3YTJkWVdtbENkamt6TXpnM05p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SR1ZEY0VoSVRGVkRTakEyT1RrNU1pVXlNaVUzUkNVeVF5VTNRaVV5TW01aGJXVWxNaklsTTBFbE1qSWxSVFVsT1RBbE9FUWxSVGNsUVRjbFFqQWxNaklsTWtNbE1qSjBlWEJsSlRJeUpUTkJKVEl5YzNSeWFXNW5KVEl5SlRKREpUSXlkbUZzZFdVbE1qSWxNMEVsTWpJbE1qSWxNa01sTWpKallYUmxaMjl5ZVNVeU1pVXpRU1V5TW1SbFptRjFiSFFsTWpJbE1rTWxNakpwWkNVeU1pVXpRU1V5TWxObFJVdFNVMHhvUmtFeU1UY3lORE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WWxPRVVsT1RJbFJUWWxRakFsUWpRbFJUa2xPRGNsT0VZd0xqST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VXcEpRMjFOVlhCeGR6Z3dPVFU1TVNVeU1pVXpRU1UzUWlVeU1tbGtKVEl5SlROQkpUSXllV3BKUTIxTlZYQnhkemd3T1RVNU1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VMUZTUVc1RlluWnZXamt3TURNeU55VXlNaVUzUkNVeVF5VTNRaVV5TW01aGJXVWxNaklsTTBFbE1qSWxSVFVsT1RBbE9FUWxSVGNsUVRjbFFqQWxNaklsTWtNbE1qSjBlWEJsSlRJeUpUTkJKVEl5YzNSeWFXNW5KVEl5SlRKREpUSXlkbUZzZFdVbE1qSWxNMEVsTWpJbE1qSWxNa01sTWpKallYUmxaMjl5ZVNVeU1pVXpRU1V5TW1SbFptRjFiSFFsTWpJbE1rTWxNakpwWkNVeU1pVXpRU1V5TWxoWldsbHJaMXB0ZG5BNE1qSTBOel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dKVEpESlRJeWVTVXlNaVV6UVRBbE1rTWxNakozSlRJeUpUTkJKVEl5ZHlVeU1pVXlReVV5TW1nbE1qSWxNMEVsTWpKb0pUSXlKVGRFSlRKREpUSXlkR1Y0ZENVeU1pVXpRU1V5TWlWRk5pVTRSQ1U1UmlWRk9DVTRNQ1U1TnpBdU1ET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2JtbDJURUpVVG5scE5EUTRNak15SlRJeUpUTkJKVGRDSlRJeWFXUWxNaklsTTBFbE1qSk9ibWwyVEVKVVRubHBORFE0TWpNe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JiVnBFZUZOVFNrMWFNVFExTmpVd0pUSXlKVGRFSlRKREpUZENKVEl5Ym1GdFpTVXlNaVV6UVNVeU1pVkZOU1U1TUNVNFJDVkZOeVZCTnlWQ01DVXlNaVV5UXlVeU1uUjVjR1VsTWpJbE0wRWxNakp6ZEhKcGJtY2xNaklsTWtNbE1qSjJZV3gxWlNVeU1pVXpRU1V5TWlVeU1pVXlReVV5TW1OaGRHVm5iM0o1SlRJeUpUTkJKVEl5WkdWbVlYVnNkQ1V5TWlVeVF5VXlNbWxrSlRJeUpUTkJKVEl5V2toeldFcHdhWGxZVmpZMk5USTF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PU1ZCUWlVNU9DVkZOaVZDTlNVNU15VkZOU1ZDUVNWQk5pVkZOaVZDT0NVNE5TVkZOaVZDTkNVNU55VkZOU1ZDUVNVNVJpVkZOaVZDTUNWQ05DVkZSaVZDUXlVNFF5VkZOQ1ZDUkNVNVF5VkZOQ1ZDT0NWQ1FTVkZOU1U0UkNWQ01TVkZPU1U1T1NWQk9TVkZOU1ZDUVNVNVJpVkZOeVU0T1NWQk9TVkZOU1ZCTkNVNE5DVkZOeVZDUkNWQlJ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GeFFrZGhjSEJ3UVdneU9EVTFNelVsTWpJbE0wRWxOMElsTWpKcFpDVXlNaVV6UVNVeU1tRnhRa2RoY0hCd1FXZ3lPRFUxTXpV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SnlWbE5TVGxKaFMwRTFOakEyTURRbE1qSWxOMFFsTWtNbE4wSWxNakp1WVcxbEpUSXlKVE5CSlRJeUpVVTFKVGt3SlRoRUpVVTNKVUUzSlVJd0pUSXlKVEpESlRJeWRIbHdaU1V5TWlVelFTVXlNbk4wY21sdVp5VXlNaVV5UXlVeU1uWmhiSFZsSlRJeUpUTkJKVEl5SlRJeUpUSkRKVEl5WTJGMFpXZHZjbmtsTWpJbE0wRWxNakprWldaaGRXeDBKVEl5SlRKREpUSXlhV1FsTWpJbE0wRWxNakp0VDFWV2VVSnZiVWRWTWpBeU1qRX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dKVEpESlRJeWVTVXlNaVV6UVRBbE1rTWxNakozSlRJeUpUTkJKVEl5ZHlVeU1pVXlReVV5TW1nbE1qSWxNMEVsTWpKb0pUSXlKVGRFSlRKREpUSXlkR1Y0ZENVeU1pVXpRU1V5TWlWRk5pVTRSU1U1TWlWRk5pVkNNQ1ZDTkNWRk9TVTROeVU0UmpFdU5q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U1drWkRZWEpJVjNWck56VTJOVGswSlRJeUpUTkJKVGRDSlRJeWFXUWxNaklsTTBFbE1qSlNXa1pEWVhKSVYzVnJOelUyTlRrM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jVXbXRVV25WMlZteHZOak13TWpZMkpUSXlKVGRFSlRKREpUZENKVEl5Ym1GdFpTVXlNaVV6UVNVeU1pVkZOU1U1TUNVNFJDVkZOeVZCTnlWQ01DVXlNaVV5UXlVeU1uUjVjR1VsTWpJbE0wRWxNakp6ZEhKcGJtY2xNaklsTWtNbE1qSjJZV3gxWlNVeU1pVXpRU1V5TWlVeU1pVXlReVV5TW1OaGRHVm5iM0o1SlRJeUpUTkJKVEl5WkdWbVlYVnNkQ1V5TWlVeVF5VXlNbWxrSlRJeUpUTkJKVEl5ZUZCRlQyUjJiVkJ2UlRjME16azV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dKVEpESlRJeWVTVXlNaVV6UVRBbE1rTWxNakozSlRJeUpUTkJKVEl5ZHlVeU1pVXlReVV5TW1nbE1qSWxNMEVsTWpKb0pUSXlKVGRFSlRKREpUSXlkR1Y0ZENVeU1pVXpRU1V5TWlWRk5pVTRSQ1U1UmlWRk9DVTRNQ1U1TnlWRk9TVTROeVU0UmpBdU1UZ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VFkzTmFhbUZLWTI5NU1EQXlPVFkzSlRJeUpUTkJKVGRDSlRJeWFXUWxNaklsTTBFbE1qSlRZM05hYW1GS1kyOTVNREF5T1RZ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xTRk5XWjNkM1dWQmpOVEU1TmpjM0pUSXlKVGRFSlRKREpUZENKVEl5Ym1GdFpTVXlNaVV6UVNVeU1pVkZOU1U1TUNVNFJDVkZOeVZCTnlWQ01DVXlNaVV5UXlVeU1uUjVjR1VsTWpJbE0wRWxNakp6ZEhKcGJtY2xNaklsTWtNbE1qSjJZV3gxWlNVeU1pVXpRU1V5TWlVeU1pVXlReVV5TW1OaGRHVm5iM0o1SlRJeUpUTkJKVEl5WkdWbVlYVnNkQ1V5TWlVeVF5VXlNbWxrSlRJeUpUTkJKVEl5U1dad2FFcG9ibTVrZERZMk56TTVN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a2xRVUlsT1RnbFJUWWxRalVsT1RNbFJUVWxRa0VsUVRZbFJUVWxRa0VsT1VZbFJUWWxRakFsUWpRbFJVWWxRa01sT0VNbFJUWWxPVU1sT0RBbFJUUWxRamdsUWtFbFJUVWxPRVFsUWpFbFJUVWxRa0VsT1VZbFJUZ2xRa1lsT1VJbFJUZ2xRVEVsT0VNbFJUVWxRVFFsT0RRbFJUY2xRa1FsUVV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1WVZsVFdGTnBXR0o0T0Rjek9UazVKVEl5SlROQkpUZENKVEl5YVdRbE1qSWxNMEVsTWpKdVlWbFRXRk5wV0dKNE9EY3pPVGs1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M2VWRm1kMXBqWWxGcU56VXpORGswSlRJeUpUZEVKVEpESlRkQ0pUSXlibUZ0WlNVeU1pVXpRU1V5TWlWRk5TVTVNQ1U0UkNWRk55VkJOeVZDTUNVeU1pVXlReVV5TW5SNWNHVWxNaklsTTBFbE1qSnpkSEpwYm1jbE1qSWxNa01sTWpKMllXeDFaU1V5TWlVelFTVXlNaVV5TWlVeVF5VXlNbU5oZEdWbmIzSjVKVEl5SlROQkpUSXlaR1ZtWVhWc2RDVXlNaVV5UXlVeU1tbGtKVEl5SlROQkpUSXlTWGxNYTNCQ1pVMXlZamc1TVRBNE9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DVXlReVV5TW5rbE1qSWxNMEV3SlRKREpUSXlkeVV5TWlVelFTVXlNbmNsTWpJbE1rTWxNakpvSlRJeUpUTkJKVEl5YUNVeU1pVTNSQ1V5UXlVeU1uUmxlSFFsTWpJbE0wRWxNaklsUlRZbE9FVWxPVElsUlRZbFFqQWxRalFsUlRrbE9EY2xPRVl3TGpFd0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GUFJFTnVjVUZHU21zd01EZzROVGdsTWpJbE0wRWxOMElsTWpKcFpDVXlNaVV6UVNVeU1uRlBSRU51Y1VGR1Ntc3dNRGc0TlRn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OTNXVkp4WkhKQlNrd3hORFF3TVRNbE1qSWxOMFFsTWtNbE4wSWxNakp1WVcxbEpUSXlKVE5CSlRJeUpVVTFKVGt3SlRoRUpVVTNKVUUzSlVJd0pUSXlKVEpESlRJeWRIbHdaU1V5TWlVelFTVXlNbk4wY21sdVp5VXlNaVV5UXlVeU1uWmhiSFZsSlRJeUpUTkJKVEl5SlRJeUpUSkRKVEl5WTJGMFpXZHZjbmtsTWpJbE0wRWxNakprWldaaGRXeDBKVEl5SlRKREpUSXlhV1FsTWpJbE0wRWxNakp3WVZObmFXNVVXWEphTmpRMU9EQ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OaVU0UkNVNVJpVkZPQ1U0TUNVNU56QXVNREV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iWEpoVDA5cGQwSnlUakkyTlRFd015VXlNaVV6UVNVM1FpVXlNbWxrSlRJeUpUTkJKVEl5YlhKaFQwOXBkMEp5VGpJMk5URXdN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tWVmQ1V1ZSa1ozRk5OVGM0T0RrNUpUSXlKVGRFSlRKREpUZENKVEl5Ym1GdFpTVXlNaVV6UVNVeU1pVkZOU1U1TUNVNFJDVkZOeVZCTnlWQ01DVXlNaVV5UXlVeU1uUjVjR1VsTWpJbE0wRWxNakp6ZEhKcGJtY2xNaklsTWtNbE1qSjJZV3gxWlNVeU1pVXpRU1V5TWlVeU1pVXlReVV5TW1OaGRHVm5iM0o1SlRJeUpUTkJKVEl5WkdWbVlYVnNkQ1V5TWlVeVF5VXlNbWxrSlRJeUpUTkJKVEl5V0ZsbGNGTnZXVlJLZVRVeE9EVXh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4TGprNU9DVkZOU1ZDT0NVNE1pVkZOaVU1TkNWQ1JpVkZOeVZCUlNWQk1TVkZOeVZDUkNVNU1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"/>
    </extobj>
    <extobj name="E657119C-6982-421D-8BA7-E74DEB70A7D9-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mhhMGQ2V2xaemRuZDJOVFV5TkRFMkpUSXlKVE5CSlRkQ0pUSXlhV1FsTWpJbE0wRWxNakpoYTBkNldsWnpkbmQyTlRVeU5ERTJ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UVsUWVHUm5ZV2xoZFRnME1UQTBNeVV5TWlVM1JDVXlReVUzUWlVeU1tNWhiV1VsTWpJbE0wRWxNaklsUlRVbE9UQWxPRVFsUlRjbFFUY2xRakFsTWpJbE1rTWxNakowZVhCbEpUSXlKVE5CSlRJeWMzUnlhVzVuSlRJeUpUSkRKVEl5ZG1Gc2RXVWxNaklsTTBFbE1qSWxNaklsTWtNbE1qSmpZWFJsWjI5eWVTVXlNaVV6UVNVeU1tUmxabUYxYkhRbE1qSWxNa01sTWpKcFpDVXlNaVV6UVNVeU1ucGxaSEJhZUVoMlNXVTNPRFE0TWp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zSlRrMEpUbEdKVVUzSlRnNUpVRTVKVVUxSlVGRkpUbEZKVVU1SlVGQkpUaERKVVUxSlVGRkpVR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NWaE9URXQ2VW5WNmJUVTVORGsxTWlVeU1pVXpRU1UzUWlVeU1tbGtKVEl5SlROQkpUSXlTVmhPVEV0NlVuVjZiVFU1TkRrMU1pVXlNaVV5UXlVeU1tNWhiV1VsTWpJbE0wRWxNakp5YjNWdVpGSmxZM1JoYm1kc1pTVXlNaVV5UXlVeU1uUnBkR3hsSlRJeUpUTkJKVEl5SlVVMUpUbERKVGcySlVVNEpVRTNKVGt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3QxZDB4eWNHNXRUMjg0T0RZM05UZ2xNaklsTjBRbE1rTWxOMElsTWpKdVlXMWxKVEl5SlROQkpUSXlKVVUxSlRrd0pUaEVKVVUzSlVFM0pVSXdKVEl5SlRKREpUSXlkSGx3WlNVeU1pVXpRU1V5TW5OMGNtbHVaeVV5TWlVeVF5VXlNblpoYkhWbEpUSXlKVE5CSlRJeUpUSXlKVEpESlRJeVkyRjBaV2R2Y25rbE1qSWxNMEVsTWpKa1pXWmhkV3gwSlRJeUpUSkRKVEl5YVdRbE1qSWxNMEVsTWpKNGNscFlTVXB5ZEhSTE5USTRPVFF4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UQWxNa01sTWpKNUpUSXlKVE5CTUNVeVF5VXlNbmNsTWpJbE0wRWxNakozTFRJd0pUSXlKVEpESlRJeWFDVXlNaVV6UVNVeU1tZ2xNaklsTjBRbE1rTWxNakowWlhoMEpUSXlKVE5CSlRJeUpVVTRKVGczSlVGQkpVVTJKVGxFSlVFMUpVVTJKVUl3SlVJ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ZVVkQ1MxTmthMmxRYVRBMU5qWXlNeVV5TWlVelFTVTNRaVV5TW1sa0pUSXlKVE5CSlRJeWVVZENTMU5rYTJsUWFUQTFOall5TXl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NXNWM0owZW14bFowNDFNREE0T0RNbE1qSWxOMFFsTWtNbE4wSWxNakp1WVcxbEpUSXlKVE5CSlRJeUpVVTFKVGt3SlRoRUpVVTNKVUUzSlVJd0pUSXlKVEpESlRJeWRIbHdaU1V5TWlVelFTVXlNbk4wY21sdVp5VXlNaVV5UXlVeU1uWmhiSFZsSlRJeUpUTkJKVEl5SlRJeUpUSkRKVEl5WTJGMFpXZHZjbmtsTWpJbE0wRWxNakprWldaaGRXeDBKVEl5SlRKREpUSXlhV1FsTWpJbE0wRWxNakowV2xGTFFXcG5kRlJOTlRjd09UR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VRBbE1rTWxNako1SlRJeUpUTkJNQ1V5UXlVeU1uY2xNaklsTTBFbE1qSjNMVEl3SlRJeUpUSkRKVEl5YUNVeU1pVXpRU1V5TW1nbE1qSWxOMFFsTWtNbE1qSjBaWGgwSlRJeUpUTkJKVEl5SlVVM0pVSkJKVUZH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UazVMUW14NlJXZDZTRE0yTnpJNU15VXlNaVV6UVNVM1FpVXlNbWxrSlRJeUpUTkJKVEl5VGs1TFFteDZSV2Q2U0RNMk56STVNeV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4SWRFTkdTMjVGWjJzNU5qTTNOallsTWpJbE4wUWxNa01sTjBJbE1qSnVZVzFsSlRJeUpUTkJKVEl5SlVVMUpUa3dKVGhFSlVVM0pVRTNKVUl3SlRJeUpUSkRKVEl5ZEhsd1pTVXlNaVV6UVNVeU1uTjBjbWx1WnlVeU1pVXlReVV5TW5aaGJIVmxKVEl5SlROQkpUSXlKVEl5SlRKREpUSXlZMkYwWldkdmNua2xNaklsTTBFbE1qSmtaV1poZFd4MEpUSXlKVEpESlRJeWFXUWxNaklsTTBFbE1qSllZVlpZYVU1blUyWjFPVEl3TnpnN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1SlVGQ0pUazRKVVUxSlRoRkpUaENKVVUzSlRneEpVRkVKVVU0SlRoR0pUaERKVVUzSlRrMEpVRTR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VsWlRWVnAwU1ZGQ1F6Z3lNelkyTmlVeU1pVXpRU1UzUWlVeU1tbGtKVEl5SlROQkpUSXllbFpUVlZwMFNWRkNRemd5TXpZMk5pVXlNaVV5UXlVeU1tNWhiV1VsTWpJbE0wRWxNakp5YjNWdVpGSmxZM1JoYm1kc1pTVXlNaVV5UXlVeU1uUnBkR3hsSlRJeUpUTkJKVEl5SlVVMUpUbERKVGcySlVVNEpVRTNKVGt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XhMVlhSUVRYbEJka00yTkRJeU1USWxNaklsTjBRbE1rTWxOMElsTWpKdVlXMWxKVEl5SlROQkpUSXlKVVUxSlRrd0pUaEVKVVUzSlVFM0pVSXdKVEl5SlRKREpUSXlkSGx3WlNVeU1pVXpRU1V5TW5OMGNtbHVaeVV5TWlVeVF5VXlNblpoYkhWbEpUSXlKVE5CSlRJeUpUSXlKVEpESlRJeVkyRjBaV2R2Y25rbE1qSWxNMEVsTWpKa1pXWmhkV3gwSlRJeUpUSkRKVEl5YVdRbE1qSWxNMEVsTWpKdGJYTnBUWE4wUzNkeU56RXlOemd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RXdKVEpESlRJeWVTVXlNaVV6UVRBbE1rTWxNakozSlRJeUpUTkJKVEl5ZHkweU1DVXlNaVV5UXlVeU1tZ2xNaklsTTBFbE1qSm9KVEl5SlRkRUpUSkRKVEl5ZEdWNGRDVXlNaVV6UVNVeU1pVkZOU1ZCUlNVNVJTVkZPU1ZCUVNVNFF5VkZOU1U1TUNVNFJTVkZOeVZCUXlWQlF6RXRNaVZGTmlWQlF5VkJNU1ZGTlNVNU9TVkJPQ1ZGTnlVNVFTVkNSaVZGTmlWQ09DVTROU1ZGTmlWQ05DVTVOeVZGTnlVNU5DVkJPQ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aFFVRlpXUTBSeVZYVXdORFl6TnpZbE1qSWxNMEVsTjBJbE1qSnBaQ1V5TWlVelFTVXlNbGhRVUZaV1EwUnlWWFV3TkRZek56WWxNaklsTWtNbE1qSnVZVzFsSlRJeUpUTkJKVEl5Y205MWJtUlNaV04wWVc1bmJHVWxNaklsTWtNbE1qSjBhWFJzWlNVeU1pVXpRU1V5TWlWRk5TVTVReVU0TmlWRk9DVkJOeVU1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HVWt4S1lVWlljMWhXTVRNd09UUXlKVEl5SlRkRUpUSkRKVGRDSlRJeWJtRnRaU1V5TWlVelFTVXlNaVZGTlNVNU1DVTRSQ1ZGTnlWQk55VkNNQ1V5TWlVeVF5VXlNblI1Y0dVbE1qSWxNMEVsTWpKemRISnBibWNsTWpJbE1rTWxNakoyWVd4MVpTVXlNaVV6UVNVeU1pVXlNaVV5UXlVeU1tTmhkR1ZuYjNKNUpUSXlKVE5CSlRJeVpHVm1ZWFZzZENVeU1pVXlReVV5TW1sa0pUSXlKVE5CSlRJeVkxbFpiMUZUZEVOWlVUSXpNVGswTX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FVsUVVVbE9VVWxSVGtsUVVFbE9FTWxSVFVsT0RrbE9FUWxSVFlsUWpZbFFUWWxSVFlsUWpRbE9UY2xSVFVsT1RrbFFUZ2xSVGNsT1VFbFFr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bWEwRk9iWGhaV25WTE56RTJPRGs0SlRJeUpUTkJKVGRDSlRJeWFXUWxNaklsTTBFbE1qSm1hMEZPYlhoWlduVkxOekUyT0RrNE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SMUpRYVdSU2FuRjVhRE00T0RJMU5TVXlNaVUzUkNVeVF5VTNRaVV5TW01aGJXVWxNaklsTTBFbE1qSWxSVFVsT1RBbE9FUWxSVGNsUVRjbFFqQWxNaklsTWtNbE1qSjBlWEJsSlRJeUpUTkJKVEl5YzNSeWFXNW5KVEl5SlRKREpUSXlkbUZzZFdVbE1qSWxNMEVsTWpJbE1qSWxNa01sTWpKallYUmxaMjl5ZVNVeU1pVXpRU1V5TW1SbFptRjFiSFFsTWpJbE1rTWxNakpwWkNVeU1pVXpRU1V5TWtSd2MzUk5WbU5HYVUwd09UTTFPVG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JKVGRFSlRKREpUSXlkR1Y0ZEVKc2IyTnJKVEl5SlROQkpUVkNKVGRDSlRJeWNHOXphWFJwYjI0bE1qSWxNMEVsTjBJbE1qSjRKVEl5SlROQk1UQWxNa01sTWpKNUpUSXlKVE5CTUNVeVF5VXlNbmNsTWpJbE0wRWxNakozTFRJd0pUSXlKVEpESlRJeWFDVXlNaVV6UVNVeU1tZ2xNaklsTjBRbE1rTWxNakowWlhoMEpUSXlKVE5CSlRJeUpVVTFKVUZGSlRsRkpVVTVKVUZCSlRoREpVVTFKVGt3SlRoRkpVVTNKVUZESlVGRE15MDFKVVUySlVGREpVRXhKVVUxSlRrNUpVRTRKVVUzSlRsQkpVSkdKVVUySlVJNEpUZzFKVVUySlVJMEpUaz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JFbHVWazFzV21oQ2F6RTBPRGswTUNVeU1pVXpRU1UzUWlVeU1tbGtKVEl5SlROQkpUSXliRWx1Vmsxc1dtaENhekUwT0RrME1DVXlNaVV5UXlVeU1tNWhiV1VsTWpJbE0wRWxNakp5YjNWdVpGSmxZM1JoYm1kc1pTVXlNaVV5UXlVeU1uUnBkR3hsSlRJeUpUTkJKVEl5SlVVMUpUbERKVGcySlVVNEpVRTNKVGt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JvVVhOd1QxZFVabWswTlRRNU56VWxNaklsTjBRbE1rTWxOMElsTWpKdVlXMWxKVEl5SlROQkpUSXlKVVUxSlRrd0pUaEVKVVUzSlVFM0pVSXdKVEl5SlRKREpUSXlkSGx3WlNVeU1pVXpRU1V5TW5OMGNtbHVaeVV5TWlVeVF5VXlNblpoYkhWbEpUSXlKVE5CSlRJeUpUSXlKVEpESlRJeVkyRjBaV2R2Y25rbE1qSWxNMEVsTWpKa1pXWmhkV3gwSlRJeUpUSkRKVEl5YVdRbE1qSWxNMEVsTWpKMFlVOVpSR1poZWtaTU16azJNVE16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RXdKVEpESlRJeWVTVXlNaVV6UVRBbE1rTWxNakozSlRJeUpUTkJKVEl5ZHkweU1DVXlNaVV5UXlVeU1tZ2xNaklsTTBFbE1qSm9KVEl5SlRkRUpUSkRKVEl5ZEdWNGRDVXlNaVV6UVNVeU1pVkZOU1U1UmlWQ09TVkZOU1U0TlNWQ1FpVkZOU1U1UmlWQ1FTVXlSaVZGT0NWQlJpVTVOU1ZGTlNVNE9TVTRNaVZGT1NVNE5TVTRSQ1ZGTlNVNE9DVkNO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Sm9TRzlRWkdWdVUzUXhNVFkzTXpnbE1qSWxNMEVsTjBJbE1qSnBaQ1V5TWlVelFTVXlNbkpvU0c5UVpHVnVVM1F4TVRZM016Z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0ZSUzNCcVpsTklTV00xTlRJMk5URWxNaklsTjBRbE1rTWxOMElsTWpKdVlXMWxKVEl5SlROQkpUSXlKVVUxSlRrd0pUaEVKVVUzSlVFM0pVSXdKVEl5SlRKREpUSXlkSGx3WlNVeU1pVXpRU1V5TW5OMGNtbHVaeVV5TWlVeVF5VXlNblpoYkhWbEpUSXlKVE5CSlRJeUpUSXlKVEpESlRJeVkyRjBaV2R2Y25rbE1qSWxNMEVsTWpKa1pXWmhkV3gwSlRJeUpUSkRKVEl5YVdRbE1qSWxNMEVsTWpKeWNFSklXbmxFYTFwWE5EazFOVEU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ySlRoRkpUa3lKVVUySlVJd0pVSTBKVVU1SlRnM0pUaEdNQzR4T0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3RrUms1MlFVSlFVWGMxTlRjNU9UWWxNaklsTTBFbE4wSWxNakpwWkNVeU1pVXpRU1V5TWt0a1JrNTJRVUpRVVhjMU5UYzVPVF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kT2EyMW9hR2RLZFhJNE5qZ3dPVFlsTWpJbE4wUWxNa01sTjBJbE1qSnVZVzFsSlRJeUpUTkJKVEl5SlVVMUpUa3dKVGhFSlVVM0pVRTNKVUl3SlRJeUpUSkRKVEl5ZEhsd1pTVXlNaVV6UVNVeU1uTjBjbWx1WnlVeU1pVXlReVV5TW5aaGJIVmxKVEl5SlROQkpUSXlKVEl5SlRKREpUSXlZMkYwWldkdmNua2xNaklsTTBFbE1qSmtaV1poZFd4MEpUSXlKVEpESlRJeWFXUWxNaklsTTBFbE1qSkRTMUJhV2xWV2NFMVJNVEEyTkRre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9TVkJRaVU1T0NWRk5pVkNOU1U1TXlWRk5TVkNRU1ZCTmlWRk5TVkNRU1U1UmlWRk5pVkNNQ1ZDTkNWRlJpVkNReVU0UXlWRk5pVTVReVU0TUNWRk5DVkNPQ1ZDUVNWRk5TVTRSQ1ZDTVNWRk9TVTVPU1ZCT1NWRk5TVkNRU1U1UmlWRk55VTRPU1ZCT1NWRk5TVkJOQ1U0TkNWRk55VkNSQ1ZC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FJYWTFGYVdXUkZWMFl3T0RReE16WWxNaklsTTBFbE4wSWxNakpwWkNVeU1pVXpRU1V5TWxSWFkxRmFXV1JGVjBZd09EUXhNel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SVWQwNTNTR2RRWkVrNE1qYzJNVEVsTWpJbE4wUWxNa01sTjBJbE1qSnVZVzFsSlRJeUpUTkJKVEl5SlVVMUpUa3dKVGhFSlVVM0pVRTNKVUl3SlRJeUpUSkRKVEl5ZEhsd1pTVXlNaVV6UVNVeU1uTjBjbWx1WnlVeU1pVXlReVV5TW5aaGJIVmxKVEl5SlROQkpUSXlKVEl5SlRKREpUSXlZMkYwWldkdmNua2xNaklsTTBFbE1qSmtaV1poZFd4MEpUSXlKVEpESlRJeWFXUWxNaklsTTBFbE1qSm5VRmQzYWtSMmMzaFNNelF5Tmpre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kpUaEZKVGt5SlVVMkpVSXdKVUkwSlVVNUpUZzNKVGhHTUM0d056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2VrNVBZV3hsYTJKeU1UQTJNalE0SlRJeUpUTkJKVGRDSlRJeWFXUWxNaklsTTBFbE1qSndlazVQWVd4bGEySnlNVEEyTWpRN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hkbkJJUVZSUVVteFFOekUzTVRBM0pUSXlKVGRFSlRKREpUZENKVEl5Ym1GdFpTVXlNaVV6UVNVeU1pVkZOU1U1TUNVNFJDVkZOeVZCTnlWQ01DVXlNaVV5UXlVeU1uUjVjR1VsTWpJbE0wRWxNakp6ZEhKcGJtY2xNaklsTWtNbE1qSjJZV3gxWlNVeU1pVXpRU1V5TWlVeU1pVXlReVV5TW1OaGRHVm5iM0o1SlRJeUpUTkJKVEl5WkdWbVlYVnNkQ1V5TWlVeVF5VXlNbWxrSlRJeUpUTkJKVEl5VEVwSlVYUnRRWHBLWWpNd09USXd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GtsUVVJbE9UZ2xSVFlsUWpVbE9UTWxSVFVsUWtFbFFUWWxSVFVsUWtFbE9VWWxSVFlsUWpBbFFqUWxSVVlsUWtNbE9FTWxSVFlsT1VNbE9EQWxSVFFsUWpnbFFrRWxSVFVsT0VRbFFqRWxSVGtsT1RrbFFUa2xSVFVsUWtFbE9VWWxSVGNsT0RrbFFUa2xSVFVsUVRRbE9EUWxSVGNsUWtRbFFV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cFdtRjJUMmhrUkVGT01qSTVNemt5SlRJeUpUTkJKVGRDSlRJeWFXUWxNaklsTTBFbE1qSnBXbUYyVDJoa1JFRk9Nakk1TXpre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ZZV3RJU21kRVoxcE9Oemd6TURjM0pUSXlKVGRFSlRKREpUZENKVEl5Ym1GdFpTVXlNaVV6UVNVeU1pVkZOU1U1TUNVNFJDVkZOeVZCTnlWQ01DVXlNaVV5UXlVeU1uUjVjR1VsTWpJbE0wRWxNakp6ZEhKcGJtY2xNaklsTWtNbE1qSjJZV3gxWlNVeU1pVXpRU1V5TWlVeU1pVXlReVV5TW1OaGRHVm5iM0o1SlRJeUpUTkJKVEl5WkdWbVlYVnNkQ1V5TWlVeVF5VXlNbWxrSlRJeUpUTkJKVEl5VlVsVWRFeE5aRlZFWmpZd05UazRO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lsT0VVbE9USWxSVFlsUWpBbFFqUWxSVGtsT0RjbE9FWXlMakU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UbHA2UjBGTlltTnFjalUwTWpFd015VXlNaVV6UVNVM1FpVXlNbWxrSlRJeUpUTkJKVEl5VGxwNlIwRk5ZbU5xY2pVME1qRXdN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RhWFJZU21oT2VrZGxNREV3T1RNeEpUSXlKVGRFSlRKREpUZENKVEl5Ym1GdFpTVXlNaVV6UVNVeU1pVkZOU1U1TUNVNFJDVkZOeVZCTnlWQ01DVXlNaVV5UXlVeU1uUjVjR1VsTWpJbE0wRWxNakp6ZEhKcGJtY2xNaklsTWtNbE1qSjJZV3gxWlNVeU1pVXpRU1V5TWlVeU1pVXlReVV5TW1OaGRHVm5iM0o1SlRJeUpUTkJKVEl5WkdWbVlYVnNkQ1V5TWlVeVF5VXlNbWxrSlRJeUpUTkJKVEl5VEVOb1FsWkpTVlZQVWpReE5ESXp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eUxqUXhNaVZGTlNWQ09DVTRNaVZGTmlVNU5DVkNSaVZGTnlWQlJTVkJNU1ZGTnlWQ1JDVTVN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VlJla1JMZEVaalUwODFORFkwTmpBbE1qSWxNMEVsTjBJbE1qSnBaQ1V5TWlVelFTVXlNblZSZWtSTGRFWmpVMDgxTkRZME5qQ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lZOZG1GRFltdFZRa3N3TmpjMk1UUWxNaklsTjBRbE1rTWxOMElsTWpKdVlXMWxKVEl5SlROQkpUSXlKVVUxSlRrd0pUaEVKVVUzSlVFM0pVSXdKVEl5SlRKREpUSXlkSGx3WlNVeU1pVXpRU1V5TW5OMGNtbHVaeVV5TWlVeVF5VXlNblpoYkhWbEpUSXlKVE5CSlRJeUpUSXlKVEpESlRJeVkyRjBaV2R2Y25rbE1qSWxNMEVsTWpKa1pXWmhkV3gwSlRJeUpUSkRKVEl5YVdRbE1qSWxNMEVsTWpKWlYxVlhZbU5uYUVWV056QTFOakF4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ySlRoRUpUbEdKVVU0SlRnd0pUazNNQzR3TW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05ZUmtGMFIyWnFaa0V4TlRjeE1Ua2xNaklsTTBFbE4wSWxNakpwWkNVeU1pVXpRU1V5TWtOWVJrRjBSMlpxWmtFeE5UY3hNVGt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MlpIUjZVRWxTZEVFMU56ZzRNVEVsTWpJbE4wUWxNa01sTjBJbE1qSnVZVzFsSlRJeUpUTkJKVEl5SlVVMUpUa3dKVGhFSlVVM0pVRTNKVUl3SlRJeUpUSkRKVEl5ZEhsd1pTVXlNaVV6UVNVeU1uTjBjbWx1WnlVeU1pVXlReVV5TW5aaGJIVmxKVEl5SlROQkpUSXlKVEl5SlRKREpUSXlZMkYwWldkdmNua2xNaklsTTBFbE1qSmtaV1poZFd4MEpUSXlKVEpESlRJeWFXUWxNaklsTTBFbE1qSnJVM0JFVldaQ2IyTnBOVFl3TURje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kpUaEVKVGxHSlVVNEpUZ3dKVGszSlVVNUpUZzNKVGhHTUM0d01EZ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VkyaGhaV1JSYzAxVE1ERXlOemswSlRJeUpUTkJKVGRDSlRJeWFXUWxNaklsTTBFbE1qSk1ZMmhoWldSUmMwMVRNREV5TnprM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FhMWxtUTNSclltSnlOek0yTlRjM0pUSXlKVGRFSlRKREpUZENKVEl5Ym1GdFpTVXlNaVV6UVNVeU1pVkZOU1U1TUNVNFJDVkZOeVZCTnlWQ01DVXlNaVV5UXlVeU1uUjVjR1VsTWpJbE0wRWxNakp6ZEhKcGJtY2xNaklsTWtNbE1qSjJZV3gxWlNVeU1pVXpRU1V5TWlVeU1pVXlReVV5TW1OaGRHVm5iM0o1SlRJeUpUTkJKVEl5WkdWbVlYVnNkQ1V5TWlVeVF5VXlNbWxrSlRJeUpUTkJKVEl5VEVGV1ZrOVhSVTFMVWpVM01EUTF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aVU0UkNVNVJpVkZPQ1U0TUNVNU55VkZPU1U0TnlVNFJqQXVN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"/>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kxiWEYyWkZGV2VHNVRPRFF3TnpJMkpUSXlKVE5CSlRkQ0pUSXlhV1FsTWpJbE0wRWxNakpMYlhGMlpGRldlRzVUT0RRd056STJ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W1sVmFIZDRRMlJHUnpZM05qVXlNQ1V5TWlVM1JDVXlReVUzUWlVeU1tNWhiV1VsTWpJbE0wRWxNaklsUlRVbE9UQWxPRVFsUlRjbFFUY2xRakFsTWpJbE1rTWxNakowZVhCbEpUSXlKVE5CSlRJeWMzUnlhVzVuSlRJeUpUSkRKVEl5ZG1Gc2RXVWxNaklsTTBFbE1qSWxNaklsTWtNbE1qSmpZWFJsWjI5eWVTVXlNaVV6UVNVeU1tUmxabUYxYkhRbE1qSWxNa01sTWpKcFpDVXlNaVV6UVNVeU1ucHlhR3hKUWxCaFJHUTBOVFE1TV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GNsT0RrbFFUa2xSVGNsT1RBbE9EWWxSVFVsUVVVbE9VVWxSVGtsUVVFbE9FTWxSVFVsUVVVbFFUU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SVlrTkhWMUJ6VmtWU01UY3dNVFkySlRJeUpUTkJKVGRDSlRJeWFXUWxNaklsTTBFbE1qSklZa05IVjFCelZrVlNNVGN3TVRZMk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VWhUYTIxb1NHeE5kek0zT0RrNU5pVXlNaVUzUkNVeVF5VTNRaVV5TW01aGJXVWxNaklsTTBFbE1qSWxSVFVsT1RBbE9FUWxSVGNsUVRjbFFqQWxNaklsTWtNbE1qSjBlWEJsSlRJeUpUTkJKVEl5YzNSeWFXNW5KVEl5SlRKREpUSXlkbUZzZFdVbE1qSWxNMEVsTWpJbE1qSWxNa01sTWpKallYUmxaMjl5ZVNVeU1pVXpRU1V5TW1SbFptRjFiSFFsTWpJbE1rTWxNakpwWkNVeU1pVXpRU1V5TWxKNGVFbHdaRUZ1WkdVd05qTTFPVE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Z2xPRGNsUVVFbFJUWWxPVVFsUVRV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VYVhSd1ZuTkZiVUZhTmpNM016TTBKVEl5SlROQkpUZENKVEl5YVdRbE1qSWxNMEVsTWpKVWFYUndWbk5GYlVGYU5qTTNNek0w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VWRndha2xhYkhaSFNUazNNVEF3TmlVeU1pVTNSQ1V5UXlVM1FpVXlNbTVoYldVbE1qSWxNMEVsTWpJbFJUVWxPVEFsT0VRbFJUY2xRVGNsUWpBbE1qSWxNa01sTWpKMGVYQmxKVEl5SlROQkpUSXljM1J5YVc1bkpUSXlKVEpESlRJeWRtRnNkV1VsTWpJbE0wRWxNaklsTWpJbE1rTWxNakpqWVhSbFoyOXllU1V5TWlVelFTVXlNbVJsWm1GMWJIUWxNaklsTWtNbE1qSnBaQ1V5TWlVelFTVXlNbVZLUW1aNlpGbFNRVk15TXpjNU1US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jbFFrRWxRVVl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FkRTk0YVZkNlZGcGhORFl6TVRZM0pUSXlKVE5CSlRkQ0pUSXlhV1FsTWpJbE0wRWxNakphZEU5NGFWZDZWRnBoTkRZek1UWTN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jBkMVdXaE9aSE5DYURBME16TTFPQ1V5TWlVM1JDVXlReVUzUWlVeU1tNWhiV1VsTWpJbE0wRWxNaklsUlRVbE9UQWxPRVFsUlRjbFFUY2xRakFsTWpJbE1rTWxNakowZVhCbEpUSXlKVE5CSlRJeWMzUnlhVzVuSlRJeUpUSkRKVEl5ZG1Gc2RXVWxNaklsTTBFbE1qSWxNaklsTWtNbE1qSmpZWFJsWjI5eWVTVXlNaVV6UVNVeU1tUmxabUYxYkhRbE1qSWxNa01sTWpKcFpDVXlNaVV6UVNVeU1rOTRkVWhMVms1UFkxSTNPVFUzTW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aVUzUkNVeVF5VXlNblJsZUhSQ2JHOWpheVV5TWlVelFTVTFRaVUzUWlVeU1uQnZjMmwwYVc5dUpUSXlKVE5CSlRkQ0pUSXllQ1V5TWlVelFURXdKVEpESlRJeWVTVXlNaVV6UVRBbE1rTWxNakozSlRJeUpUTkJKVEl5ZHkweU1DVXlNaVV5UXlVeU1tZ2xNaklsTTBFbE1qSm9KVEl5SlRkRUpUSkRKVEl5ZEdWNGRDVXlNaVV6UVNVeU1pVkZOU1ZCUlNVNVJTVkZPU1ZCUVNVNFF5VkZOU1U0TmlWQ055VkZOU1U0UkNWQ05DVkZOaVZDTUNWQ0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0xSFRtNVdkbVp5ZUdZMk5qTTFOamNsTWpJbE0wRWxOMElsTWpKcFpDVXlNaVV6UVNVeU1tMUhUbTVXZG1aeWVHWTJOak0xTmpjbE1qSWxNa01sTWpKdVlXMWxKVEl5SlROQkpUSXljbTkxYm1SU1pXTjBZVzVuYkdVbE1qSWxNa01sTWpKMGFYUnNaU1V5TWlVelFTVXlNaVZGTlNVNVF5VTROaVZGT0NWQk55VTV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ZjM0p4YUZKR1VsUnpOVFF3TWpRMUpUSXlKVGRFSlRKREpUZENKVEl5Ym1GdFpTVXlNaVV6UVNVeU1pVkZOU1U1TUNVNFJDVkZOeVZCTnlWQ01DVXlNaVV5UXlVeU1uUjVjR1VsTWpJbE0wRWxNakp6ZEhKcGJtY2xNaklsTWtNbE1qSjJZV3gxWlNVeU1pVXpRU1V5TWlVeU1pVXlReVV5TW1OaGRHVm5iM0o1SlRJeUpUTkJKVEl5WkdWbVlYVnNkQ1V5TWlVeVF5VXlNbWxrSlRJeUpUTkJKVEl5YlV4cGQydHRiRUpSWWpVNU1URTB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VWxRVVVsT1VVbFJUa2xRVUVsT0VNbFJUVWxPVEFsT0VVbFJUVWxPVGtsUVRnbFJUY2xPVUVsUWtZbFJUWWxRamdsT0RVbFJUWWxRalFsT1RjbFJUY2xPVFFsUVRn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GU2tOUGRGUlJaSGRQTmpReU5qZzJKVEl5SlROQkpUZENKVEl5YVdRbE1qSWxNMEVsTWpKRlNrTlBkRlJSWkhkUE5qUXlOamcy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NYVjFUV3RuVFhSblZERXhNVEF4TUNVeU1pVTNSQ1V5UXlVM1FpVXlNbTVoYldVbE1qSWxNMEVsTWpJbFJUVWxPVEFsT0VRbFJUY2xRVGNsUWpBbE1qSWxNa01sTWpKMGVYQmxKVEl5SlROQkpUSXljM1J5YVc1bkpUSXlKVEpESlRJeWRtRnNkV1VsTWpJbE0wRWxNaklsTWpJbE1rTWxNakpqWVhSbFoyOXllU1V5TWlVelFTVXlNbVJsWm1GMWJIUWxNaklsTWtNbE1qSnBaQ1V5TWlVelFTVXlNbGhYVWtGNFFrUnNkWEV5TmpjMU1qV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VbFFVVWxPVVVsUlRrbFFVRWxPRU1sUlRVbE9Ea2xPRVFsUlRVbE9Ua2xRVGdsUlRjbE9VRWxRa1lsUlRVbE9EWWxRaklsUlRZbFFqUWxPVG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XRGWmtwcFQwUmhhRXN3TURJME9EVWxNaklsTjBRbE1rTWxOMElsTWpKdVlXMWxKVEl5SlROQkpUSXlKVVUxSlRrd0pUaEVKVVUzSlVFM0pVSXdKVEl5SlRKREpUSXlkSGx3WlNVeU1pVXpRU1V5TW5OMGNtbHVaeVV5TWlVeVF5VXlNblpoYkhWbEpUSXlKVE5CSlRJeUpUSXlKVEpESlRJeVkyRjBaV2R2Y25rbE1qSWxNMEVsTWpKa1pXWmhkV3gwSlRJeUpUSkRKVEl5YVdRbE1qSWxNMEVsTWpKVlFrcGplbFp1VFdkWU1qYzFOek1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OaVU0UlNVNU1pVkZOaVZDTUNWQ05DVkZPU1U0TnlVNFJqQXVNRGt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oc2VXSnBlRVJXZDIwMk5UZ3dNVFFsTWpJbE4wUWxNa01sTjBJbE1qSnVZVzFsSlRJeUpUTkJKVEl5SlVVMUpUa3dKVGhFSlVVM0pVRTNKVUl3SlRJeUpUSkRKVEl5ZEhsd1pTVXlNaVV6UVNVeU1uTjBjbWx1WnlVeU1pVXlReVV5TW5aaGJIVmxKVEl5SlROQkpUSXlKVEl5SlRKREpUSXlZMkYwWldkdmNua2xNaklsTTBFbE1qSmtaV1poZFd4MEpUSXlKVEpESlRJeWFXUWxNaklsTTBFbE1qSjJTRzlrWlVoYVIwTmhOemcyTkRN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d0pUSkRKVEl5ZVNVeU1pVXpRVEFsTWtNbE1qSjNKVEl5SlROQkpUSXlkeVV5TWlVeVF5VXlNbWdsTWpJbE0wRWxNakpvSlRJeUpUZEVKVEpESlRJeWRHVjRkQ1V5TWlVelFTVXlNaVZGTmlVNFJTVTVNaVZGTmlWQ01DVkNOQ1ZGT1NVNE55VTRSakF1TVR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dTRzl2UTA5b2NrdHpNek13TURBeUpUSXlKVGRFSlRKREpUZENKVEl5Ym1GdFpTVXlNaVV6UVNVeU1pVkZOU1U1TUNVNFJDVkZOeVZCTnlWQ01DVXlNaVV5UXlVeU1uUjVjR1VsTWpJbE0wRWxNakp6ZEhKcGJtY2xNaklsTWtNbE1qSjJZV3gxWlNVeU1pVXpRU1V5TWlVeU1pVXlReVV5TW1OaGRHVm5iM0o1SlRJeUpUTkJKVEl5WkdWbVlYVnNkQ1V5TWlVeVF5VXlNbWxrSlRJeUpUTkJKVEl5U0VGM1IzQkhWMkpQZFRjMU5qZ3pN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dKVEpESlRJeWVTVXlNaVV6UVRBbE1rTWxNakozSlRJeUpUTkJKVEl5ZHlVeU1pVXlReVV5TW1nbE1qSWxNMEVsTWpKb0pUSXlKVGRFSlRKREpUSXlkR1Y0ZENVeU1pVXpRU1V5TWlWRk5pVTRSU1U1TWlWRk5pVkNNQ1ZDTkNWRk9TVTROeVU0UmpBdU1qSTF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RtUktiWEp0ZVdoUldEWTJPRFV6TXlVeU1pVXpRU1UzUWlVeU1tbGtKVEl5SlROQkpUSXlUbVJLYlhKdGVXaFJXRFkyT0RVek1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eFUwWkpkWEJRV0hKNU16UTFPVEUxSlRJeUpUZEVKVEpESlRkQ0pUSXlibUZ0WlNVeU1pVXpRU1V5TWlWRk5TVTVNQ1U0UkNWRk55VkJOeVZDTUNVeU1pVXlReVV5TW5SNWNHVWxNaklsTTBFbE1qSnpkSEpwYm1jbE1qSWxNa01sTWpKMllXeDFaU1V5TWlVelFTVXlNaVV5TWlVeVF5VXlNbU5oZEdWbmIzSjVKVEl5SlROQkpUSXlaR1ZtWVhWc2RDVXlNaVV5UXlVeU1tbGtKVEl5SlROQkpUSXljMk5yYW5KSVpVWjZVamd6T0RVNE5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UpVSTRKVGd5SlVVMkpUazBKVUpHSlVVM0pVRkZKVUV4SlVVM0pVSkVKVGt4TUM0ME9U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VFJtZFVia1I2ZDFGV05UVTFOak16SlRJeUpUZEVKVEpESlRkQ0pUSXlibUZ0WlNVeU1pVXpRU1V5TWlWRk5TVTVNQ1U0UkNWRk55VkJOeVZDTUNVeU1pVXlReVV5TW5SNWNHVWxNaklsTTBFbE1qSnpkSEpwYm1jbE1qSWxNa01sTWpKMllXeDFaU1V5TWlVelFTVXlNaVV5TWlVeVF5VXlNbU5oZEdWbmIzSjVKVEl5SlROQkpUSXlaR1ZtWVhWc2RDVXlNaVV5UXlVeU1tbGtKVEl5SlROQkpUSXlabVZhYjA1S1VYZDBhVFl6TkRjeE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WWxPRVFsT1VZbFJUZ2xPREFsT1RjbFJUa2xPRGNsT0VZd0xqQXh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jNlWE4wWmtGUWVtMUVOVFExTkRreEpUSXlKVGRFSlRKREpUZENKVEl5Ym1GdFpTVXlNaVV6UVNVeU1pVkZOU1U1TUNVNFJDVkZOeVZCTnlWQ01DVXlNaVV5UXlVeU1uUjVjR1VsTWpJbE0wRWxNakp6ZEhKcGJtY2xNaklsTWtNbE1qSjJZV3gxWlNVeU1pVXpRU1V5TWlVeU1pVXlReVV5TW1OaGRHVm5iM0o1SlRJeUpUTkJKVEl5WkdWbVlYVnNkQ1V5TWlVeVF5VXlNbWxrSlRJeUpUTkJKVEl5V0VSUVFtdGhXbGh3V2pZek5EQTN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aVU0UkNVNVJpVkZPQ1U0TUNVNU55VkZPU1U0TnlVNFJqQXVNRE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x4YUd4YVdFbDJZM2N4T0RFMk1URWxNaklsTjBRbE1rTWxOMElsTWpKdVlXMWxKVEl5SlROQkpUSXlKVVUxSlRrd0pUaEVKVVUzSlVFM0pVSXdKVEl5SlRKREpUSXlkSGx3WlNVeU1pVXpRU1V5TW5OMGNtbHVaeVV5TWlVeVF5VXlNblpoYkhWbEpUSXlKVE5CSlRJeUpUSXlKVEpESlRJeVkyRjBaV2R2Y25rbE1qSWxNMEVsTWpKa1pXWmhkV3gwSlRJeUpUSkRKVEl5YVdRbE1qSWxNMEVsTWpKSVlsbDFhWGxYV21kdU1Ua3hOalE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mlVNFJDVTVSaVZGT0NVNE1DVTVOeVZGT1NVNE55VTRSakF1TURJM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mRjMmY2ODQyLWI4YmMtNGJjYi1iYmYyLWVmNjA5MDMyNWQ4ZSIKfQo="/>
    </extobj>
    <extobj name="E657119C-6982-421D-8BA7-E74DEB70A7D9-4">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mpXbXgyWm1SRmNuSjJORFl4T1RRMkpUSXlKVE5CSlRkQ0pUSXlhV1FsTWpJbE0wRWxNakpqV214MlptUkZjbkoyTkRZeE9UUTJ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Wt4SlFrcGtibUo1YlRVME5ERTJOQ1V5TWlVM1JDVXlReVUzUWlVeU1tNWhiV1VsTWpJbE0wRWxNaklsUlRVbE9UQWxPRVFsUlRjbFFUY2xRakFsTWpJbE1rTWxNakowZVhCbEpUSXlKVE5CSlRJeWMzUnlhVzVuSlRJeUpUSkRKVEl5ZG1Gc2RXVWxNaklsTTBFbE1qSWxNaklsTWtNbE1qSmpZWFJsWjI5eWVTVXlNaVV6UVNVeU1tUmxabUYxYkhRbE1qSWxNa01sTWpKcFpDVXlNaVV6UVNVeU1sbGtTMmhoU0ZKaWNtdzVPVEkwTk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jbE9UUWxPVVlsUlRZbFFqUWxRa0lsUlRjbE9UUWxRVGd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blY1V0VsTFFXVjZaelE1TWprek5TVXlNaVUzUkNVeVF5VTNRaVV5TW01aGJXVWxNaklsTTBFbE1qSWxSVFVsT1RBbE9FUWxSVGNsUVRjbFFqQWxNaklsTWtNbE1qSjBlWEJsSlRJeUpUTkJKVEl5YzNSeWFXNW5KVEl5SlRKREpUSXlkbUZzZFdVbE1qSWxNMEVsTWpJbE1qSWxNa01sTWpKallYUmxaMjl5ZVNVeU1pVXpRU1V5TW1SbFptRjFiSFFsTWpJbE1rTWxNakpwWkNVeU1pVXpRU1V5TW5GbVZXcGxTV1JPYjJneE16QTNOR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PQ1U0TnlWQlFTVkZOaVU1UkNWQk5TVkZOaVZDTUNWQ0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EybDBkR3ByUTBwRlZEVXpPRFUwTXlVeU1pVTNSQ1V5UXlVM1FpVXlNbTVoYldVbE1qSWxNMEVsTWpJbFJUVWxPVEFsT0VRbFJUY2xRVGNsUWpBbE1qSWxNa01sTWpKMGVYQmxKVEl5SlROQkpUSXljM1J5YVc1bkpUSXlKVEpESlRJeWRtRnNkV1VsTWpJbE0wRWxNaklsTWpJbE1rTWxNakpqWVhSbFoyOXllU1V5TWlVelFTVXlNbVJsWm1GMWJIUWxNaklsTWtNbE1qSnBaQ1V5TWlVelFTVXlNbmRwZVVOT1RITkVha1UzTmpVeE5ER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jbE9UUWxRVGdsUlRZbFFqQWxRalFsUlRrbE9EY2xPRVkyTkRnd0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pFbFlaVU5WWjNCb1NEUTBPRGt3TUNVeU1pVTNSQ1V5UXlVM1FpVXlNbTVoYldVbE1qSWxNMEVsTWpJbFJUVWxPVEFsT0VRbFJUY2xRVGNsUWpBbE1qSWxNa01sTWpKMGVYQmxKVEl5SlROQkpUSXljM1J5YVc1bkpUSXlKVEpESlRJeWRtRnNkV1VsTWpJbE0wRWxNaklsTWpJbE1rTWxNakpqWVhSbFoyOXllU1V5TWlVelFTVXlNbVJsWm1GMWJIUWxNaklsTWtNbE1qSnBaQ1V5TWlVelFTVXlNbGRRV2tST1VHcExlRXczTmpnMU1E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WWxPRVVsT1RJbFJUWWxRakFsUWpRbFJUa2xPRGNsT0VZMU1UZzBNQ1ZGUmlWQ1F5VTRReVZGT0NWQ1JpVTVRaVZGTlNVNE5TVkJOU1ZGTlNWQ09DVTRNaVZGTmlVNU5DVkNSaVZGTnlWQlJTVkJNU1ZGTnlWQ1JDVTVN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5SWE5UZWt4RWMybGpNREkzTWpZMUpUSXlKVGRFSlRKREpUZENKVEl5Ym1GdFpTVXlNaVV6UVNVeU1pVkZOU1U1TUNVNFJDVkZOeVZCTnlWQ01DVXlNaVV5UXlVeU1uUjVjR1VsTWpJbE0wRWxNakp6ZEhKcGJtY2xNaklsTWtNbE1qSjJZV3gxWlNVeU1pVXpRU1V5TWlVeU1pVXlReVV5TW1OaGRHVm5iM0o1SlRJeUpUTkJKVEl5WkdWbVlYVnNkQ1V5TWlVeVF5VXlNbWxrSlRJeUpUTkJKVEl5ZDBkM1VucHNXRUZIU3pjNE5ERTVP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aVU0UkNVNVJpVkZPQ1U0TUNVNU55VkZPU1U0TnlVNFJqRXlPVFl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ODA2YTNjMjEtOWU1ZC00YzJlLThhODYtYTEyYzI1OWQ0Y2VlIgp9Cg=="/>
    </extobj>
  </extobjs>
</s:customData>
</file>

<file path=customXml/item2.xml><?xml version="1.0" encoding="utf-8"?>
<contractReview xmlns="http://schemas.wps.cn/vas-ai-hub/contract-review">
  <reviewItems>
    <reviewItem>
      <errorID>9d162b9e-36fd-4db9-9256-e45cfea9070b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7B6314E5</paraID>
      <start>28</start>
      <end>29</end>
      <status>unmodified</status>
      <modifiedWord/>
      <trackRevisions>false</trackRevisions>
    </reviewItem>
    <reviewItem>
      <errorID>5f1db154-9e9f-44fa-86e5-52ff5ed4f972</errorID>
      <errorWord>修复改</errorWord>
      <group>L1_Grammar</group>
      <groupName>语法问题</groupName>
      <ability>L2_Order</ability>
      <abilityName>语序不当</abilityName>
      <candidateList>
        <item>修复</item>
      </candidateList>
      <explain>句子可能没有遵循时空、逻辑顺序，或者介词、关联词等位置不当。</explain>
      <paraID>7578FBFA</paraID>
      <start>38</start>
      <end>41</end>
      <status>unmodified</status>
      <modifiedWord/>
      <trackRevisions>false</trackRevisions>
    </reviewItem>
    <reviewItem>
      <errorID>55ef4aa3-ebbf-40e7-be48-63ae44037b11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472E0B58</paraID>
      <start>0</start>
      <end>2</end>
      <status>unmodified</status>
      <modifiedWord/>
      <trackRevisions>false</trackRevisions>
    </reviewItem>
    <reviewItem>
      <errorID>9d9c6402-32b7-4e53-822f-9a31cb1dddc3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4A580034</paraID>
      <start>0</start>
      <end>2</end>
      <status>unmodified</status>
      <modifiedWord/>
      <trackRevisions>false</trackRevisions>
    </reviewItem>
    <reviewItem>
      <errorID>a8ea3c93-6971-4e6d-9585-ebea657b2ab3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12962219</paraID>
      <start>0</start>
      <end>2</end>
      <status>unmodified</status>
      <modifiedWord/>
      <trackRevisions>false</trackRevisions>
    </reviewItem>
    <reviewItem>
      <errorID>bec98ad1-31a0-4a63-ab20-2786dcaee8ca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43C73194</paraID>
      <start>0</start>
      <end>2</end>
      <status>unmodified</status>
      <modifiedWord/>
      <trackRevisions>false</trackRevisions>
    </reviewItem>
    <reviewItem>
      <errorID>304de3ed-ecd5-4632-b11d-4819a0b64970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67D81E31</paraID>
      <start>0</start>
      <end>2</end>
      <status>unmodified</status>
      <modifiedWord/>
      <trackRevisions>false</trackRevisions>
    </reviewItem>
    <reviewItem>
      <errorID>5727a86f-3de8-4a0d-b2f5-1474e8423856</errorID>
      <errorWord>~</errorWord>
      <group>L1_Format</group>
      <groupName>格式问题</groupName>
      <ability>L2_HalfPunc_CN</ability>
      <abilityName>全半角问题</abilityName>
      <candidateList>
        <item>～</item>
      </candidateList>
      <explain>文本全半角错误。</explain>
      <paraID>446D2A8F</paraID>
      <start>6</start>
      <end>7</end>
      <status>unmodified</status>
      <modifiedWord/>
      <trackRevisions>false</trackRevisions>
    </reviewItem>
    <reviewItem>
      <errorID>41301660-a192-4e8e-99d0-b0e8407b5751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1F922E79</paraID>
      <start>0</start>
      <end>2</end>
      <status>unmodified</status>
      <modifiedWord/>
      <trackRevisions>false</trackRevisions>
    </reviewItem>
    <reviewItem>
      <errorID>7fdbcbbb-80e6-45d1-a6d7-cb7b26e662be</errorID>
      <errorWord>~</errorWord>
      <group>L1_Format</group>
      <groupName>格式问题</groupName>
      <ability>L2_HalfPunc_CN</ability>
      <abilityName>全半角问题</abilityName>
      <candidateList>
        <item>～</item>
      </candidateList>
      <explain>文本全半角错误。</explain>
      <paraID>68930060</paraID>
      <start>6</start>
      <end>7</end>
      <status>unmodified</status>
      <modifiedWord/>
      <trackRevisions>false</trackRevisions>
    </reviewItem>
    <reviewItem>
      <errorID>fca48d33-a088-4035-9f04-06a7f2800122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37E682A4</paraID>
      <start>0</start>
      <end>2</end>
      <status>unmodified</status>
      <modifiedWord/>
      <trackRevisions>false</trackRevisions>
    </reviewItem>
    <reviewItem>
      <errorID>6f27d5b8-c3e5-4d14-a746-6cd9c0ab923d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334C685D</paraID>
      <start>0</start>
      <end>2</end>
      <status>unmodified</status>
      <modifiedWord/>
      <trackRevisions>false</trackRevisions>
    </reviewItem>
    <reviewItem>
      <errorID>d803a38e-f677-471a-83ff-266fc07a2c71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4D13526D</paraID>
      <start>0</start>
      <end>2</end>
      <status>unmodified</status>
      <modifiedWord/>
      <trackRevisions>false</trackRevisions>
    </reviewItem>
    <reviewItem>
      <errorID>c87f4d7a-4f99-4a70-8f15-95577e5a9fb4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6D2C8941</paraID>
      <start>0</start>
      <end>2</end>
      <status>unmodified</status>
      <modifiedWord/>
      <trackRevisions>false</trackRevisions>
    </reviewItem>
    <reviewItem>
      <errorID>06a7a65a-69b0-43d7-93b7-2fd6bbc8928d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1F8CB664</paraID>
      <start>0</start>
      <end>2</end>
      <status>unmodified</status>
      <modifiedWord/>
      <trackRevisions>false</trackRevisions>
    </reviewItem>
    <reviewItem>
      <errorID>0c5e367a-98b7-4003-85c6-0d0efd2dcdfa</errorID>
      <errorWord>~</errorWord>
      <group>L1_Format</group>
      <groupName>格式问题</groupName>
      <ability>L2_HalfPunc_CN</ability>
      <abilityName>全半角问题</abilityName>
      <candidateList>
        <item>～</item>
      </candidateList>
      <explain>文本全半角错误。</explain>
      <paraID>1F8CB664</paraID>
      <start>12</start>
      <end>13</end>
      <status>unmodified</status>
      <modifiedWord/>
      <trackRevisions>false</trackRevisions>
    </reviewItem>
    <reviewItem>
      <errorID>832de45a-b112-4104-8d28-e654b9366d17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7D3CFCD</paraID>
      <start>0</start>
      <end>2</end>
      <status>unmodified</status>
      <modifiedWord/>
      <trackRevisions>false</trackRevisions>
    </reviewItem>
    <reviewItem>
      <errorID>ff851d18-3c5c-40e6-8520-8bae6e5abc32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1CF6104B</paraID>
      <start>0</start>
      <end>2</end>
      <status>unmodified</status>
      <modifiedWord/>
      <trackRevisions>false</trackRevisions>
    </reviewItem>
    <reviewItem>
      <errorID>5a59a79d-9c6e-441e-954a-b2eb6631e2b4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165FD499</paraID>
      <start>0</start>
      <end>2</end>
      <status>unmodified</status>
      <modifiedWord/>
      <trackRevisions>false</trackRevisions>
    </reviewItem>
    <reviewItem>
      <errorID>39b8b2b8-ae8e-4b79-b546-6f16e04f510d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1601E5C3</paraID>
      <start>0</start>
      <end>2</end>
      <status>unmodified</status>
      <modifiedWord/>
      <trackRevisions>false</trackRevisions>
    </reviewItem>
    <reviewItem>
      <errorID>602ab8df-cb47-4b4e-bc06-16d3f8e12eec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4CDDC16B</paraID>
      <start>0</start>
      <end>2</end>
      <status>unmodified</status>
      <modifiedWord/>
      <trackRevisions>false</trackRevisions>
    </reviewItem>
    <reviewItem>
      <errorID>65cb5b73-8b26-4f90-b9d7-e5ed08e34f62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280E30F1</paraID>
      <start>0</start>
      <end>2</end>
      <status>unmodified</status>
      <modifiedWord/>
      <trackRevisions>false</trackRevisions>
    </reviewItem>
    <reviewItem>
      <errorID>facf4496-4b09-4a0c-aa5d-9461d6a2d849</errorID>
      <errorWord>~</errorWord>
      <group>L1_Format</group>
      <groupName>格式问题</groupName>
      <ability>L2_HalfPunc_CN</ability>
      <abilityName>全半角问题</abilityName>
      <candidateList>
        <item>～</item>
      </candidateList>
      <explain>文本全半角错误。</explain>
      <paraID>280E30F1</paraID>
      <start>12</start>
      <end>13</end>
      <status>unmodified</status>
      <modifiedWord/>
      <trackRevisions>false</trackRevisions>
    </reviewItem>
    <reviewItem>
      <errorID>9199f2d6-84c4-4ebb-b702-5e858fcc78b4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6E202534</paraID>
      <start>0</start>
      <end>2</end>
      <status>unmodified</status>
      <modifiedWord/>
      <trackRevisions>false</trackRevisions>
    </reviewItem>
    <reviewItem>
      <errorID>615c54b4-79eb-495b-920f-7aae5b9549fa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4912FFB</paraID>
      <start>0</start>
      <end>2</end>
      <status>unmodified</status>
      <modifiedWord/>
      <trackRevisions>false</trackRevisions>
    </reviewItem>
    <reviewItem>
      <errorID>101e0649-0299-4d8a-9774-df15e5d59256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796B7C66</paraID>
      <start>0</start>
      <end>2</end>
      <status>unmodified</status>
      <modifiedWord/>
      <trackRevisions>false</trackRevisions>
    </reviewItem>
    <reviewItem>
      <errorID>e3b91129-fb8f-4aa6-beec-83177e8fc525</errorID>
      <errorWord>（</errorWord>
      <group>L1_Format</group>
      <groupName>格式问题</groupName>
      <ability>L2_HalfPunc_CN</ability>
      <abilityName>全半角问题</abilityName>
      <candidateList>
        <item>(</item>
      </candidateList>
      <explain>文本全半角错误。</explain>
      <paraID>1C80502C</paraID>
      <start>3</start>
      <end>4</end>
      <status>unmodified</status>
      <modifiedWord/>
      <trackRevisions>false</trackRevisions>
    </reviewItem>
    <reviewItem>
      <errorID>b6820f59-e17b-479e-9a40-0fef24a674c4</errorID>
      <errorWord>）</errorWord>
      <group>L1_Format</group>
      <groupName>格式问题</groupName>
      <ability>L2_HalfPunc_CN</ability>
      <abilityName>全半角问题</abilityName>
      <candidateList>
        <item>)</item>
      </candidateList>
      <explain>文本全半角错误。</explain>
      <paraID>1C80502C</paraID>
      <start>11</start>
      <end>12</end>
      <status>unmodified</status>
      <modifiedWord/>
      <trackRevisions>false</trackRevisions>
    </reviewItem>
    <reviewItem>
      <errorID>3c96e96e-cddb-4c57-8b08-669c0274b81a</errorID>
      <errorWord>（</errorWord>
      <group>L1_Format</group>
      <groupName>格式问题</groupName>
      <ability>L2_HalfPunc_CN</ability>
      <abilityName>全半角问题</abilityName>
      <candidateList>
        <item>(</item>
      </candidateList>
      <explain>文本全半角错误。</explain>
      <paraID>361CA3FD</paraID>
      <start>3</start>
      <end>4</end>
      <status>unmodified</status>
      <modifiedWord/>
      <trackRevisions>false</trackRevisions>
    </reviewItem>
    <reviewItem>
      <errorID>83d7e600-2ef2-4663-8b39-0d4a3dd93684</errorID>
      <errorWord>）</errorWord>
      <group>L1_Format</group>
      <groupName>格式问题</groupName>
      <ability>L2_HalfPunc_CN</ability>
      <abilityName>全半角问题</abilityName>
      <candidateList>
        <item>)</item>
      </candidateList>
      <explain>文本全半角错误。</explain>
      <paraID>361CA3FD</paraID>
      <start>11</start>
      <end>12</end>
      <status>unmodified</status>
      <modifiedWord/>
      <trackRevisions>false</trackRevisions>
    </reviewItem>
    <reviewItem>
      <errorID>d31f6782-5f29-48a8-8d6a-848405c6ac85</errorID>
      <errorWord>（</errorWord>
      <group>L1_Format</group>
      <groupName>格式问题</groupName>
      <ability>L2_HalfPunc_CN</ability>
      <abilityName>全半角问题</abilityName>
      <candidateList>
        <item>(</item>
      </candidateList>
      <explain>文本全半角错误。</explain>
      <paraID>33E91AB0</paraID>
      <start>2</start>
      <end>3</end>
      <status>unmodified</status>
      <modifiedWord/>
      <trackRevisions>false</trackRevisions>
    </reviewItem>
    <reviewItem>
      <errorID>8f08f173-be65-4a3a-8dfe-e25f8a94c8a2</errorID>
      <errorWord>）</errorWord>
      <group>L1_Format</group>
      <groupName>格式问题</groupName>
      <ability>L2_HalfPunc_CN</ability>
      <abilityName>全半角问题</abilityName>
      <candidateList>
        <item>)</item>
      </candidateList>
      <explain>文本全半角错误。</explain>
      <paraID>33E91AB0</paraID>
      <start>9</start>
      <end>10</end>
      <status>unmodified</status>
      <modifiedWord/>
      <trackRevisions>false</trackRevisions>
    </reviewItem>
    <reviewItem>
      <errorID>f63124cc-b318-4f9a-b41b-14afc3d61d7e</errorID>
      <errorWord>（</errorWord>
      <group>L1_Format</group>
      <groupName>格式问题</groupName>
      <ability>L2_HalfPunc_CN</ability>
      <abilityName>全半角问题</abilityName>
      <candidateList>
        <item>(</item>
      </candidateList>
      <explain>文本全半角错误。</explain>
      <paraID>2F0E9ECE</paraID>
      <start>2</start>
      <end>3</end>
      <status>unmodified</status>
      <modifiedWord/>
      <trackRevisions>false</trackRevisions>
    </reviewItem>
    <reviewItem>
      <errorID>ff63377e-85d3-4e44-8a36-2d6ebbb0d172</errorID>
      <errorWord>）</errorWord>
      <group>L1_Format</group>
      <groupName>格式问题</groupName>
      <ability>L2_HalfPunc_CN</ability>
      <abilityName>全半角问题</abilityName>
      <candidateList>
        <item>)</item>
      </candidateList>
      <explain>文本全半角错误。</explain>
      <paraID>2F0E9ECE</paraID>
      <start>9</start>
      <end>10</end>
      <status>unmodified</status>
      <modifiedWord/>
      <trackRevisions>false</trackRevisions>
    </reviewItem>
    <reviewItem>
      <errorID>ddc886b8-4e44-4108-bbf5-e15cbcf5c5a0</errorID>
      <errorWord>（</errorWord>
      <group>L1_Format</group>
      <groupName>格式问题</groupName>
      <ability>L2_HalfPunc_CN</ability>
      <abilityName>全半角问题</abilityName>
      <candidateList>
        <item>(</item>
      </candidateList>
      <explain>文本全半角错误。</explain>
      <paraID>4E5D5594</paraID>
      <start>2</start>
      <end>3</end>
      <status>unmodified</status>
      <modifiedWord/>
      <trackRevisions>false</trackRevisions>
    </reviewItem>
    <reviewItem>
      <errorID>e1f8424d-f07c-4d55-ba74-41f67fbf30b2</errorID>
      <errorWord>）</errorWord>
      <group>L1_Format</group>
      <groupName>格式问题</groupName>
      <ability>L2_HalfPunc_CN</ability>
      <abilityName>全半角问题</abilityName>
      <candidateList>
        <item>)</item>
      </candidateList>
      <explain>文本全半角错误。</explain>
      <paraID>4E5D5594</paraID>
      <start>9</start>
      <end>10</end>
      <status>unmodified</status>
      <modifiedWord/>
      <trackRevisions>false</trackRevisions>
    </reviewItem>
    <reviewItem>
      <errorID>82360d47-e943-41bc-9d6e-a3a6692f89c0</errorID>
      <errorWord>（</errorWord>
      <group>L1_Format</group>
      <groupName>格式问题</groupName>
      <ability>L2_HalfPunc_CN</ability>
      <abilityName>全半角问题</abilityName>
      <candidateList>
        <item>(</item>
      </candidateList>
      <explain>文本全半角错误。</explain>
      <paraID>1AA589B0</paraID>
      <start>2</start>
      <end>3</end>
      <status>unmodified</status>
      <modifiedWord/>
      <trackRevisions>false</trackRevisions>
    </reviewItem>
    <reviewItem>
      <errorID>4b41d991-1c69-4d3c-b192-5770e57b616d</errorID>
      <errorWord>）</errorWord>
      <group>L1_Format</group>
      <groupName>格式问题</groupName>
      <ability>L2_HalfPunc_CN</ability>
      <abilityName>全半角问题</abilityName>
      <candidateList>
        <item>)</item>
      </candidateList>
      <explain>文本全半角错误。</explain>
      <paraID>1AA589B0</paraID>
      <start>9</start>
      <end>10</end>
      <status>unmodified</status>
      <modifiedWord/>
      <trackRevisions>false</trackRevisions>
    </reviewItem>
    <reviewItem>
      <errorID>4f12e5fa-b3d8-47f5-8cb6-36738b08edf6</errorID>
      <errorWord>（</errorWord>
      <group>L1_Format</group>
      <groupName>格式问题</groupName>
      <ability>L2_HalfPunc_CN</ability>
      <abilityName>全半角问题</abilityName>
      <candidateList>
        <item>(</item>
      </candidateList>
      <explain>文本全半角错误。</explain>
      <paraID>5A50B559</paraID>
      <start>2</start>
      <end>3</end>
      <status>unmodified</status>
      <modifiedWord/>
      <trackRevisions>false</trackRevisions>
    </reviewItem>
    <reviewItem>
      <errorID>701aab33-6f7f-44c8-a741-343c84606550</errorID>
      <errorWord>）</errorWord>
      <group>L1_Format</group>
      <groupName>格式问题</groupName>
      <ability>L2_HalfPunc_CN</ability>
      <abilityName>全半角问题</abilityName>
      <candidateList>
        <item>)</item>
      </candidateList>
      <explain>文本全半角错误。</explain>
      <paraID>5A50B559</paraID>
      <start>9</start>
      <end>10</end>
      <status>unmodified</status>
      <modifiedWord/>
      <trackRevisions>false</trackRevisions>
    </reviewItem>
    <reviewItem>
      <errorID>5d985fe6-d26e-40eb-a879-783db886a827</errorID>
      <errorWord>与水蒸汽</errorWord>
      <group>L1_Word</group>
      <groupName>字词问题</groupName>
      <ability>L2_Typo</ability>
      <abilityName>字词错误</abilityName>
      <candidateList>
        <item>与水蒸气</item>
      </candidateList>
      <explain/>
      <paraID>525A0CAD</paraID>
      <start>62</start>
      <end>66</end>
      <status>modified</status>
      <modifiedWord>与水蒸气</modifiedWord>
      <trackRevisions>false</trackRevisions>
    </reviewItem>
    <reviewItem>
      <errorID>a31c8b16-030e-4ef0-add4-715a50d0270c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761BCF4E</paraID>
      <start>32</start>
      <end>33</end>
      <status>unmodified</status>
      <modifiedWord/>
      <trackRevisions>false</trackRevisions>
    </reviewItem>
    <reviewItem>
      <errorID>aeadaf5a-9b82-4249-893f-93f9b8deb6a2</errorID>
      <errorWord>来顿瓶</errorWord>
      <group>L1_Word</group>
      <groupName>字词问题</groupName>
      <ability>L2_Typo</ability>
      <abilityName>字词错误</abilityName>
      <candidateList>
        <item>莱顿瓶</item>
      </candidateList>
      <explain/>
      <paraID>1EB4C779</paraID>
      <start>19</start>
      <end>22</end>
      <status>modified</status>
      <modifiedWord>莱顿瓶</modifiedWord>
      <trackRevisions>false</trackRevisions>
    </reviewItem>
    <reviewItem>
      <errorID>157a78a1-248f-44b6-b4e6-0688e3e11328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72AA0A3F</paraID>
      <start>2</start>
      <end>4</end>
      <status>unmodified</status>
      <modifiedWord/>
      <trackRevisions>false</trackRevisions>
    </reviewItem>
    <reviewItem>
      <errorID>48889436-9b00-418d-a322-18f7177f314c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777B7A82</paraID>
      <start>17</start>
      <end>18</end>
      <status>unmodified</status>
      <modifiedWord/>
      <trackRevisions>false</trackRevisions>
    </reviewItem>
    <reviewItem>
      <errorID>2fce09ec-7705-46c6-bdc3-65d765dc517e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3323BF4A</paraID>
      <start>13</start>
      <end>14</end>
      <status>unmodified</status>
      <modifiedWord/>
      <trackRevisions>false</trackRevisions>
    </reviewItem>
    <reviewItem>
      <errorID>75a62d71-3436-4d46-8bb0-2f52b0193493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4D5ED811</paraID>
      <start>15</start>
      <end>16</end>
      <status>unmodified</status>
      <modifiedWord/>
      <trackRevisions>false</trackRevisions>
    </reviewItem>
    <reviewItem>
      <errorID>befd037a-0166-4cb9-b3f8-74eeb19dc598</errorID>
      <errorWord>药匙</errorWord>
      <group>L1_Word</group>
      <groupName>字词问题</groupName>
      <ability>L2_Typo</ability>
      <abilityName>字词错误</abilityName>
      <candidateList>
        <item>钥匙</item>
      </candidateList>
      <explain/>
      <paraID>46596FFA</paraID>
      <start>0</start>
      <end>2</end>
      <status>unmodified</status>
      <modifiedWord/>
      <trackRevisions>false</trackRevisions>
    </reviewItem>
    <reviewItem>
      <errorID>c2f8eb4f-f309-4eb5-8a86-3d248fd45d05</errorID>
      <errorWord>~</errorWord>
      <group>L1_Format</group>
      <groupName>格式问题</groupName>
      <ability>L2_HalfPunc_CN</ability>
      <abilityName>全半角问题</abilityName>
      <candidateList>
        <item>～</item>
      </candidateList>
      <explain>文本全半角错误。</explain>
      <paraID>5B12367E</paraID>
      <start>2</start>
      <end>3</end>
      <status>unmodified</status>
      <modifiedWord/>
      <trackRevisions>false</trackRevisions>
    </reviewItem>
    <reviewItem>
      <errorID>7f0093af-4944-4a2d-928c-d7229b88bb6c</errorID>
      <errorWord>~</errorWord>
      <group>L1_Format</group>
      <groupName>格式问题</groupName>
      <ability>L2_HalfPunc_CN</ability>
      <abilityName>全半角问题</abilityName>
      <candidateList>
        <item>～</item>
      </candidateList>
      <explain>文本全半角错误。</explain>
      <paraID>5469A8DB</paraID>
      <start>2</start>
      <end>3</end>
      <status>unmodified</status>
      <modifiedWord/>
      <trackRevisions>false</trackRevisions>
    </reviewItem>
    <reviewItem>
      <errorID>449e7bbe-dfb1-462f-9715-57f43095b867</errorID>
      <errorWord>计</errorWord>
      <group>L1_Word</group>
      <groupName>字词问题</groupName>
      <ability>L2_Typo</ability>
      <abilityName>字词错误</abilityName>
      <candidateList>
        <item>计算</item>
      </candidateList>
      <explain/>
      <paraID>5469A8DB</paraID>
      <start>95</start>
      <end>96</end>
      <status>unmodified</status>
      <modifiedWord/>
      <trackRevisions>false</trackRevisions>
    </reviewItem>
    <reviewItem>
      <errorID>508c318d-7001-481d-b321-dbf8e179cc10</errorID>
      <errorWord>~</errorWord>
      <group>L1_Format</group>
      <groupName>格式问题</groupName>
      <ability>L2_HalfPunc_CN</ability>
      <abilityName>全半角问题</abilityName>
      <candidateList>
        <item>～</item>
      </candidateList>
      <explain>文本全半角错误。</explain>
      <paraID>5469A8DB</paraID>
      <start>100</start>
      <end>101</end>
      <status>unmodified</status>
      <modifiedWord/>
      <trackRevisions>false</trackRevisions>
    </reviewItem>
    <reviewItem>
      <errorID>915f4789-ac50-4ffe-b9c3-b414d533dc05</errorID>
      <errorWord>~</errorWord>
      <group>L1_Format</group>
      <groupName>格式问题</groupName>
      <ability>L2_HalfPunc_CN</ability>
      <abilityName>全半角问题</abilityName>
      <candidateList>
        <item>～</item>
      </candidateList>
      <explain>文本全半角错误。</explain>
      <paraID> 7821848</paraID>
      <start>2</start>
      <end>3</end>
      <status>unmodified</status>
      <modifiedWord/>
      <trackRevisions>false</trackRevisions>
    </reviewItem>
    <reviewItem>
      <errorID>18035622-798e-491a-b49f-61b4af9bfce2</errorID>
      <errorWord>~</errorWord>
      <group>L1_Format</group>
      <groupName>格式问题</groupName>
      <ability>L2_HalfPunc_CN</ability>
      <abilityName>全半角问题</abilityName>
      <candidateList>
        <item>～</item>
      </candidateList>
      <explain>文本全半角错误。</explain>
      <paraID>174D5851</paraID>
      <start>2</start>
      <end>3</end>
      <status>unmodified</status>
      <modifiedWord/>
      <trackRevisions>false</trackRevisions>
    </reviewItem>
    <reviewItem>
      <errorID>7a32b744-b36c-4a76-8ff4-0a42c75514df</errorID>
      <errorWord>最总</errorWord>
      <group>L1_Word</group>
      <groupName>字词问题</groupName>
      <ability>L2_Typo</ability>
      <abilityName>字词错误</abilityName>
      <candidateList>
        <item>最终</item>
      </candidateList>
      <explain/>
      <paraID>7A576EE6</paraID>
      <start>0</start>
      <end>2</end>
      <status>unmodified</status>
      <modifiedWord/>
      <trackRevisions>false</trackRevisions>
    </reviewItem>
    <reviewItem>
      <errorID>2aa4e535-3ec2-4873-bc2d-1c7079493a75</errorID>
      <errorWord>~</errorWord>
      <group>L1_Format</group>
      <groupName>格式问题</groupName>
      <ability>L2_HalfPunc_CN</ability>
      <abilityName>全半角问题</abilityName>
      <candidateList>
        <item>～</item>
      </candidateList>
      <explain>文本全半角错误。</explain>
      <paraID>32132825</paraID>
      <start>10</start>
      <end>11</end>
      <status>unmodified</status>
      <modifiedWord/>
      <trackRevisions>false</trackRevisions>
    </reviewItem>
    <reviewItem>
      <errorID>03ca595d-a5cd-47cd-8333-0ab2f2fb646f</errorID>
      <errorWord>~</errorWord>
      <group>L1_Format</group>
      <groupName>格式问题</groupName>
      <ability>L2_HalfPunc_CN</ability>
      <abilityName>全半角问题</abilityName>
      <candidateList>
        <item>～</item>
      </candidateList>
      <explain>文本全半角错误。</explain>
      <paraID>245613DB</paraID>
      <start>10</start>
      <end>11</end>
      <status>unmodified</status>
      <modifiedWord/>
      <trackRevisions>false</trackRevisions>
    </reviewItem>
    <reviewItem>
      <errorID>c1a7eac8-bd1d-433a-9300-ab3a177298b1</errorID>
      <errorWord>~</errorWord>
      <group>L1_Format</group>
      <groupName>格式问题</groupName>
      <ability>L2_HalfPunc_CN</ability>
      <abilityName>全半角问题</abilityName>
      <candidateList>
        <item>～</item>
      </candidateList>
      <explain>文本全半角错误。</explain>
      <paraID>4C1DB179</paraID>
      <start>7</start>
      <end>8</end>
      <status>unmodified</status>
      <modifiedWord/>
      <trackRevisions>false</trackRevisions>
    </reviewItem>
    <reviewItem>
      <errorID>3cedbc01-8921-4f7e-9fcc-130538f6c0d3</errorID>
      <errorWord>~</errorWord>
      <group>L1_Format</group>
      <groupName>格式问题</groupName>
      <ability>L2_HalfPunc_CN</ability>
      <abilityName>全半角问题</abilityName>
      <candidateList>
        <item>～</item>
      </candidateList>
      <explain>文本全半角错误。</explain>
      <paraID>443C2DFF</paraID>
      <start>4</start>
      <end>5</end>
      <status>unmodified</status>
      <modifiedWord/>
      <trackRevisions>false</trackRevisions>
    </reviewItem>
    <reviewItem>
      <errorID>8d23a65a-fc48-4334-b7f1-56e8032a47bc</errorID>
      <errorWord>~</errorWord>
      <group>L1_Format</group>
      <groupName>格式问题</groupName>
      <ability>L2_HalfPunc_CN</ability>
      <abilityName>全半角问题</abilityName>
      <candidateList>
        <item>～</item>
      </candidateList>
      <explain>文本全半角错误。</explain>
      <paraID>20FC806C</paraID>
      <start>113</start>
      <end>114</end>
      <status>unmodified</status>
      <modifiedWord/>
      <trackRevisions>false</trackRevisions>
    </reviewItem>
    <reviewItem>
      <errorID>5b2d6225-9ee9-445d-b325-39ad8fee4ce9</errorID>
      <errorWord>~</errorWord>
      <group>L1_Format</group>
      <groupName>格式问题</groupName>
      <ability>L2_HalfPunc_CN</ability>
      <abilityName>全半角问题</abilityName>
      <candidateList>
        <item>～</item>
      </candidateList>
      <explain>文本全半角错误。</explain>
      <paraID>20FC806C</paraID>
      <start>187</start>
      <end>188</end>
      <status>unmodified</status>
      <modifiedWord/>
      <trackRevisions>false</trackRevisions>
    </reviewItem>
    <reviewItem>
      <errorID>db1d4cb2-bbb4-4d07-8524-7f4c470dabe0</errorID>
      <errorWord>按《中华人民共和国</errorWord>
      <group>L1_Political</group>
      <groupName>政治性问题</groupName>
      <ability>L2_Unpolitical</ability>
      <abilityName>政治敏感错误</abilityName>
      <candidateList>
        <item>按照《中华人民共和国</item>
      </candidateList>
      <explain/>
      <paraID>4A40ED92</paraID>
      <start>296</start>
      <end>305</end>
      <status>unmodified</status>
      <modifiedWord/>
      <trackRevisions>false</trackRevisions>
    </reviewItem>
    <reviewItem>
      <errorID>c97fe163-c53b-4939-884b-d56a6ae95e5e</errorID>
      <errorWord>库库</errorWord>
      <group>L1_Word</group>
      <groupName>字词问题</groupName>
      <ability>L2_Typo</ability>
      <abilityName>字词错误</abilityName>
      <candidateList>
        <item>库</item>
      </candidateList>
      <explain/>
      <paraID>1A280AE8</paraID>
      <start>164</start>
      <end>165</end>
      <status>modified</status>
      <modifiedWord>库</modifiedWord>
      <trackRevisions>false</trackRevisions>
    </reviewItem>
    <reviewItem>
      <errorID>8acb53bf-4f13-4b59-964f-1143d80257e5</errorID>
      <errorWord>勘察</errorWord>
      <group>L1_Word</group>
      <groupName>字词问题</groupName>
      <ability>L2_Typo</ability>
      <abilityName>字词错误</abilityName>
      <candidateList>
        <item>勘查</item>
      </candidateList>
      <explain/>
      <paraID>5377D2B8</paraID>
      <start>4</start>
      <end>6</end>
      <status>modified</status>
      <modifiedWord>勘查</modifiedWord>
      <trackRevisions>false</trackRevisions>
    </reviewItem>
    <reviewItem>
      <errorID>7636c378-d0de-446b-84a8-dc24b32aa0eb</errorID>
      <errorWord>，</errorWord>
      <group>L1_Format</group>
      <groupName>格式问题</groupName>
      <ability>L2_HalfPunc_CN</ability>
      <abilityName>全半角问题</abilityName>
      <candidateList>
        <item>,</item>
      </candidateList>
      <explain>文本全半角错误。</explain>
      <paraID>3A860FB2</paraID>
      <start>8</start>
      <end>9</end>
      <status>unmodified</status>
      <modifiedWord/>
      <trackRevisions>false</trackRevisions>
    </reviewItem>
    <reviewItem>
      <errorID>2c561cd3-c61c-43d2-825d-f963b3b5c458</errorID>
      <errorWord>，</errorWord>
      <group>L1_Format</group>
      <groupName>格式问题</groupName>
      <ability>L2_HalfPunc_CN</ability>
      <abilityName>全半角问题</abilityName>
      <candidateList>
        <item>,</item>
      </candidateList>
      <explain>文本全半角错误。</explain>
      <paraID> 2473E0B</paraID>
      <start>8</start>
      <end>9</end>
      <status>unmodified</status>
      <modifiedWord/>
      <trackRevisions>false</trackRevisions>
    </reviewItem>
    <reviewItem>
      <errorID>c51f39bc-b667-4f2c-804b-b17e0d53ffe0</errorID>
      <errorWord>，</errorWord>
      <group>L1_Format</group>
      <groupName>格式问题</groupName>
      <ability>L2_HalfPunc_CN</ability>
      <abilityName>全半角问题</abilityName>
      <candidateList>
        <item>,</item>
      </candidateList>
      <explain>文本全半角错误。</explain>
      <paraID> A18B014</paraID>
      <start>8</start>
      <end>9</end>
      <status>unmodified</status>
      <modifiedWord/>
      <trackRevisions>false</trackRevisions>
    </reviewItem>
    <reviewItem>
      <errorID>0d8723d5-78c4-4cb2-b50e-e6c05bc96fc5</errorID>
      <errorWord>，</errorWord>
      <group>L1_Format</group>
      <groupName>格式问题</groupName>
      <ability>L2_HalfPunc_CN</ability>
      <abilityName>全半角问题</abilityName>
      <candidateList>
        <item>,</item>
      </candidateList>
      <explain>文本全半角错误。</explain>
      <paraID>6098AC39</paraID>
      <start>8</start>
      <end>9</end>
      <status>unmodified</status>
      <modifiedWord/>
      <trackRevisions>false</trackRevisions>
    </reviewItem>
    <reviewItem>
      <errorID>bb34b93e-5be8-4edb-9435-5eaaced90025</errorID>
      <errorWord>，</errorWord>
      <group>L1_Format</group>
      <groupName>格式问题</groupName>
      <ability>L2_HalfPunc_CN</ability>
      <abilityName>全半角问题</abilityName>
      <candidateList>
        <item>,</item>
      </candidateList>
      <explain>文本全半角错误。</explain>
      <paraID>5F75B9A9</paraID>
      <start>8</start>
      <end>9</end>
      <status>unmodified</status>
      <modifiedWord/>
      <trackRevisions>false</trackRevisions>
    </reviewItem>
    <reviewItem>
      <errorID>02f01ad2-fe5d-4ba1-96f9-55df70175cde</errorID>
      <errorWord>，</errorWord>
      <group>L1_Format</group>
      <groupName>格式问题</groupName>
      <ability>L2_HalfPunc_CN</ability>
      <abilityName>全半角问题</abilityName>
      <candidateList>
        <item>,</item>
      </candidateList>
      <explain>文本全半角错误。</explain>
      <paraID>6F6901C7</paraID>
      <start>8</start>
      <end>9</end>
      <status>unmodified</status>
      <modifiedWord/>
      <trackRevisions>false</trackRevisions>
    </reviewItem>
    <reviewItem>
      <errorID>3bf34db8-c941-4093-85c7-f380a67b0d82</errorID>
      <errorWord>（</errorWord>
      <group>L1_Format</group>
      <groupName>格式问题</groupName>
      <ability>L2_HalfPunc_CN</ability>
      <abilityName>全半角问题</abilityName>
      <candidateList>
        <item>(</item>
      </candidateList>
      <explain>文本全半角错误。</explain>
      <paraID>212B0420</paraID>
      <start>2</start>
      <end>3</end>
      <status>unmodified</status>
      <modifiedWord/>
      <trackRevisions>false</trackRevisions>
    </reviewItem>
    <reviewItem>
      <errorID>46fcdcea-488f-44e5-b948-2b81f8f628a8</errorID>
      <errorWord>）</errorWord>
      <group>L1_Format</group>
      <groupName>格式问题</groupName>
      <ability>L2_HalfPunc_CN</ability>
      <abilityName>全半角问题</abilityName>
      <candidateList>
        <item>)</item>
      </candidateList>
      <explain>文本全半角错误。</explain>
      <paraID>212B0420</paraID>
      <start>4</start>
      <end>5</end>
      <status>unmodified</status>
      <modifiedWord/>
      <trackRevisions>false</trackRevisions>
    </reviewItem>
    <reviewItem>
      <errorID>46bcfa5c-31b9-4e00-bb39-00401eecfcbc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5F8D2A65</paraID>
      <start>0</start>
      <end>2</end>
      <status>unmodified</status>
      <modifiedWord/>
      <trackRevisions>false</trackRevisions>
    </reviewItem>
    <reviewItem>
      <errorID>26425a7f-11b6-4b62-93c6-90c33ca5e3f1</errorID>
      <errorWord>胶粘剂</errorWord>
      <group>L1_Word</group>
      <groupName>字词问题</groupName>
      <ability>L2_Typo</ability>
      <abilityName>字词错误</abilityName>
      <candidateList>
        <item>胶黏剂</item>
      </candidateList>
      <explain/>
      <paraID>61B71059</paraID>
      <start>86</start>
      <end>89</end>
      <status>modified</status>
      <modifiedWord>胶黏剂</modifiedWord>
      <trackRevisions>false</trackRevisions>
    </reviewItem>
    <reviewItem>
      <errorID>fcdccb1c-08fd-454b-807c-0db5137e976d</errorID>
      <errorWord>胶粘剂</errorWord>
      <group>L1_Word</group>
      <groupName>字词问题</groupName>
      <ability>L2_Typo</ability>
      <abilityName>字词错误</abilityName>
      <candidateList>
        <item>胶黏剂</item>
      </candidateList>
      <explain/>
      <paraID>61B71059</paraID>
      <start>171</start>
      <end>174</end>
      <status>modified</status>
      <modifiedWord>胶黏剂</modifiedWord>
      <trackRevisions>false</trackRevisions>
    </reviewItem>
    <reviewItem>
      <errorID>54e52e1c-d58a-4249-8e9a-ac18ca6178dd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3E23E9AE</paraID>
      <start>0</start>
      <end>2</end>
      <status>unmodified</status>
      <modifiedWord/>
      <trackRevisions>false</trackRevisions>
    </reviewItem>
    <reviewItem>
      <errorID>732424e7-632d-4fb1-9687-f6d103ac6b84</errorID>
      <errorWord>泥砂</errorWord>
      <group>L1_Word</group>
      <groupName>字词问题</groupName>
      <ability>L2_Typo</ability>
      <abilityName>字词错误</abilityName>
      <candidateList>
        <item>泥沙</item>
      </candidateList>
      <explain>存在发音相同字词的误用。</explain>
      <paraID>4E4762BD</paraID>
      <start>26</start>
      <end>28</end>
      <status>modified</status>
      <modifiedWord>泥沙</modifiedWord>
      <trackRevisions>false</trackRevisions>
    </reviewItem>
    <reviewItem>
      <errorID>7a5c2736-ddb9-4a19-8a5e-9d436454fd03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345697E5</paraID>
      <start>0</start>
      <end>2</end>
      <status>unmodified</status>
      <modifiedWord/>
      <trackRevisions>false</trackRevisions>
    </reviewItem>
    <reviewItem>
      <errorID>cfe116ae-0ef9-47ad-91cd-be73f9abbce4</errorID>
      <errorWord>~</errorWord>
      <group>L1_Format</group>
      <groupName>格式问题</groupName>
      <ability>L2_HalfPunc_CN</ability>
      <abilityName>全半角问题</abilityName>
      <candidateList>
        <item>～</item>
      </candidateList>
      <explain>文本全半角错误。</explain>
      <paraID>186C1895</paraID>
      <start>145</start>
      <end>146</end>
      <status>unmodified</status>
      <modifiedWord/>
      <trackRevisions>false</trackRevisions>
    </reviewItem>
    <reviewItem>
      <errorID>0263cd71-93f8-4c6a-8612-4b017218b652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1E95B5E8</paraID>
      <start>0</start>
      <end>2</end>
      <status>unmodified</status>
      <modifiedWord/>
      <trackRevisions>false</trackRevisions>
    </reviewItem>
    <reviewItem>
      <errorID>27c67692-beb2-4195-ab53-0c60362870db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4BA7C234</paraID>
      <start>36</start>
      <end>37</end>
      <status>unmodified</status>
      <modifiedWord/>
      <trackRevisions>false</trackRevisions>
    </reviewItem>
    <reviewItem>
      <errorID>2a1b7d39-7272-4f2a-a03c-45343afeabab</errorID>
      <errorWord>程</errorWord>
      <group>L1_Word</group>
      <groupName>字词问题</groupName>
      <ability>L2_Typo</ability>
      <abilityName>字词错误</abilityName>
      <candidateList>
        <item>程中</item>
      </candidateList>
      <explain/>
      <paraID>2771F37C</paraID>
      <start>87</start>
      <end>88</end>
      <status>unmodified</status>
      <modifiedWord/>
      <trackRevisions>false</trackRevisions>
    </reviewItem>
    <reviewItem>
      <errorID>1ed3f662-54fa-4f58-b308-2ad3b7cefb2c</errorID>
      <errorWord>计</errorWord>
      <group>L1_Word</group>
      <groupName>字词问题</groupName>
      <ability>L2_Typo</ability>
      <abilityName>字词错误</abilityName>
      <candidateList>
        <item>计算</item>
      </candidateList>
      <explain/>
      <paraID>6779D123</paraID>
      <start>122</start>
      <end>124</end>
      <status>modified</status>
      <modifiedWord>计算</modifiedWord>
      <trackRevisions>false</trackRevisions>
    </reviewItem>
    <reviewItem>
      <errorID>dd44af81-7cce-41d4-81ac-9848345625fe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24162256</paraID>
      <start>4</start>
      <end>5</end>
      <status>unmodified</status>
      <modifiedWord/>
      <trackRevisions>false</trackRevisions>
    </reviewItem>
    <reviewItem>
      <errorID>26b3707a-a85c-4d5f-b644-af83f55ab583</errorID>
      <errorWord>~</errorWord>
      <group>L1_Format</group>
      <groupName>格式问题</groupName>
      <ability>L2_HalfPunc_CN</ability>
      <abilityName>全半角问题</abilityName>
      <candidateList>
        <item>～</item>
      </candidateList>
      <explain>文本全半角错误。</explain>
      <paraID>6340109B</paraID>
      <start>190</start>
      <end>191</end>
      <status>unmodified</status>
      <modifiedWord/>
      <trackRevisions>false</trackRevisions>
    </reviewItem>
    <reviewItem>
      <errorID>74ff79e0-1540-46aa-bfd1-601ab4760f42</errorID>
      <errorWord>~</errorWord>
      <group>L1_Format</group>
      <groupName>格式问题</groupName>
      <ability>L2_HalfPunc_CN</ability>
      <abilityName>全半角问题</abilityName>
      <candidateList>
        <item>～</item>
      </candidateList>
      <explain>文本全半角错误。</explain>
      <paraID>6340109B</paraID>
      <start>229</start>
      <end>230</end>
      <status>unmodified</status>
      <modifiedWord/>
      <trackRevisions>false</trackRevisions>
    </reviewItem>
    <reviewItem>
      <errorID>dce3d457-0649-4210-a313-1b101524f779</errorID>
      <errorWord>~</errorWord>
      <group>L1_Format</group>
      <groupName>格式问题</groupName>
      <ability>L2_HalfPunc_CN</ability>
      <abilityName>全半角问题</abilityName>
      <candidateList>
        <item>～</item>
      </candidateList>
      <explain>文本全半角错误。</explain>
      <paraID>6340109B</paraID>
      <start>277</start>
      <end>278</end>
      <status>unmodified</status>
      <modifiedWord/>
      <trackRevisions>false</trackRevisions>
    </reviewItem>
    <reviewItem>
      <errorID>d034a35e-ee50-455d-8b31-64666e6eddfe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A4B1895</paraID>
      <start>0</start>
      <end>2</end>
      <status>unmodified</status>
      <modifiedWord/>
      <trackRevisions>false</trackRevisions>
    </reviewItem>
    <reviewItem>
      <errorID>d877074b-e06a-4836-ae38-251da2a82176</errorID>
      <errorWord>~</errorWord>
      <group>L1_Format</group>
      <groupName>格式问题</groupName>
      <ability>L2_HalfPunc_CN</ability>
      <abilityName>全半角问题</abilityName>
      <candidateList>
        <item>～</item>
      </candidateList>
      <explain>文本全半角错误。</explain>
      <paraID>424A505F</paraID>
      <start>102</start>
      <end>103</end>
      <status>unmodified</status>
      <modifiedWord/>
      <trackRevisions>false</trackRevisions>
    </reviewItem>
    <reviewItem>
      <errorID>7929b68a-683c-4913-856c-5d0a2e749243</errorID>
      <errorWord>~</errorWord>
      <group>L1_Format</group>
      <groupName>格式问题</groupName>
      <ability>L2_HalfPunc_CN</ability>
      <abilityName>全半角问题</abilityName>
      <candidateList>
        <item>～</item>
      </candidateList>
      <explain>文本全半角错误。</explain>
      <paraID>131618EE</paraID>
      <start>2</start>
      <end>3</end>
      <status>unmodified</status>
      <modifiedWord/>
      <trackRevisions>false</trackRevisions>
    </reviewItem>
    <reviewItem>
      <errorID>09894047-f26b-44d0-8130-4da311bfbc4b</errorID>
      <errorWord>至于</errorWord>
      <group>L1_Word</group>
      <groupName>字词问题</groupName>
      <ability>L2_Typo</ability>
      <abilityName>字词错误</abilityName>
      <candidateList>
        <item>置于</item>
      </candidateList>
      <explain/>
      <paraID> 54DDE02</paraID>
      <start>46</start>
      <end>48</end>
      <status>modified</status>
      <modifiedWord>置于</modifiedWord>
      <trackRevisions>false</trackRevisions>
    </reviewItem>
    <reviewItem>
      <errorID>e6f9c7c5-440c-44aa-9762-583d71309734</errorID>
      <errorWord>须</errorWord>
      <group>L1_Word</group>
      <groupName>字词问题</groupName>
      <ability>L2_Typo</ability>
      <abilityName>字词错误</abilityName>
      <candidateList>
        <item>须保</item>
      </candidateList>
      <explain/>
      <paraID> B408FA3</paraID>
      <start>17</start>
      <end>19</end>
      <status>modified</status>
      <modifiedWord>须保</modifiedWord>
      <trackRevisions>false</trackRevisions>
    </reviewItem>
    <reviewItem>
      <errorID>b1881141-d285-4609-a44a-2c8fd57c10ee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3083C77</paraID>
      <start>123</start>
      <end>124</end>
      <status>unmodified</status>
      <modifiedWord/>
      <trackRevisions>false</trackRevisions>
    </reviewItem>
    <reviewItem>
      <errorID>9f75a10f-a9e3-44f6-bc8f-4da15d442a98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3083C77</paraID>
      <start>160</start>
      <end>161</end>
      <status>unmodified</status>
      <modifiedWord/>
      <trackRevisions>false</trackRevisions>
    </reviewItem>
    <reviewItem>
      <errorID>1aeb9861-b1dc-4ebc-89b8-f49b30644373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1B5E447</paraID>
      <start>0</start>
      <end>2</end>
      <status>unmodified</status>
      <modifiedWord/>
      <trackRevisions>false</trackRevisions>
    </reviewItem>
    <reviewItem>
      <errorID>6123e6ff-f778-44a7-97a6-fc77e0f165e3</errorID>
      <errorWord>库库</errorWord>
      <group>L1_Word</group>
      <groupName>字词问题</groupName>
      <ability>L2_Typo</ability>
      <abilityName>字词错误</abilityName>
      <candidateList>
        <item>库</item>
      </candidateList>
      <explain/>
      <paraID>3CF976F2</paraID>
      <start>105</start>
      <end>106</end>
      <status>modified</status>
      <modifiedWord>库</modifiedWord>
      <trackRevisions>false</trackRevisions>
    </reviewItem>
    <reviewItem>
      <errorID>26c11c5f-45a6-4f55-a3b0-b8b9345fee7c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2820EC4</paraID>
      <start>0</start>
      <end>2</end>
      <status>unmodified</status>
      <modifiedWord/>
      <trackRevisions>false</trackRevisions>
    </reviewItem>
    <reviewItem>
      <errorID>1c253539-bf1d-4301-a348-24213cbbf4c8</errorID>
      <errorWord>库库</errorWord>
      <group>L1_Word</group>
      <groupName>字词问题</groupName>
      <ability>L2_Typo</ability>
      <abilityName>字词错误</abilityName>
      <candidateList>
        <item>库</item>
      </candidateList>
      <explain/>
      <paraID>323C9D81</paraID>
      <start>244</start>
      <end>245</end>
      <status>modified</status>
      <modifiedWord>库</modifiedWord>
      <trackRevisions>false</trackRevisions>
    </reviewItem>
    <reviewItem>
      <errorID>5e87f0e5-8e1f-4771-82ba-6527ad251ebb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4E6B404A</paraID>
      <start>0</start>
      <end>2</end>
      <status>unmodified</status>
      <modifiedWord/>
      <trackRevisions>false</trackRevisions>
    </reviewItem>
    <reviewItem>
      <errorID>dccfd118-039d-433e-ae42-0b2c7a2d74da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51B0A5E4</paraID>
      <start>0</start>
      <end>2</end>
      <status>unmodified</status>
      <modifiedWord/>
      <trackRevisions>false</trackRevisions>
    </reviewItem>
    <reviewItem>
      <errorID>21c9ddc7-d0be-4916-92bb-0e2604896093</errorID>
      <errorWord>泄露</errorWord>
      <group>L1_Word</group>
      <groupName>字词问题</groupName>
      <ability>L2_Typo</ability>
      <abilityName>字词错误</abilityName>
      <candidateList>
        <item>泄漏</item>
      </candidateList>
      <explain>存在发音相同字词的误用。</explain>
      <paraID>38D479F6</paraID>
      <start>11</start>
      <end>13</end>
      <status>modified</status>
      <modifiedWord>泄漏</modifiedWord>
      <trackRevisions>false</trackRevisions>
    </reviewItem>
    <reviewItem>
      <errorID>3f6575de-ef22-4ffe-8b67-62d6a7b94954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36F257C8</paraID>
      <start>0</start>
      <end>2</end>
      <status>unmodified</status>
      <modifiedWord/>
      <trackRevisions>false</trackRevisions>
    </reviewItem>
    <reviewItem>
      <errorID>8802971e-cd09-4bdb-a5e0-839da0160db2</errorID>
      <errorWord>使用</errorWord>
      <group>L1_Grammar</group>
      <groupName>语法问题</groupName>
      <ability>L2_Grammar</ability>
      <abilityName>语法错误</abilityName>
      <candidateList>
        <item>采取</item>
      </candidateList>
      <explain>“使用～措施”搭配不当，建议修改为“采取～措施”。</explain>
      <paraID>4AB5D10E</paraID>
      <start>3</start>
      <end>5</end>
      <status>modified</status>
      <modifiedWord>采取</modifiedWord>
      <trackRevisions>false</trackRevisions>
    </reviewItem>
    <reviewItem>
      <errorID>485ad02f-5957-4d96-a752-219e2b54157d</errorID>
      <errorWord>）中</errorWord>
      <group>L1_Word</group>
      <groupName>字词问题</groupName>
      <ability>L2_Typo</ability>
      <abilityName>字词错误</abilityName>
      <candidateList>
        <item>）</item>
      </candidateList>
      <explain/>
      <paraID>46D5897D</paraID>
      <start>90</start>
      <end>92</end>
      <status>unmodified</status>
      <modifiedWord/>
      <trackRevisions>false</trackRevisions>
    </reviewItem>
    <reviewItem>
      <errorID>e4b85f2c-e1ed-45d5-8105-5f783180fad2</errorID>
      <errorWord>冲洗</errorWord>
      <group>L1_Word</group>
      <groupName>字词问题</groupName>
      <ability>L2_Typo</ability>
      <abilityName>字词错误</abilityName>
      <candidateList>
        <item>冲</item>
      </candidateList>
      <explain/>
      <paraID>64F09AD2</paraID>
      <start>143</start>
      <end>144</end>
      <status>modified</status>
      <modifiedWord>冲</modifiedWord>
      <trackRevisions>false</trackRevisions>
    </reviewItem>
    <reviewItem>
      <errorID>dd3c564b-fb49-4c90-ad97-9445538bc0d0</errorID>
      <errorWord>泄露</errorWord>
      <group>L1_Word</group>
      <groupName>字词问题</groupName>
      <ability>L2_Typo</ability>
      <abilityName>字词错误</abilityName>
      <candidateList>
        <item>泄漏</item>
      </candidateList>
      <explain/>
      <paraID>7054B249</paraID>
      <start>5</start>
      <end>7</end>
      <status>modified</status>
      <modifiedWord>泄漏</modifiedWord>
      <trackRevisions>false</trackRevisions>
    </reviewItem>
    <reviewItem>
      <errorID>f93e5dc4-5765-4a62-92e4-3f7bf8285b25</errorID>
      <errorWord>设</errorWord>
      <group>L1_Word</group>
      <groupName>字词问题</groupName>
      <ability>L2_Typo</ability>
      <abilityName>字词错误</abilityName>
      <candidateList>
        <item>设置</item>
      </candidateList>
      <explain>〈动〉❶设立：这座剧院是为儿童～的。❷安放；安装：～障碍。</explain>
      <paraID>7054B249</paraID>
      <start>98</start>
      <end>100</end>
      <status>modified</status>
      <modifiedWord>设置</modifiedWord>
      <trackRevisions>false</trackRevisions>
    </reviewItem>
    <reviewItem>
      <errorID>0c31be7d-b252-43f9-aca9-df7f3ad83e7c</errorID>
      <errorWord>泄露</errorWord>
      <group>L1_Word</group>
      <groupName>字词问题</groupName>
      <ability>L2_Typo</ability>
      <abilityName>字词错误</abilityName>
      <candidateList>
        <item>泄漏</item>
      </candidateList>
      <explain>存在发音相同字词的误用。</explain>
      <paraID>7054B249</paraID>
      <start>107</start>
      <end>109</end>
      <status>modified</status>
      <modifiedWord>泄漏</modifiedWord>
      <trackRevisions>false</trackRevisions>
    </reviewItem>
    <reviewItem>
      <errorID>cc2f62c1-fec5-4cb6-a4a3-bc136104c0e3</errorID>
      <errorWord>泄露</errorWord>
      <group>L1_Word</group>
      <groupName>字词问题</groupName>
      <ability>L2_Typo</ability>
      <abilityName>字词错误</abilityName>
      <candidateList>
        <item>泄漏</item>
      </candidateList>
      <explain>存在发音相同字词的误用。</explain>
      <paraID>7054B249</paraID>
      <start>144</start>
      <end>146</end>
      <status>modified</status>
      <modifiedWord>泄漏</modifiedWord>
      <trackRevisions>false</trackRevisions>
    </reviewItem>
    <reviewItem>
      <errorID>83eb19c7-e9c9-4453-a2df-5ce6ae333e6c</errorID>
      <errorWord>泄露</errorWord>
      <group>L1_Word</group>
      <groupName>字词问题</groupName>
      <ability>L2_Typo</ability>
      <abilityName>字词错误</abilityName>
      <candidateList>
        <item>泄漏</item>
      </candidateList>
      <explain>存在发音相同字词的误用。</explain>
      <paraID>7054B249</paraID>
      <start>183</start>
      <end>185</end>
      <status>modified</status>
      <modifiedWord>泄漏</modifiedWord>
      <trackRevisions>false</trackRevisions>
    </reviewItem>
    <reviewItem>
      <errorID>39d3ad69-3f3b-4b54-ac41-f3f2325c10ee</errorID>
      <errorWord>泄露</errorWord>
      <group>L1_Word</group>
      <groupName>字词问题</groupName>
      <ability>L2_Typo</ability>
      <abilityName>字词错误</abilityName>
      <candidateList>
        <item>泄漏</item>
      </candidateList>
      <explain/>
      <paraID>7054B249</paraID>
      <start>203</start>
      <end>205</end>
      <status>modified</status>
      <modifiedWord>泄漏</modifiedWord>
      <trackRevisions>false</trackRevisions>
    </reviewItem>
    <reviewItem>
      <errorID>5b3eeaab-756b-4d74-a214-4b0e31f8a80a</errorID>
      <errorWord>用</errorWord>
      <group>L1_Word</group>
      <groupName>字词问题</groupName>
      <ability>L2_Typo</ability>
      <abilityName>字词错误</abilityName>
      <candidateList>
        <item>用大</item>
      </candidateList>
      <explain/>
      <paraID>7054B249</paraID>
      <start>210</start>
      <end>212</end>
      <status>modified</status>
      <modifiedWord>用大</modifiedWord>
      <trackRevisions>false</trackRevisions>
    </reviewItem>
    <reviewItem>
      <errorID>b0ba35ab-24bd-4011-95f2-333af22c648c</errorID>
      <errorWord>泄露</errorWord>
      <group>L1_Word</group>
      <groupName>字词问题</groupName>
      <ability>L2_Typo</ability>
      <abilityName>字词错误</abilityName>
      <candidateList>
        <item>泄漏</item>
      </candidateList>
      <explain/>
      <paraID>6E183035</paraID>
      <start>22</start>
      <end>24</end>
      <status>modified</status>
      <modifiedWord>泄漏</modifiedWord>
      <trackRevisions>false</trackRevisions>
    </reviewItem>
    <reviewItem>
      <errorID>4d818338-ec2b-4cab-bd51-9015d23a93df</errorID>
      <errorWord>撒</errorWord>
      <group>L1_Word</group>
      <groupName>字词问题</groupName>
      <ability>L2_Typo</ability>
      <abilityName>字词错误</abilityName>
      <candidateList>
        <item>洒</item>
      </candidateList>
      <explain>存在发音相同字词的误用。</explain>
      <paraID>79561775</paraID>
      <start>1</start>
      <end>2</end>
      <status>modified</status>
      <modifiedWord>洒</modifiedWord>
      <trackRevisions>false</trackRevisions>
    </reviewItem>
    <reviewItem>
      <errorID>bf7e34d5-b103-4c21-b227-6e5f8541418e</errorID>
      <errorWord>泄露</errorWord>
      <group>L1_Word</group>
      <groupName>字词问题</groupName>
      <ability>L2_Typo</ability>
      <abilityName>字词错误</abilityName>
      <candidateList>
        <item>泄漏</item>
      </candidateList>
      <explain/>
      <paraID>482A4EEA</paraID>
      <start>20</start>
      <end>22</end>
      <status>modified</status>
      <modifiedWord>泄漏</modifiedWord>
      <trackRevisions>false</trackRevisions>
    </reviewItem>
    <reviewItem>
      <errorID>ba870f8c-bbe4-48a8-a36f-a5568cbdd8a7</errorID>
      <errorWord>泄露</errorWord>
      <group>L1_Word</group>
      <groupName>字词问题</groupName>
      <ability>L2_Typo</ability>
      <abilityName>字词错误</abilityName>
      <candidateList>
        <item>泄漏</item>
      </candidateList>
      <explain/>
      <paraID>5109472F</paraID>
      <start>19</start>
      <end>21</end>
      <status>modified</status>
      <modifiedWord>泄漏</modifiedWord>
      <trackRevisions>false</trackRevisions>
    </reviewItem>
    <reviewItem>
      <errorID>81ff2c67-b0bb-4e46-afbe-30401c617fe4</errorID>
      <errorWord>泄露</errorWord>
      <group>L1_Word</group>
      <groupName>字词问题</groupName>
      <ability>L2_Typo</ability>
      <abilityName>字词错误</abilityName>
      <candidateList>
        <item>泄漏</item>
      </candidateList>
      <explain/>
      <paraID> E907CFB</paraID>
      <start>24</start>
      <end>26</end>
      <status>modified</status>
      <modifiedWord>泄漏</modifiedWord>
      <trackRevisions>false</trackRevisions>
    </reviewItem>
    <reviewItem>
      <errorID>0f3221b0-3346-4c9b-a01e-33a6517e5959</errorID>
      <errorWord>泄露</errorWord>
      <group>L1_Word</group>
      <groupName>字词问题</groupName>
      <ability>L2_Typo</ability>
      <abilityName>字词错误</abilityName>
      <candidateList>
        <item>泄漏</item>
      </candidateList>
      <explain/>
      <paraID>1FAA6B33</paraID>
      <start>18</start>
      <end>20</end>
      <status>modified</status>
      <modifiedWord>泄漏</modifiedWord>
      <trackRevisions>false</trackRevisions>
    </reviewItem>
    <reviewItem>
      <errorID>80860718-1a83-4e13-9f71-8e3af1decee3</errorID>
      <errorWord>沙</errorWord>
      <group>L1_Word</group>
      <groupName>字词问题</groupName>
      <ability>L2_Typo</ability>
      <abilityName>字词错误</abilityName>
      <candidateList>
        <item>砂</item>
      </candidateList>
      <explain>存在发音相同字词的误用。</explain>
      <paraID>4CB5732C</paraID>
      <start>5</start>
      <end>6</end>
      <status>modified</status>
      <modifiedWord>砂</modifiedWord>
      <trackRevisions>false</trackRevisions>
    </reviewItem>
    <reviewItem>
      <errorID>7823f371-1367-497b-9bda-00a5f09312f0</errorID>
      <errorWord>泄露</errorWord>
      <group>L1_Word</group>
      <groupName>字词问题</groupName>
      <ability>L2_Typo</ability>
      <abilityName>字词错误</abilityName>
      <candidateList>
        <item>泄漏</item>
      </candidateList>
      <explain/>
      <paraID> 16A9095</paraID>
      <start>23</start>
      <end>25</end>
      <status>modified</status>
      <modifiedWord>泄漏</modifiedWord>
      <trackRevisions>false</trackRevisions>
    </reviewItem>
    <reviewItem>
      <errorID>e38b01e9-2295-4b30-951b-172ff42c1892</errorID>
      <errorWord>作</errorWord>
      <group>L1_Word</group>
      <groupName>字词问题</groupName>
      <ability>L2_Typo</ability>
      <abilityName>字词错误</abilityName>
      <candidateList>
        <item>做</item>
      </candidateList>
      <explain>存在发音相同字词的误用。</explain>
      <paraID> 251A5D9</paraID>
      <start>26</start>
      <end>27</end>
      <status>modified</status>
      <modifiedWord>做</modifiedWord>
      <trackRevisions>false</trackRevisions>
    </reviewItem>
    <reviewItem>
      <errorID>f30feca7-e8bb-45b2-a97b-bd3320664a87</errorID>
      <errorWord>泄露</errorWord>
      <group>L1_Word</group>
      <groupName>字词问题</groupName>
      <ability>L2_Typo</ability>
      <abilityName>字词错误</abilityName>
      <candidateList>
        <item>泄漏</item>
      </candidateList>
      <explain/>
      <paraID>5C6D4194</paraID>
      <start>21</start>
      <end>23</end>
      <status>modified</status>
      <modifiedWord>泄漏</modifiedWord>
      <trackRevisions>false</trackRevisions>
    </reviewItem>
    <reviewItem>
      <errorID>9a27fd93-81fa-48ed-8698-f9502e124bd3</errorID>
      <errorWord>泄露</errorWord>
      <group>L1_Word</group>
      <groupName>字词问题</groupName>
      <ability>L2_Typo</ability>
      <abilityName>字词错误</abilityName>
      <candidateList>
        <item>泄漏</item>
      </candidateList>
      <explain/>
      <paraID> BC0AE22</paraID>
      <start>24</start>
      <end>26</end>
      <status>modified</status>
      <modifiedWord>泄漏</modifiedWord>
      <trackRevisions>false</trackRevisions>
    </reviewItem>
    <reviewItem>
      <errorID>853d63ff-b7b8-4b11-9014-7a90a13d6225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2884CD89</paraID>
      <start>0</start>
      <end>2</end>
      <status>unmodified</status>
      <modifiedWord/>
      <trackRevisions>false</trackRevisions>
    </reviewItem>
    <reviewItem>
      <errorID>7a9b7940-7ed7-4b2e-8480-2ab329879165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61E79FE0</paraID>
      <start>0</start>
      <end>2</end>
      <status>unmodified</status>
      <modifiedWord/>
      <trackRevisions>false</trackRevisions>
    </reviewItem>
    <reviewItem>
      <errorID>fba89019-66a6-4583-96ed-ddb1256f7b4a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121FFFD6</paraID>
      <start>0</start>
      <end>2</end>
      <status>unmodified</status>
      <modifiedWord/>
      <trackRevisions>false</trackRevisions>
    </reviewItem>
    <reviewItem>
      <errorID>cdaea209-e797-4c57-908f-981b3f9b5a6b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4C72507B</paraID>
      <start>0</start>
      <end>2</end>
      <status>unmodified</status>
      <modifiedWord/>
      <trackRevisions>false</trackRevisions>
    </reviewItem>
    <reviewItem>
      <errorID>3951c490-f3a4-40f2-b110-0e75df0ad4c9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4F23DD30</paraID>
      <start>0</start>
      <end>2</end>
      <status>unmodified</status>
      <modifiedWord/>
      <trackRevisions>false</trackRevisions>
    </reviewItem>
    <reviewItem>
      <errorID>ba6f66d4-75f2-4aa8-b820-625e05d2b275</errorID>
      <errorWord>~</errorWord>
      <group>L1_Format</group>
      <groupName>格式问题</groupName>
      <ability>L2_HalfPunc_CN</ability>
      <abilityName>全半角问题</abilityName>
      <candidateList>
        <item>～</item>
      </candidateList>
      <explain>文本全半角错误。</explain>
      <paraID>3B930FD9</paraID>
      <start>6</start>
      <end>7</end>
      <status>unmodified</status>
      <modifiedWord/>
      <trackRevisions>false</trackRevisions>
    </reviewItem>
    <reviewItem>
      <errorID>42ce1f88-470f-4ef9-aa6e-c9fceb1465b2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2528E0F5</paraID>
      <start>0</start>
      <end>2</end>
      <status>unmodified</status>
      <modifiedWord/>
      <trackRevisions>false</trackRevisions>
    </reviewItem>
    <reviewItem>
      <errorID>91f58c07-3921-41b9-9a2e-7e0e2957e870</errorID>
      <errorWord>~</errorWord>
      <group>L1_Format</group>
      <groupName>格式问题</groupName>
      <ability>L2_HalfPunc_CN</ability>
      <abilityName>全半角问题</abilityName>
      <candidateList>
        <item>～</item>
      </candidateList>
      <explain>文本全半角错误。</explain>
      <paraID>5ADCD0BC</paraID>
      <start>6</start>
      <end>7</end>
      <status>unmodified</status>
      <modifiedWord/>
      <trackRevisions>false</trackRevisions>
    </reviewItem>
    <reviewItem>
      <errorID>df54e3a1-8505-4eeb-95f4-da0a67a8db8d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4EAE6B7A</paraID>
      <start>0</start>
      <end>2</end>
      <status>unmodified</status>
      <modifiedWord/>
      <trackRevisions>false</trackRevisions>
    </reviewItem>
    <reviewItem>
      <errorID>6f9a8bf6-b8c4-4a4a-8379-cc99a37816e2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3B39E974</paraID>
      <start>0</start>
      <end>2</end>
      <status>unmodified</status>
      <modifiedWord/>
      <trackRevisions>false</trackRevisions>
    </reviewItem>
    <reviewItem>
      <errorID>a574e167-2d31-4915-92a4-ac8ed69b9c35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289CF3B6</paraID>
      <start>0</start>
      <end>2</end>
      <status>unmodified</status>
      <modifiedWord/>
      <trackRevisions>false</trackRevisions>
    </reviewItem>
    <reviewItem>
      <errorID>2c4b2b01-d201-41d6-b3fc-deafb82b046e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1EE244B1</paraID>
      <start>0</start>
      <end>2</end>
      <status>unmodified</status>
      <modifiedWord/>
      <trackRevisions>false</trackRevisions>
    </reviewItem>
    <reviewItem>
      <errorID>0747ce28-ba89-42ab-a84d-56fd9b3ffe1c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3195D67C</paraID>
      <start>0</start>
      <end>2</end>
      <status>unmodified</status>
      <modifiedWord/>
      <trackRevisions>false</trackRevisions>
    </reviewItem>
    <reviewItem>
      <errorID>d6eb4aa2-d216-4a40-be80-8da77533591b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7B731D39</paraID>
      <start>0</start>
      <end>2</end>
      <status>unmodified</status>
      <modifiedWord/>
      <trackRevisions>false</trackRevisions>
    </reviewItem>
    <reviewItem>
      <errorID>af8e51e3-7ce0-47f1-a03a-a090c1becab8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380B247C</paraID>
      <start>0</start>
      <end>2</end>
      <status>unmodified</status>
      <modifiedWord/>
      <trackRevisions>false</trackRevisions>
    </reviewItem>
    <reviewItem>
      <errorID>8c74d51e-2e41-4f7e-8133-503ad3a9b755</errorID>
      <errorWord>~</errorWord>
      <group>L1_Format</group>
      <groupName>格式问题</groupName>
      <ability>L2_HalfPunc_CN</ability>
      <abilityName>全半角问题</abilityName>
      <candidateList>
        <item>～</item>
      </candidateList>
      <explain>文本全半角错误。</explain>
      <paraID>380B247C</paraID>
      <start>12</start>
      <end>13</end>
      <status>unmodified</status>
      <modifiedWord/>
      <trackRevisions>false</trackRevisions>
    </reviewItem>
    <reviewItem>
      <errorID>a6ef9fbf-a30f-4337-9b4e-2c4d59cd6927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416A770D</paraID>
      <start>0</start>
      <end>2</end>
      <status>unmodified</status>
      <modifiedWord/>
      <trackRevisions>false</trackRevisions>
    </reviewItem>
    <reviewItem>
      <errorID>d4cda283-a573-4e9d-9a87-a6e27f5dd082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322ED54A</paraID>
      <start>0</start>
      <end>2</end>
      <status>unmodified</status>
      <modifiedWord/>
      <trackRevisions>false</trackRevisions>
    </reviewItem>
    <reviewItem>
      <errorID>8542ac66-9ba6-4b6b-b3fe-3c55eda28b06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5F836A43</paraID>
      <start>0</start>
      <end>2</end>
      <status>unmodified</status>
      <modifiedWord/>
      <trackRevisions>false</trackRevisions>
    </reviewItem>
    <reviewItem>
      <errorID>e9438244-6835-4f44-9657-193152cdf313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10250A5A</paraID>
      <start>0</start>
      <end>2</end>
      <status>unmodified</status>
      <modifiedWord/>
      <trackRevisions>false</trackRevisions>
    </reviewItem>
    <reviewItem>
      <errorID>31935847-345e-4447-8228-fe75fd971f12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667BA503</paraID>
      <start>0</start>
      <end>2</end>
      <status>unmodified</status>
      <modifiedWord/>
      <trackRevisions>false</trackRevisions>
    </reviewItem>
    <reviewItem>
      <errorID>a14d8ffa-f245-4ce3-ba1e-cac3a3f60e2f</errorID>
      <errorWord>库库</errorWord>
      <group>L1_Word</group>
      <groupName>字词问题</groupName>
      <ability>L2_Typo</ability>
      <abilityName>字词错误</abilityName>
      <candidateList>
        <item>库</item>
      </candidateList>
      <explain/>
      <paraID>1375171A</paraID>
      <start>91</start>
      <end>92</end>
      <status>modified</status>
      <modifiedWord>库</modifiedWord>
      <trackRevisions>false</trackRevisions>
    </reviewItem>
    <reviewItem>
      <errorID>6aeedcad-2722-42b0-8cd7-9ecbc19e3260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316EEE61</paraID>
      <start>94</start>
      <end>95</end>
      <status>unmodified</status>
      <modifiedWord/>
      <trackRevisions>false</trackRevisions>
    </reviewItem>
    <reviewItem>
      <errorID>85139a85-b82d-4e5c-9c98-75b1d76ba60d</errorID>
      <errorWord>污染物物排放</errorWord>
      <group>L1_Word</group>
      <groupName>字词问题</groupName>
      <ability>L2_Typo</ability>
      <abilityName>字词错误</abilityName>
      <candidateList>
        <item>污染物排放</item>
      </candidateList>
      <explain/>
      <paraID>316EEE61</paraID>
      <start>111</start>
      <end>116</end>
      <status>modified</status>
      <modifiedWord>污染物排放</modifiedWord>
      <trackRevisions>false</trackRevisions>
    </reviewItem>
    <reviewItem>
      <errorID>3913166a-f8f1-4f90-bca5-16769837a37b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31B391DD</paraID>
      <start>0</start>
      <end>2</end>
      <status>unmodified</status>
      <modifiedWord/>
      <trackRevisions>false</trackRevisions>
    </reviewItem>
    <reviewItem>
      <errorID>4df103c5-3a82-42c5-b7cc-c481ba71d702</errorID>
      <errorWord>~</errorWord>
      <group>L1_Format</group>
      <groupName>格式问题</groupName>
      <ability>L2_HalfPunc_CN</ability>
      <abilityName>全半角问题</abilityName>
      <candidateList>
        <item>～</item>
      </candidateList>
      <explain>文本全半角错误。</explain>
      <paraID> 2C27354</paraID>
      <start>6</start>
      <end>7</end>
      <status>unmodified</status>
      <modifiedWord/>
      <trackRevisions>false</trackRevisions>
    </reviewItem>
    <reviewItem>
      <errorID>be1bec62-5eb2-49bd-9627-5e8cc51d50ab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3CE6048D</paraID>
      <start>0</start>
      <end>2</end>
      <status>unmodified</status>
      <modifiedWord/>
      <trackRevisions>false</trackRevisions>
    </reviewItem>
    <reviewItem>
      <errorID>f93ad5a6-dd69-4446-add8-dcb7f07b597c</errorID>
      <errorWord>~</errorWord>
      <group>L1_Format</group>
      <groupName>格式问题</groupName>
      <ability>L2_HalfPunc_CN</ability>
      <abilityName>全半角问题</abilityName>
      <candidateList>
        <item>～</item>
      </candidateList>
      <explain>文本全半角错误。</explain>
      <paraID>208264AB</paraID>
      <start>6</start>
      <end>7</end>
      <status>unmodified</status>
      <modifiedWord/>
      <trackRevisions>false</trackRevisions>
    </reviewItem>
    <reviewItem>
      <errorID>3807b926-9113-49d0-a5c0-b0cca8a8ac0b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54438C67</paraID>
      <start>0</start>
      <end>2</end>
      <status>unmodified</status>
      <modifiedWord/>
      <trackRevisions>false</trackRevisions>
    </reviewItem>
    <reviewItem>
      <errorID>82a658d2-bfcf-435a-b081-e09424378919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CAB3921</paraID>
      <start>0</start>
      <end>2</end>
      <status>unmodified</status>
      <modifiedWord/>
      <trackRevisions>false</trackRevisions>
    </reviewItem>
    <reviewItem>
      <errorID>19e0cfbf-b5b1-459b-a73f-bbf8190b9444</errorID>
      <errorWord>（</errorWord>
      <group>L1_Format</group>
      <groupName>格式问题</groupName>
      <ability>L2_HalfPunc_CN</ability>
      <abilityName>全半角问题</abilityName>
      <candidateList>
        <item>(</item>
      </candidateList>
      <explain>文本全半角错误。</explain>
      <paraID>5F43F92C</paraID>
      <start>5</start>
      <end>6</end>
      <status>unmodified</status>
      <modifiedWord/>
      <trackRevisions>false</trackRevisions>
    </reviewItem>
    <reviewItem>
      <errorID>c14748ff-235c-4a8c-9e55-ab6b95eb2611</errorID>
      <errorWord>）</errorWord>
      <group>L1_Format</group>
      <groupName>格式问题</groupName>
      <ability>L2_HalfPunc_CN</ability>
      <abilityName>全半角问题</abilityName>
      <candidateList>
        <item>)</item>
      </candidateList>
      <explain>文本全半角错误。</explain>
      <paraID>5F43F92C</paraID>
      <start>7</start>
      <end>8</end>
      <status>unmodified</status>
      <modifiedWord/>
      <trackRevisions>false</trackRevisions>
    </reviewItem>
    <reviewItem>
      <errorID>d6db81b3-c928-4c57-a38a-7472fcf07c17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5BFC6C64</paraID>
      <start>0</start>
      <end>2</end>
      <status>unmodified</status>
      <modifiedWord/>
      <trackRevisions>false</trackRevisions>
    </reviewItem>
    <reviewItem>
      <errorID>8f71a0f2-cf4a-48b1-8d17-05a0b5737636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18A821DA</paraID>
      <start>0</start>
      <end>2</end>
      <status>unmodified</status>
      <modifiedWord/>
      <trackRevisions>false</trackRevisions>
    </reviewItem>
    <reviewItem>
      <errorID>93178d8e-b6a2-4651-9c09-55863111c068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DAE37DB</paraID>
      <start>0</start>
      <end>2</end>
      <status>unmodified</status>
      <modifiedWord/>
      <trackRevisions>false</trackRevisions>
    </reviewItem>
    <reviewItem>
      <errorID>4fc619d3-f0f1-465a-b0fa-e0e68c6e5987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78875874</paraID>
      <start>0</start>
      <end>2</end>
      <status>unmodified</status>
      <modifiedWord/>
      <trackRevisions>false</trackRevisions>
    </reviewItem>
    <reviewItem>
      <errorID>37dfa18a-2487-4bf3-9dcf-d3aa467928da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356ACDAC</paraID>
      <start>0</start>
      <end>2</end>
      <status>unmodified</status>
      <modifiedWord/>
      <trackRevisions>false</trackRevisions>
    </reviewItem>
    <reviewItem>
      <errorID>c79509cb-84e5-4054-ab64-909966771252</errorID>
      <errorWord>~</errorWord>
      <group>L1_Format</group>
      <groupName>格式问题</groupName>
      <ability>L2_HalfPunc_CN</ability>
      <abilityName>全半角问题</abilityName>
      <candidateList>
        <item>～</item>
      </candidateList>
      <explain>文本全半角错误。</explain>
      <paraID>356ACDAC</paraID>
      <start>12</start>
      <end>13</end>
      <status>unmodified</status>
      <modifiedWord/>
      <trackRevisions>false</trackRevisions>
    </reviewItem>
    <reviewItem>
      <errorID>4221b317-051e-4fa4-bbb1-66d0b27aeb45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181119B4</paraID>
      <start>0</start>
      <end>2</end>
      <status>unmodified</status>
      <modifiedWord/>
      <trackRevisions>false</trackRevisions>
    </reviewItem>
    <reviewItem>
      <errorID>ff03b5fa-a54a-4ca1-bf63-21bca2c75286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3433EA3A</paraID>
      <start>0</start>
      <end>2</end>
      <status>unmodified</status>
      <modifiedWord/>
      <trackRevisions>false</trackRevisions>
    </reviewItem>
    <reviewItem>
      <errorID>48c60536-1c31-4348-b586-56b42136fe09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76ABBF69</paraID>
      <start>0</start>
      <end>2</end>
      <status>unmodified</status>
      <modifiedWord/>
      <trackRevisions>false</trackRevisions>
    </reviewItem>
    <reviewItem>
      <errorID>47e0def5-0bf1-4590-a50d-c52dcae8185c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79F52D60</paraID>
      <start>0</start>
      <end>2</end>
      <status>unmodified</status>
      <modifiedWord/>
      <trackRevisions>false</trackRevisions>
    </reviewItem>
    <reviewItem>
      <errorID>2f80ff39-9f74-4ead-ae13-8ba2f09dc13e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7B03C16E</paraID>
      <start>0</start>
      <end>2</end>
      <status>unmodified</status>
      <modifiedWord/>
      <trackRevisions>false</trackRevisions>
    </reviewItem>
    <reviewItem>
      <errorID>18cba613-fc58-4e09-a081-7cf4aa762387</errorID>
      <errorWord>库库</errorWord>
      <group>L1_Word</group>
      <groupName>字词问题</groupName>
      <ability>L2_Typo</ability>
      <abilityName>字词错误</abilityName>
      <candidateList>
        <item>库</item>
      </candidateList>
      <explain/>
      <paraID>175A676D</paraID>
      <start>91</start>
      <end>92</end>
      <status>modified</status>
      <modifiedWord>库</modifiedWord>
      <trackRevisions>false</trackRevisions>
    </reviewItem>
    <reviewItem>
      <errorID>2b3b9b6d-a9e5-4bd7-b0d8-d99fa45e356e</errorID>
      <errorWord>~</errorWord>
      <group>L1_Format</group>
      <groupName>格式问题</groupName>
      <ability>L2_HalfPunc_CN</ability>
      <abilityName>全半角问题</abilityName>
      <candidateList>
        <item>～</item>
      </candidateList>
      <explain>文本全半角错误。</explain>
      <paraID>40922412</paraID>
      <start>12</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a03ad0-208a-42f1-9bd2-fa2b03be7de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96</Pages>
  <Words>18854</Words>
  <Characters>21554</Characters>
  <Lines>13</Lines>
  <Paragraphs>3</Paragraphs>
  <TotalTime>3</TotalTime>
  <ScaleCrop>false</ScaleCrop>
  <LinksUpToDate>false</LinksUpToDate>
  <CharactersWithSpaces>21555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Coco</cp:lastModifiedBy>
  <cp:lastPrinted>2026-07-09T03:10:00Z</cp:lastPrinted>
  <dcterms:modified xsi:type="dcterms:W3CDTF">2026-07-13T03:14:11Z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E0049E3C590A4659B69922395C5D1508_13</vt:lpwstr>
  </property>
  <property fmtid="{D5CDD505-2E9C-101B-9397-08002B2CF9AE}" pid="4" name="KSOTemplateDocerSaveRecord">
    <vt:lpwstr>eyJoZGlkIjoiOWRiYzA1ZjQ3ZGQzOTVhN2Y3Y2FmMzBiMjU1YTYwZmUiLCJ1c2VySWQiOiIyNDY1NDUzNzIifQ==</vt:lpwstr>
  </property>
</Properties>
</file>