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2"/>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000000"/>
                <w:szCs w:val="21"/>
                <w:lang w:val="en-US" w:eastAsia="zh-CN"/>
              </w:rPr>
              <w:t>鄂尔多斯市东胜区阿布亥川河道治理工程</w:t>
            </w:r>
          </w:p>
        </w:tc>
        <w:tc>
          <w:tcPr>
            <w:tcW w:w="397" w:type="dxa"/>
            <w:vAlign w:val="center"/>
          </w:tcPr>
          <w:p w14:paraId="677BD658">
            <w:pPr>
              <w:spacing w:line="600" w:lineRule="exact"/>
              <w:jc w:val="center"/>
              <w:rPr>
                <w:color w:val="000000"/>
                <w:szCs w:val="21"/>
              </w:rPr>
            </w:pPr>
            <w:r>
              <w:rPr>
                <w:rFonts w:hint="eastAsia"/>
                <w:color w:val="000000"/>
                <w:szCs w:val="21"/>
              </w:rPr>
              <w:t>鄂尔多斯市东胜区罕台镇境内</w:t>
            </w:r>
          </w:p>
        </w:tc>
        <w:tc>
          <w:tcPr>
            <w:tcW w:w="465" w:type="dxa"/>
            <w:vAlign w:val="center"/>
          </w:tcPr>
          <w:p w14:paraId="25BCC080">
            <w:pPr>
              <w:spacing w:line="600" w:lineRule="exact"/>
              <w:jc w:val="center"/>
              <w:rPr>
                <w:color w:val="000000"/>
                <w:szCs w:val="21"/>
              </w:rPr>
            </w:pPr>
            <w:r>
              <w:rPr>
                <w:rFonts w:hint="eastAsia" w:eastAsia="宋体"/>
                <w:color w:val="000000"/>
                <w:szCs w:val="21"/>
                <w:lang w:val="en-US" w:eastAsia="zh-CN"/>
              </w:rPr>
              <w:t>鄂尔多斯市东胜区水利事业发展中</w:t>
            </w:r>
            <w:r>
              <w:rPr>
                <w:rFonts w:hint="eastAsia"/>
                <w:color w:val="000000"/>
                <w:szCs w:val="21"/>
                <w:lang w:val="en-US" w:eastAsia="zh-CN"/>
              </w:rPr>
              <w:t>心</w:t>
            </w:r>
            <w:r>
              <w:rPr>
                <w:rFonts w:hint="eastAsia" w:eastAsia="宋体"/>
                <w:color w:val="000000"/>
                <w:szCs w:val="21"/>
                <w:lang w:val="en-US" w:eastAsia="zh-CN"/>
              </w:rPr>
              <w:t xml:space="preserve"> </w:t>
            </w:r>
          </w:p>
        </w:tc>
        <w:tc>
          <w:tcPr>
            <w:tcW w:w="675" w:type="dxa"/>
            <w:vAlign w:val="center"/>
          </w:tcPr>
          <w:p w14:paraId="5D04F640">
            <w:pPr>
              <w:spacing w:line="600" w:lineRule="exact"/>
              <w:jc w:val="center"/>
              <w:rPr>
                <w:color w:val="000000"/>
                <w:szCs w:val="21"/>
              </w:rPr>
            </w:pPr>
            <w:r>
              <w:rPr>
                <w:rFonts w:hint="eastAsia"/>
                <w:color w:val="000000"/>
                <w:szCs w:val="21"/>
              </w:rPr>
              <w:fldChar w:fldCharType="begin"/>
            </w:r>
            <w:r>
              <w:rPr>
                <w:rFonts w:hint="eastAsia"/>
                <w:color w:val="000000"/>
                <w:szCs w:val="21"/>
              </w:rPr>
              <w:instrText xml:space="preserve"> HYPERLINK "javascript:viewHomeCompanyInfoView('1568590483918171127')" </w:instrText>
            </w:r>
            <w:r>
              <w:rPr>
                <w:rFonts w:hint="eastAsia"/>
                <w:color w:val="000000"/>
                <w:szCs w:val="21"/>
              </w:rPr>
              <w:fldChar w:fldCharType="separate"/>
            </w:r>
            <w:r>
              <w:rPr>
                <w:rFonts w:hint="eastAsia"/>
                <w:color w:val="000000"/>
                <w:szCs w:val="21"/>
              </w:rPr>
              <w:t>内蒙古聚力山水环境检测有限公司</w:t>
            </w:r>
            <w:r>
              <w:rPr>
                <w:rFonts w:hint="eastAsia"/>
                <w:color w:val="000000"/>
                <w:szCs w:val="21"/>
              </w:rPr>
              <w:fldChar w:fldCharType="end"/>
            </w:r>
          </w:p>
        </w:tc>
        <w:tc>
          <w:tcPr>
            <w:tcW w:w="2555" w:type="dxa"/>
            <w:vAlign w:val="center"/>
          </w:tcPr>
          <w:p w14:paraId="67D1C8CE">
            <w:pPr>
              <w:spacing w:line="360" w:lineRule="auto"/>
              <w:ind w:firstLine="420" w:firstLineChars="200"/>
              <w:rPr>
                <w:color w:val="000000"/>
                <w:szCs w:val="21"/>
              </w:rPr>
            </w:pPr>
            <w:r>
              <w:rPr>
                <w:rFonts w:hint="eastAsia"/>
                <w:color w:val="000000"/>
                <w:szCs w:val="21"/>
                <w:lang w:val="en-US" w:eastAsia="zh-CN"/>
              </w:rPr>
              <w:t>一、该项目位于</w:t>
            </w:r>
            <w:r>
              <w:rPr>
                <w:rFonts w:hint="default"/>
                <w:color w:val="000000"/>
                <w:szCs w:val="21"/>
                <w:lang w:val="en-US" w:eastAsia="zh-CN"/>
              </w:rPr>
              <w:t>东胜区</w:t>
            </w:r>
            <w:r>
              <w:rPr>
                <w:rFonts w:hint="eastAsia"/>
                <w:color w:val="000000"/>
                <w:szCs w:val="21"/>
              </w:rPr>
              <w:t>罕台镇境内</w:t>
            </w:r>
            <w:r>
              <w:rPr>
                <w:rFonts w:hint="eastAsia"/>
                <w:color w:val="000000"/>
                <w:szCs w:val="21"/>
                <w:lang w:val="en-US" w:eastAsia="zh-CN"/>
              </w:rPr>
              <w:t>。项目总占地面积49.78公顷，其中永久占地11.7公顷，临时占地38.08公顷。项目</w:t>
            </w:r>
            <w:r>
              <w:rPr>
                <w:rFonts w:hint="default"/>
                <w:color w:val="000000"/>
                <w:szCs w:val="21"/>
                <w:lang w:val="en-US" w:eastAsia="zh-CN"/>
              </w:rPr>
              <w:t>总投资</w:t>
            </w:r>
            <w:r>
              <w:rPr>
                <w:rFonts w:hint="eastAsia"/>
                <w:color w:val="000000"/>
                <w:szCs w:val="21"/>
                <w:lang w:val="en-US" w:eastAsia="zh-CN"/>
              </w:rPr>
              <w:t>2856.34万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lang w:val="en-US" w:eastAsia="zh-CN"/>
              </w:rPr>
              <w:t>环保投资</w:t>
            </w:r>
            <w:r>
              <w:rPr>
                <w:rFonts w:hint="eastAsia"/>
                <w:color w:val="000000"/>
                <w:szCs w:val="21"/>
                <w:lang w:val="en-US" w:eastAsia="zh-CN"/>
              </w:rPr>
              <w:t>34万元。主要建设内容及规模：河道治理工程</w:t>
            </w:r>
            <w:r>
              <w:rPr>
                <w:rFonts w:hint="eastAsia"/>
                <w:color w:val="000000"/>
                <w:szCs w:val="21"/>
              </w:rPr>
              <w:t>全长</w:t>
            </w:r>
            <w:r>
              <w:rPr>
                <w:rFonts w:hint="eastAsia"/>
                <w:color w:val="000000"/>
                <w:szCs w:val="21"/>
                <w:lang w:val="en-US" w:eastAsia="zh-CN"/>
              </w:rPr>
              <w:t>9.50</w:t>
            </w:r>
            <w:r>
              <w:rPr>
                <w:rFonts w:hint="eastAsia"/>
                <w:color w:val="000000"/>
                <w:szCs w:val="21"/>
                <w:lang w:eastAsia="zh-CN"/>
              </w:rPr>
              <w:t>千米</w:t>
            </w:r>
            <w:r>
              <w:rPr>
                <w:rFonts w:hint="eastAsia"/>
                <w:color w:val="000000"/>
                <w:szCs w:val="21"/>
              </w:rPr>
              <w:t>，从九城</w:t>
            </w:r>
            <w:r>
              <w:rPr>
                <w:rFonts w:hint="eastAsia"/>
                <w:color w:val="000000"/>
                <w:szCs w:val="21"/>
                <w:lang w:val="en-US" w:eastAsia="zh-CN"/>
              </w:rPr>
              <w:t>宫</w:t>
            </w:r>
            <w:r>
              <w:rPr>
                <w:rFonts w:hint="eastAsia"/>
                <w:color w:val="000000"/>
                <w:szCs w:val="21"/>
              </w:rPr>
              <w:t>四星级旅游度假村起，到西阿布亥川汇入口止，</w:t>
            </w:r>
            <w:r>
              <w:rPr>
                <w:rFonts w:hint="eastAsia"/>
                <w:color w:val="000000"/>
                <w:szCs w:val="21"/>
                <w:lang w:val="en-US" w:eastAsia="zh-CN"/>
              </w:rPr>
              <w:t>河流流向为东北向西南；新建护岸8.76千米（其中，左岸4段总长6.55千米，右岸3段总长2.10千米，导流堤0.11千米）；河道清淤疏浚6段，总长3.91千米；新建跌水2座。</w:t>
            </w:r>
            <w:r>
              <w:rPr>
                <w:rFonts w:hint="eastAsia"/>
                <w:color w:val="000000"/>
                <w:szCs w:val="21"/>
                <w:lang w:eastAsia="zh-CN"/>
              </w:rPr>
              <w:t>建成后</w:t>
            </w:r>
            <w:r>
              <w:rPr>
                <w:rFonts w:hint="eastAsia"/>
                <w:color w:val="000000"/>
                <w:szCs w:val="21"/>
                <w:lang w:val="en-US" w:eastAsia="zh-CN"/>
              </w:rPr>
              <w:t>工程</w:t>
            </w:r>
            <w:r>
              <w:rPr>
                <w:rFonts w:hint="eastAsia"/>
                <w:color w:val="000000"/>
                <w:szCs w:val="21"/>
                <w:lang w:eastAsia="zh-CN"/>
              </w:rPr>
              <w:t>防洪标准为10年一遇，</w:t>
            </w:r>
            <w:r>
              <w:rPr>
                <w:rFonts w:hint="eastAsia"/>
                <w:color w:val="000000"/>
                <w:szCs w:val="21"/>
                <w:lang w:val="en-US" w:eastAsia="zh-CN"/>
              </w:rPr>
              <w:t>护岸</w:t>
            </w:r>
            <w:r>
              <w:rPr>
                <w:rFonts w:hint="eastAsia"/>
                <w:color w:val="000000"/>
                <w:szCs w:val="21"/>
                <w:lang w:eastAsia="zh-CN"/>
              </w:rPr>
              <w:t>工程级别为V级。</w:t>
            </w:r>
          </w:p>
        </w:tc>
        <w:tc>
          <w:tcPr>
            <w:tcW w:w="4877" w:type="dxa"/>
            <w:vAlign w:val="center"/>
          </w:tcPr>
          <w:p w14:paraId="7229084F">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F2BBE65">
            <w:pPr>
              <w:spacing w:line="360" w:lineRule="auto"/>
              <w:jc w:val="left"/>
              <w:rPr>
                <w:rFonts w:hint="eastAsia"/>
                <w:color w:val="000000"/>
                <w:szCs w:val="21"/>
                <w:lang w:val="en-US" w:eastAsia="zh-CN"/>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50FFEE60">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4971D9CF">
            <w:pPr>
              <w:spacing w:line="360" w:lineRule="auto"/>
              <w:jc w:val="left"/>
              <w:rPr>
                <w:rFonts w:hint="eastAsia"/>
                <w:color w:val="000000"/>
                <w:szCs w:val="21"/>
                <w:lang w:val="en-US" w:eastAsia="zh-CN"/>
              </w:rPr>
            </w:pPr>
            <w:r>
              <w:rPr>
                <w:rFonts w:hint="eastAsia"/>
                <w:color w:val="000000"/>
                <w:szCs w:val="21"/>
                <w:lang w:val="en-US" w:eastAsia="zh-CN"/>
              </w:rPr>
              <w:t>本项目属于未批先建，于2022年10月开工建设，2023年5月完工，施工期采取了以下污染防治措施：</w:t>
            </w:r>
          </w:p>
          <w:p w14:paraId="0797FA49">
            <w:pPr>
              <w:spacing w:line="360" w:lineRule="auto"/>
              <w:jc w:val="left"/>
              <w:rPr>
                <w:rFonts w:hint="eastAsia"/>
                <w:color w:val="000000"/>
                <w:szCs w:val="21"/>
                <w:lang w:val="en-US" w:eastAsia="zh-CN"/>
              </w:rPr>
            </w:pPr>
            <w:r>
              <w:rPr>
                <w:rFonts w:hint="eastAsia"/>
                <w:color w:val="000000"/>
                <w:szCs w:val="21"/>
                <w:lang w:val="en-US" w:eastAsia="zh-CN"/>
              </w:rPr>
              <w:t>1、加强施工期环境管理，配备足够的洒水车、雾炮机、篷布等防尘设备，有效控制了施工期挖土、物料装卸、物料运输、堆放、回填过程中产生的扬尘污染。</w:t>
            </w:r>
          </w:p>
          <w:p w14:paraId="6B2B42E4">
            <w:pPr>
              <w:spacing w:line="360" w:lineRule="auto"/>
              <w:jc w:val="left"/>
              <w:rPr>
                <w:rFonts w:hint="eastAsia"/>
                <w:color w:val="000000"/>
                <w:szCs w:val="21"/>
                <w:lang w:val="en-US" w:eastAsia="zh-CN"/>
              </w:rPr>
            </w:pPr>
            <w:r>
              <w:rPr>
                <w:rFonts w:hint="eastAsia"/>
                <w:color w:val="000000"/>
                <w:szCs w:val="21"/>
                <w:lang w:val="en-US" w:eastAsia="zh-CN"/>
              </w:rPr>
              <w:t>2、施工废水经临时沉淀池沉淀后回用，不外排。施工人员生活污水经临时化粪池沉淀后拉运至污水处理厂处置。</w:t>
            </w:r>
          </w:p>
          <w:p w14:paraId="75ECF408">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3、选用低噪声施工设备，合理安排作业时间，在敏感点附近的施工场界外设置隔声围挡，运输车辆路过敏感点时减速慢行，不鸣笛。</w:t>
            </w:r>
          </w:p>
          <w:p w14:paraId="4EFE56D2">
            <w:pPr>
              <w:spacing w:line="360" w:lineRule="auto"/>
              <w:jc w:val="left"/>
              <w:rPr>
                <w:rFonts w:hint="eastAsia"/>
                <w:color w:val="000000"/>
                <w:szCs w:val="21"/>
                <w:lang w:val="en-US" w:eastAsia="zh-CN"/>
              </w:rPr>
            </w:pPr>
            <w:r>
              <w:rPr>
                <w:rFonts w:hint="eastAsia"/>
                <w:color w:val="000000"/>
                <w:szCs w:val="21"/>
                <w:lang w:val="en-US" w:eastAsia="zh-CN"/>
              </w:rPr>
              <w:t>4、妥善处置各类固体废弃物。建筑垃圾用作坡式护岸的垫层。生活垃圾集中收集后交由环卫部门统一处置。</w:t>
            </w:r>
          </w:p>
          <w:p w14:paraId="24028A5E">
            <w:pPr>
              <w:spacing w:line="360" w:lineRule="auto"/>
              <w:jc w:val="left"/>
              <w:rPr>
                <w:rFonts w:hint="eastAsia"/>
                <w:color w:val="000000"/>
                <w:szCs w:val="21"/>
                <w:lang w:val="en-US" w:eastAsia="zh-CN"/>
              </w:rPr>
            </w:pPr>
            <w:r>
              <w:rPr>
                <w:rFonts w:hint="eastAsia"/>
                <w:color w:val="000000"/>
                <w:szCs w:val="21"/>
                <w:lang w:val="en-US" w:eastAsia="zh-CN"/>
              </w:rPr>
              <w:t>5、</w:t>
            </w:r>
            <w:r>
              <w:rPr>
                <w:rFonts w:hint="eastAsia"/>
                <w:color w:val="000000"/>
                <w:szCs w:val="21"/>
                <w:lang w:eastAsia="zh-CN"/>
              </w:rPr>
              <w:t>加强施工期生态保护和污染防治。</w:t>
            </w:r>
            <w:r>
              <w:rPr>
                <w:rFonts w:hint="eastAsia"/>
                <w:color w:val="000000"/>
                <w:szCs w:val="21"/>
              </w:rPr>
              <w:t>土石</w:t>
            </w:r>
            <w:r>
              <w:rPr>
                <w:rFonts w:hint="eastAsia"/>
                <w:color w:val="000000"/>
                <w:szCs w:val="21"/>
                <w:lang w:val="en-US" w:eastAsia="zh-CN"/>
              </w:rPr>
              <w:t>方开挖过程中严格按照设计要求施工，缩小施工活动范围。表土方与弃土方分开放置，弃土方用于填筑堆土场，表土用于生态恢复时的绿化覆土。合理安排施工工序，分期、分段施工，</w:t>
            </w:r>
            <w:r>
              <w:rPr>
                <w:rFonts w:hint="eastAsia"/>
                <w:color w:val="000000"/>
                <w:szCs w:val="21"/>
              </w:rPr>
              <w:t>减少对植被和土壤的破坏</w:t>
            </w:r>
            <w:r>
              <w:rPr>
                <w:rFonts w:hint="eastAsia"/>
                <w:color w:val="000000"/>
                <w:szCs w:val="21"/>
                <w:lang w:eastAsia="zh-CN"/>
              </w:rPr>
              <w:t>，防止水土流失，减小对生态环境的影响。</w:t>
            </w:r>
            <w:r>
              <w:rPr>
                <w:rFonts w:hint="eastAsia"/>
                <w:color w:val="000000"/>
                <w:szCs w:val="21"/>
                <w:lang w:val="en-US" w:eastAsia="zh-CN"/>
              </w:rPr>
              <w:t>施工结束及时进行土地整治，对地表原有植被进行恢复。</w:t>
            </w:r>
          </w:p>
          <w:p w14:paraId="2AE0A8B1">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67CD6711">
            <w:pPr>
              <w:spacing w:line="360" w:lineRule="auto"/>
              <w:jc w:val="left"/>
              <w:rPr>
                <w:rFonts w:hint="eastAsia"/>
                <w:color w:val="000000"/>
                <w:szCs w:val="21"/>
                <w:lang w:val="en-US" w:eastAsia="zh-CN"/>
              </w:rPr>
            </w:pPr>
            <w:r>
              <w:rPr>
                <w:rFonts w:hint="eastAsia"/>
                <w:color w:val="000000"/>
                <w:szCs w:val="21"/>
                <w:lang w:val="en-US" w:eastAsia="zh-CN"/>
              </w:rPr>
              <w:t>1、运营期加强临时占地内植被的管护，保证占地范围内动植物及生态功能不低于施工前的水平。同时，保留堆土场四周的砖混截水沟，防止堆土场恢复的植被被雨水冲刷。加强雨季护岸工程巡护，尤其是极端天气，避免造成洪水对护岸工程的影响。</w:t>
            </w:r>
          </w:p>
          <w:p w14:paraId="1BC0320D">
            <w:pPr>
              <w:spacing w:line="360" w:lineRule="auto"/>
              <w:jc w:val="left"/>
              <w:rPr>
                <w:rFonts w:hint="eastAsia"/>
                <w:color w:val="000000"/>
                <w:szCs w:val="21"/>
                <w:lang w:val="en-US" w:eastAsia="zh-CN"/>
              </w:rPr>
            </w:pPr>
            <w:r>
              <w:rPr>
                <w:rFonts w:hint="eastAsia"/>
                <w:color w:val="000000"/>
                <w:szCs w:val="21"/>
                <w:lang w:val="en-US" w:eastAsia="zh-CN"/>
              </w:rPr>
              <w:t>2、强化环境风险防范，制定突发环境事件应急预案，落实环境风险事故防范措施，提高事故风险防范和污染控制能力。</w:t>
            </w:r>
          </w:p>
          <w:p w14:paraId="4484B0CA">
            <w:pPr>
              <w:spacing w:line="360" w:lineRule="auto"/>
              <w:jc w:val="left"/>
              <w:rPr>
                <w:rFonts w:hint="eastAsia"/>
                <w:color w:val="000000"/>
                <w:szCs w:val="21"/>
              </w:rPr>
            </w:pPr>
            <w:r>
              <w:rPr>
                <w:rFonts w:hint="eastAsia"/>
                <w:color w:val="000000"/>
                <w:szCs w:val="21"/>
                <w:lang w:val="en-US" w:eastAsia="zh-CN"/>
              </w:rPr>
              <w:t>三、你单位应在项目运行过程中严格落实环保设施安全生产工作要求。</w:t>
            </w:r>
          </w:p>
          <w:p w14:paraId="4759C549">
            <w:pPr>
              <w:spacing w:line="360" w:lineRule="auto"/>
              <w:jc w:val="left"/>
              <w:rPr>
                <w:rFonts w:hint="eastAsia"/>
                <w:color w:val="000000"/>
                <w:szCs w:val="21"/>
              </w:rPr>
            </w:pPr>
            <w:r>
              <w:rPr>
                <w:rFonts w:hint="eastAsia"/>
                <w:color w:val="000000"/>
                <w:szCs w:val="21"/>
                <w:lang w:val="en-US" w:eastAsia="zh-CN"/>
              </w:rPr>
              <w:t>四、</w:t>
            </w:r>
            <w:bookmarkStart w:id="0" w:name="_GoBack"/>
            <w:bookmarkEnd w:id="0"/>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04F3616"/>
    <w:rsid w:val="15947A84"/>
    <w:rsid w:val="15C90A19"/>
    <w:rsid w:val="19B76A12"/>
    <w:rsid w:val="1A630C1F"/>
    <w:rsid w:val="1EDD74A0"/>
    <w:rsid w:val="23022A8E"/>
    <w:rsid w:val="29AC6982"/>
    <w:rsid w:val="30463BE9"/>
    <w:rsid w:val="3E062DA7"/>
    <w:rsid w:val="430F14CF"/>
    <w:rsid w:val="43DC2BDE"/>
    <w:rsid w:val="44A80449"/>
    <w:rsid w:val="497150DD"/>
    <w:rsid w:val="49D847BF"/>
    <w:rsid w:val="4A7E49A9"/>
    <w:rsid w:val="4AD11E12"/>
    <w:rsid w:val="4DE41872"/>
    <w:rsid w:val="54973A8B"/>
    <w:rsid w:val="59565E50"/>
    <w:rsid w:val="5A3C1252"/>
    <w:rsid w:val="5E371149"/>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table of figures"/>
    <w:basedOn w:val="1"/>
    <w:next w:val="1"/>
    <w:qFormat/>
    <w:uiPriority w:val="0"/>
    <w:pPr>
      <w:ind w:left="200" w:leftChars="200" w:hanging="200" w:hangingChars="200"/>
    </w:pPr>
  </w:style>
  <w:style w:type="paragraph" w:styleId="4">
    <w:name w:val="annotation text"/>
    <w:basedOn w:val="1"/>
    <w:next w:val="1"/>
    <w:qFormat/>
    <w:uiPriority w:val="0"/>
    <w:pPr>
      <w:jc w:val="left"/>
    </w:pPr>
  </w:style>
  <w:style w:type="paragraph" w:styleId="5">
    <w:name w:val="Body Text"/>
    <w:basedOn w:val="1"/>
    <w:qFormat/>
    <w:uiPriority w:val="99"/>
    <w:pPr>
      <w:spacing w:after="120"/>
    </w:pPr>
    <w:rPr>
      <w:rFonts w:ascii="Calibri" w:hAnsi="Calibri"/>
      <w:szCs w:val="22"/>
    </w:rPr>
  </w:style>
  <w:style w:type="paragraph" w:styleId="6">
    <w:name w:val="Body Text Indent"/>
    <w:basedOn w:val="1"/>
    <w:qFormat/>
    <w:uiPriority w:val="99"/>
    <w:pPr>
      <w:ind w:left="420" w:leftChars="200"/>
    </w:pPr>
  </w:style>
  <w:style w:type="paragraph" w:styleId="7">
    <w:name w:val="footer"/>
    <w:basedOn w:val="1"/>
    <w:link w:val="2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2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oc 2"/>
    <w:basedOn w:val="1"/>
    <w:next w:val="1"/>
    <w:unhideWhenUsed/>
    <w:qFormat/>
    <w:uiPriority w:val="39"/>
    <w:pPr>
      <w:ind w:left="420" w:leftChars="200"/>
    </w:pPr>
  </w:style>
  <w:style w:type="paragraph" w:styleId="10">
    <w:name w:val="Body Text 2"/>
    <w:basedOn w:val="1"/>
    <w:next w:val="1"/>
    <w:qFormat/>
    <w:uiPriority w:val="0"/>
    <w:pPr>
      <w:spacing w:after="120" w:line="480" w:lineRule="auto"/>
    </w:pPr>
  </w:style>
  <w:style w:type="paragraph" w:styleId="11">
    <w:name w:val="Body Text First Indent 2"/>
    <w:basedOn w:val="6"/>
    <w:next w:val="1"/>
    <w:qFormat/>
    <w:uiPriority w:val="99"/>
    <w:pPr>
      <w:spacing w:line="240" w:lineRule="auto"/>
      <w:ind w:firstLine="420"/>
    </w:pPr>
  </w:style>
  <w:style w:type="character" w:styleId="14">
    <w:name w:val="Hyperlink"/>
    <w:basedOn w:val="13"/>
    <w:semiHidden/>
    <w:unhideWhenUsed/>
    <w:uiPriority w:val="99"/>
    <w:rPr>
      <w:color w:val="0000FF"/>
      <w:u w:val="single"/>
    </w:rPr>
  </w:style>
  <w:style w:type="paragraph" w:customStyle="1" w:styleId="15">
    <w:name w:val="正文样式"/>
    <w:basedOn w:val="1"/>
    <w:qFormat/>
    <w:uiPriority w:val="0"/>
    <w:pPr>
      <w:spacing w:line="520" w:lineRule="exact"/>
      <w:ind w:firstLine="562"/>
    </w:pPr>
    <w:rPr>
      <w:rFonts w:cs="宋体"/>
      <w:sz w:val="28"/>
      <w:szCs w:val="28"/>
    </w:rPr>
  </w:style>
  <w:style w:type="paragraph" w:customStyle="1" w:styleId="16">
    <w:name w:val="xl27"/>
    <w:basedOn w:val="1"/>
    <w:next w:val="4"/>
    <w:qFormat/>
    <w:uiPriority w:val="0"/>
    <w:pPr>
      <w:widowControl/>
      <w:spacing w:before="280" w:after="280"/>
      <w:jc w:val="center"/>
    </w:pPr>
    <w:rPr>
      <w:rFonts w:hAnsi="宋体" w:cs="宋体"/>
    </w:rPr>
  </w:style>
  <w:style w:type="paragraph" w:customStyle="1" w:styleId="17">
    <w:name w:val="Default"/>
    <w:basedOn w:val="18"/>
    <w:next w:val="19"/>
    <w:qFormat/>
    <w:uiPriority w:val="0"/>
    <w:pPr>
      <w:adjustRightInd w:val="0"/>
    </w:pPr>
    <w:rPr>
      <w:rFonts w:ascii="宋体" w:cs="宋体"/>
      <w:color w:val="000000"/>
      <w:sz w:val="24"/>
      <w:lang w:val="en-US"/>
    </w:rPr>
  </w:style>
  <w:style w:type="paragraph" w:customStyle="1" w:styleId="18">
    <w:name w:val="文本"/>
    <w:basedOn w:val="1"/>
    <w:next w:val="1"/>
    <w:qFormat/>
    <w:uiPriority w:val="0"/>
    <w:pPr>
      <w:autoSpaceDE w:val="0"/>
      <w:autoSpaceDN w:val="0"/>
      <w:ind w:firstLine="480"/>
    </w:pPr>
    <w:rPr>
      <w:lang w:val="zh-CN"/>
    </w:rPr>
  </w:style>
  <w:style w:type="paragraph" w:customStyle="1" w:styleId="19">
    <w:name w:val="表格文字"/>
    <w:basedOn w:val="5"/>
    <w:next w:val="1"/>
    <w:qFormat/>
    <w:uiPriority w:val="0"/>
    <w:pPr>
      <w:jc w:val="center"/>
    </w:pPr>
    <w:rPr>
      <w:rFonts w:ascii="Arial Narrow" w:hAnsi="Arial Narrow" w:eastAsia="汉鼎简书宋"/>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眉 字符"/>
    <w:basedOn w:val="13"/>
    <w:link w:val="8"/>
    <w:autoRedefine/>
    <w:qFormat/>
    <w:uiPriority w:val="99"/>
    <w:rPr>
      <w:sz w:val="18"/>
      <w:szCs w:val="18"/>
    </w:rPr>
  </w:style>
  <w:style w:type="character" w:customStyle="1" w:styleId="22">
    <w:name w:val="页脚 字符"/>
    <w:basedOn w:val="13"/>
    <w:link w:val="7"/>
    <w:autoRedefine/>
    <w:qFormat/>
    <w:uiPriority w:val="99"/>
    <w:rPr>
      <w:sz w:val="18"/>
      <w:szCs w:val="18"/>
    </w:rPr>
  </w:style>
  <w:style w:type="character" w:customStyle="1" w:styleId="23">
    <w:name w:val="NormalCharacter"/>
    <w:autoRedefine/>
    <w:semiHidden/>
    <w:qFormat/>
    <w:uiPriority w:val="99"/>
  </w:style>
  <w:style w:type="paragraph" w:customStyle="1" w:styleId="24">
    <w:name w:val="图表"/>
    <w:basedOn w:val="6"/>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5">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正文-Z"/>
    <w:basedOn w:val="1"/>
    <w:qFormat/>
    <w:uiPriority w:val="0"/>
    <w:pPr>
      <w:spacing w:line="360" w:lineRule="auto"/>
      <w:ind w:firstLine="420" w:firstLineChars="200"/>
    </w:pPr>
    <w:rPr>
      <w:rFonts w:eastAsiaTheme="minorEastAsi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1645</Words>
  <Characters>1783</Characters>
  <Lines>11</Lines>
  <Paragraphs>3</Paragraphs>
  <TotalTime>0</TotalTime>
  <ScaleCrop>false</ScaleCrop>
  <LinksUpToDate>false</LinksUpToDate>
  <CharactersWithSpaces>1836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2026-01-27T03:21:15Z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