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F72ECF">
      <w:pPr>
        <w:snapToGrid w:val="0"/>
        <w:spacing w:line="580" w:lineRule="exact"/>
        <w:jc w:val="center"/>
        <w:rPr>
          <w:rStyle w:val="17"/>
          <w:rFonts w:ascii="仿宋_GB2312" w:eastAsia="仿宋_GB2312"/>
          <w:color w:val="auto"/>
          <w:sz w:val="32"/>
          <w:szCs w:val="32"/>
        </w:rPr>
      </w:pPr>
    </w:p>
    <w:p w14:paraId="4203E70E">
      <w:pPr>
        <w:snapToGrid w:val="0"/>
        <w:spacing w:line="580" w:lineRule="exact"/>
        <w:jc w:val="center"/>
        <w:rPr>
          <w:rStyle w:val="17"/>
          <w:rFonts w:ascii="仿宋_GB2312" w:eastAsia="仿宋_GB2312"/>
          <w:color w:val="auto"/>
          <w:sz w:val="32"/>
          <w:szCs w:val="32"/>
        </w:rPr>
      </w:pPr>
    </w:p>
    <w:p w14:paraId="3AF1F4D4">
      <w:pPr>
        <w:snapToGrid w:val="0"/>
        <w:spacing w:line="580" w:lineRule="exact"/>
        <w:jc w:val="center"/>
        <w:rPr>
          <w:rStyle w:val="17"/>
          <w:rFonts w:ascii="仿宋_GB2312" w:eastAsia="仿宋_GB2312"/>
          <w:color w:val="auto"/>
          <w:sz w:val="32"/>
          <w:szCs w:val="32"/>
        </w:rPr>
      </w:pPr>
    </w:p>
    <w:p w14:paraId="0DA9FF96">
      <w:pPr>
        <w:snapToGrid w:val="0"/>
        <w:spacing w:line="580" w:lineRule="exact"/>
        <w:jc w:val="center"/>
        <w:rPr>
          <w:rStyle w:val="17"/>
          <w:rFonts w:ascii="仿宋_GB2312" w:eastAsia="仿宋_GB2312"/>
          <w:color w:val="auto"/>
          <w:sz w:val="32"/>
          <w:szCs w:val="32"/>
        </w:rPr>
      </w:pPr>
    </w:p>
    <w:p w14:paraId="0E651749">
      <w:pPr>
        <w:snapToGrid w:val="0"/>
        <w:spacing w:line="580" w:lineRule="exact"/>
        <w:jc w:val="center"/>
        <w:rPr>
          <w:rStyle w:val="17"/>
          <w:rFonts w:ascii="仿宋_GB2312" w:eastAsia="仿宋_GB2312"/>
          <w:color w:val="auto"/>
          <w:sz w:val="32"/>
          <w:szCs w:val="32"/>
        </w:rPr>
      </w:pPr>
    </w:p>
    <w:p w14:paraId="3FC321DA">
      <w:pPr>
        <w:snapToGrid w:val="0"/>
        <w:spacing w:line="580" w:lineRule="exact"/>
        <w:jc w:val="center"/>
        <w:rPr>
          <w:rStyle w:val="17"/>
          <w:rFonts w:ascii="仿宋_GB2312" w:eastAsia="仿宋_GB2312"/>
          <w:color w:val="auto"/>
          <w:sz w:val="32"/>
          <w:szCs w:val="32"/>
        </w:rPr>
      </w:pPr>
    </w:p>
    <w:p w14:paraId="3EF9EBE5">
      <w:pPr>
        <w:snapToGrid w:val="0"/>
        <w:spacing w:line="580" w:lineRule="exact"/>
        <w:jc w:val="center"/>
        <w:rPr>
          <w:rStyle w:val="17"/>
          <w:rFonts w:ascii="仿宋_GB2312" w:eastAsia="仿宋_GB2312"/>
          <w:color w:val="auto"/>
          <w:sz w:val="32"/>
          <w:szCs w:val="32"/>
        </w:rPr>
      </w:pPr>
    </w:p>
    <w:p w14:paraId="71B53FEC">
      <w:pPr>
        <w:snapToGrid w:val="0"/>
        <w:spacing w:line="580" w:lineRule="exact"/>
        <w:jc w:val="center"/>
        <w:rPr>
          <w:rStyle w:val="17"/>
          <w:rFonts w:ascii="仿宋_GB2312" w:eastAsia="仿宋_GB2312"/>
          <w:color w:val="auto"/>
          <w:sz w:val="32"/>
          <w:szCs w:val="32"/>
        </w:rPr>
      </w:pPr>
    </w:p>
    <w:p w14:paraId="0B171CB2">
      <w:pPr>
        <w:pStyle w:val="26"/>
        <w:rPr>
          <w:rStyle w:val="17"/>
          <w:color w:val="auto"/>
        </w:rPr>
      </w:pPr>
    </w:p>
    <w:p w14:paraId="10849611">
      <w:pPr>
        <w:snapToGrid w:val="0"/>
        <w:spacing w:line="600" w:lineRule="exact"/>
        <w:rPr>
          <w:rStyle w:val="17"/>
          <w:rFonts w:ascii="仿宋_GB2312" w:eastAsia="仿宋_GB2312"/>
          <w:color w:val="auto"/>
          <w:sz w:val="32"/>
          <w:szCs w:val="32"/>
        </w:rPr>
      </w:pPr>
    </w:p>
    <w:p w14:paraId="68830163">
      <w:pPr>
        <w:pStyle w:val="2"/>
      </w:pPr>
    </w:p>
    <w:p w14:paraId="401DFD45">
      <w:pPr>
        <w:spacing w:line="600" w:lineRule="exact"/>
        <w:jc w:val="center"/>
        <w:rPr>
          <w:rStyle w:val="17"/>
          <w:rFonts w:hint="eastAsia" w:ascii="宋体" w:hAnsi="宋体" w:eastAsia="宋体" w:cs="Times New Roman"/>
          <w:b/>
          <w:bCs w:val="0"/>
          <w:color w:val="auto"/>
          <w:sz w:val="44"/>
          <w:szCs w:val="44"/>
        </w:rPr>
      </w:pPr>
      <w:r>
        <w:rPr>
          <w:rStyle w:val="17"/>
          <w:rFonts w:hint="eastAsia" w:ascii="仿宋" w:hAnsi="仿宋" w:eastAsia="仿宋"/>
          <w:color w:val="auto"/>
          <w:sz w:val="32"/>
          <w:szCs w:val="32"/>
        </w:rPr>
        <w:t>鄂环东审字〔</w:t>
      </w:r>
      <w:r>
        <w:rPr>
          <w:rStyle w:val="17"/>
          <w:rFonts w:ascii="仿宋" w:hAnsi="仿宋" w:eastAsia="仿宋"/>
          <w:color w:val="auto"/>
          <w:sz w:val="32"/>
          <w:szCs w:val="32"/>
        </w:rPr>
        <w:t>202</w:t>
      </w:r>
      <w:r>
        <w:rPr>
          <w:rStyle w:val="17"/>
          <w:rFonts w:hint="eastAsia" w:ascii="仿宋" w:hAnsi="仿宋" w:eastAsia="仿宋"/>
          <w:color w:val="auto"/>
          <w:sz w:val="32"/>
          <w:szCs w:val="32"/>
          <w:lang w:val="en-US" w:eastAsia="zh-CN"/>
        </w:rPr>
        <w:t>5</w:t>
      </w:r>
      <w:r>
        <w:rPr>
          <w:rStyle w:val="17"/>
          <w:rFonts w:hint="eastAsia" w:ascii="仿宋" w:hAnsi="仿宋" w:eastAsia="仿宋"/>
          <w:color w:val="auto"/>
          <w:sz w:val="32"/>
          <w:szCs w:val="32"/>
        </w:rPr>
        <w:t>〕</w:t>
      </w:r>
      <w:r>
        <w:rPr>
          <w:rStyle w:val="17"/>
          <w:rFonts w:hint="eastAsia" w:ascii="仿宋" w:hAnsi="仿宋" w:eastAsia="仿宋"/>
          <w:color w:val="auto"/>
          <w:sz w:val="32"/>
          <w:szCs w:val="32"/>
          <w:lang w:val="en-US" w:eastAsia="zh-CN"/>
        </w:rPr>
        <w:t>22</w:t>
      </w:r>
      <w:r>
        <w:rPr>
          <w:rStyle w:val="17"/>
          <w:rFonts w:hint="eastAsia" w:ascii="仿宋" w:hAnsi="仿宋" w:eastAsia="仿宋" w:cs="Times New Roman"/>
          <w:color w:val="auto"/>
          <w:sz w:val="32"/>
          <w:szCs w:val="32"/>
        </w:rPr>
        <w:t>号</w:t>
      </w:r>
      <w:r>
        <w:rPr>
          <w:rStyle w:val="17"/>
          <w:rFonts w:hint="eastAsia" w:ascii="宋体" w:hAnsi="宋体" w:eastAsia="宋体" w:cs="Times New Roman"/>
          <w:b/>
          <w:bCs w:val="0"/>
          <w:color w:val="auto"/>
          <w:sz w:val="44"/>
          <w:szCs w:val="44"/>
        </w:rPr>
        <w:t xml:space="preserve"> </w:t>
      </w:r>
    </w:p>
    <w:p w14:paraId="7DEB9498">
      <w:pPr>
        <w:spacing w:line="600" w:lineRule="exact"/>
        <w:jc w:val="center"/>
        <w:rPr>
          <w:rStyle w:val="17"/>
          <w:rFonts w:hint="eastAsia" w:ascii="宋体" w:hAnsi="宋体" w:eastAsia="宋体" w:cs="宋体"/>
          <w:b/>
          <w:bCs w:val="0"/>
          <w:color w:val="auto"/>
          <w:sz w:val="44"/>
          <w:szCs w:val="44"/>
        </w:rPr>
      </w:pPr>
    </w:p>
    <w:p w14:paraId="0DF238B7">
      <w:pPr>
        <w:spacing w:line="600" w:lineRule="exact"/>
        <w:jc w:val="center"/>
        <w:rPr>
          <w:rStyle w:val="17"/>
          <w:rFonts w:ascii="宋体" w:hAnsi="宋体"/>
          <w:b/>
          <w:bCs w:val="0"/>
          <w:color w:val="auto"/>
          <w:sz w:val="44"/>
          <w:szCs w:val="44"/>
        </w:rPr>
      </w:pPr>
      <w:r>
        <w:rPr>
          <w:rStyle w:val="17"/>
          <w:rFonts w:hint="eastAsia" w:ascii="宋体" w:hAnsi="宋体"/>
          <w:b/>
          <w:bCs w:val="0"/>
          <w:color w:val="auto"/>
          <w:sz w:val="44"/>
          <w:szCs w:val="44"/>
        </w:rPr>
        <w:t>鄂尔多斯市生态环境局东胜区分局关于</w:t>
      </w:r>
    </w:p>
    <w:p w14:paraId="61AABEC2">
      <w:pPr>
        <w:spacing w:line="600" w:lineRule="exact"/>
        <w:jc w:val="center"/>
        <w:rPr>
          <w:rStyle w:val="17"/>
          <w:rFonts w:hint="eastAsia" w:ascii="宋体" w:hAnsi="宋体" w:eastAsia="宋体" w:cs="Times New Roman"/>
          <w:b/>
          <w:bCs w:val="0"/>
          <w:color w:val="auto"/>
          <w:sz w:val="44"/>
          <w:szCs w:val="44"/>
          <w:lang w:eastAsia="zh-CN"/>
        </w:rPr>
      </w:pPr>
      <w:r>
        <w:rPr>
          <w:rStyle w:val="17"/>
          <w:rFonts w:hint="eastAsia" w:ascii="宋体" w:hAnsi="宋体" w:eastAsia="宋体" w:cs="Times New Roman"/>
          <w:b/>
          <w:bCs w:val="0"/>
          <w:color w:val="auto"/>
          <w:sz w:val="44"/>
          <w:szCs w:val="44"/>
          <w:lang w:eastAsia="zh-CN"/>
        </w:rPr>
        <w:t>内蒙古伊泰煤炭股份有限公司塔拉壕</w:t>
      </w:r>
    </w:p>
    <w:p w14:paraId="03E3C9C5">
      <w:pPr>
        <w:spacing w:line="600" w:lineRule="exact"/>
        <w:jc w:val="center"/>
        <w:rPr>
          <w:rStyle w:val="17"/>
          <w:rFonts w:hint="eastAsia" w:ascii="宋体" w:hAnsi="宋体" w:eastAsia="宋体" w:cs="宋体"/>
          <w:b/>
          <w:bCs w:val="0"/>
          <w:color w:val="auto"/>
          <w:sz w:val="44"/>
          <w:szCs w:val="44"/>
        </w:rPr>
      </w:pPr>
      <w:r>
        <w:rPr>
          <w:rStyle w:val="17"/>
          <w:rFonts w:hint="eastAsia" w:ascii="宋体" w:hAnsi="宋体" w:eastAsia="宋体" w:cs="Times New Roman"/>
          <w:b/>
          <w:bCs w:val="0"/>
          <w:color w:val="auto"/>
          <w:sz w:val="44"/>
          <w:szCs w:val="44"/>
          <w:lang w:eastAsia="zh-CN"/>
        </w:rPr>
        <w:t>煤矿自用拌合站</w:t>
      </w:r>
      <w:r>
        <w:rPr>
          <w:rStyle w:val="17"/>
          <w:rFonts w:hint="eastAsia" w:ascii="宋体" w:hAnsi="宋体" w:eastAsia="宋体" w:cs="Times New Roman"/>
          <w:b/>
          <w:bCs w:val="0"/>
          <w:color w:val="auto"/>
          <w:sz w:val="44"/>
          <w:szCs w:val="44"/>
          <w:lang w:val="en-US" w:eastAsia="zh-CN"/>
        </w:rPr>
        <w:t>建</w:t>
      </w:r>
      <w:r>
        <w:rPr>
          <w:rStyle w:val="17"/>
          <w:rFonts w:hint="eastAsia" w:ascii="宋体" w:hAnsi="宋体" w:cs="Times New Roman"/>
          <w:b/>
          <w:bCs w:val="0"/>
          <w:color w:val="auto"/>
          <w:sz w:val="44"/>
          <w:szCs w:val="44"/>
          <w:lang w:val="en-US" w:eastAsia="zh-CN"/>
        </w:rPr>
        <w:t>设</w:t>
      </w:r>
      <w:r>
        <w:rPr>
          <w:rStyle w:val="17"/>
          <w:rFonts w:hint="default" w:ascii="宋体" w:hAnsi="宋体" w:eastAsia="宋体" w:cs="Times New Roman"/>
          <w:b/>
          <w:bCs w:val="0"/>
          <w:color w:val="auto"/>
          <w:sz w:val="44"/>
          <w:szCs w:val="44"/>
          <w:lang w:val="en-US" w:eastAsia="zh-CN"/>
        </w:rPr>
        <w:t>项目</w:t>
      </w:r>
      <w:r>
        <w:rPr>
          <w:rStyle w:val="17"/>
          <w:rFonts w:hint="eastAsia" w:ascii="宋体" w:hAnsi="宋体" w:eastAsia="宋体" w:cs="宋体"/>
          <w:b/>
          <w:bCs w:val="0"/>
          <w:color w:val="auto"/>
          <w:sz w:val="44"/>
          <w:szCs w:val="44"/>
        </w:rPr>
        <w:t>环境</w:t>
      </w:r>
    </w:p>
    <w:p w14:paraId="3844F81E">
      <w:pPr>
        <w:spacing w:line="600" w:lineRule="exact"/>
        <w:jc w:val="center"/>
        <w:rPr>
          <w:rStyle w:val="17"/>
          <w:rFonts w:hint="eastAsia" w:ascii="宋体" w:hAnsi="宋体" w:eastAsia="宋体" w:cs="宋体"/>
          <w:b/>
          <w:bCs w:val="0"/>
          <w:color w:val="auto"/>
          <w:sz w:val="44"/>
          <w:szCs w:val="44"/>
        </w:rPr>
      </w:pPr>
      <w:r>
        <w:rPr>
          <w:rStyle w:val="17"/>
          <w:rFonts w:hint="eastAsia" w:ascii="宋体" w:hAnsi="宋体" w:eastAsia="宋体" w:cs="宋体"/>
          <w:b/>
          <w:bCs w:val="0"/>
          <w:color w:val="auto"/>
          <w:sz w:val="44"/>
          <w:szCs w:val="44"/>
        </w:rPr>
        <w:t>影响报告表的批复</w:t>
      </w:r>
    </w:p>
    <w:p w14:paraId="2DA35696">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7"/>
          <w:rFonts w:hint="eastAsia" w:ascii="仿宋" w:hAnsi="仿宋" w:eastAsia="仿宋"/>
          <w:sz w:val="32"/>
          <w:szCs w:val="32"/>
          <w:lang w:eastAsia="zh-CN"/>
        </w:rPr>
      </w:pPr>
    </w:p>
    <w:p w14:paraId="1D02C58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Style w:val="17"/>
          <w:rFonts w:hint="eastAsia" w:ascii="仿宋" w:hAnsi="仿宋" w:eastAsia="仿宋" w:cs="Times New Roman"/>
          <w:sz w:val="32"/>
          <w:szCs w:val="32"/>
          <w:lang w:eastAsia="zh-CN"/>
        </w:rPr>
      </w:pPr>
      <w:r>
        <w:rPr>
          <w:rStyle w:val="17"/>
          <w:rFonts w:hint="eastAsia" w:ascii="仿宋" w:hAnsi="仿宋" w:eastAsia="仿宋" w:cs="Times New Roman"/>
          <w:sz w:val="32"/>
          <w:szCs w:val="32"/>
          <w:lang w:eastAsia="zh-CN"/>
        </w:rPr>
        <w:t>内蒙古伊泰煤炭股份有限公司塔拉壕煤矿</w:t>
      </w:r>
      <w:r>
        <w:rPr>
          <w:rStyle w:val="17"/>
          <w:rFonts w:hint="eastAsia" w:ascii="仿宋" w:hAnsi="仿宋" w:eastAsia="仿宋" w:cs="Times New Roman"/>
          <w:sz w:val="32"/>
          <w:szCs w:val="32"/>
          <w:lang w:val="en-US" w:eastAsia="zh-CN"/>
        </w:rPr>
        <w:t>：</w:t>
      </w:r>
    </w:p>
    <w:p w14:paraId="4A80DBC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sz w:val="32"/>
          <w:szCs w:val="32"/>
          <w:lang w:val="en-US" w:eastAsia="zh-CN"/>
        </w:rPr>
      </w:pPr>
      <w:r>
        <w:rPr>
          <w:rStyle w:val="17"/>
          <w:rFonts w:hint="eastAsia" w:ascii="仿宋" w:hAnsi="仿宋" w:eastAsia="仿宋"/>
          <w:sz w:val="32"/>
          <w:szCs w:val="32"/>
        </w:rPr>
        <w:t>你</w:t>
      </w:r>
      <w:r>
        <w:rPr>
          <w:rStyle w:val="17"/>
          <w:rFonts w:hint="eastAsia" w:ascii="仿宋" w:hAnsi="仿宋" w:eastAsia="仿宋"/>
          <w:sz w:val="32"/>
          <w:szCs w:val="32"/>
          <w:lang w:val="en-US" w:eastAsia="zh-CN"/>
        </w:rPr>
        <w:t>单位</w:t>
      </w:r>
      <w:r>
        <w:rPr>
          <w:rStyle w:val="17"/>
          <w:rFonts w:hint="eastAsia" w:ascii="仿宋" w:hAnsi="仿宋" w:eastAsia="仿宋"/>
          <w:sz w:val="32"/>
          <w:szCs w:val="32"/>
        </w:rPr>
        <w:t>报送</w:t>
      </w:r>
      <w:r>
        <w:rPr>
          <w:rStyle w:val="17"/>
          <w:rFonts w:hint="eastAsia" w:ascii="仿宋" w:hAnsi="仿宋" w:eastAsia="仿宋" w:cs="Times New Roman"/>
          <w:sz w:val="32"/>
          <w:szCs w:val="32"/>
        </w:rPr>
        <w:t>的</w:t>
      </w:r>
      <w:r>
        <w:rPr>
          <w:rStyle w:val="17"/>
          <w:rFonts w:hint="eastAsia" w:ascii="仿宋" w:hAnsi="仿宋" w:eastAsia="仿宋" w:cs="Times New Roman"/>
          <w:sz w:val="32"/>
          <w:szCs w:val="32"/>
          <w:lang w:val="en-US" w:eastAsia="zh-CN"/>
        </w:rPr>
        <w:t>由</w:t>
      </w:r>
      <w:r>
        <w:rPr>
          <w:rStyle w:val="17"/>
          <w:rFonts w:hint="default" w:ascii="仿宋" w:hAnsi="仿宋" w:eastAsia="仿宋" w:cs="Times New Roman"/>
          <w:sz w:val="32"/>
          <w:szCs w:val="32"/>
          <w:lang w:val="en-US" w:eastAsia="zh-CN"/>
        </w:rPr>
        <w:t>内蒙古</w:t>
      </w:r>
      <w:r>
        <w:rPr>
          <w:rStyle w:val="17"/>
          <w:rFonts w:hint="eastAsia" w:ascii="仿宋" w:hAnsi="仿宋" w:eastAsia="仿宋" w:cs="Times New Roman"/>
          <w:sz w:val="32"/>
          <w:szCs w:val="32"/>
          <w:lang w:val="en-US" w:eastAsia="zh-CN"/>
        </w:rPr>
        <w:t>碧蓝</w:t>
      </w:r>
      <w:r>
        <w:rPr>
          <w:rStyle w:val="17"/>
          <w:rFonts w:hint="default" w:ascii="仿宋" w:hAnsi="仿宋" w:eastAsia="仿宋" w:cs="Times New Roman"/>
          <w:sz w:val="32"/>
          <w:szCs w:val="32"/>
          <w:lang w:val="en-US" w:eastAsia="zh-CN"/>
        </w:rPr>
        <w:t>环境科技有限公司</w:t>
      </w:r>
      <w:r>
        <w:rPr>
          <w:rStyle w:val="17"/>
          <w:rFonts w:hint="eastAsia" w:ascii="仿宋" w:hAnsi="仿宋" w:eastAsia="仿宋" w:cs="Times New Roman"/>
          <w:sz w:val="32"/>
          <w:szCs w:val="32"/>
          <w:lang w:val="en-US" w:eastAsia="zh-CN"/>
        </w:rPr>
        <w:t>编</w:t>
      </w:r>
      <w:r>
        <w:rPr>
          <w:rStyle w:val="17"/>
          <w:rFonts w:hint="eastAsia" w:ascii="仿宋" w:hAnsi="仿宋" w:eastAsia="仿宋" w:cs="Times New Roman"/>
          <w:sz w:val="32"/>
          <w:szCs w:val="32"/>
        </w:rPr>
        <w:t>制的《</w:t>
      </w:r>
      <w:r>
        <w:rPr>
          <w:rStyle w:val="17"/>
          <w:rFonts w:hint="eastAsia" w:ascii="仿宋" w:hAnsi="仿宋" w:eastAsia="仿宋" w:cs="Times New Roman"/>
          <w:sz w:val="32"/>
          <w:szCs w:val="32"/>
          <w:lang w:val="en-US" w:eastAsia="zh-CN"/>
        </w:rPr>
        <w:t>内蒙古伊泰煤炭股份有限公司塔拉壕煤矿自用拌合站建设</w:t>
      </w:r>
      <w:r>
        <w:rPr>
          <w:rStyle w:val="17"/>
          <w:rFonts w:hint="default" w:ascii="仿宋" w:hAnsi="仿宋" w:eastAsia="仿宋" w:cs="Times New Roman"/>
          <w:sz w:val="32"/>
          <w:szCs w:val="32"/>
          <w:lang w:val="en-US" w:eastAsia="zh-CN"/>
        </w:rPr>
        <w:t>项目</w:t>
      </w:r>
      <w:r>
        <w:rPr>
          <w:rStyle w:val="17"/>
          <w:rFonts w:hint="eastAsia" w:ascii="仿宋" w:hAnsi="仿宋" w:eastAsia="仿宋" w:cs="Times New Roman"/>
          <w:sz w:val="32"/>
          <w:szCs w:val="32"/>
          <w:lang w:val="en-US" w:eastAsia="zh-CN"/>
        </w:rPr>
        <w:t>环境影响</w:t>
      </w:r>
      <w:r>
        <w:rPr>
          <w:rStyle w:val="17"/>
          <w:rFonts w:hint="eastAsia" w:ascii="仿宋" w:hAnsi="仿宋" w:eastAsia="仿宋" w:cs="Times New Roman"/>
          <w:sz w:val="32"/>
          <w:szCs w:val="32"/>
        </w:rPr>
        <w:t>报告表》（以下简称《报告表》）已收悉</w:t>
      </w:r>
      <w:r>
        <w:rPr>
          <w:rStyle w:val="17"/>
          <w:rFonts w:hint="eastAsia" w:ascii="仿宋" w:hAnsi="仿宋" w:eastAsia="仿宋" w:cs="Times New Roman"/>
          <w:sz w:val="32"/>
          <w:szCs w:val="32"/>
          <w:lang w:eastAsia="zh-CN"/>
        </w:rPr>
        <w:t>。</w:t>
      </w:r>
      <w:r>
        <w:rPr>
          <w:rStyle w:val="17"/>
          <w:rFonts w:hint="eastAsia" w:ascii="仿宋" w:hAnsi="仿宋" w:eastAsia="仿宋"/>
          <w:sz w:val="32"/>
          <w:szCs w:val="32"/>
          <w:lang w:val="en-US" w:eastAsia="zh-CN"/>
        </w:rPr>
        <w:t>经组织专家评审，集体研究，</w:t>
      </w:r>
      <w:r>
        <w:rPr>
          <w:rStyle w:val="17"/>
          <w:rFonts w:hint="eastAsia" w:ascii="仿宋" w:hAnsi="仿宋" w:eastAsia="仿宋" w:cs="Times New Roman"/>
          <w:sz w:val="32"/>
          <w:szCs w:val="32"/>
          <w:lang w:val="en-US" w:eastAsia="zh-CN"/>
        </w:rPr>
        <w:t>形成如下审批意见：</w:t>
      </w:r>
    </w:p>
    <w:p w14:paraId="7DB134C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color w:val="auto"/>
          <w:sz w:val="32"/>
          <w:szCs w:val="32"/>
          <w:lang w:eastAsia="zh-CN"/>
        </w:rPr>
      </w:pPr>
      <w:r>
        <w:rPr>
          <w:rStyle w:val="17"/>
          <w:rFonts w:hint="eastAsia" w:ascii="仿宋" w:hAnsi="仿宋" w:eastAsia="仿宋"/>
          <w:sz w:val="32"/>
          <w:szCs w:val="32"/>
          <w:lang w:val="en-US" w:eastAsia="zh-CN"/>
        </w:rPr>
        <w:t>一、</w:t>
      </w:r>
      <w:r>
        <w:rPr>
          <w:rStyle w:val="17"/>
          <w:rFonts w:hint="eastAsia" w:ascii="仿宋" w:hAnsi="仿宋" w:eastAsia="仿宋"/>
          <w:sz w:val="32"/>
          <w:szCs w:val="32"/>
        </w:rPr>
        <w:t>该项目属于新建项目，</w:t>
      </w:r>
      <w:r>
        <w:rPr>
          <w:rStyle w:val="17"/>
          <w:rFonts w:hint="eastAsia" w:ascii="仿宋" w:hAnsi="仿宋" w:eastAsia="仿宋" w:cs="Times New Roman"/>
          <w:sz w:val="32"/>
          <w:szCs w:val="32"/>
          <w:lang w:eastAsia="zh-CN"/>
        </w:rPr>
        <w:t>位于</w:t>
      </w:r>
      <w:r>
        <w:rPr>
          <w:rStyle w:val="17"/>
          <w:rFonts w:hint="default" w:ascii="仿宋" w:hAnsi="仿宋" w:eastAsia="仿宋" w:cs="Times New Roman"/>
          <w:sz w:val="32"/>
          <w:szCs w:val="32"/>
          <w:lang w:eastAsia="zh-CN"/>
        </w:rPr>
        <w:t>东胜区</w:t>
      </w:r>
      <w:r>
        <w:rPr>
          <w:rStyle w:val="17"/>
          <w:rFonts w:hint="eastAsia" w:ascii="仿宋" w:hAnsi="仿宋" w:eastAsia="仿宋" w:cs="Times New Roman"/>
          <w:sz w:val="32"/>
          <w:szCs w:val="32"/>
          <w:lang w:eastAsia="zh-CN"/>
        </w:rPr>
        <w:t>铜川镇</w:t>
      </w:r>
      <w:r>
        <w:rPr>
          <w:rStyle w:val="17"/>
          <w:rFonts w:hint="eastAsia" w:ascii="仿宋" w:hAnsi="仿宋" w:eastAsia="仿宋" w:cs="Times New Roman"/>
          <w:sz w:val="32"/>
          <w:szCs w:val="32"/>
          <w:lang w:val="en-US" w:eastAsia="zh-CN"/>
        </w:rPr>
        <w:t>常青村，内蒙古伊泰煤炭股份有限公司塔拉壕煤矿井田范围内。项目总</w:t>
      </w:r>
      <w:r>
        <w:rPr>
          <w:rStyle w:val="17"/>
          <w:rFonts w:hint="eastAsia" w:ascii="仿宋" w:hAnsi="仿宋" w:eastAsia="仿宋" w:cs="Times New Roman"/>
          <w:sz w:val="32"/>
          <w:szCs w:val="32"/>
          <w:lang w:eastAsia="zh-CN"/>
        </w:rPr>
        <w:t>占地</w:t>
      </w:r>
      <w:r>
        <w:rPr>
          <w:rStyle w:val="17"/>
          <w:rFonts w:hint="eastAsia" w:ascii="仿宋" w:hAnsi="仿宋" w:eastAsia="仿宋" w:cs="Times New Roman"/>
          <w:sz w:val="32"/>
          <w:szCs w:val="32"/>
          <w:lang w:val="en-US" w:eastAsia="zh-CN"/>
        </w:rPr>
        <w:t>面积11280</w:t>
      </w:r>
      <w:r>
        <w:rPr>
          <w:rStyle w:val="17"/>
          <w:rFonts w:hint="eastAsia" w:ascii="仿宋" w:hAnsi="仿宋" w:eastAsia="仿宋" w:cs="Times New Roman"/>
          <w:color w:val="auto"/>
          <w:sz w:val="32"/>
          <w:szCs w:val="32"/>
          <w:lang w:val="en-US" w:eastAsia="zh-CN"/>
        </w:rPr>
        <w:t>平</w:t>
      </w:r>
      <w:r>
        <w:rPr>
          <w:rStyle w:val="17"/>
          <w:rFonts w:hint="eastAsia" w:ascii="仿宋" w:hAnsi="仿宋" w:eastAsia="仿宋" w:cs="Times New Roman"/>
          <w:color w:val="auto"/>
          <w:sz w:val="32"/>
          <w:szCs w:val="32"/>
          <w:lang w:eastAsia="zh-CN"/>
        </w:rPr>
        <w:t>方米，</w:t>
      </w:r>
      <w:r>
        <w:rPr>
          <w:rStyle w:val="17"/>
          <w:rFonts w:hint="default" w:ascii="仿宋" w:hAnsi="仿宋" w:eastAsia="仿宋" w:cs="Times New Roman"/>
          <w:color w:val="auto"/>
          <w:sz w:val="32"/>
          <w:szCs w:val="32"/>
          <w:lang w:eastAsia="zh-CN"/>
        </w:rPr>
        <w:t>总投资</w:t>
      </w:r>
      <w:r>
        <w:rPr>
          <w:rStyle w:val="17"/>
          <w:rFonts w:hint="eastAsia" w:ascii="仿宋" w:hAnsi="仿宋" w:eastAsia="仿宋" w:cs="Times New Roman"/>
          <w:color w:val="auto"/>
          <w:sz w:val="32"/>
          <w:szCs w:val="32"/>
          <w:lang w:val="en-US" w:eastAsia="zh-CN"/>
        </w:rPr>
        <w:t>1000</w:t>
      </w:r>
      <w:r>
        <w:rPr>
          <w:rStyle w:val="17"/>
          <w:rFonts w:hint="eastAsia" w:ascii="仿宋" w:hAnsi="仿宋" w:eastAsia="仿宋"/>
          <w:color w:val="auto"/>
          <w:sz w:val="32"/>
          <w:szCs w:val="32"/>
          <w:lang w:val="en-US" w:eastAsia="zh-CN"/>
        </w:rPr>
        <w:t>万</w:t>
      </w:r>
      <w:r>
        <w:rPr>
          <w:rStyle w:val="17"/>
          <w:rFonts w:hint="default" w:ascii="仿宋" w:hAnsi="仿宋" w:eastAsia="仿宋"/>
          <w:color w:val="auto"/>
          <w:sz w:val="32"/>
          <w:szCs w:val="32"/>
        </w:rPr>
        <w:t>元，</w:t>
      </w:r>
      <w:r>
        <w:rPr>
          <w:rStyle w:val="17"/>
          <w:rFonts w:hint="eastAsia" w:ascii="仿宋" w:hAnsi="仿宋" w:eastAsia="仿宋"/>
          <w:color w:val="auto"/>
          <w:sz w:val="32"/>
          <w:szCs w:val="32"/>
          <w:lang w:eastAsia="zh-CN"/>
        </w:rPr>
        <w:t>其中</w:t>
      </w:r>
      <w:r>
        <w:rPr>
          <w:rStyle w:val="17"/>
          <w:rFonts w:hint="default" w:ascii="仿宋" w:hAnsi="仿宋" w:eastAsia="仿宋"/>
          <w:color w:val="auto"/>
          <w:sz w:val="32"/>
          <w:szCs w:val="32"/>
        </w:rPr>
        <w:t>环保</w:t>
      </w:r>
      <w:r>
        <w:rPr>
          <w:rStyle w:val="17"/>
          <w:rFonts w:hint="default" w:ascii="仿宋" w:hAnsi="仿宋" w:eastAsia="仿宋" w:cs="Times New Roman"/>
          <w:color w:val="auto"/>
          <w:sz w:val="32"/>
          <w:szCs w:val="32"/>
        </w:rPr>
        <w:t>投资</w:t>
      </w:r>
      <w:r>
        <w:rPr>
          <w:rStyle w:val="17"/>
          <w:rFonts w:hint="eastAsia" w:ascii="仿宋" w:hAnsi="仿宋" w:eastAsia="仿宋" w:cs="Times New Roman"/>
          <w:color w:val="auto"/>
          <w:sz w:val="32"/>
          <w:szCs w:val="32"/>
          <w:lang w:val="en-US" w:eastAsia="zh-CN"/>
        </w:rPr>
        <w:t>770.1万元</w:t>
      </w:r>
      <w:r>
        <w:rPr>
          <w:rStyle w:val="17"/>
          <w:rFonts w:hint="eastAsia" w:ascii="仿宋" w:hAnsi="仿宋" w:eastAsia="仿宋" w:cs="Times New Roman"/>
          <w:color w:val="auto"/>
          <w:sz w:val="32"/>
          <w:szCs w:val="32"/>
        </w:rPr>
        <w:t>。</w:t>
      </w:r>
      <w:r>
        <w:rPr>
          <w:rStyle w:val="17"/>
          <w:rFonts w:hint="eastAsia" w:ascii="仿宋" w:hAnsi="仿宋" w:eastAsia="仿宋" w:cs="Times New Roman"/>
          <w:color w:val="auto"/>
          <w:sz w:val="32"/>
          <w:szCs w:val="32"/>
          <w:lang w:eastAsia="zh-CN"/>
        </w:rPr>
        <w:t>主要建设内容及规模：</w:t>
      </w:r>
      <w:r>
        <w:rPr>
          <w:rStyle w:val="17"/>
          <w:rFonts w:hint="eastAsia" w:ascii="仿宋" w:hAnsi="仿宋" w:eastAsia="仿宋" w:cs="Times New Roman"/>
          <w:color w:val="auto"/>
          <w:sz w:val="32"/>
          <w:szCs w:val="32"/>
          <w:lang w:val="en-US" w:eastAsia="zh-CN"/>
        </w:rPr>
        <w:t>新建2座混凝土拌合站，1号</w:t>
      </w:r>
      <w:r>
        <w:rPr>
          <w:rStyle w:val="17"/>
          <w:rFonts w:hint="default" w:ascii="仿宋" w:hAnsi="仿宋" w:eastAsia="仿宋" w:cs="Times New Roman"/>
          <w:color w:val="auto"/>
          <w:sz w:val="32"/>
          <w:szCs w:val="32"/>
          <w:lang w:val="en-US" w:eastAsia="zh-CN"/>
        </w:rPr>
        <w:t>拌合站</w:t>
      </w:r>
      <w:r>
        <w:rPr>
          <w:rStyle w:val="17"/>
          <w:rFonts w:hint="eastAsia" w:ascii="仿宋" w:hAnsi="仿宋" w:eastAsia="仿宋" w:cs="Times New Roman"/>
          <w:color w:val="auto"/>
          <w:sz w:val="32"/>
          <w:szCs w:val="32"/>
          <w:lang w:val="en-US" w:eastAsia="zh-CN"/>
        </w:rPr>
        <w:t>占地面积8700平方米，内设2条生产线，年</w:t>
      </w:r>
      <w:r>
        <w:rPr>
          <w:rStyle w:val="17"/>
          <w:rFonts w:hint="default" w:ascii="仿宋" w:hAnsi="仿宋" w:eastAsia="仿宋" w:cs="Times New Roman"/>
          <w:color w:val="auto"/>
          <w:sz w:val="32"/>
          <w:szCs w:val="32"/>
          <w:lang w:val="en-US" w:eastAsia="zh-CN"/>
        </w:rPr>
        <w:t>生产规模为</w:t>
      </w:r>
      <w:r>
        <w:rPr>
          <w:rStyle w:val="17"/>
          <w:rFonts w:hint="eastAsia" w:ascii="仿宋" w:hAnsi="仿宋" w:eastAsia="仿宋" w:cs="Times New Roman"/>
          <w:color w:val="auto"/>
          <w:sz w:val="32"/>
          <w:szCs w:val="32"/>
          <w:lang w:val="en-US" w:eastAsia="zh-CN"/>
        </w:rPr>
        <w:t>10</w:t>
      </w:r>
      <w:r>
        <w:rPr>
          <w:rStyle w:val="17"/>
          <w:rFonts w:hint="default" w:ascii="仿宋" w:hAnsi="仿宋" w:eastAsia="仿宋" w:cs="Times New Roman"/>
          <w:color w:val="auto"/>
          <w:sz w:val="32"/>
          <w:szCs w:val="32"/>
          <w:lang w:val="en-US" w:eastAsia="zh-CN"/>
        </w:rPr>
        <w:t>万</w:t>
      </w:r>
      <w:r>
        <w:rPr>
          <w:rStyle w:val="17"/>
          <w:rFonts w:hint="eastAsia" w:ascii="仿宋" w:hAnsi="仿宋" w:eastAsia="仿宋" w:cs="Times New Roman"/>
          <w:color w:val="auto"/>
          <w:sz w:val="32"/>
          <w:szCs w:val="32"/>
          <w:lang w:val="en-US" w:eastAsia="zh-CN"/>
        </w:rPr>
        <w:t>立方米，</w:t>
      </w:r>
      <w:r>
        <w:rPr>
          <w:rStyle w:val="17"/>
          <w:rFonts w:hint="default" w:ascii="仿宋" w:hAnsi="仿宋" w:eastAsia="仿宋" w:cs="Times New Roman"/>
          <w:color w:val="auto"/>
          <w:sz w:val="32"/>
          <w:szCs w:val="32"/>
          <w:lang w:val="en-US" w:eastAsia="zh-CN"/>
        </w:rPr>
        <w:t>为井下巷道</w:t>
      </w:r>
      <w:r>
        <w:rPr>
          <w:rStyle w:val="17"/>
          <w:rFonts w:hint="eastAsia" w:ascii="仿宋" w:hAnsi="仿宋" w:eastAsia="仿宋" w:cs="Times New Roman"/>
          <w:color w:val="auto"/>
          <w:sz w:val="32"/>
          <w:szCs w:val="32"/>
          <w:lang w:val="en-US" w:eastAsia="zh-CN"/>
        </w:rPr>
        <w:t>地面</w:t>
      </w:r>
      <w:r>
        <w:rPr>
          <w:rStyle w:val="17"/>
          <w:rFonts w:hint="default" w:ascii="仿宋" w:hAnsi="仿宋" w:eastAsia="仿宋" w:cs="Times New Roman"/>
          <w:color w:val="auto"/>
          <w:sz w:val="32"/>
          <w:szCs w:val="32"/>
          <w:lang w:val="en-US" w:eastAsia="zh-CN"/>
        </w:rPr>
        <w:t>硬化提供混凝土</w:t>
      </w:r>
      <w:r>
        <w:rPr>
          <w:rStyle w:val="17"/>
          <w:rFonts w:hint="eastAsia" w:ascii="仿宋" w:hAnsi="仿宋" w:eastAsia="仿宋" w:cs="Times New Roman"/>
          <w:color w:val="auto"/>
          <w:sz w:val="32"/>
          <w:szCs w:val="32"/>
          <w:lang w:val="en-US" w:eastAsia="zh-CN"/>
        </w:rPr>
        <w:t>；2号拌合站占地面积2580平方米，内设1条生产线，年生产规模为5</w:t>
      </w:r>
      <w:r>
        <w:rPr>
          <w:rStyle w:val="17"/>
          <w:rFonts w:hint="default" w:ascii="仿宋" w:hAnsi="仿宋" w:eastAsia="仿宋" w:cs="Times New Roman"/>
          <w:color w:val="auto"/>
          <w:sz w:val="32"/>
          <w:szCs w:val="32"/>
          <w:lang w:val="en-US" w:eastAsia="zh-CN"/>
        </w:rPr>
        <w:t>万</w:t>
      </w:r>
      <w:r>
        <w:rPr>
          <w:rStyle w:val="17"/>
          <w:rFonts w:hint="eastAsia" w:ascii="仿宋" w:hAnsi="仿宋" w:eastAsia="仿宋" w:cs="Times New Roman"/>
          <w:color w:val="auto"/>
          <w:sz w:val="32"/>
          <w:szCs w:val="32"/>
          <w:lang w:val="en-US" w:eastAsia="zh-CN"/>
        </w:rPr>
        <w:t>立方米，为井下巷道喷浆提供水泥制品；配套建设公辅工程、储运工程和环保工程等。</w:t>
      </w:r>
    </w:p>
    <w:p w14:paraId="560366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sz w:val="32"/>
          <w:szCs w:val="32"/>
        </w:rPr>
      </w:pPr>
      <w:r>
        <w:rPr>
          <w:rStyle w:val="17"/>
          <w:rFonts w:hint="eastAsia" w:ascii="仿宋" w:hAnsi="仿宋" w:eastAsia="仿宋"/>
          <w:color w:val="auto"/>
          <w:sz w:val="32"/>
          <w:szCs w:val="32"/>
        </w:rPr>
        <w:t>《报告表》认为，在全面落实各</w:t>
      </w:r>
      <w:r>
        <w:rPr>
          <w:rStyle w:val="17"/>
          <w:rFonts w:hint="eastAsia" w:ascii="仿宋" w:hAnsi="仿宋" w:eastAsia="仿宋"/>
          <w:sz w:val="32"/>
          <w:szCs w:val="32"/>
        </w:rPr>
        <w:t>项生态环境保护和环境污染防治措施的前提下，项目建设对环境的不利影响能够得到一定的缓解和控制。因此，我局原则同意你单位按照《报告表》中所列的建设项目性质、规模、地点、环境保护措施进行建设。</w:t>
      </w:r>
    </w:p>
    <w:p w14:paraId="04AC3FC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default" w:ascii="仿宋" w:hAnsi="仿宋" w:eastAsia="仿宋"/>
          <w:color w:val="auto"/>
          <w:sz w:val="32"/>
          <w:szCs w:val="32"/>
          <w:lang w:val="en-US"/>
        </w:rPr>
      </w:pPr>
      <w:r>
        <w:rPr>
          <w:rStyle w:val="17"/>
          <w:rFonts w:hint="eastAsia" w:ascii="仿宋" w:hAnsi="仿宋" w:eastAsia="仿宋"/>
          <w:sz w:val="32"/>
          <w:szCs w:val="32"/>
          <w:lang w:val="en-US" w:eastAsia="zh-CN"/>
        </w:rPr>
        <w:t>二、在项目工程设计、建设和环境管理中，你单位必须严格落实</w:t>
      </w:r>
      <w:r>
        <w:rPr>
          <w:rStyle w:val="17"/>
          <w:rFonts w:hint="eastAsia" w:ascii="仿宋" w:hAnsi="仿宋" w:eastAsia="仿宋"/>
          <w:sz w:val="32"/>
          <w:szCs w:val="32"/>
        </w:rPr>
        <w:t>《报告表》</w:t>
      </w:r>
      <w:r>
        <w:rPr>
          <w:rStyle w:val="17"/>
          <w:rFonts w:hint="eastAsia" w:ascii="仿宋" w:hAnsi="仿宋" w:eastAsia="仿宋"/>
          <w:sz w:val="32"/>
          <w:szCs w:val="32"/>
          <w:lang w:val="en-US" w:eastAsia="zh-CN"/>
        </w:rPr>
        <w:t>中提出的各项环保措施和要求，确保各项污染物稳定达标排放，并须着重做好以下工作：</w:t>
      </w:r>
    </w:p>
    <w:p w14:paraId="32E10FF6">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Style w:val="17"/>
          <w:rFonts w:hint="eastAsia" w:ascii="仿宋" w:hAnsi="仿宋" w:eastAsia="仿宋" w:cs="Times New Roman"/>
          <w:sz w:val="32"/>
          <w:szCs w:val="32"/>
          <w:lang w:val="en-US" w:eastAsia="zh-CN"/>
        </w:rPr>
      </w:pPr>
      <w:r>
        <w:rPr>
          <w:rFonts w:hint="eastAsia" w:ascii="仿宋" w:hAnsi="仿宋" w:eastAsia="仿宋" w:cs="仿宋"/>
          <w:color w:val="auto"/>
          <w:sz w:val="32"/>
          <w:szCs w:val="32"/>
          <w:lang w:val="en-US" w:eastAsia="zh-CN"/>
        </w:rPr>
        <w:t>（</w:t>
      </w:r>
      <w:r>
        <w:rPr>
          <w:rStyle w:val="17"/>
          <w:rFonts w:hint="eastAsia" w:ascii="仿宋" w:hAnsi="仿宋" w:eastAsia="仿宋" w:cs="Times New Roman"/>
          <w:sz w:val="32"/>
          <w:szCs w:val="32"/>
          <w:lang w:val="en-US" w:eastAsia="zh-CN"/>
        </w:rPr>
        <w:t>一）严格落实施工期污染防治措施</w:t>
      </w:r>
    </w:p>
    <w:p w14:paraId="1BBE0C9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sz w:val="32"/>
          <w:szCs w:val="32"/>
          <w:lang w:val="en-US" w:eastAsia="zh-CN"/>
        </w:rPr>
      </w:pPr>
      <w:r>
        <w:rPr>
          <w:rStyle w:val="17"/>
          <w:rFonts w:hint="eastAsia" w:ascii="仿宋" w:hAnsi="仿宋" w:eastAsia="仿宋" w:cs="Times New Roman"/>
          <w:sz w:val="32"/>
          <w:szCs w:val="32"/>
          <w:lang w:val="en-US" w:eastAsia="zh-CN"/>
        </w:rPr>
        <w:t>1、</w:t>
      </w:r>
      <w:r>
        <w:rPr>
          <w:rStyle w:val="17"/>
          <w:rFonts w:hint="eastAsia" w:ascii="仿宋" w:hAnsi="仿宋" w:eastAsia="仿宋" w:cs="Times New Roman"/>
          <w:sz w:val="32"/>
          <w:szCs w:val="32"/>
        </w:rPr>
        <w:t>加强施工期环境管理，配备足够的洒水车、篷布等防尘设备，有效控制施工期挖土、物料装卸、物料运输过程中产生的扬尘污染。施工期大气污染物排放执行《大气污染物综合排放标准》（GB</w:t>
      </w:r>
      <w:r>
        <w:rPr>
          <w:rStyle w:val="17"/>
          <w:rFonts w:hint="eastAsia" w:ascii="仿宋" w:hAnsi="仿宋" w:eastAsia="仿宋" w:cs="Times New Roman"/>
          <w:sz w:val="32"/>
          <w:szCs w:val="32"/>
          <w:lang w:val="en-US" w:eastAsia="zh-CN"/>
        </w:rPr>
        <w:t xml:space="preserve"> </w:t>
      </w:r>
      <w:r>
        <w:rPr>
          <w:rStyle w:val="17"/>
          <w:rFonts w:hint="eastAsia" w:ascii="仿宋" w:hAnsi="仿宋" w:eastAsia="仿宋" w:cs="Times New Roman"/>
          <w:sz w:val="32"/>
          <w:szCs w:val="32"/>
        </w:rPr>
        <w:t>16297-1996）表2中无组织排放监控浓度限值。</w:t>
      </w:r>
    </w:p>
    <w:p w14:paraId="234CCC1C">
      <w:pPr>
        <w:pStyle w:val="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right="0" w:rightChars="0" w:firstLine="640" w:firstLineChars="200"/>
        <w:textAlignment w:val="auto"/>
        <w:outlineLvl w:val="9"/>
        <w:rPr>
          <w:rStyle w:val="17"/>
          <w:rFonts w:hint="eastAsia" w:ascii="仿宋" w:hAnsi="仿宋" w:eastAsia="仿宋" w:cs="Times New Roman"/>
          <w:color w:val="000000"/>
          <w:sz w:val="32"/>
          <w:szCs w:val="32"/>
          <w:lang w:val="en-US" w:eastAsia="zh-CN" w:bidi="ar-SA"/>
        </w:rPr>
      </w:pPr>
      <w:r>
        <w:rPr>
          <w:rStyle w:val="17"/>
          <w:rFonts w:hint="eastAsia" w:ascii="仿宋" w:hAnsi="仿宋" w:eastAsia="仿宋" w:cs="Times New Roman"/>
          <w:sz w:val="32"/>
          <w:szCs w:val="32"/>
          <w:lang w:val="en-US" w:eastAsia="zh-CN"/>
        </w:rPr>
        <w:t>2、施工人</w:t>
      </w:r>
      <w:r>
        <w:rPr>
          <w:rStyle w:val="17"/>
          <w:rFonts w:hint="eastAsia" w:ascii="仿宋" w:hAnsi="仿宋" w:eastAsia="仿宋" w:cs="Times New Roman"/>
          <w:color w:val="000000"/>
          <w:sz w:val="32"/>
          <w:szCs w:val="32"/>
          <w:lang w:val="en-US" w:eastAsia="zh-CN" w:bidi="ar-SA"/>
        </w:rPr>
        <w:t>员生活污水依托煤矿现有生活污水处理站处理。施工泥浆废水经临时沉淀池沉淀后用于施工场地及道路洒水抑尘，不外排。</w:t>
      </w:r>
    </w:p>
    <w:p w14:paraId="2AEE825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color w:val="auto"/>
          <w:sz w:val="32"/>
          <w:szCs w:val="32"/>
          <w:lang w:val="en-US" w:eastAsia="zh-CN"/>
        </w:rPr>
      </w:pPr>
      <w:r>
        <w:rPr>
          <w:rStyle w:val="17"/>
          <w:rFonts w:hint="eastAsia" w:ascii="仿宋" w:hAnsi="仿宋" w:eastAsia="仿宋" w:cs="Times New Roman"/>
          <w:sz w:val="32"/>
          <w:szCs w:val="32"/>
          <w:lang w:val="en-US" w:eastAsia="zh-CN"/>
        </w:rPr>
        <w:t>3、选用低噪声施工设备，合理安排作业时间，避免夜间</w:t>
      </w:r>
      <w:r>
        <w:rPr>
          <w:rStyle w:val="17"/>
          <w:rFonts w:hint="eastAsia" w:ascii="仿宋" w:hAnsi="仿宋" w:eastAsia="仿宋" w:cs="Times New Roman"/>
          <w:color w:val="auto"/>
          <w:sz w:val="32"/>
          <w:szCs w:val="32"/>
          <w:lang w:val="en-US" w:eastAsia="zh-CN"/>
        </w:rPr>
        <w:t>施工，控制车辆时速。施工期噪声执行《建筑施工场界环境噪声排放标准》（GB 12523-2011）。</w:t>
      </w:r>
    </w:p>
    <w:p w14:paraId="2DB6DF5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color w:val="auto"/>
          <w:sz w:val="32"/>
          <w:szCs w:val="32"/>
          <w:lang w:val="en-US" w:eastAsia="zh-CN"/>
        </w:rPr>
      </w:pPr>
      <w:r>
        <w:rPr>
          <w:rStyle w:val="17"/>
          <w:rFonts w:hint="eastAsia" w:ascii="仿宋" w:hAnsi="仿宋" w:eastAsia="仿宋" w:cs="Times New Roman"/>
          <w:color w:val="auto"/>
          <w:sz w:val="32"/>
          <w:szCs w:val="32"/>
          <w:lang w:val="en-US" w:eastAsia="zh-CN"/>
        </w:rPr>
        <w:t>4、固体废物集中堆放</w:t>
      </w:r>
      <w:r>
        <w:rPr>
          <w:rStyle w:val="17"/>
          <w:rFonts w:hint="eastAsia" w:ascii="仿宋" w:hAnsi="仿宋" w:eastAsia="仿宋" w:cs="Times New Roman"/>
          <w:color w:val="auto"/>
          <w:sz w:val="32"/>
          <w:szCs w:val="32"/>
          <w:lang w:val="en-US" w:eastAsia="zh-CN" w:bidi="ar-SA"/>
        </w:rPr>
        <w:t>及时清运，交有关部门进行处理</w:t>
      </w:r>
      <w:r>
        <w:rPr>
          <w:rStyle w:val="17"/>
          <w:rFonts w:hint="eastAsia" w:ascii="仿宋" w:hAnsi="仿宋" w:eastAsia="仿宋" w:cs="Times New Roman"/>
          <w:color w:val="auto"/>
          <w:sz w:val="32"/>
          <w:szCs w:val="32"/>
          <w:lang w:val="en-US" w:eastAsia="zh-CN"/>
        </w:rPr>
        <w:t>。</w:t>
      </w:r>
    </w:p>
    <w:p w14:paraId="30A621E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color w:val="auto"/>
          <w:sz w:val="32"/>
          <w:szCs w:val="32"/>
          <w:lang w:val="en-US" w:eastAsia="zh-CN"/>
        </w:rPr>
      </w:pPr>
      <w:r>
        <w:rPr>
          <w:rStyle w:val="17"/>
          <w:rFonts w:hint="eastAsia" w:ascii="仿宋" w:hAnsi="仿宋" w:eastAsia="仿宋" w:cs="Times New Roman"/>
          <w:color w:val="auto"/>
          <w:sz w:val="32"/>
          <w:szCs w:val="32"/>
          <w:lang w:val="en-US" w:eastAsia="zh-CN"/>
        </w:rPr>
        <w:t>（二）严格落实运营期污染防治措施</w:t>
      </w:r>
    </w:p>
    <w:p w14:paraId="052A6FD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color w:val="auto"/>
          <w:sz w:val="32"/>
          <w:szCs w:val="32"/>
          <w:lang w:val="en-US" w:eastAsia="zh-CN"/>
        </w:rPr>
      </w:pPr>
      <w:r>
        <w:rPr>
          <w:rStyle w:val="17"/>
          <w:rFonts w:hint="eastAsia" w:ascii="仿宋" w:hAnsi="仿宋" w:eastAsia="仿宋" w:cs="Times New Roman"/>
          <w:color w:val="auto"/>
          <w:sz w:val="32"/>
          <w:szCs w:val="32"/>
          <w:lang w:val="en-US" w:eastAsia="zh-CN"/>
        </w:rPr>
        <w:t>1、</w:t>
      </w:r>
      <w:r>
        <w:rPr>
          <w:rFonts w:hint="default" w:ascii="Times New Roman" w:hAnsi="Times New Roman" w:eastAsia="仿宋" w:cs="Times New Roman"/>
          <w:color w:val="auto"/>
          <w:sz w:val="32"/>
          <w:szCs w:val="32"/>
          <w:lang w:val="en-US" w:eastAsia="zh-CN"/>
        </w:rPr>
        <w:t>大气污染防治措施。</w:t>
      </w:r>
      <w:r>
        <w:rPr>
          <w:rStyle w:val="17"/>
          <w:rFonts w:hint="default" w:ascii="仿宋" w:hAnsi="仿宋" w:eastAsia="仿宋" w:cs="Times New Roman"/>
          <w:color w:val="auto"/>
          <w:sz w:val="32"/>
          <w:szCs w:val="32"/>
          <w:lang w:val="en-US" w:eastAsia="zh-CN"/>
        </w:rPr>
        <w:t>运营期</w:t>
      </w:r>
      <w:r>
        <w:rPr>
          <w:rStyle w:val="17"/>
          <w:rFonts w:hint="eastAsia" w:ascii="仿宋" w:hAnsi="仿宋" w:eastAsia="仿宋" w:cs="Times New Roman"/>
          <w:color w:val="auto"/>
          <w:sz w:val="32"/>
          <w:szCs w:val="32"/>
          <w:lang w:val="en-US" w:eastAsia="zh-CN"/>
        </w:rPr>
        <w:t>物</w:t>
      </w:r>
      <w:r>
        <w:rPr>
          <w:rStyle w:val="17"/>
          <w:rFonts w:hint="default" w:ascii="仿宋" w:hAnsi="仿宋" w:eastAsia="仿宋" w:cs="Times New Roman"/>
          <w:color w:val="auto"/>
          <w:sz w:val="32"/>
          <w:szCs w:val="32"/>
          <w:lang w:val="en-US" w:eastAsia="zh-CN"/>
        </w:rPr>
        <w:t>料储存、装卸、输送、生产过程全封闭</w:t>
      </w:r>
      <w:r>
        <w:rPr>
          <w:rStyle w:val="17"/>
          <w:rFonts w:hint="eastAsia" w:ascii="仿宋" w:hAnsi="仿宋" w:eastAsia="仿宋" w:cs="Times New Roman"/>
          <w:color w:val="auto"/>
          <w:sz w:val="32"/>
          <w:szCs w:val="32"/>
          <w:lang w:val="en-US" w:eastAsia="zh-CN"/>
        </w:rPr>
        <w:t>。</w:t>
      </w:r>
      <w:r>
        <w:rPr>
          <w:rFonts w:hint="eastAsia" w:ascii="仿宋" w:hAnsi="仿宋" w:eastAsia="仿宋" w:cs="仿宋"/>
          <w:color w:val="auto"/>
          <w:kern w:val="0"/>
          <w:sz w:val="32"/>
          <w:szCs w:val="32"/>
          <w:highlight w:val="none"/>
          <w:lang w:val="en-US" w:eastAsia="zh-CN" w:bidi="ar-SA"/>
        </w:rPr>
        <w:t>筒仓呼吸粉尘</w:t>
      </w:r>
      <w:r>
        <w:rPr>
          <w:rFonts w:hint="eastAsia" w:ascii="仿宋" w:hAnsi="仿宋" w:eastAsia="仿宋" w:cs="仿宋"/>
          <w:color w:val="auto"/>
          <w:kern w:val="0"/>
          <w:sz w:val="32"/>
          <w:szCs w:val="32"/>
          <w:lang w:val="en-US" w:eastAsia="zh-CN" w:bidi="ar-SA"/>
        </w:rPr>
        <w:t>经滤芯式除尘器</w:t>
      </w:r>
      <w:r>
        <w:rPr>
          <w:rFonts w:hint="eastAsia" w:ascii="仿宋" w:hAnsi="仿宋" w:eastAsia="仿宋" w:cs="仿宋"/>
          <w:color w:val="auto"/>
          <w:sz w:val="32"/>
          <w:szCs w:val="32"/>
          <w:lang w:val="en-US" w:eastAsia="zh-CN"/>
        </w:rPr>
        <w:t>处理后由20米高仓顶排放</w:t>
      </w:r>
      <w:r>
        <w:rPr>
          <w:rFonts w:hint="eastAsia" w:ascii="仿宋" w:hAnsi="仿宋" w:eastAsia="仿宋" w:cs="仿宋"/>
          <w:color w:val="auto"/>
          <w:kern w:val="0"/>
          <w:sz w:val="32"/>
          <w:szCs w:val="32"/>
          <w:lang w:val="en-US" w:eastAsia="zh-CN" w:bidi="ar-SA"/>
        </w:rPr>
        <w:t>，</w:t>
      </w:r>
      <w:r>
        <w:rPr>
          <w:rStyle w:val="17"/>
          <w:rFonts w:hint="eastAsia" w:ascii="仿宋" w:hAnsi="仿宋" w:eastAsia="仿宋" w:cs="Times New Roman"/>
          <w:color w:val="auto"/>
          <w:sz w:val="32"/>
          <w:szCs w:val="32"/>
          <w:lang w:val="en-US" w:eastAsia="zh-CN"/>
        </w:rPr>
        <w:t>1号、2号拌合站物料混合搅拌粉尘经收集处</w:t>
      </w:r>
      <w:r>
        <w:rPr>
          <w:rFonts w:hint="eastAsia" w:ascii="仿宋" w:hAnsi="仿宋" w:eastAsia="仿宋" w:cs="仿宋"/>
          <w:color w:val="auto"/>
          <w:sz w:val="32"/>
          <w:szCs w:val="32"/>
          <w:lang w:val="en-US" w:eastAsia="zh-CN"/>
        </w:rPr>
        <w:t>理后分别由各自15米高排气筒排放，有组织粉尘排放满足《水泥工业大气污染物排放标准》（GB 4915-2013）表1</w:t>
      </w:r>
      <w:r>
        <w:rPr>
          <w:rFonts w:hint="eastAsia" w:ascii="仿宋" w:hAnsi="仿宋" w:eastAsia="仿宋" w:cs="仿宋"/>
          <w:color w:val="auto"/>
          <w:kern w:val="0"/>
          <w:sz w:val="32"/>
          <w:szCs w:val="32"/>
          <w:lang w:val="en-US" w:eastAsia="zh-CN" w:bidi="ar-SA"/>
        </w:rPr>
        <w:t>散装水泥中转站及水泥制品生产排放限</w:t>
      </w:r>
      <w:r>
        <w:rPr>
          <w:rFonts w:hint="eastAsia" w:ascii="仿宋" w:hAnsi="仿宋" w:eastAsia="仿宋" w:cs="仿宋"/>
          <w:color w:val="auto"/>
          <w:sz w:val="32"/>
          <w:szCs w:val="32"/>
          <w:lang w:val="en-US" w:eastAsia="zh-CN"/>
        </w:rPr>
        <w:t>值。</w:t>
      </w:r>
      <w:r>
        <w:rPr>
          <w:rFonts w:hint="eastAsia" w:ascii="仿宋" w:hAnsi="仿宋" w:eastAsia="仿宋" w:cs="仿宋"/>
          <w:color w:val="auto"/>
          <w:kern w:val="0"/>
          <w:sz w:val="32"/>
          <w:szCs w:val="32"/>
          <w:lang w:val="en-US" w:eastAsia="zh-CN" w:bidi="ar-SA"/>
        </w:rPr>
        <w:t>无组织</w:t>
      </w:r>
      <w:r>
        <w:rPr>
          <w:rFonts w:hint="eastAsia" w:ascii="仿宋" w:hAnsi="仿宋" w:eastAsia="仿宋" w:cs="仿宋"/>
          <w:color w:val="auto"/>
          <w:sz w:val="32"/>
          <w:szCs w:val="32"/>
          <w:lang w:val="en-US" w:eastAsia="zh-CN"/>
        </w:rPr>
        <w:t>粉尘排放</w:t>
      </w:r>
      <w:r>
        <w:rPr>
          <w:rFonts w:hint="eastAsia" w:ascii="仿宋" w:hAnsi="仿宋" w:eastAsia="仿宋" w:cs="仿宋"/>
          <w:color w:val="auto"/>
          <w:kern w:val="0"/>
          <w:sz w:val="32"/>
          <w:szCs w:val="32"/>
          <w:lang w:val="en-US" w:eastAsia="zh-CN" w:bidi="ar-SA"/>
        </w:rPr>
        <w:t>满足《水泥工业大气污染物排放标准》（GB 4915-2013）表3大气污染物无组织排放限值</w:t>
      </w:r>
      <w:r>
        <w:rPr>
          <w:rFonts w:hint="eastAsia" w:ascii="仿宋" w:hAnsi="仿宋" w:eastAsia="仿宋" w:cs="仿宋"/>
          <w:color w:val="auto"/>
          <w:sz w:val="32"/>
          <w:szCs w:val="32"/>
          <w:lang w:val="en-US" w:eastAsia="zh-CN"/>
        </w:rPr>
        <w:t>。</w:t>
      </w:r>
    </w:p>
    <w:p w14:paraId="3C88CC5F">
      <w:pPr>
        <w:pStyle w:val="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right="0" w:rightChars="0" w:firstLine="640" w:firstLineChars="200"/>
        <w:textAlignment w:val="auto"/>
        <w:outlineLvl w:val="9"/>
        <w:rPr>
          <w:rFonts w:hint="eastAsia" w:ascii="仿宋" w:hAnsi="仿宋" w:eastAsia="仿宋" w:cs="仿宋"/>
          <w:color w:val="auto"/>
          <w:kern w:val="0"/>
          <w:sz w:val="32"/>
          <w:szCs w:val="32"/>
          <w:lang w:val="en-US" w:eastAsia="zh-CN" w:bidi="ar-SA"/>
        </w:rPr>
      </w:pPr>
      <w:r>
        <w:rPr>
          <w:rStyle w:val="17"/>
          <w:rFonts w:hint="eastAsia" w:ascii="仿宋" w:hAnsi="仿宋" w:eastAsia="仿宋" w:cs="Times New Roman"/>
          <w:color w:val="auto"/>
          <w:sz w:val="32"/>
          <w:szCs w:val="32"/>
          <w:lang w:val="en-US" w:eastAsia="zh-CN"/>
        </w:rPr>
        <w:t>2、水污染防治措施。</w:t>
      </w:r>
      <w:r>
        <w:rPr>
          <w:rFonts w:hint="default" w:ascii="仿宋" w:hAnsi="仿宋" w:eastAsia="仿宋" w:cs="仿宋"/>
          <w:color w:val="auto"/>
          <w:kern w:val="0"/>
          <w:sz w:val="32"/>
          <w:szCs w:val="32"/>
          <w:lang w:val="en-US" w:eastAsia="zh-CN" w:bidi="ar-SA"/>
        </w:rPr>
        <w:t>运</w:t>
      </w:r>
      <w:r>
        <w:rPr>
          <w:rFonts w:hint="eastAsia" w:ascii="仿宋" w:hAnsi="仿宋" w:eastAsia="仿宋" w:cs="仿宋"/>
          <w:color w:val="auto"/>
          <w:kern w:val="0"/>
          <w:sz w:val="32"/>
          <w:szCs w:val="32"/>
          <w:lang w:val="en-US" w:eastAsia="zh-CN" w:bidi="ar-SA"/>
        </w:rPr>
        <w:t>营</w:t>
      </w:r>
      <w:r>
        <w:rPr>
          <w:rFonts w:hint="default" w:ascii="仿宋" w:hAnsi="仿宋" w:eastAsia="仿宋" w:cs="仿宋"/>
          <w:color w:val="auto"/>
          <w:kern w:val="0"/>
          <w:sz w:val="32"/>
          <w:szCs w:val="32"/>
          <w:lang w:val="en-US" w:eastAsia="zh-CN" w:bidi="ar-SA"/>
        </w:rPr>
        <w:t>期</w:t>
      </w:r>
      <w:r>
        <w:rPr>
          <w:rFonts w:hint="eastAsia" w:ascii="仿宋" w:hAnsi="仿宋" w:eastAsia="仿宋" w:cs="仿宋"/>
          <w:color w:val="auto"/>
          <w:kern w:val="0"/>
          <w:sz w:val="32"/>
          <w:szCs w:val="32"/>
          <w:lang w:val="en-US" w:eastAsia="zh-CN" w:bidi="ar-SA"/>
        </w:rPr>
        <w:t>不新增生活污水，生产废水</w:t>
      </w:r>
      <w:r>
        <w:rPr>
          <w:rFonts w:hint="default" w:ascii="仿宋" w:hAnsi="仿宋" w:eastAsia="仿宋" w:cs="仿宋"/>
          <w:color w:val="auto"/>
          <w:kern w:val="0"/>
          <w:sz w:val="32"/>
          <w:szCs w:val="32"/>
          <w:lang w:val="en-US" w:eastAsia="zh-CN" w:bidi="ar-SA"/>
        </w:rPr>
        <w:t>经沉淀池</w:t>
      </w:r>
      <w:r>
        <w:rPr>
          <w:rFonts w:hint="eastAsia" w:ascii="仿宋" w:hAnsi="仿宋" w:eastAsia="仿宋" w:cs="仿宋"/>
          <w:color w:val="auto"/>
          <w:kern w:val="0"/>
          <w:sz w:val="32"/>
          <w:szCs w:val="32"/>
          <w:lang w:val="en-US" w:eastAsia="zh-CN" w:bidi="ar-SA"/>
        </w:rPr>
        <w:t>沉淀后回用于拌合站场地洒水抑尘，不外排。</w:t>
      </w:r>
    </w:p>
    <w:p w14:paraId="0A9C258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pPr>
      <w:r>
        <w:rPr>
          <w:rStyle w:val="17"/>
          <w:rFonts w:hint="eastAsia" w:ascii="仿宋" w:hAnsi="仿宋" w:eastAsia="仿宋"/>
          <w:color w:val="auto"/>
          <w:sz w:val="32"/>
          <w:szCs w:val="32"/>
          <w:lang w:val="en-US" w:eastAsia="zh-CN"/>
        </w:rPr>
        <w:t>3、</w:t>
      </w:r>
      <w:r>
        <w:rPr>
          <w:rStyle w:val="17"/>
          <w:rFonts w:hint="default" w:ascii="Times New Roman" w:hAnsi="Times New Roman" w:eastAsia="仿宋" w:cs="Times New Roman"/>
          <w:color w:val="auto"/>
          <w:sz w:val="32"/>
          <w:szCs w:val="32"/>
          <w:lang w:val="en-US" w:eastAsia="zh-CN"/>
        </w:rPr>
        <w:t>噪声污染防治措施。通过选用低噪声设备，采取基础减振，定期维护等措施，</w:t>
      </w:r>
      <w:r>
        <w:rPr>
          <w:rStyle w:val="17"/>
          <w:rFonts w:hint="eastAsia" w:ascii="仿宋" w:hAnsi="仿宋" w:eastAsia="仿宋"/>
          <w:color w:val="auto"/>
          <w:sz w:val="32"/>
          <w:szCs w:val="32"/>
          <w:highlight w:val="none"/>
          <w:lang w:val="en-US" w:eastAsia="zh-CN"/>
        </w:rPr>
        <w:t>确保</w:t>
      </w:r>
      <w:r>
        <w:rPr>
          <w:rStyle w:val="17"/>
          <w:rFonts w:hint="eastAsia" w:ascii="仿宋" w:hAnsi="仿宋" w:eastAsia="仿宋"/>
          <w:color w:val="auto"/>
          <w:sz w:val="32"/>
          <w:szCs w:val="32"/>
          <w:highlight w:val="none"/>
        </w:rPr>
        <w:t>运营期厂界噪声</w:t>
      </w:r>
      <w:r>
        <w:rPr>
          <w:rStyle w:val="17"/>
          <w:rFonts w:hint="eastAsia" w:ascii="仿宋" w:hAnsi="仿宋" w:eastAsia="仿宋"/>
          <w:color w:val="auto"/>
          <w:sz w:val="32"/>
          <w:szCs w:val="32"/>
          <w:highlight w:val="none"/>
          <w:lang w:val="en-US" w:eastAsia="zh-CN"/>
        </w:rPr>
        <w:t>满足</w:t>
      </w:r>
      <w:r>
        <w:rPr>
          <w:rStyle w:val="17"/>
          <w:rFonts w:hint="eastAsia" w:ascii="仿宋" w:hAnsi="仿宋" w:eastAsia="仿宋"/>
          <w:color w:val="auto"/>
          <w:sz w:val="32"/>
          <w:szCs w:val="32"/>
        </w:rPr>
        <w:t>《工业企业厂界环境噪声排放</w:t>
      </w:r>
      <w:r>
        <w:rPr>
          <w:rStyle w:val="17"/>
          <w:rFonts w:hint="eastAsia" w:ascii="仿宋" w:hAnsi="仿宋" w:eastAsia="仿宋"/>
          <w:color w:val="auto"/>
          <w:sz w:val="32"/>
          <w:szCs w:val="32"/>
          <w:lang w:val="en-US" w:eastAsia="zh-CN"/>
        </w:rPr>
        <w:t>标</w:t>
      </w:r>
      <w:r>
        <w:rPr>
          <w:rStyle w:val="17"/>
          <w:rFonts w:hint="eastAsia" w:ascii="仿宋" w:hAnsi="仿宋" w:eastAsia="仿宋"/>
          <w:color w:val="auto"/>
          <w:sz w:val="32"/>
          <w:szCs w:val="32"/>
        </w:rPr>
        <w:t>准》（GB</w:t>
      </w:r>
      <w:r>
        <w:rPr>
          <w:rStyle w:val="17"/>
          <w:rFonts w:hint="eastAsia" w:ascii="仿宋" w:hAnsi="仿宋" w:eastAsia="仿宋"/>
          <w:color w:val="auto"/>
          <w:sz w:val="32"/>
          <w:szCs w:val="32"/>
          <w:lang w:val="en-US" w:eastAsia="zh-CN"/>
        </w:rPr>
        <w:t xml:space="preserve"> </w:t>
      </w:r>
      <w:r>
        <w:rPr>
          <w:rStyle w:val="17"/>
          <w:rFonts w:hint="eastAsia" w:ascii="仿宋" w:hAnsi="仿宋" w:eastAsia="仿宋"/>
          <w:color w:val="auto"/>
          <w:sz w:val="32"/>
          <w:szCs w:val="32"/>
        </w:rPr>
        <w:t>12348-2008）中</w:t>
      </w:r>
      <w:r>
        <w:rPr>
          <w:rStyle w:val="17"/>
          <w:rFonts w:hint="eastAsia" w:ascii="仿宋" w:hAnsi="仿宋" w:eastAsia="仿宋"/>
          <w:color w:val="auto"/>
          <w:sz w:val="32"/>
          <w:szCs w:val="32"/>
          <w:lang w:val="en-US" w:eastAsia="zh-CN"/>
        </w:rPr>
        <w:t>2</w:t>
      </w:r>
      <w:r>
        <w:rPr>
          <w:rStyle w:val="17"/>
          <w:rFonts w:hint="eastAsia" w:ascii="仿宋" w:hAnsi="仿宋" w:eastAsia="仿宋"/>
          <w:color w:val="auto"/>
          <w:sz w:val="32"/>
          <w:szCs w:val="32"/>
        </w:rPr>
        <w:t>类标准。</w:t>
      </w:r>
    </w:p>
    <w:p w14:paraId="484F1B32">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4、</w:t>
      </w:r>
      <w:r>
        <w:rPr>
          <w:rFonts w:hint="eastAsia" w:ascii="仿宋" w:hAnsi="仿宋" w:eastAsia="仿宋" w:cs="仿宋"/>
          <w:color w:val="auto"/>
          <w:kern w:val="0"/>
          <w:sz w:val="32"/>
          <w:szCs w:val="32"/>
          <w:highlight w:val="none"/>
          <w:lang w:val="en-US" w:eastAsia="zh-CN" w:bidi="ar-SA"/>
        </w:rPr>
        <w:t>固废污染防治措施。</w:t>
      </w:r>
      <w:r>
        <w:rPr>
          <w:rFonts w:hint="eastAsia" w:ascii="仿宋" w:hAnsi="仿宋" w:eastAsia="仿宋" w:cs="仿宋"/>
          <w:strike w:val="0"/>
          <w:dstrike w:val="0"/>
          <w:color w:val="auto"/>
          <w:kern w:val="0"/>
          <w:sz w:val="32"/>
          <w:szCs w:val="32"/>
          <w:lang w:val="en-US" w:eastAsia="zh-CN" w:bidi="ar-SA"/>
        </w:rPr>
        <w:t>妥善处置各类固体废弃物。建设单位须严格按照《一般工业固体废物贮存和填埋污染控制标准》（GB 18599-2020）处置一般固废，不得乱弃。</w:t>
      </w:r>
    </w:p>
    <w:p w14:paraId="1C5588F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pPr>
      <w:r>
        <w:rPr>
          <w:rFonts w:hint="eastAsia" w:ascii="仿宋" w:hAnsi="仿宋" w:eastAsia="仿宋" w:cs="仿宋"/>
          <w:strike w:val="0"/>
          <w:dstrike w:val="0"/>
          <w:color w:val="auto"/>
          <w:kern w:val="0"/>
          <w:sz w:val="32"/>
          <w:szCs w:val="32"/>
          <w:lang w:val="en-US" w:eastAsia="zh-CN" w:bidi="ar-SA"/>
        </w:rPr>
        <w:t>5、强化环境风险防范，制定突发环境事件应急预案，落实环境风险事故防范措施，提高事故风险防范和污染控制能力。</w:t>
      </w:r>
    </w:p>
    <w:p w14:paraId="0C46480B">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6、按照《排污口规范化整治技术要求》（环监〔1996〕470号）规范设置排污口。</w:t>
      </w:r>
    </w:p>
    <w:p w14:paraId="4EE22080">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both"/>
        <w:textAlignment w:val="auto"/>
        <w:rPr>
          <w:rStyle w:val="17"/>
          <w:rFonts w:hint="default" w:ascii="仿宋" w:hAnsi="仿宋" w:eastAsia="仿宋"/>
          <w:color w:val="auto"/>
          <w:sz w:val="32"/>
          <w:szCs w:val="32"/>
        </w:rPr>
      </w:pPr>
      <w:r>
        <w:rPr>
          <w:rStyle w:val="17"/>
          <w:rFonts w:hint="default" w:ascii="仿宋" w:hAnsi="仿宋" w:eastAsia="仿宋"/>
          <w:color w:val="auto"/>
          <w:sz w:val="32"/>
          <w:szCs w:val="32"/>
          <w:lang w:val="en-US" w:eastAsia="zh-CN"/>
        </w:rPr>
        <w:t>你单位应委托有相应资质的设计单位对建设项目重点环保设施进行设计，并在项目施工及运行过程中严格落实环保设施安全生产工作要求。</w:t>
      </w:r>
    </w:p>
    <w:p w14:paraId="375EA849">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both"/>
        <w:textAlignment w:val="auto"/>
        <w:rPr>
          <w:rStyle w:val="17"/>
          <w:rFonts w:hint="default" w:ascii="仿宋" w:hAnsi="仿宋" w:eastAsia="仿宋"/>
          <w:color w:val="auto"/>
          <w:sz w:val="32"/>
          <w:szCs w:val="32"/>
        </w:rPr>
      </w:pPr>
      <w:r>
        <w:rPr>
          <w:rStyle w:val="17"/>
          <w:rFonts w:hint="default"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78F58D71">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both"/>
        <w:textAlignment w:val="auto"/>
        <w:rPr>
          <w:rStyle w:val="17"/>
          <w:rFonts w:hint="default" w:ascii="仿宋" w:hAnsi="仿宋" w:eastAsia="仿宋"/>
          <w:color w:val="auto"/>
          <w:sz w:val="32"/>
          <w:szCs w:val="32"/>
        </w:rPr>
      </w:pPr>
      <w:r>
        <w:rPr>
          <w:rStyle w:val="17"/>
          <w:rFonts w:hint="default" w:ascii="仿宋" w:hAnsi="仿宋" w:eastAsia="仿宋"/>
          <w:color w:val="auto"/>
          <w:sz w:val="32"/>
          <w:szCs w:val="32"/>
        </w:rPr>
        <w:t>该项目事中事后监管由鄂尔多斯市生态环境综合行政执法支队东胜区大队负责</w:t>
      </w:r>
      <w:r>
        <w:rPr>
          <w:rStyle w:val="17"/>
          <w:rFonts w:hint="default" w:ascii="仿宋" w:hAnsi="仿宋" w:eastAsia="仿宋"/>
          <w:color w:val="auto"/>
          <w:sz w:val="32"/>
          <w:szCs w:val="32"/>
          <w:lang w:eastAsia="zh-CN"/>
        </w:rPr>
        <w:t>。</w:t>
      </w:r>
    </w:p>
    <w:p w14:paraId="3DA538B2">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both"/>
        <w:textAlignment w:val="auto"/>
        <w:rPr>
          <w:rStyle w:val="17"/>
          <w:rFonts w:ascii="仿宋" w:hAnsi="仿宋" w:eastAsia="仿宋"/>
          <w:color w:val="auto"/>
          <w:sz w:val="32"/>
          <w:szCs w:val="32"/>
        </w:rPr>
      </w:pPr>
      <w:r>
        <w:rPr>
          <w:rStyle w:val="17"/>
          <w:rFonts w:hint="default" w:ascii="仿宋" w:hAnsi="仿宋" w:eastAsia="仿宋"/>
          <w:color w:val="auto"/>
          <w:sz w:val="32"/>
          <w:szCs w:val="32"/>
        </w:rPr>
        <w:t>该项目从批准之日起超过5年方决定开工建设，其环评文件应重新审核。如果建设地点、规模、防治污染和防止生态破坏的措施等发生重</w:t>
      </w:r>
      <w:bookmarkStart w:id="0" w:name="_GoBack"/>
      <w:bookmarkEnd w:id="0"/>
      <w:r>
        <w:rPr>
          <w:rStyle w:val="17"/>
          <w:rFonts w:hint="default" w:ascii="仿宋" w:hAnsi="仿宋" w:eastAsia="仿宋"/>
          <w:color w:val="auto"/>
          <w:sz w:val="32"/>
          <w:szCs w:val="32"/>
        </w:rPr>
        <w:t>大变化时，需重新报批环评文件。</w:t>
      </w:r>
      <w:r>
        <w:rPr>
          <w:rStyle w:val="17"/>
          <w:rFonts w:ascii="仿宋" w:hAnsi="仿宋" w:eastAsia="仿宋"/>
          <w:color w:val="auto"/>
          <w:sz w:val="32"/>
          <w:szCs w:val="32"/>
        </w:rPr>
        <w:t xml:space="preserve">                                    </w:t>
      </w:r>
    </w:p>
    <w:p w14:paraId="0FB2A4DE">
      <w:pPr>
        <w:pStyle w:val="2"/>
        <w:jc w:val="left"/>
        <w:rPr>
          <w:rFonts w:hint="eastAsia"/>
          <w:color w:val="auto"/>
          <w:lang w:val="en-US" w:eastAsia="zh-CN"/>
        </w:rPr>
      </w:pPr>
      <w:r>
        <w:rPr>
          <w:rFonts w:hint="eastAsia"/>
          <w:color w:val="auto"/>
          <w:lang w:val="en-US" w:eastAsia="zh-CN"/>
        </w:rPr>
        <w:t xml:space="preserve">   </w:t>
      </w:r>
    </w:p>
    <w:p w14:paraId="7DDC8CC6">
      <w:pPr>
        <w:rPr>
          <w:rFonts w:hint="eastAsia"/>
          <w:color w:val="auto"/>
          <w:lang w:val="en-US" w:eastAsia="zh-CN"/>
        </w:rPr>
      </w:pPr>
    </w:p>
    <w:p w14:paraId="468BE9C2">
      <w:pPr>
        <w:pStyle w:val="2"/>
        <w:rPr>
          <w:rFonts w:hint="eastAsia"/>
          <w:lang w:val="en-US" w:eastAsia="zh-CN"/>
        </w:rPr>
      </w:pPr>
    </w:p>
    <w:p w14:paraId="4C80F271">
      <w:pPr>
        <w:pStyle w:val="2"/>
        <w:rPr>
          <w:rFonts w:hint="eastAsia"/>
          <w:lang w:val="en-US" w:eastAsia="zh-CN"/>
        </w:rPr>
      </w:pPr>
    </w:p>
    <w:p w14:paraId="0BB55645">
      <w:pPr>
        <w:jc w:val="left"/>
      </w:pPr>
    </w:p>
    <w:p w14:paraId="1EE89FBA">
      <w:pPr>
        <w:spacing w:line="360" w:lineRule="auto"/>
        <w:ind w:firstLine="3840" w:firstLineChars="1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鄂尔多斯市生态环境局东胜区分局</w:t>
      </w:r>
    </w:p>
    <w:p w14:paraId="43F52F94">
      <w:pPr>
        <w:spacing w:line="360" w:lineRule="auto"/>
        <w:ind w:firstLine="640" w:firstLineChars="200"/>
        <w:textAlignment w:val="auto"/>
        <w:rPr>
          <w:rStyle w:val="17"/>
          <w:rFonts w:ascii="仿宋" w:hAnsi="仿宋" w:eastAsia="仿宋"/>
          <w:color w:val="auto"/>
          <w:sz w:val="32"/>
          <w:szCs w:val="32"/>
        </w:rPr>
      </w:pPr>
      <w:r>
        <w:rPr>
          <w:rStyle w:val="17"/>
          <w:rFonts w:ascii="仿宋" w:hAnsi="仿宋" w:eastAsia="仿宋"/>
          <w:color w:val="auto"/>
          <w:sz w:val="32"/>
          <w:szCs w:val="32"/>
        </w:rPr>
        <w:t xml:space="preserve">                           202</w:t>
      </w:r>
      <w:r>
        <w:rPr>
          <w:rStyle w:val="17"/>
          <w:rFonts w:hint="eastAsia" w:ascii="仿宋" w:hAnsi="仿宋" w:eastAsia="仿宋"/>
          <w:color w:val="auto"/>
          <w:sz w:val="32"/>
          <w:szCs w:val="32"/>
          <w:lang w:val="en-US" w:eastAsia="zh-CN"/>
        </w:rPr>
        <w:t>5</w:t>
      </w:r>
      <w:r>
        <w:rPr>
          <w:rStyle w:val="17"/>
          <w:rFonts w:hint="eastAsia" w:ascii="仿宋" w:hAnsi="仿宋" w:eastAsia="仿宋"/>
          <w:color w:val="auto"/>
          <w:sz w:val="32"/>
          <w:szCs w:val="32"/>
        </w:rPr>
        <w:t>年</w:t>
      </w:r>
      <w:r>
        <w:rPr>
          <w:rStyle w:val="17"/>
          <w:rFonts w:hint="eastAsia" w:ascii="仿宋" w:hAnsi="仿宋" w:eastAsia="仿宋"/>
          <w:color w:val="auto"/>
          <w:sz w:val="32"/>
          <w:szCs w:val="32"/>
          <w:lang w:val="en-US" w:eastAsia="zh-CN"/>
        </w:rPr>
        <w:t>12</w:t>
      </w:r>
      <w:r>
        <w:rPr>
          <w:rStyle w:val="17"/>
          <w:rFonts w:hint="eastAsia" w:ascii="仿宋" w:hAnsi="仿宋" w:eastAsia="仿宋"/>
          <w:color w:val="auto"/>
          <w:sz w:val="32"/>
          <w:szCs w:val="32"/>
        </w:rPr>
        <w:t>月</w:t>
      </w:r>
      <w:r>
        <w:rPr>
          <w:rStyle w:val="17"/>
          <w:rFonts w:hint="eastAsia" w:ascii="仿宋" w:hAnsi="仿宋" w:eastAsia="仿宋"/>
          <w:color w:val="auto"/>
          <w:sz w:val="32"/>
          <w:szCs w:val="32"/>
          <w:lang w:val="en-US" w:eastAsia="zh-CN"/>
        </w:rPr>
        <w:t>10</w:t>
      </w:r>
      <w:r>
        <w:rPr>
          <w:rStyle w:val="17"/>
          <w:rFonts w:hint="eastAsia" w:ascii="仿宋" w:hAnsi="仿宋" w:eastAsia="仿宋"/>
          <w:color w:val="auto"/>
          <w:sz w:val="32"/>
          <w:szCs w:val="32"/>
        </w:rPr>
        <w:t>日</w:t>
      </w:r>
      <w:r>
        <w:rPr>
          <w:rStyle w:val="17"/>
          <w:rFonts w:ascii="仿宋" w:hAnsi="仿宋" w:eastAsia="仿宋"/>
          <w:color w:val="auto"/>
          <w:sz w:val="32"/>
          <w:szCs w:val="32"/>
        </w:rPr>
        <w:t xml:space="preserve"> </w:t>
      </w:r>
    </w:p>
    <w:p w14:paraId="3DCD9BC2">
      <w:pPr>
        <w:pStyle w:val="2"/>
        <w:rPr>
          <w:rStyle w:val="17"/>
          <w:rFonts w:ascii="仿宋" w:hAnsi="仿宋" w:eastAsia="仿宋"/>
          <w:color w:val="auto"/>
          <w:sz w:val="32"/>
          <w:szCs w:val="32"/>
        </w:rPr>
      </w:pPr>
    </w:p>
    <w:p w14:paraId="09F7C8E5">
      <w:pPr>
        <w:rPr>
          <w:rStyle w:val="17"/>
          <w:rFonts w:ascii="仿宋" w:hAnsi="仿宋" w:eastAsia="仿宋"/>
          <w:color w:val="auto"/>
          <w:sz w:val="32"/>
          <w:szCs w:val="32"/>
        </w:rPr>
      </w:pPr>
    </w:p>
    <w:p w14:paraId="1F12C079">
      <w:pPr>
        <w:pStyle w:val="2"/>
        <w:rPr>
          <w:rStyle w:val="17"/>
          <w:rFonts w:ascii="仿宋" w:hAnsi="仿宋" w:eastAsia="仿宋"/>
          <w:color w:val="auto"/>
          <w:sz w:val="32"/>
          <w:szCs w:val="32"/>
        </w:rPr>
      </w:pPr>
    </w:p>
    <w:p w14:paraId="6BD6C529">
      <w:pPr>
        <w:rPr>
          <w:rStyle w:val="17"/>
          <w:rFonts w:ascii="仿宋" w:hAnsi="仿宋" w:eastAsia="仿宋"/>
          <w:color w:val="auto"/>
          <w:sz w:val="32"/>
          <w:szCs w:val="32"/>
        </w:rPr>
      </w:pPr>
    </w:p>
    <w:p w14:paraId="09D7B7C9">
      <w:pPr>
        <w:pStyle w:val="2"/>
        <w:rPr>
          <w:rStyle w:val="17"/>
          <w:rFonts w:ascii="仿宋" w:hAnsi="仿宋" w:eastAsia="仿宋"/>
          <w:color w:val="auto"/>
          <w:sz w:val="32"/>
          <w:szCs w:val="32"/>
        </w:rPr>
      </w:pPr>
    </w:p>
    <w:p w14:paraId="6141A088">
      <w:pPr>
        <w:rPr>
          <w:rStyle w:val="17"/>
          <w:rFonts w:ascii="仿宋" w:hAnsi="仿宋" w:eastAsia="仿宋"/>
          <w:color w:val="auto"/>
          <w:sz w:val="32"/>
          <w:szCs w:val="32"/>
        </w:rPr>
      </w:pPr>
    </w:p>
    <w:p w14:paraId="22AA0E4C">
      <w:pPr>
        <w:pStyle w:val="2"/>
        <w:rPr>
          <w:rStyle w:val="17"/>
          <w:rFonts w:ascii="仿宋" w:hAnsi="仿宋" w:eastAsia="仿宋"/>
          <w:color w:val="auto"/>
          <w:sz w:val="32"/>
          <w:szCs w:val="32"/>
        </w:rPr>
      </w:pPr>
    </w:p>
    <w:p w14:paraId="09D6EAEF">
      <w:pPr>
        <w:rPr>
          <w:rStyle w:val="17"/>
          <w:rFonts w:ascii="仿宋" w:hAnsi="仿宋" w:eastAsia="仿宋"/>
          <w:color w:val="auto"/>
          <w:sz w:val="32"/>
          <w:szCs w:val="32"/>
        </w:rPr>
      </w:pPr>
    </w:p>
    <w:p w14:paraId="673D7793">
      <w:pPr>
        <w:pStyle w:val="2"/>
        <w:rPr>
          <w:rStyle w:val="17"/>
          <w:rFonts w:ascii="仿宋" w:hAnsi="仿宋" w:eastAsia="仿宋"/>
          <w:color w:val="auto"/>
          <w:sz w:val="32"/>
          <w:szCs w:val="32"/>
        </w:rPr>
      </w:pPr>
    </w:p>
    <w:p w14:paraId="75153B22">
      <w:pPr>
        <w:rPr>
          <w:rStyle w:val="17"/>
          <w:rFonts w:ascii="仿宋" w:hAnsi="仿宋" w:eastAsia="仿宋"/>
          <w:color w:val="auto"/>
          <w:sz w:val="32"/>
          <w:szCs w:val="32"/>
        </w:rPr>
      </w:pPr>
    </w:p>
    <w:p w14:paraId="157BF0AF">
      <w:pPr>
        <w:pStyle w:val="2"/>
      </w:pPr>
    </w:p>
    <w:p w14:paraId="286B346B">
      <w:pPr>
        <w:spacing w:line="560" w:lineRule="exact"/>
        <w:ind w:right="168" w:firstLine="210" w:firstLineChars="100"/>
        <w:rPr>
          <w:rStyle w:val="17"/>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7"/>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202</w:t>
      </w:r>
      <w:r>
        <w:rPr>
          <w:rStyle w:val="17"/>
          <w:rFonts w:hint="eastAsia" w:ascii="仿宋" w:hAnsi="仿宋" w:eastAsia="仿宋"/>
          <w:color w:val="auto"/>
          <w:sz w:val="28"/>
          <w:szCs w:val="28"/>
          <w:lang w:val="en-US" w:eastAsia="zh-CN"/>
        </w:rPr>
        <w:t>5</w:t>
      </w:r>
      <w:r>
        <w:rPr>
          <w:rStyle w:val="17"/>
          <w:rFonts w:hint="eastAsia" w:ascii="仿宋" w:hAnsi="仿宋" w:eastAsia="仿宋"/>
          <w:color w:val="auto"/>
          <w:sz w:val="28"/>
          <w:szCs w:val="28"/>
        </w:rPr>
        <w:t>年</w:t>
      </w:r>
      <w:r>
        <w:rPr>
          <w:rStyle w:val="17"/>
          <w:rFonts w:hint="eastAsia" w:ascii="仿宋" w:hAnsi="仿宋" w:eastAsia="仿宋"/>
          <w:color w:val="auto"/>
          <w:sz w:val="28"/>
          <w:szCs w:val="28"/>
          <w:lang w:val="en-US" w:eastAsia="zh-CN"/>
        </w:rPr>
        <w:t>12</w:t>
      </w:r>
      <w:r>
        <w:rPr>
          <w:rStyle w:val="17"/>
          <w:rFonts w:hint="eastAsia" w:ascii="仿宋" w:hAnsi="仿宋" w:eastAsia="仿宋"/>
          <w:color w:val="auto"/>
          <w:sz w:val="28"/>
          <w:szCs w:val="28"/>
        </w:rPr>
        <w:t>月</w:t>
      </w:r>
      <w:r>
        <w:rPr>
          <w:rStyle w:val="17"/>
          <w:rFonts w:hint="eastAsia" w:ascii="仿宋" w:hAnsi="仿宋" w:eastAsia="仿宋"/>
          <w:color w:val="auto"/>
          <w:sz w:val="28"/>
          <w:szCs w:val="28"/>
          <w:lang w:val="en-US" w:eastAsia="zh-CN"/>
        </w:rPr>
        <w:t>10</w:t>
      </w:r>
      <w:r>
        <w:rPr>
          <w:rStyle w:val="17"/>
          <w:rFonts w:hint="eastAsia" w:ascii="仿宋" w:hAnsi="仿宋" w:eastAsia="仿宋"/>
          <w:color w:val="auto"/>
          <w:sz w:val="28"/>
          <w:szCs w:val="28"/>
        </w:rPr>
        <w:t>日印发</w:t>
      </w:r>
      <w:r>
        <w:rPr>
          <w:rStyle w:val="17"/>
          <w:rFonts w:ascii="仿宋" w:hAnsi="仿宋" w:eastAsia="仿宋"/>
          <w:color w:val="auto"/>
          <w:sz w:val="28"/>
          <w:szCs w:val="28"/>
        </w:rPr>
        <w:t xml:space="preserve"> </w:t>
      </w:r>
    </w:p>
    <w:sectPr>
      <w:headerReference r:id="rId5" w:type="default"/>
      <w:footerReference r:id="rId6" w:type="default"/>
      <w:footerReference r:id="rId7" w:type="even"/>
      <w:pgSz w:w="11905" w:h="16837"/>
      <w:pgMar w:top="1417"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8697D">
    <w:pPr>
      <w:pStyle w:val="10"/>
      <w:jc w:val="right"/>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5DEAE5F">
                          <w:pPr>
                            <w:pStyle w:val="10"/>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14:paraId="35DEAE5F">
                    <w:pPr>
                      <w:pStyle w:val="10"/>
                    </w:pPr>
                    <w:r>
                      <w:fldChar w:fldCharType="begin"/>
                    </w:r>
                    <w:r>
                      <w:instrText xml:space="preserve"> PAGE  \* MERGEFORMAT </w:instrText>
                    </w:r>
                    <w:r>
                      <w:fldChar w:fldCharType="separate"/>
                    </w:r>
                    <w:r>
                      <w:t>- 3 -</w:t>
                    </w:r>
                    <w:r>
                      <w:fldChar w:fldCharType="end"/>
                    </w:r>
                  </w:p>
                </w:txbxContent>
              </v:textbox>
            </v:shape>
          </w:pict>
        </mc:Fallback>
      </mc:AlternateContent>
    </w:r>
  </w:p>
  <w:p w14:paraId="2E055189">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0B334">
    <w:pPr>
      <w:pStyle w:val="10"/>
      <w:ind w:right="720"/>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3A0BB8F">
                          <w:pPr>
                            <w:pStyle w:val="10"/>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14:paraId="73A0BB8F">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14:paraId="552E0B2B">
    <w:pPr>
      <w:pStyle w:val="10"/>
      <w:rPr>
        <w:rStyle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528F9">
    <w:pPr>
      <w:snapToGrid w:val="0"/>
      <w:spacing w:line="240" w:lineRule="atLeast"/>
      <w:rPr>
        <w:rStyle w:val="17"/>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CD9F39"/>
    <w:multiLevelType w:val="singleLevel"/>
    <w:tmpl w:val="CDCD9F39"/>
    <w:lvl w:ilvl="0" w:tentative="0">
      <w:start w:val="1"/>
      <w:numFmt w:val="bullet"/>
      <w:pStyle w:val="7"/>
      <w:lvlText w:val=""/>
      <w:lvlJc w:val="left"/>
      <w:pPr>
        <w:tabs>
          <w:tab w:val="left" w:pos="2040"/>
        </w:tabs>
        <w:ind w:left="2040" w:hanging="360"/>
      </w:pPr>
      <w:rPr>
        <w:rFonts w:hint="default" w:ascii="Wingdings" w:hAnsi="Wingdings"/>
      </w:rPr>
    </w:lvl>
  </w:abstractNum>
  <w:abstractNum w:abstractNumId="1">
    <w:nsid w:val="6A8A7D25"/>
    <w:multiLevelType w:val="singleLevel"/>
    <w:tmpl w:val="6A8A7D25"/>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4MDU2YWQ1NjA4ZDU0MzJjZmM5N2MwNWQ5Zjg1OWQ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0770D"/>
    <w:rsid w:val="00E42E5F"/>
    <w:rsid w:val="00E44AC0"/>
    <w:rsid w:val="00E82E40"/>
    <w:rsid w:val="00F5710E"/>
    <w:rsid w:val="00F634D8"/>
    <w:rsid w:val="00F7548A"/>
    <w:rsid w:val="00FA618D"/>
    <w:rsid w:val="01210341"/>
    <w:rsid w:val="014557C2"/>
    <w:rsid w:val="01AC556B"/>
    <w:rsid w:val="01EC20E2"/>
    <w:rsid w:val="02BA5D3C"/>
    <w:rsid w:val="02DD4C33"/>
    <w:rsid w:val="02DD5B4F"/>
    <w:rsid w:val="02F3233D"/>
    <w:rsid w:val="0337738D"/>
    <w:rsid w:val="0341249E"/>
    <w:rsid w:val="0358144A"/>
    <w:rsid w:val="03604B36"/>
    <w:rsid w:val="03A03DE5"/>
    <w:rsid w:val="03A05D81"/>
    <w:rsid w:val="03A96EC4"/>
    <w:rsid w:val="03C1757D"/>
    <w:rsid w:val="03C74BB5"/>
    <w:rsid w:val="03F37592"/>
    <w:rsid w:val="03F963FB"/>
    <w:rsid w:val="04161698"/>
    <w:rsid w:val="042E1659"/>
    <w:rsid w:val="044E4F55"/>
    <w:rsid w:val="0476323E"/>
    <w:rsid w:val="048A4438"/>
    <w:rsid w:val="048A4FCC"/>
    <w:rsid w:val="04916917"/>
    <w:rsid w:val="0497479E"/>
    <w:rsid w:val="04D23811"/>
    <w:rsid w:val="04F715EE"/>
    <w:rsid w:val="04F72C71"/>
    <w:rsid w:val="05337BE9"/>
    <w:rsid w:val="0548762F"/>
    <w:rsid w:val="054F6C10"/>
    <w:rsid w:val="056927A4"/>
    <w:rsid w:val="05883ED0"/>
    <w:rsid w:val="059A4722"/>
    <w:rsid w:val="05C173E2"/>
    <w:rsid w:val="05D94866"/>
    <w:rsid w:val="060A1C1B"/>
    <w:rsid w:val="06191689"/>
    <w:rsid w:val="06CA02D1"/>
    <w:rsid w:val="06CC5F39"/>
    <w:rsid w:val="06E35A8B"/>
    <w:rsid w:val="06F42603"/>
    <w:rsid w:val="06F55023"/>
    <w:rsid w:val="071479B9"/>
    <w:rsid w:val="075C516B"/>
    <w:rsid w:val="075E259A"/>
    <w:rsid w:val="075F5B44"/>
    <w:rsid w:val="07A019A5"/>
    <w:rsid w:val="07E24DC5"/>
    <w:rsid w:val="07E51AAD"/>
    <w:rsid w:val="0822685D"/>
    <w:rsid w:val="084C5688"/>
    <w:rsid w:val="08660559"/>
    <w:rsid w:val="088210AA"/>
    <w:rsid w:val="088554D8"/>
    <w:rsid w:val="08A1120A"/>
    <w:rsid w:val="08A54D99"/>
    <w:rsid w:val="08AD4A87"/>
    <w:rsid w:val="08B51389"/>
    <w:rsid w:val="08CE2C2B"/>
    <w:rsid w:val="08EA5D86"/>
    <w:rsid w:val="08FE4C90"/>
    <w:rsid w:val="090362EF"/>
    <w:rsid w:val="090866C9"/>
    <w:rsid w:val="097134F8"/>
    <w:rsid w:val="098F5074"/>
    <w:rsid w:val="09B06929"/>
    <w:rsid w:val="09D92F4C"/>
    <w:rsid w:val="0A3D33B0"/>
    <w:rsid w:val="0A5D0D80"/>
    <w:rsid w:val="0A667AEF"/>
    <w:rsid w:val="0A6D53BD"/>
    <w:rsid w:val="0A9A115F"/>
    <w:rsid w:val="0AA477AD"/>
    <w:rsid w:val="0AA74DF8"/>
    <w:rsid w:val="0ABF0394"/>
    <w:rsid w:val="0AD65965"/>
    <w:rsid w:val="0B440899"/>
    <w:rsid w:val="0B6446A4"/>
    <w:rsid w:val="0B792C38"/>
    <w:rsid w:val="0BA55642"/>
    <w:rsid w:val="0BD72E57"/>
    <w:rsid w:val="0BDE1694"/>
    <w:rsid w:val="0C2B3A73"/>
    <w:rsid w:val="0C301322"/>
    <w:rsid w:val="0C5555BE"/>
    <w:rsid w:val="0CAF1FCC"/>
    <w:rsid w:val="0CC65836"/>
    <w:rsid w:val="0CF87B8D"/>
    <w:rsid w:val="0CFC12E8"/>
    <w:rsid w:val="0D424F0B"/>
    <w:rsid w:val="0D693F98"/>
    <w:rsid w:val="0D830185"/>
    <w:rsid w:val="0DF20A80"/>
    <w:rsid w:val="0DFC18FF"/>
    <w:rsid w:val="0E286250"/>
    <w:rsid w:val="0E2F5220"/>
    <w:rsid w:val="0E364873"/>
    <w:rsid w:val="0E385A18"/>
    <w:rsid w:val="0E570138"/>
    <w:rsid w:val="0E846C5B"/>
    <w:rsid w:val="0E9A33FF"/>
    <w:rsid w:val="0EB72A51"/>
    <w:rsid w:val="0EC36AE6"/>
    <w:rsid w:val="0EF75580"/>
    <w:rsid w:val="0F1B51C5"/>
    <w:rsid w:val="0F7E2F3B"/>
    <w:rsid w:val="0F7F4595"/>
    <w:rsid w:val="0F8B77A7"/>
    <w:rsid w:val="0FB279DE"/>
    <w:rsid w:val="0FD03B40"/>
    <w:rsid w:val="0FF94348"/>
    <w:rsid w:val="101C23A5"/>
    <w:rsid w:val="103352A9"/>
    <w:rsid w:val="10376624"/>
    <w:rsid w:val="10395A2B"/>
    <w:rsid w:val="107347CB"/>
    <w:rsid w:val="10830D1C"/>
    <w:rsid w:val="10B61351"/>
    <w:rsid w:val="10C26E79"/>
    <w:rsid w:val="10C7603A"/>
    <w:rsid w:val="10C86C16"/>
    <w:rsid w:val="10F13271"/>
    <w:rsid w:val="11131BAC"/>
    <w:rsid w:val="11356D45"/>
    <w:rsid w:val="11534193"/>
    <w:rsid w:val="11611336"/>
    <w:rsid w:val="116C0377"/>
    <w:rsid w:val="11895257"/>
    <w:rsid w:val="11CD325E"/>
    <w:rsid w:val="11D2180D"/>
    <w:rsid w:val="12EA255A"/>
    <w:rsid w:val="13464D5E"/>
    <w:rsid w:val="1398649C"/>
    <w:rsid w:val="139A0B1F"/>
    <w:rsid w:val="13C532EF"/>
    <w:rsid w:val="13E470BD"/>
    <w:rsid w:val="144638D4"/>
    <w:rsid w:val="144C07C7"/>
    <w:rsid w:val="14F54230"/>
    <w:rsid w:val="154F4A0A"/>
    <w:rsid w:val="1562595D"/>
    <w:rsid w:val="1564245A"/>
    <w:rsid w:val="15652C35"/>
    <w:rsid w:val="156D1455"/>
    <w:rsid w:val="15E91737"/>
    <w:rsid w:val="16015C16"/>
    <w:rsid w:val="16041455"/>
    <w:rsid w:val="166E0EC0"/>
    <w:rsid w:val="168C74C9"/>
    <w:rsid w:val="16FF6904"/>
    <w:rsid w:val="171F5F2F"/>
    <w:rsid w:val="173B3498"/>
    <w:rsid w:val="1747459A"/>
    <w:rsid w:val="178F5508"/>
    <w:rsid w:val="17D90483"/>
    <w:rsid w:val="17E15C23"/>
    <w:rsid w:val="18047D2E"/>
    <w:rsid w:val="181C5F12"/>
    <w:rsid w:val="18207E93"/>
    <w:rsid w:val="188A5136"/>
    <w:rsid w:val="18A37FC9"/>
    <w:rsid w:val="18AE27A5"/>
    <w:rsid w:val="18CC5434"/>
    <w:rsid w:val="18E54146"/>
    <w:rsid w:val="19473B43"/>
    <w:rsid w:val="19AC1F9C"/>
    <w:rsid w:val="19EA6791"/>
    <w:rsid w:val="19F825D9"/>
    <w:rsid w:val="1A437161"/>
    <w:rsid w:val="1A6C6995"/>
    <w:rsid w:val="1A805ECF"/>
    <w:rsid w:val="1AB71087"/>
    <w:rsid w:val="1AE52B44"/>
    <w:rsid w:val="1AFA27E4"/>
    <w:rsid w:val="1B041DF3"/>
    <w:rsid w:val="1B043BA1"/>
    <w:rsid w:val="1B7A20B5"/>
    <w:rsid w:val="1BBA357C"/>
    <w:rsid w:val="1BBC5800"/>
    <w:rsid w:val="1BDD6112"/>
    <w:rsid w:val="1BF630B5"/>
    <w:rsid w:val="1C0715F0"/>
    <w:rsid w:val="1C5D600F"/>
    <w:rsid w:val="1C5E37FE"/>
    <w:rsid w:val="1C5F17DC"/>
    <w:rsid w:val="1C680F45"/>
    <w:rsid w:val="1C6E1C1A"/>
    <w:rsid w:val="1C760ACE"/>
    <w:rsid w:val="1C83767C"/>
    <w:rsid w:val="1C866676"/>
    <w:rsid w:val="1CA41BA5"/>
    <w:rsid w:val="1CCD7F32"/>
    <w:rsid w:val="1CE0100C"/>
    <w:rsid w:val="1CE75528"/>
    <w:rsid w:val="1D062C2C"/>
    <w:rsid w:val="1D0F0766"/>
    <w:rsid w:val="1D2F75FB"/>
    <w:rsid w:val="1D4604A0"/>
    <w:rsid w:val="1D806FC0"/>
    <w:rsid w:val="1DD85EE2"/>
    <w:rsid w:val="1E322AFA"/>
    <w:rsid w:val="1E39255D"/>
    <w:rsid w:val="1E565798"/>
    <w:rsid w:val="1E5B4E2F"/>
    <w:rsid w:val="1EB145A4"/>
    <w:rsid w:val="1EB26A2F"/>
    <w:rsid w:val="1F197ECC"/>
    <w:rsid w:val="1F7A6B27"/>
    <w:rsid w:val="1F9A03FC"/>
    <w:rsid w:val="1F9F4FD0"/>
    <w:rsid w:val="1FB13B43"/>
    <w:rsid w:val="1FBE4C66"/>
    <w:rsid w:val="1FFD3A90"/>
    <w:rsid w:val="203E5C2F"/>
    <w:rsid w:val="206550E2"/>
    <w:rsid w:val="20723F75"/>
    <w:rsid w:val="208B0C0A"/>
    <w:rsid w:val="209F2E8C"/>
    <w:rsid w:val="20C04A0E"/>
    <w:rsid w:val="20C94FCD"/>
    <w:rsid w:val="20CF0133"/>
    <w:rsid w:val="212154AC"/>
    <w:rsid w:val="214B3470"/>
    <w:rsid w:val="21500F9E"/>
    <w:rsid w:val="217D77E0"/>
    <w:rsid w:val="218907A4"/>
    <w:rsid w:val="21D02A2F"/>
    <w:rsid w:val="21DC075D"/>
    <w:rsid w:val="21EF70BE"/>
    <w:rsid w:val="220E66BC"/>
    <w:rsid w:val="221B45B1"/>
    <w:rsid w:val="2265588B"/>
    <w:rsid w:val="228C2292"/>
    <w:rsid w:val="22AC349C"/>
    <w:rsid w:val="23541649"/>
    <w:rsid w:val="235E3785"/>
    <w:rsid w:val="23921405"/>
    <w:rsid w:val="23C9100A"/>
    <w:rsid w:val="24421E65"/>
    <w:rsid w:val="24855506"/>
    <w:rsid w:val="24BE74B6"/>
    <w:rsid w:val="24C456C6"/>
    <w:rsid w:val="24F868A6"/>
    <w:rsid w:val="25125EFC"/>
    <w:rsid w:val="25366867"/>
    <w:rsid w:val="2537664C"/>
    <w:rsid w:val="253C64B1"/>
    <w:rsid w:val="256B2E88"/>
    <w:rsid w:val="25733248"/>
    <w:rsid w:val="25AA1BAB"/>
    <w:rsid w:val="25AF47C5"/>
    <w:rsid w:val="25D60BC4"/>
    <w:rsid w:val="25D873ED"/>
    <w:rsid w:val="25F75335"/>
    <w:rsid w:val="25FD7B6A"/>
    <w:rsid w:val="260007C3"/>
    <w:rsid w:val="261325BB"/>
    <w:rsid w:val="267000E4"/>
    <w:rsid w:val="26914E82"/>
    <w:rsid w:val="269E1BDF"/>
    <w:rsid w:val="26C86AE1"/>
    <w:rsid w:val="27063174"/>
    <w:rsid w:val="2745621A"/>
    <w:rsid w:val="274B306C"/>
    <w:rsid w:val="27BF77CD"/>
    <w:rsid w:val="28150F91"/>
    <w:rsid w:val="288E0726"/>
    <w:rsid w:val="28942A08"/>
    <w:rsid w:val="289A0EE5"/>
    <w:rsid w:val="28A2177B"/>
    <w:rsid w:val="28BB61E6"/>
    <w:rsid w:val="28DA25CC"/>
    <w:rsid w:val="28F60FCD"/>
    <w:rsid w:val="29115E06"/>
    <w:rsid w:val="2956242B"/>
    <w:rsid w:val="29625978"/>
    <w:rsid w:val="29BE7B24"/>
    <w:rsid w:val="29EC1002"/>
    <w:rsid w:val="29F21863"/>
    <w:rsid w:val="2A173A82"/>
    <w:rsid w:val="2A225DF1"/>
    <w:rsid w:val="2A27019D"/>
    <w:rsid w:val="2A4A7282"/>
    <w:rsid w:val="2A77431C"/>
    <w:rsid w:val="2AB8571B"/>
    <w:rsid w:val="2ABD6442"/>
    <w:rsid w:val="2ACD268E"/>
    <w:rsid w:val="2AF53CB3"/>
    <w:rsid w:val="2B013C59"/>
    <w:rsid w:val="2B065713"/>
    <w:rsid w:val="2B0A6FB1"/>
    <w:rsid w:val="2B453BD2"/>
    <w:rsid w:val="2B496FAB"/>
    <w:rsid w:val="2B5F7DC4"/>
    <w:rsid w:val="2BD26C46"/>
    <w:rsid w:val="2BDE5B5E"/>
    <w:rsid w:val="2C3D5164"/>
    <w:rsid w:val="2C3F708C"/>
    <w:rsid w:val="2C871D94"/>
    <w:rsid w:val="2CAE4D3A"/>
    <w:rsid w:val="2CE7407F"/>
    <w:rsid w:val="2CFB6C68"/>
    <w:rsid w:val="2D5A6E97"/>
    <w:rsid w:val="2D5C4C74"/>
    <w:rsid w:val="2D5F771D"/>
    <w:rsid w:val="2DD61302"/>
    <w:rsid w:val="2E19750B"/>
    <w:rsid w:val="2E1A5EC1"/>
    <w:rsid w:val="2E494294"/>
    <w:rsid w:val="2E653EAF"/>
    <w:rsid w:val="2E6B1F05"/>
    <w:rsid w:val="2EA85B70"/>
    <w:rsid w:val="2EB60EB6"/>
    <w:rsid w:val="2EF21325"/>
    <w:rsid w:val="2EFF6701"/>
    <w:rsid w:val="2F1876BA"/>
    <w:rsid w:val="2F837265"/>
    <w:rsid w:val="2F8C2E25"/>
    <w:rsid w:val="2F8E3C27"/>
    <w:rsid w:val="2FAA2B11"/>
    <w:rsid w:val="2FC328DF"/>
    <w:rsid w:val="2FE05822"/>
    <w:rsid w:val="2FEA3599"/>
    <w:rsid w:val="301223CD"/>
    <w:rsid w:val="30276045"/>
    <w:rsid w:val="30297EDA"/>
    <w:rsid w:val="30552879"/>
    <w:rsid w:val="3071536E"/>
    <w:rsid w:val="30CD0F38"/>
    <w:rsid w:val="30E16A06"/>
    <w:rsid w:val="30F93D50"/>
    <w:rsid w:val="312C0E37"/>
    <w:rsid w:val="31451F91"/>
    <w:rsid w:val="3166710B"/>
    <w:rsid w:val="31B97443"/>
    <w:rsid w:val="31DE4CF4"/>
    <w:rsid w:val="31E74361"/>
    <w:rsid w:val="322F75E5"/>
    <w:rsid w:val="3239406E"/>
    <w:rsid w:val="3245462B"/>
    <w:rsid w:val="32862408"/>
    <w:rsid w:val="32A41A78"/>
    <w:rsid w:val="32C748C7"/>
    <w:rsid w:val="33086177"/>
    <w:rsid w:val="3328091C"/>
    <w:rsid w:val="332A6495"/>
    <w:rsid w:val="333016EF"/>
    <w:rsid w:val="33314FCC"/>
    <w:rsid w:val="334F543C"/>
    <w:rsid w:val="336D70A5"/>
    <w:rsid w:val="33A76983"/>
    <w:rsid w:val="33CD0AF4"/>
    <w:rsid w:val="33E660E2"/>
    <w:rsid w:val="33EC194A"/>
    <w:rsid w:val="33F26834"/>
    <w:rsid w:val="341B5D8B"/>
    <w:rsid w:val="343D6FC0"/>
    <w:rsid w:val="34525876"/>
    <w:rsid w:val="346C54C4"/>
    <w:rsid w:val="348778C5"/>
    <w:rsid w:val="34AB3D37"/>
    <w:rsid w:val="352B46F4"/>
    <w:rsid w:val="35352E7D"/>
    <w:rsid w:val="357339A5"/>
    <w:rsid w:val="3587701E"/>
    <w:rsid w:val="35B151CF"/>
    <w:rsid w:val="35DE6483"/>
    <w:rsid w:val="361479B3"/>
    <w:rsid w:val="362A341F"/>
    <w:rsid w:val="362F3D70"/>
    <w:rsid w:val="36B3674F"/>
    <w:rsid w:val="36CB51E2"/>
    <w:rsid w:val="36D33EE3"/>
    <w:rsid w:val="37010A46"/>
    <w:rsid w:val="37075CEA"/>
    <w:rsid w:val="371F6C8E"/>
    <w:rsid w:val="372344BA"/>
    <w:rsid w:val="37334EA2"/>
    <w:rsid w:val="375C4DD9"/>
    <w:rsid w:val="375D3876"/>
    <w:rsid w:val="37663248"/>
    <w:rsid w:val="37826121"/>
    <w:rsid w:val="37966A72"/>
    <w:rsid w:val="37D3697D"/>
    <w:rsid w:val="37D77582"/>
    <w:rsid w:val="37E5426D"/>
    <w:rsid w:val="37FF7133"/>
    <w:rsid w:val="38114125"/>
    <w:rsid w:val="38176CB5"/>
    <w:rsid w:val="38252AC8"/>
    <w:rsid w:val="384A30E3"/>
    <w:rsid w:val="389B5401"/>
    <w:rsid w:val="38A547BD"/>
    <w:rsid w:val="38AF1198"/>
    <w:rsid w:val="38B32843"/>
    <w:rsid w:val="392B4CC2"/>
    <w:rsid w:val="395C1320"/>
    <w:rsid w:val="39625ABB"/>
    <w:rsid w:val="39750C1A"/>
    <w:rsid w:val="39815D3F"/>
    <w:rsid w:val="39CB16C6"/>
    <w:rsid w:val="39CE6D77"/>
    <w:rsid w:val="39CF3432"/>
    <w:rsid w:val="3A102EB3"/>
    <w:rsid w:val="3A1559AB"/>
    <w:rsid w:val="3A1716A8"/>
    <w:rsid w:val="3A2C25BF"/>
    <w:rsid w:val="3A39340F"/>
    <w:rsid w:val="3A4100A2"/>
    <w:rsid w:val="3A420ECD"/>
    <w:rsid w:val="3A4A04A8"/>
    <w:rsid w:val="3A71535B"/>
    <w:rsid w:val="3AEA62F0"/>
    <w:rsid w:val="3B164E12"/>
    <w:rsid w:val="3B433FA0"/>
    <w:rsid w:val="3B7405F8"/>
    <w:rsid w:val="3B8024AE"/>
    <w:rsid w:val="3B81506E"/>
    <w:rsid w:val="3BA73166"/>
    <w:rsid w:val="3BB70A8F"/>
    <w:rsid w:val="3BCA2CB8"/>
    <w:rsid w:val="3BD74C8E"/>
    <w:rsid w:val="3C0435A9"/>
    <w:rsid w:val="3C0637C5"/>
    <w:rsid w:val="3C201861"/>
    <w:rsid w:val="3C351081"/>
    <w:rsid w:val="3C4F7E8A"/>
    <w:rsid w:val="3C545991"/>
    <w:rsid w:val="3C795E81"/>
    <w:rsid w:val="3C885F88"/>
    <w:rsid w:val="3C9C06C9"/>
    <w:rsid w:val="3CF212C3"/>
    <w:rsid w:val="3CF56EE7"/>
    <w:rsid w:val="3CFD7E7B"/>
    <w:rsid w:val="3D3103CE"/>
    <w:rsid w:val="3D4E0D02"/>
    <w:rsid w:val="3D615C4A"/>
    <w:rsid w:val="3D9D29AC"/>
    <w:rsid w:val="3D9F0D66"/>
    <w:rsid w:val="3DB17760"/>
    <w:rsid w:val="3DC119A0"/>
    <w:rsid w:val="3DD06792"/>
    <w:rsid w:val="3E6216DB"/>
    <w:rsid w:val="3E6D2368"/>
    <w:rsid w:val="3E6F5651"/>
    <w:rsid w:val="3E725142"/>
    <w:rsid w:val="3E8C50F6"/>
    <w:rsid w:val="3E9E6EFC"/>
    <w:rsid w:val="3EA147B7"/>
    <w:rsid w:val="3EAA1A98"/>
    <w:rsid w:val="3ED64314"/>
    <w:rsid w:val="3EDA3818"/>
    <w:rsid w:val="3EE12A57"/>
    <w:rsid w:val="3EEF2E69"/>
    <w:rsid w:val="3F051B12"/>
    <w:rsid w:val="3F267EF6"/>
    <w:rsid w:val="3F544D41"/>
    <w:rsid w:val="3F7635AF"/>
    <w:rsid w:val="3F7B2D15"/>
    <w:rsid w:val="3FEA64CB"/>
    <w:rsid w:val="3FF57D0C"/>
    <w:rsid w:val="3FFB782D"/>
    <w:rsid w:val="401A75E2"/>
    <w:rsid w:val="40333ECA"/>
    <w:rsid w:val="404B160A"/>
    <w:rsid w:val="406C483A"/>
    <w:rsid w:val="406D5BC1"/>
    <w:rsid w:val="4094255B"/>
    <w:rsid w:val="40A601F0"/>
    <w:rsid w:val="40B345F0"/>
    <w:rsid w:val="40BF08B4"/>
    <w:rsid w:val="411D0018"/>
    <w:rsid w:val="413328ED"/>
    <w:rsid w:val="41392B4A"/>
    <w:rsid w:val="413F1DCA"/>
    <w:rsid w:val="41586871"/>
    <w:rsid w:val="41C31E09"/>
    <w:rsid w:val="41D47B54"/>
    <w:rsid w:val="41DF489C"/>
    <w:rsid w:val="42096DA4"/>
    <w:rsid w:val="422C3859"/>
    <w:rsid w:val="423170C2"/>
    <w:rsid w:val="42427E61"/>
    <w:rsid w:val="42571ED3"/>
    <w:rsid w:val="42A12AD7"/>
    <w:rsid w:val="42B31FAB"/>
    <w:rsid w:val="42C15BDB"/>
    <w:rsid w:val="42C24EF9"/>
    <w:rsid w:val="42D7578F"/>
    <w:rsid w:val="42D9753D"/>
    <w:rsid w:val="43170066"/>
    <w:rsid w:val="431B4412"/>
    <w:rsid w:val="431C38CE"/>
    <w:rsid w:val="4331043E"/>
    <w:rsid w:val="4331172A"/>
    <w:rsid w:val="433E53DA"/>
    <w:rsid w:val="439E58A0"/>
    <w:rsid w:val="43B31C0B"/>
    <w:rsid w:val="43DA60A1"/>
    <w:rsid w:val="43E35A87"/>
    <w:rsid w:val="43EC55F4"/>
    <w:rsid w:val="4477148F"/>
    <w:rsid w:val="44947B97"/>
    <w:rsid w:val="44A75A3C"/>
    <w:rsid w:val="44B519AF"/>
    <w:rsid w:val="44FF5255"/>
    <w:rsid w:val="4502587E"/>
    <w:rsid w:val="458429FA"/>
    <w:rsid w:val="45AF0A29"/>
    <w:rsid w:val="463C0677"/>
    <w:rsid w:val="46773189"/>
    <w:rsid w:val="467C4988"/>
    <w:rsid w:val="468D35B1"/>
    <w:rsid w:val="46BF6A4A"/>
    <w:rsid w:val="46C060ED"/>
    <w:rsid w:val="46DC7BF5"/>
    <w:rsid w:val="46EF6089"/>
    <w:rsid w:val="46F5246C"/>
    <w:rsid w:val="46F85ECC"/>
    <w:rsid w:val="47187FE4"/>
    <w:rsid w:val="4719630E"/>
    <w:rsid w:val="471E5E67"/>
    <w:rsid w:val="47310F34"/>
    <w:rsid w:val="47352FEC"/>
    <w:rsid w:val="47413DCB"/>
    <w:rsid w:val="47463708"/>
    <w:rsid w:val="477C5B9E"/>
    <w:rsid w:val="4780431E"/>
    <w:rsid w:val="479235C6"/>
    <w:rsid w:val="481E12C4"/>
    <w:rsid w:val="482F22FC"/>
    <w:rsid w:val="483A153F"/>
    <w:rsid w:val="485458B8"/>
    <w:rsid w:val="48714DBB"/>
    <w:rsid w:val="487F2935"/>
    <w:rsid w:val="493F3E72"/>
    <w:rsid w:val="494B2817"/>
    <w:rsid w:val="49540677"/>
    <w:rsid w:val="49926C6C"/>
    <w:rsid w:val="49AA4FB0"/>
    <w:rsid w:val="49DB78B5"/>
    <w:rsid w:val="49E97A04"/>
    <w:rsid w:val="49EA569C"/>
    <w:rsid w:val="4A494A22"/>
    <w:rsid w:val="4A6F0787"/>
    <w:rsid w:val="4A800BE6"/>
    <w:rsid w:val="4A8835F7"/>
    <w:rsid w:val="4A911B79"/>
    <w:rsid w:val="4ADF223E"/>
    <w:rsid w:val="4AF07DCC"/>
    <w:rsid w:val="4B125F29"/>
    <w:rsid w:val="4B620F05"/>
    <w:rsid w:val="4B9F6E4A"/>
    <w:rsid w:val="4BA42C32"/>
    <w:rsid w:val="4BAD0F90"/>
    <w:rsid w:val="4BD74836"/>
    <w:rsid w:val="4C2274BE"/>
    <w:rsid w:val="4CD95DD7"/>
    <w:rsid w:val="4CDE39A2"/>
    <w:rsid w:val="4CF03E01"/>
    <w:rsid w:val="4D137AF0"/>
    <w:rsid w:val="4D377F90"/>
    <w:rsid w:val="4D3F6B37"/>
    <w:rsid w:val="4D666553"/>
    <w:rsid w:val="4D743394"/>
    <w:rsid w:val="4D7C0517"/>
    <w:rsid w:val="4DD86D52"/>
    <w:rsid w:val="4DDE7B5E"/>
    <w:rsid w:val="4DF07E31"/>
    <w:rsid w:val="4E062159"/>
    <w:rsid w:val="4E543FF1"/>
    <w:rsid w:val="4E704CAF"/>
    <w:rsid w:val="4EC2357B"/>
    <w:rsid w:val="4EC56144"/>
    <w:rsid w:val="4F044A24"/>
    <w:rsid w:val="4F0B6B33"/>
    <w:rsid w:val="4F2B1F6E"/>
    <w:rsid w:val="4F4437F3"/>
    <w:rsid w:val="4F94752D"/>
    <w:rsid w:val="4F9668DE"/>
    <w:rsid w:val="4FD91C66"/>
    <w:rsid w:val="4FDF1ADA"/>
    <w:rsid w:val="4FE651D4"/>
    <w:rsid w:val="4FFB1D91"/>
    <w:rsid w:val="501660DD"/>
    <w:rsid w:val="50463D38"/>
    <w:rsid w:val="505F24B0"/>
    <w:rsid w:val="50681DDC"/>
    <w:rsid w:val="507026E4"/>
    <w:rsid w:val="50C61171"/>
    <w:rsid w:val="51167CDE"/>
    <w:rsid w:val="51324DA9"/>
    <w:rsid w:val="5180327A"/>
    <w:rsid w:val="51AD2147"/>
    <w:rsid w:val="51CE1891"/>
    <w:rsid w:val="51D501ED"/>
    <w:rsid w:val="522D7F16"/>
    <w:rsid w:val="523952D8"/>
    <w:rsid w:val="523B2FBD"/>
    <w:rsid w:val="52400F9E"/>
    <w:rsid w:val="52473BB8"/>
    <w:rsid w:val="52642B9B"/>
    <w:rsid w:val="5288313B"/>
    <w:rsid w:val="52D27DE3"/>
    <w:rsid w:val="52F33045"/>
    <w:rsid w:val="531F408E"/>
    <w:rsid w:val="53376399"/>
    <w:rsid w:val="53406525"/>
    <w:rsid w:val="534B5C0F"/>
    <w:rsid w:val="535B54D0"/>
    <w:rsid w:val="53646721"/>
    <w:rsid w:val="539B439B"/>
    <w:rsid w:val="53E44017"/>
    <w:rsid w:val="5432323D"/>
    <w:rsid w:val="54331B24"/>
    <w:rsid w:val="54583460"/>
    <w:rsid w:val="54686973"/>
    <w:rsid w:val="54686A39"/>
    <w:rsid w:val="547075D6"/>
    <w:rsid w:val="54866DF9"/>
    <w:rsid w:val="54E641C3"/>
    <w:rsid w:val="54EC6DF6"/>
    <w:rsid w:val="54F16F78"/>
    <w:rsid w:val="54F41FB5"/>
    <w:rsid w:val="55215714"/>
    <w:rsid w:val="552A1E7A"/>
    <w:rsid w:val="554D7806"/>
    <w:rsid w:val="555B0286"/>
    <w:rsid w:val="55876BE5"/>
    <w:rsid w:val="55A94050"/>
    <w:rsid w:val="55CA36B6"/>
    <w:rsid w:val="56073F6A"/>
    <w:rsid w:val="567F5F3C"/>
    <w:rsid w:val="56DB6AC7"/>
    <w:rsid w:val="56DF16DC"/>
    <w:rsid w:val="570861EB"/>
    <w:rsid w:val="57184CF1"/>
    <w:rsid w:val="57780B5F"/>
    <w:rsid w:val="57911D3D"/>
    <w:rsid w:val="57B96494"/>
    <w:rsid w:val="57C2449C"/>
    <w:rsid w:val="57D32355"/>
    <w:rsid w:val="57DD76E9"/>
    <w:rsid w:val="57FC658A"/>
    <w:rsid w:val="57FE5FE5"/>
    <w:rsid w:val="585711D8"/>
    <w:rsid w:val="586A1F97"/>
    <w:rsid w:val="589C6ECF"/>
    <w:rsid w:val="593212FE"/>
    <w:rsid w:val="59597413"/>
    <w:rsid w:val="59BA4CD4"/>
    <w:rsid w:val="59EE5797"/>
    <w:rsid w:val="59F12F67"/>
    <w:rsid w:val="5A1F5D26"/>
    <w:rsid w:val="5AAB7FEF"/>
    <w:rsid w:val="5AC272A3"/>
    <w:rsid w:val="5B307B0A"/>
    <w:rsid w:val="5B4D68C3"/>
    <w:rsid w:val="5B557E8F"/>
    <w:rsid w:val="5BB1110B"/>
    <w:rsid w:val="5BC22E0D"/>
    <w:rsid w:val="5C2B7BE1"/>
    <w:rsid w:val="5C621337"/>
    <w:rsid w:val="5C7F01BD"/>
    <w:rsid w:val="5CB84210"/>
    <w:rsid w:val="5D6C33D5"/>
    <w:rsid w:val="5DA25547"/>
    <w:rsid w:val="5DC5227C"/>
    <w:rsid w:val="5DD32B36"/>
    <w:rsid w:val="5DEC6C8E"/>
    <w:rsid w:val="5DF951D1"/>
    <w:rsid w:val="5DFA4819"/>
    <w:rsid w:val="5E916AC6"/>
    <w:rsid w:val="5E9F7435"/>
    <w:rsid w:val="5EFB79A1"/>
    <w:rsid w:val="5F2A616C"/>
    <w:rsid w:val="5F3C052E"/>
    <w:rsid w:val="5F473629"/>
    <w:rsid w:val="5F6C71D0"/>
    <w:rsid w:val="5F785148"/>
    <w:rsid w:val="5FA8049F"/>
    <w:rsid w:val="5FB36872"/>
    <w:rsid w:val="5FC04A97"/>
    <w:rsid w:val="5FDF3861"/>
    <w:rsid w:val="5FE94B7D"/>
    <w:rsid w:val="5FF2718E"/>
    <w:rsid w:val="5FFF4EA8"/>
    <w:rsid w:val="602B2726"/>
    <w:rsid w:val="60417BB4"/>
    <w:rsid w:val="60746D32"/>
    <w:rsid w:val="60854409"/>
    <w:rsid w:val="60B2650C"/>
    <w:rsid w:val="611D40E2"/>
    <w:rsid w:val="614462DE"/>
    <w:rsid w:val="61776447"/>
    <w:rsid w:val="61A12EB3"/>
    <w:rsid w:val="61A86601"/>
    <w:rsid w:val="61B516C4"/>
    <w:rsid w:val="61EF4764"/>
    <w:rsid w:val="625904A9"/>
    <w:rsid w:val="628730AA"/>
    <w:rsid w:val="62A64AED"/>
    <w:rsid w:val="62B965EC"/>
    <w:rsid w:val="62BE2B8C"/>
    <w:rsid w:val="632919C3"/>
    <w:rsid w:val="632D32DF"/>
    <w:rsid w:val="634C56B2"/>
    <w:rsid w:val="636B778B"/>
    <w:rsid w:val="63713FBD"/>
    <w:rsid w:val="638D1F52"/>
    <w:rsid w:val="63950102"/>
    <w:rsid w:val="63A177AC"/>
    <w:rsid w:val="63B3128D"/>
    <w:rsid w:val="63BA086D"/>
    <w:rsid w:val="640970FF"/>
    <w:rsid w:val="641D5FD9"/>
    <w:rsid w:val="64566E62"/>
    <w:rsid w:val="647677D7"/>
    <w:rsid w:val="64770209"/>
    <w:rsid w:val="64E02570"/>
    <w:rsid w:val="65042865"/>
    <w:rsid w:val="651360F5"/>
    <w:rsid w:val="651B024D"/>
    <w:rsid w:val="65571260"/>
    <w:rsid w:val="65620EA6"/>
    <w:rsid w:val="65AB3C61"/>
    <w:rsid w:val="65B25CB4"/>
    <w:rsid w:val="65CE2481"/>
    <w:rsid w:val="65DC4ACB"/>
    <w:rsid w:val="65FB616C"/>
    <w:rsid w:val="661125F2"/>
    <w:rsid w:val="6611695D"/>
    <w:rsid w:val="66194DC3"/>
    <w:rsid w:val="66267FAE"/>
    <w:rsid w:val="66342B59"/>
    <w:rsid w:val="668D09A2"/>
    <w:rsid w:val="669764AC"/>
    <w:rsid w:val="66AA56A8"/>
    <w:rsid w:val="66D55C0F"/>
    <w:rsid w:val="670B6A7D"/>
    <w:rsid w:val="672A40B7"/>
    <w:rsid w:val="6746660F"/>
    <w:rsid w:val="6749451C"/>
    <w:rsid w:val="674A4227"/>
    <w:rsid w:val="679300D6"/>
    <w:rsid w:val="684478D1"/>
    <w:rsid w:val="686109FC"/>
    <w:rsid w:val="686801CC"/>
    <w:rsid w:val="6881195A"/>
    <w:rsid w:val="688C32E6"/>
    <w:rsid w:val="68D84C26"/>
    <w:rsid w:val="68DE4FFE"/>
    <w:rsid w:val="694D466A"/>
    <w:rsid w:val="695143FB"/>
    <w:rsid w:val="698A3A01"/>
    <w:rsid w:val="698D0D6B"/>
    <w:rsid w:val="6990454A"/>
    <w:rsid w:val="69DC778F"/>
    <w:rsid w:val="69E6116E"/>
    <w:rsid w:val="6A051C1C"/>
    <w:rsid w:val="6A461941"/>
    <w:rsid w:val="6A7554EE"/>
    <w:rsid w:val="6AA33CF1"/>
    <w:rsid w:val="6AAE5669"/>
    <w:rsid w:val="6ABD1719"/>
    <w:rsid w:val="6ACC25CE"/>
    <w:rsid w:val="6B275374"/>
    <w:rsid w:val="6BC21C47"/>
    <w:rsid w:val="6BCE135A"/>
    <w:rsid w:val="6BEB28AD"/>
    <w:rsid w:val="6C1D1BAE"/>
    <w:rsid w:val="6C32108A"/>
    <w:rsid w:val="6C495CD7"/>
    <w:rsid w:val="6C6C7186"/>
    <w:rsid w:val="6C71153E"/>
    <w:rsid w:val="6C861C34"/>
    <w:rsid w:val="6CA67BC0"/>
    <w:rsid w:val="6CE10EDA"/>
    <w:rsid w:val="6D400035"/>
    <w:rsid w:val="6D4F01B3"/>
    <w:rsid w:val="6D9B0E92"/>
    <w:rsid w:val="6DC319FF"/>
    <w:rsid w:val="6DD24A05"/>
    <w:rsid w:val="6E1844B8"/>
    <w:rsid w:val="6E276AFF"/>
    <w:rsid w:val="6E541954"/>
    <w:rsid w:val="6E697118"/>
    <w:rsid w:val="6E6D5C0E"/>
    <w:rsid w:val="6E7C3113"/>
    <w:rsid w:val="6EA67FA2"/>
    <w:rsid w:val="6EAB14DE"/>
    <w:rsid w:val="6EB1286D"/>
    <w:rsid w:val="6F957251"/>
    <w:rsid w:val="708A5268"/>
    <w:rsid w:val="70921C55"/>
    <w:rsid w:val="70B658E9"/>
    <w:rsid w:val="70E450FE"/>
    <w:rsid w:val="71283ECD"/>
    <w:rsid w:val="713D11CB"/>
    <w:rsid w:val="7147364E"/>
    <w:rsid w:val="71502437"/>
    <w:rsid w:val="719170B1"/>
    <w:rsid w:val="71AA1F21"/>
    <w:rsid w:val="71E362C3"/>
    <w:rsid w:val="7219039A"/>
    <w:rsid w:val="724B4BCF"/>
    <w:rsid w:val="729B7ABC"/>
    <w:rsid w:val="72FD42D3"/>
    <w:rsid w:val="731775B6"/>
    <w:rsid w:val="7358775B"/>
    <w:rsid w:val="73683E42"/>
    <w:rsid w:val="73BA11B9"/>
    <w:rsid w:val="73D60472"/>
    <w:rsid w:val="73E831D5"/>
    <w:rsid w:val="73F53D48"/>
    <w:rsid w:val="7496752E"/>
    <w:rsid w:val="749D3FBF"/>
    <w:rsid w:val="74C26EA5"/>
    <w:rsid w:val="74E4399C"/>
    <w:rsid w:val="74F636CF"/>
    <w:rsid w:val="75104791"/>
    <w:rsid w:val="755B54D7"/>
    <w:rsid w:val="75765328"/>
    <w:rsid w:val="758E6DEB"/>
    <w:rsid w:val="75A177EE"/>
    <w:rsid w:val="75C71031"/>
    <w:rsid w:val="75D86CD4"/>
    <w:rsid w:val="76037E52"/>
    <w:rsid w:val="760E7139"/>
    <w:rsid w:val="76496AA8"/>
    <w:rsid w:val="76745CA5"/>
    <w:rsid w:val="768559AF"/>
    <w:rsid w:val="76A05F87"/>
    <w:rsid w:val="76A730E4"/>
    <w:rsid w:val="76F33AE6"/>
    <w:rsid w:val="76F41191"/>
    <w:rsid w:val="774C5829"/>
    <w:rsid w:val="776A3931"/>
    <w:rsid w:val="77770AF7"/>
    <w:rsid w:val="778111CA"/>
    <w:rsid w:val="779352B4"/>
    <w:rsid w:val="77C011B5"/>
    <w:rsid w:val="77DF2692"/>
    <w:rsid w:val="77E65FB7"/>
    <w:rsid w:val="77EC1D59"/>
    <w:rsid w:val="781F64BC"/>
    <w:rsid w:val="783E6571"/>
    <w:rsid w:val="78502F65"/>
    <w:rsid w:val="786170B2"/>
    <w:rsid w:val="78654DF4"/>
    <w:rsid w:val="786E6C4A"/>
    <w:rsid w:val="789D2BB8"/>
    <w:rsid w:val="78DB6555"/>
    <w:rsid w:val="78FD20DF"/>
    <w:rsid w:val="795654B4"/>
    <w:rsid w:val="797021B4"/>
    <w:rsid w:val="798B2638"/>
    <w:rsid w:val="79C30024"/>
    <w:rsid w:val="79E24199"/>
    <w:rsid w:val="7A281851"/>
    <w:rsid w:val="7A344A7E"/>
    <w:rsid w:val="7A550F13"/>
    <w:rsid w:val="7A61783D"/>
    <w:rsid w:val="7A773BB5"/>
    <w:rsid w:val="7AC34054"/>
    <w:rsid w:val="7AD20151"/>
    <w:rsid w:val="7B345817"/>
    <w:rsid w:val="7B5D3DBD"/>
    <w:rsid w:val="7B62786A"/>
    <w:rsid w:val="7BAD7F79"/>
    <w:rsid w:val="7BE82E7A"/>
    <w:rsid w:val="7BEB3862"/>
    <w:rsid w:val="7C047330"/>
    <w:rsid w:val="7C1A0DC0"/>
    <w:rsid w:val="7C5807CC"/>
    <w:rsid w:val="7C614B37"/>
    <w:rsid w:val="7CCC70C3"/>
    <w:rsid w:val="7CD21415"/>
    <w:rsid w:val="7CE039CF"/>
    <w:rsid w:val="7D056BA5"/>
    <w:rsid w:val="7D142945"/>
    <w:rsid w:val="7D54267F"/>
    <w:rsid w:val="7D7C739E"/>
    <w:rsid w:val="7DBD5F66"/>
    <w:rsid w:val="7DC17EA6"/>
    <w:rsid w:val="7E0D5B2C"/>
    <w:rsid w:val="7E2115B9"/>
    <w:rsid w:val="7E7F66A4"/>
    <w:rsid w:val="7E8D29AE"/>
    <w:rsid w:val="7EA72D17"/>
    <w:rsid w:val="7EC91288"/>
    <w:rsid w:val="7ECB797B"/>
    <w:rsid w:val="7EE04C7B"/>
    <w:rsid w:val="7F277A16"/>
    <w:rsid w:val="7F2F2002"/>
    <w:rsid w:val="7F945FBF"/>
    <w:rsid w:val="7FB56661"/>
    <w:rsid w:val="7FD60385"/>
    <w:rsid w:val="7FEC1B2A"/>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qFormat="1"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qFormat/>
    <w:uiPriority w:val="99"/>
    <w:pPr>
      <w:ind w:left="420" w:leftChars="200"/>
    </w:pPr>
  </w:style>
  <w:style w:type="paragraph" w:styleId="4">
    <w:name w:val="Normal Indent"/>
    <w:basedOn w:val="1"/>
    <w:next w:val="2"/>
    <w:qFormat/>
    <w:uiPriority w:val="0"/>
    <w:pPr>
      <w:ind w:firstLine="420"/>
    </w:pPr>
  </w:style>
  <w:style w:type="paragraph" w:styleId="5">
    <w:name w:val="annotation text"/>
    <w:basedOn w:val="1"/>
    <w:qFormat/>
    <w:uiPriority w:val="0"/>
    <w:pPr>
      <w:jc w:val="left"/>
    </w:pPr>
  </w:style>
  <w:style w:type="paragraph" w:styleId="6">
    <w:name w:val="Body Text"/>
    <w:basedOn w:val="1"/>
    <w:next w:val="7"/>
    <w:link w:val="22"/>
    <w:qFormat/>
    <w:uiPriority w:val="99"/>
    <w:pPr>
      <w:spacing w:after="120"/>
    </w:pPr>
    <w:rPr>
      <w:rFonts w:ascii="Calibri" w:hAnsi="Calibri"/>
      <w:szCs w:val="22"/>
    </w:rPr>
  </w:style>
  <w:style w:type="paragraph" w:styleId="7">
    <w:name w:val="List Bullet 5"/>
    <w:basedOn w:val="1"/>
    <w:next w:val="1"/>
    <w:semiHidden/>
    <w:unhideWhenUsed/>
    <w:qFormat/>
    <w:uiPriority w:val="99"/>
    <w:pPr>
      <w:numPr>
        <w:ilvl w:val="0"/>
        <w:numId w:val="1"/>
      </w:numPr>
    </w:pPr>
  </w:style>
  <w:style w:type="paragraph" w:styleId="8">
    <w:name w:val="Plain Text"/>
    <w:basedOn w:val="1"/>
    <w:qFormat/>
    <w:uiPriority w:val="0"/>
    <w:rPr>
      <w:rFonts w:ascii="宋体" w:hAnsi="Courier New"/>
      <w:szCs w:val="21"/>
    </w:rPr>
  </w:style>
  <w:style w:type="paragraph" w:styleId="9">
    <w:name w:val="Date"/>
    <w:basedOn w:val="1"/>
    <w:next w:val="1"/>
    <w:link w:val="23"/>
    <w:qFormat/>
    <w:uiPriority w:val="99"/>
    <w:pPr>
      <w:ind w:left="100" w:leftChars="2500"/>
    </w:pPr>
  </w:style>
  <w:style w:type="paragraph" w:styleId="10">
    <w:name w:val="footer"/>
    <w:basedOn w:val="1"/>
    <w:link w:val="24"/>
    <w:qFormat/>
    <w:uiPriority w:val="99"/>
    <w:pPr>
      <w:tabs>
        <w:tab w:val="center" w:pos="4153"/>
        <w:tab w:val="right" w:pos="8306"/>
      </w:tabs>
      <w:snapToGrid w:val="0"/>
      <w:jc w:val="left"/>
    </w:pPr>
    <w:rPr>
      <w:sz w:val="18"/>
    </w:rPr>
  </w:style>
  <w:style w:type="paragraph" w:styleId="11">
    <w:name w:val="header"/>
    <w:basedOn w:val="1"/>
    <w:link w:val="25"/>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2">
    <w:name w:val="Body Text 2"/>
    <w:basedOn w:val="1"/>
    <w:next w:val="1"/>
    <w:qFormat/>
    <w:uiPriority w:val="0"/>
    <w:rPr>
      <w:sz w:val="24"/>
      <w:szCs w:val="22"/>
    </w:rPr>
  </w:style>
  <w:style w:type="paragraph" w:styleId="13">
    <w:name w:val="Body Text First Indent"/>
    <w:basedOn w:val="6"/>
    <w:next w:val="1"/>
    <w:qFormat/>
    <w:uiPriority w:val="0"/>
    <w:pPr>
      <w:spacing w:after="120"/>
      <w:ind w:firstLine="420" w:firstLineChars="100"/>
    </w:pPr>
  </w:style>
  <w:style w:type="character" w:styleId="16">
    <w:name w:val="Strong"/>
    <w:basedOn w:val="17"/>
    <w:qFormat/>
    <w:uiPriority w:val="99"/>
    <w:rPr>
      <w:rFonts w:cs="Times New Roman"/>
      <w:b/>
    </w:rPr>
  </w:style>
  <w:style w:type="character" w:customStyle="1" w:styleId="17">
    <w:name w:val="NormalCharacter"/>
    <w:semiHidden/>
    <w:qFormat/>
    <w:uiPriority w:val="99"/>
  </w:style>
  <w:style w:type="character" w:styleId="18">
    <w:name w:val="annotation reference"/>
    <w:qFormat/>
    <w:uiPriority w:val="0"/>
    <w:rPr>
      <w:sz w:val="21"/>
      <w:szCs w:val="21"/>
    </w:rPr>
  </w:style>
  <w:style w:type="paragraph" w:customStyle="1" w:styleId="19">
    <w:name w:val="样式 正文缩进正文缩进2正文缩进 Char Char正文缩进 Char Char Char Char正文缩进 Char ..."/>
    <w:basedOn w:val="4"/>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0">
    <w:name w:val="正文首行缩进 21"/>
    <w:basedOn w:val="3"/>
    <w:next w:val="1"/>
    <w:qFormat/>
    <w:uiPriority w:val="0"/>
    <w:pPr>
      <w:spacing w:afterLines="0"/>
      <w:ind w:left="420" w:firstLine="420" w:firstLineChars="200"/>
    </w:pPr>
    <w:rPr>
      <w:lang w:eastAsia="zh-CN" w:bidi="ar-SA"/>
    </w:rPr>
  </w:style>
  <w:style w:type="paragraph" w:customStyle="1" w:styleId="21">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
    <w:name w:val="正文文本 Char"/>
    <w:basedOn w:val="15"/>
    <w:link w:val="6"/>
    <w:semiHidden/>
    <w:qFormat/>
    <w:uiPriority w:val="99"/>
    <w:rPr>
      <w:color w:val="000000"/>
      <w:kern w:val="0"/>
      <w:szCs w:val="20"/>
    </w:rPr>
  </w:style>
  <w:style w:type="character" w:customStyle="1" w:styleId="23">
    <w:name w:val="日期 Char"/>
    <w:basedOn w:val="15"/>
    <w:link w:val="9"/>
    <w:semiHidden/>
    <w:qFormat/>
    <w:uiPriority w:val="99"/>
    <w:rPr>
      <w:color w:val="000000"/>
      <w:kern w:val="0"/>
      <w:szCs w:val="20"/>
    </w:rPr>
  </w:style>
  <w:style w:type="character" w:customStyle="1" w:styleId="24">
    <w:name w:val="页脚 Char"/>
    <w:basedOn w:val="17"/>
    <w:link w:val="10"/>
    <w:qFormat/>
    <w:locked/>
    <w:uiPriority w:val="99"/>
    <w:rPr>
      <w:rFonts w:cs="Times New Roman"/>
      <w:color w:val="000000"/>
      <w:sz w:val="18"/>
    </w:rPr>
  </w:style>
  <w:style w:type="character" w:customStyle="1" w:styleId="25">
    <w:name w:val="页眉 Char"/>
    <w:basedOn w:val="17"/>
    <w:link w:val="11"/>
    <w:qFormat/>
    <w:locked/>
    <w:uiPriority w:val="99"/>
    <w:rPr>
      <w:rFonts w:cs="Times New Roman"/>
      <w:color w:val="000000"/>
      <w:sz w:val="18"/>
      <w:szCs w:val="18"/>
    </w:rPr>
  </w:style>
  <w:style w:type="paragraph" w:customStyle="1" w:styleId="26">
    <w:name w:val="BodyText"/>
    <w:basedOn w:val="1"/>
    <w:qFormat/>
    <w:uiPriority w:val="99"/>
    <w:pPr>
      <w:spacing w:after="120"/>
    </w:pPr>
    <w:rPr>
      <w:rFonts w:ascii="Calibri" w:hAnsi="Calibri"/>
      <w:szCs w:val="22"/>
    </w:rPr>
  </w:style>
  <w:style w:type="table" w:customStyle="1" w:styleId="27">
    <w:name w:val="TableNormal"/>
    <w:semiHidden/>
    <w:qFormat/>
    <w:uiPriority w:val="99"/>
    <w:tblPr>
      <w:tblCellMar>
        <w:top w:w="0" w:type="dxa"/>
        <w:left w:w="0" w:type="dxa"/>
        <w:bottom w:w="0" w:type="dxa"/>
        <w:right w:w="0" w:type="dxa"/>
      </w:tblCellMar>
    </w:tblPr>
  </w:style>
  <w:style w:type="character" w:customStyle="1" w:styleId="28">
    <w:name w:val="UserStyle_0"/>
    <w:basedOn w:val="17"/>
    <w:qFormat/>
    <w:uiPriority w:val="99"/>
    <w:rPr>
      <w:rFonts w:ascii="Times New Roman" w:eastAsia="宋体" w:cs="Times New Roman"/>
      <w:color w:val="0000FF"/>
      <w:sz w:val="21"/>
      <w:u w:val="single"/>
      <w:lang w:val="en-US" w:eastAsia="zh-CN"/>
    </w:rPr>
  </w:style>
  <w:style w:type="character" w:customStyle="1" w:styleId="29">
    <w:name w:val="AnnotationReference"/>
    <w:qFormat/>
    <w:uiPriority w:val="99"/>
    <w:rPr>
      <w:sz w:val="21"/>
    </w:rPr>
  </w:style>
  <w:style w:type="character" w:customStyle="1" w:styleId="30">
    <w:name w:val="UserStyle_2"/>
    <w:basedOn w:val="17"/>
    <w:qFormat/>
    <w:uiPriority w:val="99"/>
    <w:rPr>
      <w:rFonts w:ascii="Times New Roman" w:eastAsia="宋体" w:cs="Times New Roman"/>
      <w:color w:val="0000FF"/>
      <w:sz w:val="21"/>
      <w:u w:val="single"/>
      <w:lang w:val="en-US" w:eastAsia="zh-CN"/>
    </w:rPr>
  </w:style>
  <w:style w:type="character" w:customStyle="1" w:styleId="31">
    <w:name w:val="UserStyle_3"/>
    <w:semiHidden/>
    <w:qFormat/>
    <w:uiPriority w:val="99"/>
    <w:rPr>
      <w:rFonts w:ascii="Times New Roman" w:hAnsi="Times New Roman" w:eastAsia="宋体"/>
      <w:kern w:val="2"/>
      <w:sz w:val="21"/>
      <w:lang w:val="en-US" w:eastAsia="zh-CN"/>
    </w:rPr>
  </w:style>
  <w:style w:type="paragraph" w:customStyle="1" w:styleId="32">
    <w:name w:val="UserStyle_5"/>
    <w:basedOn w:val="1"/>
    <w:next w:val="33"/>
    <w:qFormat/>
    <w:uiPriority w:val="99"/>
    <w:pPr>
      <w:spacing w:before="566" w:after="544" w:line="566" w:lineRule="atLeast"/>
      <w:jc w:val="center"/>
    </w:pPr>
    <w:rPr>
      <w:rFonts w:ascii="Arial" w:eastAsia="黑体"/>
      <w:sz w:val="54"/>
    </w:rPr>
  </w:style>
  <w:style w:type="paragraph" w:customStyle="1" w:styleId="33">
    <w:name w:val="UserStyle_6"/>
    <w:basedOn w:val="1"/>
    <w:next w:val="34"/>
    <w:qFormat/>
    <w:uiPriority w:val="99"/>
    <w:pPr>
      <w:spacing w:before="187" w:after="175" w:line="374" w:lineRule="atLeast"/>
      <w:jc w:val="center"/>
    </w:pPr>
    <w:rPr>
      <w:sz w:val="36"/>
    </w:rPr>
  </w:style>
  <w:style w:type="paragraph" w:customStyle="1" w:styleId="34">
    <w:name w:val="UserStyle_16"/>
    <w:basedOn w:val="1"/>
    <w:next w:val="35"/>
    <w:qFormat/>
    <w:uiPriority w:val="99"/>
    <w:pPr>
      <w:spacing w:before="158" w:after="153" w:line="323" w:lineRule="atLeast"/>
      <w:jc w:val="center"/>
    </w:pPr>
    <w:rPr>
      <w:rFonts w:ascii="Arial" w:eastAsia="黑体"/>
      <w:sz w:val="31"/>
    </w:rPr>
  </w:style>
  <w:style w:type="paragraph" w:customStyle="1" w:styleId="35">
    <w:name w:val="UserStyle_10"/>
    <w:basedOn w:val="1"/>
    <w:next w:val="36"/>
    <w:qFormat/>
    <w:uiPriority w:val="99"/>
    <w:pPr>
      <w:spacing w:line="289" w:lineRule="atLeast"/>
      <w:jc w:val="center"/>
    </w:pPr>
    <w:rPr>
      <w:sz w:val="28"/>
    </w:rPr>
  </w:style>
  <w:style w:type="paragraph" w:customStyle="1" w:styleId="36">
    <w:name w:val="UserStyle_11"/>
    <w:basedOn w:val="1"/>
    <w:next w:val="1"/>
    <w:qFormat/>
    <w:uiPriority w:val="99"/>
    <w:pPr>
      <w:spacing w:before="175" w:after="102" w:line="351" w:lineRule="atLeast"/>
    </w:pPr>
    <w:rPr>
      <w:rFonts w:eastAsia="黑体"/>
    </w:rPr>
  </w:style>
  <w:style w:type="paragraph" w:customStyle="1" w:styleId="37">
    <w:name w:val="UserStyle_7"/>
    <w:basedOn w:val="1"/>
    <w:next w:val="1"/>
    <w:qFormat/>
    <w:uiPriority w:val="99"/>
    <w:pPr>
      <w:tabs>
        <w:tab w:val="left" w:leader="dot" w:pos="8503"/>
      </w:tabs>
      <w:spacing w:line="317" w:lineRule="atLeast"/>
      <w:ind w:firstLine="629"/>
    </w:pPr>
  </w:style>
  <w:style w:type="paragraph" w:customStyle="1" w:styleId="38">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9">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0">
    <w:name w:val="UserStyle_9"/>
    <w:basedOn w:val="1"/>
    <w:next w:val="1"/>
    <w:qFormat/>
    <w:uiPriority w:val="99"/>
    <w:pPr>
      <w:tabs>
        <w:tab w:val="left" w:leader="dot" w:pos="8503"/>
      </w:tabs>
      <w:spacing w:line="317" w:lineRule="atLeast"/>
      <w:ind w:firstLine="419"/>
    </w:pPr>
  </w:style>
  <w:style w:type="paragraph" w:customStyle="1" w:styleId="41">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2">
    <w:name w:val="UserStyle_13"/>
    <w:basedOn w:val="1"/>
    <w:qFormat/>
    <w:uiPriority w:val="99"/>
    <w:pPr>
      <w:spacing w:line="240" w:lineRule="auto"/>
      <w:textAlignment w:val="auto"/>
    </w:pPr>
    <w:rPr>
      <w:sz w:val="32"/>
      <w:szCs w:val="32"/>
    </w:rPr>
  </w:style>
  <w:style w:type="paragraph" w:customStyle="1" w:styleId="43">
    <w:name w:val="UserStyle_14"/>
    <w:basedOn w:val="1"/>
    <w:qFormat/>
    <w:uiPriority w:val="99"/>
    <w:pPr>
      <w:spacing w:line="600" w:lineRule="atLeast"/>
      <w:jc w:val="center"/>
      <w:textAlignment w:val="auto"/>
    </w:pPr>
    <w:rPr>
      <w:rFonts w:ascii="Arial" w:hAnsi="Arial"/>
      <w:sz w:val="24"/>
      <w:szCs w:val="24"/>
    </w:rPr>
  </w:style>
  <w:style w:type="paragraph" w:customStyle="1" w:styleId="44">
    <w:name w:val="UserStyle_15"/>
    <w:basedOn w:val="1"/>
    <w:next w:val="1"/>
    <w:qFormat/>
    <w:uiPriority w:val="99"/>
    <w:pPr>
      <w:tabs>
        <w:tab w:val="left" w:leader="dot" w:pos="8503"/>
      </w:tabs>
      <w:spacing w:line="317" w:lineRule="atLeast"/>
      <w:ind w:firstLine="209"/>
    </w:pPr>
  </w:style>
  <w:style w:type="paragraph" w:customStyle="1" w:styleId="45">
    <w:name w:val="UserStyle_17"/>
    <w:basedOn w:val="1"/>
    <w:qFormat/>
    <w:uiPriority w:val="99"/>
    <w:pPr>
      <w:spacing w:line="480" w:lineRule="exact"/>
      <w:ind w:firstLine="420" w:firstLineChars="200"/>
      <w:textAlignment w:val="auto"/>
    </w:pPr>
    <w:rPr>
      <w:kern w:val="2"/>
      <w:sz w:val="24"/>
      <w:szCs w:val="24"/>
    </w:rPr>
  </w:style>
  <w:style w:type="table" w:customStyle="1" w:styleId="46">
    <w:name w:val="TableGrid"/>
    <w:basedOn w:val="27"/>
    <w:qFormat/>
    <w:uiPriority w:val="99"/>
    <w:tblPr>
      <w:tblCellMar>
        <w:top w:w="0" w:type="dxa"/>
        <w:left w:w="0" w:type="dxa"/>
        <w:bottom w:w="0" w:type="dxa"/>
        <w:right w:w="0" w:type="dxa"/>
      </w:tblCellMar>
    </w:tblPr>
  </w:style>
  <w:style w:type="paragraph" w:customStyle="1" w:styleId="47">
    <w:name w:val="BodyTextIndent"/>
    <w:basedOn w:val="1"/>
    <w:qFormat/>
    <w:uiPriority w:val="99"/>
    <w:pPr>
      <w:spacing w:after="120"/>
      <w:ind w:left="420" w:leftChars="200"/>
    </w:pPr>
  </w:style>
  <w:style w:type="paragraph" w:customStyle="1" w:styleId="48">
    <w:name w:val="BodyText1I2"/>
    <w:basedOn w:val="47"/>
    <w:qFormat/>
    <w:uiPriority w:val="99"/>
    <w:pPr>
      <w:ind w:firstLine="420" w:firstLineChars="200"/>
    </w:pPr>
  </w:style>
  <w:style w:type="paragraph" w:customStyle="1" w:styleId="49">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50">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1624</Words>
  <Characters>1721</Characters>
  <Lines>10</Lines>
  <Paragraphs>3</Paragraphs>
  <TotalTime>6</TotalTime>
  <ScaleCrop>false</ScaleCrop>
  <LinksUpToDate>false</LinksUpToDate>
  <CharactersWithSpaces>1805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Coco</cp:lastModifiedBy>
  <cp:lastPrinted>2025-12-03T03:19:19Z</cp:lastPrinted>
  <dcterms:modified xsi:type="dcterms:W3CDTF">2025-12-03T03:20:39Z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4B223CA2B5B24F0BBC3925F45DAE3489</vt:lpwstr>
  </property>
  <property fmtid="{D5CDD505-2E9C-101B-9397-08002B2CF9AE}" pid="4" name="KSOTemplateDocerSaveRecord">
    <vt:lpwstr>eyJoZGlkIjoiNGRkMWY3NGNiOWU2NTc1ZDBkMjI4Yzg2OTU5MGU4YjYiLCJ1c2VySWQiOiIyNDY1NDUzNzIifQ==</vt:lpwstr>
  </property>
</Properties>
</file>