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085B">
      <w:pPr>
        <w:snapToGrid w:val="0"/>
        <w:spacing w:line="580" w:lineRule="exact"/>
        <w:jc w:val="center"/>
        <w:rPr>
          <w:rStyle w:val="18"/>
          <w:rFonts w:ascii="仿宋_GB2312" w:eastAsia="仿宋_GB2312"/>
          <w:color w:val="auto"/>
          <w:sz w:val="32"/>
          <w:szCs w:val="32"/>
        </w:rPr>
      </w:pPr>
    </w:p>
    <w:p w14:paraId="5B42B041">
      <w:pPr>
        <w:snapToGrid w:val="0"/>
        <w:spacing w:line="580" w:lineRule="exact"/>
        <w:jc w:val="center"/>
        <w:rPr>
          <w:rStyle w:val="18"/>
          <w:rFonts w:ascii="仿宋_GB2312" w:eastAsia="仿宋_GB2312"/>
          <w:color w:val="auto"/>
          <w:sz w:val="32"/>
          <w:szCs w:val="32"/>
        </w:rPr>
      </w:pPr>
    </w:p>
    <w:p w14:paraId="5214ADA6">
      <w:pPr>
        <w:snapToGrid w:val="0"/>
        <w:spacing w:line="580" w:lineRule="exact"/>
        <w:jc w:val="center"/>
        <w:rPr>
          <w:rStyle w:val="18"/>
          <w:rFonts w:ascii="仿宋_GB2312" w:eastAsia="仿宋_GB2312"/>
          <w:color w:val="auto"/>
          <w:sz w:val="32"/>
          <w:szCs w:val="32"/>
        </w:rPr>
      </w:pPr>
    </w:p>
    <w:p w14:paraId="73EE25DE">
      <w:pPr>
        <w:snapToGrid w:val="0"/>
        <w:spacing w:line="580" w:lineRule="exact"/>
        <w:jc w:val="center"/>
        <w:rPr>
          <w:rStyle w:val="18"/>
          <w:rFonts w:ascii="仿宋_GB2312" w:eastAsia="仿宋_GB2312"/>
          <w:color w:val="auto"/>
          <w:sz w:val="32"/>
          <w:szCs w:val="32"/>
        </w:rPr>
      </w:pPr>
    </w:p>
    <w:p w14:paraId="12A051DD">
      <w:pPr>
        <w:snapToGrid w:val="0"/>
        <w:spacing w:line="580" w:lineRule="exact"/>
        <w:jc w:val="center"/>
        <w:rPr>
          <w:rStyle w:val="18"/>
          <w:rFonts w:ascii="仿宋_GB2312" w:eastAsia="仿宋_GB2312"/>
          <w:color w:val="auto"/>
          <w:sz w:val="32"/>
          <w:szCs w:val="32"/>
        </w:rPr>
      </w:pPr>
    </w:p>
    <w:p w14:paraId="1182423C">
      <w:pPr>
        <w:snapToGrid w:val="0"/>
        <w:spacing w:line="580" w:lineRule="exact"/>
        <w:jc w:val="center"/>
        <w:rPr>
          <w:rStyle w:val="18"/>
          <w:rFonts w:ascii="仿宋_GB2312" w:eastAsia="仿宋_GB2312"/>
          <w:color w:val="auto"/>
          <w:sz w:val="32"/>
          <w:szCs w:val="32"/>
        </w:rPr>
      </w:pPr>
    </w:p>
    <w:p w14:paraId="7C4813EB">
      <w:pPr>
        <w:snapToGrid w:val="0"/>
        <w:spacing w:line="580" w:lineRule="exact"/>
        <w:jc w:val="center"/>
        <w:rPr>
          <w:rStyle w:val="18"/>
          <w:rFonts w:ascii="仿宋_GB2312" w:eastAsia="仿宋_GB2312"/>
          <w:color w:val="auto"/>
          <w:sz w:val="32"/>
          <w:szCs w:val="32"/>
        </w:rPr>
      </w:pPr>
    </w:p>
    <w:p w14:paraId="4BD1009F">
      <w:pPr>
        <w:snapToGrid w:val="0"/>
        <w:spacing w:line="580" w:lineRule="exact"/>
        <w:jc w:val="center"/>
        <w:rPr>
          <w:rStyle w:val="18"/>
          <w:rFonts w:ascii="仿宋_GB2312" w:eastAsia="仿宋_GB2312"/>
          <w:color w:val="auto"/>
          <w:sz w:val="32"/>
          <w:szCs w:val="32"/>
        </w:rPr>
      </w:pPr>
    </w:p>
    <w:p w14:paraId="5B20B63D">
      <w:pPr>
        <w:pStyle w:val="27"/>
        <w:rPr>
          <w:rStyle w:val="18"/>
          <w:color w:val="auto"/>
        </w:rPr>
      </w:pPr>
    </w:p>
    <w:p w14:paraId="6C43DAE3">
      <w:pPr>
        <w:snapToGrid w:val="0"/>
        <w:spacing w:line="600" w:lineRule="exact"/>
        <w:rPr>
          <w:rStyle w:val="18"/>
          <w:rFonts w:ascii="仿宋_GB2312" w:eastAsia="仿宋_GB2312"/>
          <w:color w:val="auto"/>
          <w:sz w:val="32"/>
          <w:szCs w:val="32"/>
        </w:rPr>
      </w:pPr>
    </w:p>
    <w:p w14:paraId="4A431151">
      <w:pPr>
        <w:snapToGrid w:val="0"/>
        <w:spacing w:line="600" w:lineRule="exact"/>
        <w:ind w:firstLine="2880" w:firstLineChars="900"/>
        <w:rPr>
          <w:rStyle w:val="18"/>
          <w:rFonts w:hint="eastAsia" w:ascii="仿宋" w:hAnsi="仿宋" w:eastAsia="仿宋"/>
          <w:color w:val="auto"/>
          <w:sz w:val="32"/>
          <w:szCs w:val="32"/>
        </w:rPr>
      </w:pPr>
    </w:p>
    <w:p w14:paraId="625ED85F">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21</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25FC4FAE">
      <w:pPr>
        <w:spacing w:line="600" w:lineRule="exact"/>
        <w:jc w:val="center"/>
        <w:rPr>
          <w:rStyle w:val="18"/>
          <w:rFonts w:hint="eastAsia" w:ascii="宋体" w:hAnsi="宋体" w:eastAsia="宋体" w:cs="宋体"/>
          <w:b/>
          <w:bCs w:val="0"/>
          <w:color w:val="auto"/>
          <w:sz w:val="44"/>
          <w:szCs w:val="44"/>
        </w:rPr>
      </w:pPr>
    </w:p>
    <w:p w14:paraId="6B6AB0C0">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40488D1A">
      <w:pPr>
        <w:spacing w:line="600" w:lineRule="exact"/>
        <w:jc w:val="center"/>
        <w:rPr>
          <w:rStyle w:val="18"/>
          <w:rFonts w:hint="eastAsia" w:ascii="宋体" w:hAnsi="宋体" w:eastAsia="宋体" w:cs="Times New Roman"/>
          <w:b/>
          <w:bCs w:val="0"/>
          <w:color w:val="auto"/>
          <w:sz w:val="44"/>
          <w:szCs w:val="44"/>
          <w:lang w:eastAsia="zh-CN"/>
        </w:rPr>
      </w:pPr>
      <w:r>
        <w:rPr>
          <w:rStyle w:val="18"/>
          <w:rFonts w:hint="eastAsia" w:ascii="宋体" w:hAnsi="宋体" w:eastAsia="宋体" w:cs="Times New Roman"/>
          <w:b/>
          <w:bCs w:val="0"/>
          <w:color w:val="auto"/>
          <w:sz w:val="44"/>
          <w:szCs w:val="44"/>
          <w:lang w:eastAsia="zh-CN"/>
        </w:rPr>
        <w:t>国能包头能源有限责任公司李家壕</w:t>
      </w:r>
    </w:p>
    <w:p w14:paraId="3647E68B">
      <w:pPr>
        <w:spacing w:line="600" w:lineRule="exact"/>
        <w:jc w:val="center"/>
        <w:rPr>
          <w:rStyle w:val="18"/>
          <w:rFonts w:hint="eastAsia" w:ascii="宋体" w:hAnsi="宋体" w:eastAsia="宋体" w:cs="Times New Roman"/>
          <w:b/>
          <w:bCs w:val="0"/>
          <w:color w:val="auto"/>
          <w:sz w:val="44"/>
          <w:szCs w:val="44"/>
          <w:lang w:eastAsia="zh-CN"/>
        </w:rPr>
      </w:pPr>
      <w:r>
        <w:rPr>
          <w:rStyle w:val="18"/>
          <w:rFonts w:hint="eastAsia" w:ascii="宋体" w:hAnsi="宋体" w:eastAsia="宋体" w:cs="Times New Roman"/>
          <w:b/>
          <w:bCs w:val="0"/>
          <w:color w:val="auto"/>
          <w:sz w:val="44"/>
          <w:szCs w:val="44"/>
          <w:lang w:eastAsia="zh-CN"/>
        </w:rPr>
        <w:t>煤矿矿井水</w:t>
      </w:r>
      <w:r>
        <w:rPr>
          <w:rStyle w:val="18"/>
          <w:rFonts w:hint="eastAsia" w:ascii="宋体" w:hAnsi="宋体" w:eastAsia="宋体" w:cs="Times New Roman"/>
          <w:b/>
          <w:bCs w:val="0"/>
          <w:color w:val="auto"/>
          <w:sz w:val="44"/>
          <w:szCs w:val="44"/>
          <w:lang w:val="en-US" w:eastAsia="zh-CN"/>
        </w:rPr>
        <w:t>处理站扩建</w:t>
      </w:r>
      <w:r>
        <w:rPr>
          <w:rStyle w:val="18"/>
          <w:rFonts w:hint="eastAsia" w:ascii="宋体" w:hAnsi="宋体" w:eastAsia="宋体" w:cs="Times New Roman"/>
          <w:b/>
          <w:bCs w:val="0"/>
          <w:color w:val="auto"/>
          <w:sz w:val="44"/>
          <w:szCs w:val="44"/>
          <w:lang w:eastAsia="zh-CN"/>
        </w:rPr>
        <w:t>项目</w:t>
      </w:r>
    </w:p>
    <w:p w14:paraId="49836853">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环境影响报告表的批复</w:t>
      </w:r>
    </w:p>
    <w:p w14:paraId="0F4F0F1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6B58CA60">
      <w:pPr>
        <w:keepNext w:val="0"/>
        <w:keepLines w:val="0"/>
        <w:pageBreakBefore w:val="0"/>
        <w:kinsoku/>
        <w:wordWrap/>
        <w:overflowPunct/>
        <w:topLinePunct w:val="0"/>
        <w:autoSpaceDE/>
        <w:autoSpaceDN/>
        <w:bidi w:val="0"/>
        <w:adjustRightInd/>
        <w:snapToGrid/>
        <w:spacing w:line="360" w:lineRule="auto"/>
        <w:jc w:val="both"/>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sz w:val="32"/>
          <w:szCs w:val="32"/>
          <w:lang w:val="en-US" w:eastAsia="zh-CN"/>
        </w:rPr>
        <w:t>国能</w:t>
      </w:r>
      <w:r>
        <w:rPr>
          <w:rStyle w:val="18"/>
          <w:rFonts w:hint="eastAsia" w:ascii="仿宋" w:hAnsi="仿宋" w:eastAsia="仿宋" w:cs="Times New Roman"/>
          <w:color w:val="auto"/>
          <w:sz w:val="32"/>
          <w:szCs w:val="32"/>
          <w:highlight w:val="none"/>
          <w:lang w:val="en-US" w:eastAsia="zh-CN"/>
        </w:rPr>
        <w:t>包头能源有限责任公司李家壕煤矿：</w:t>
      </w:r>
    </w:p>
    <w:p w14:paraId="32CCA18D">
      <w:pPr>
        <w:keepNext w:val="0"/>
        <w:keepLines w:val="0"/>
        <w:pageBreakBefore w:val="0"/>
        <w:kinsoku/>
        <w:wordWrap/>
        <w:overflowPunct/>
        <w:topLinePunct w:val="0"/>
        <w:autoSpaceDE/>
        <w:autoSpaceDN/>
        <w:bidi w:val="0"/>
        <w:adjustRightInd/>
        <w:snapToGrid/>
        <w:spacing w:line="360" w:lineRule="auto"/>
        <w:ind w:firstLine="640" w:firstLineChars="200"/>
        <w:jc w:val="both"/>
        <w:rPr>
          <w:rStyle w:val="18"/>
          <w:rFonts w:hint="eastAsia" w:ascii="仿宋" w:hAnsi="仿宋" w:eastAsia="仿宋"/>
          <w:color w:val="auto"/>
          <w:sz w:val="32"/>
          <w:szCs w:val="32"/>
          <w:highlight w:val="none"/>
          <w:lang w:val="en-US" w:eastAsia="zh-CN"/>
        </w:rPr>
      </w:pPr>
      <w:r>
        <w:rPr>
          <w:rStyle w:val="18"/>
          <w:rFonts w:hint="eastAsia" w:ascii="仿宋" w:hAnsi="仿宋" w:eastAsia="仿宋"/>
          <w:color w:val="auto"/>
          <w:sz w:val="32"/>
          <w:szCs w:val="32"/>
          <w:highlight w:val="none"/>
        </w:rPr>
        <w:t>你</w:t>
      </w:r>
      <w:r>
        <w:rPr>
          <w:rStyle w:val="18"/>
          <w:rFonts w:hint="eastAsia" w:ascii="仿宋" w:hAnsi="仿宋" w:eastAsia="仿宋"/>
          <w:color w:val="auto"/>
          <w:sz w:val="32"/>
          <w:szCs w:val="32"/>
          <w:highlight w:val="none"/>
          <w:lang w:val="en-US" w:eastAsia="zh-CN"/>
        </w:rPr>
        <w:t>单位</w:t>
      </w:r>
      <w:r>
        <w:rPr>
          <w:rStyle w:val="18"/>
          <w:rFonts w:hint="eastAsia" w:ascii="仿宋" w:hAnsi="仿宋" w:eastAsia="仿宋"/>
          <w:color w:val="auto"/>
          <w:sz w:val="32"/>
          <w:szCs w:val="32"/>
          <w:highlight w:val="none"/>
        </w:rPr>
        <w:t>报送</w:t>
      </w:r>
      <w:r>
        <w:rPr>
          <w:rStyle w:val="18"/>
          <w:rFonts w:hint="eastAsia" w:ascii="仿宋" w:hAnsi="仿宋" w:eastAsia="仿宋" w:cs="Times New Roman"/>
          <w:color w:val="auto"/>
          <w:sz w:val="32"/>
          <w:szCs w:val="32"/>
          <w:highlight w:val="none"/>
          <w:lang w:val="en-US" w:eastAsia="zh-CN"/>
        </w:rPr>
        <w:t>的由内蒙古峰泰环保有限公司编制的《</w:t>
      </w:r>
      <w:r>
        <w:rPr>
          <w:rStyle w:val="18"/>
          <w:rFonts w:hint="eastAsia" w:ascii="仿宋" w:hAnsi="仿宋" w:eastAsia="仿宋" w:cs="Times New Roman"/>
          <w:color w:val="auto"/>
          <w:sz w:val="32"/>
          <w:szCs w:val="32"/>
          <w:highlight w:val="none"/>
          <w:lang w:eastAsia="zh-CN"/>
        </w:rPr>
        <w:t>国能包头能源有限责任公司李家壕煤矿矿井水</w:t>
      </w:r>
      <w:r>
        <w:rPr>
          <w:rStyle w:val="18"/>
          <w:rFonts w:hint="eastAsia" w:ascii="仿宋" w:hAnsi="仿宋" w:eastAsia="仿宋" w:cs="Times New Roman"/>
          <w:color w:val="auto"/>
          <w:sz w:val="32"/>
          <w:szCs w:val="32"/>
          <w:highlight w:val="none"/>
          <w:lang w:val="en-US" w:eastAsia="zh-CN"/>
        </w:rPr>
        <w:t>处理站扩建</w:t>
      </w:r>
      <w:r>
        <w:rPr>
          <w:rStyle w:val="18"/>
          <w:rFonts w:hint="eastAsia" w:ascii="仿宋" w:hAnsi="仿宋" w:eastAsia="仿宋" w:cs="Times New Roman"/>
          <w:color w:val="auto"/>
          <w:sz w:val="32"/>
          <w:szCs w:val="32"/>
          <w:highlight w:val="none"/>
          <w:lang w:eastAsia="zh-CN"/>
        </w:rPr>
        <w:t>项目</w:t>
      </w:r>
      <w:r>
        <w:rPr>
          <w:rStyle w:val="18"/>
          <w:rFonts w:hint="eastAsia" w:ascii="仿宋" w:hAnsi="仿宋" w:eastAsia="仿宋" w:cs="Times New Roman"/>
          <w:color w:val="auto"/>
          <w:sz w:val="32"/>
          <w:szCs w:val="32"/>
          <w:highlight w:val="none"/>
          <w:lang w:val="en-US" w:eastAsia="zh-CN"/>
        </w:rPr>
        <w:t>环境影响报告表》</w:t>
      </w:r>
      <w:r>
        <w:rPr>
          <w:rStyle w:val="18"/>
          <w:rFonts w:hint="eastAsia" w:ascii="仿宋" w:hAnsi="仿宋" w:eastAsia="仿宋" w:cs="Times New Roman"/>
          <w:color w:val="auto"/>
          <w:sz w:val="32"/>
          <w:szCs w:val="32"/>
          <w:highlight w:val="none"/>
        </w:rPr>
        <w:t>（以下简称《报告表》）已收悉</w:t>
      </w:r>
      <w:r>
        <w:rPr>
          <w:rStyle w:val="18"/>
          <w:rFonts w:hint="eastAsia" w:ascii="仿宋" w:hAnsi="仿宋" w:eastAsia="仿宋" w:cs="Times New Roman"/>
          <w:color w:val="auto"/>
          <w:sz w:val="32"/>
          <w:szCs w:val="32"/>
          <w:highlight w:val="none"/>
          <w:lang w:eastAsia="zh-CN"/>
        </w:rPr>
        <w:t>。</w:t>
      </w:r>
      <w:r>
        <w:rPr>
          <w:rStyle w:val="18"/>
          <w:rFonts w:hint="eastAsia" w:ascii="仿宋" w:hAnsi="仿宋" w:eastAsia="仿宋"/>
          <w:color w:val="auto"/>
          <w:sz w:val="32"/>
          <w:szCs w:val="32"/>
          <w:highlight w:val="none"/>
          <w:lang w:val="en-US" w:eastAsia="zh-CN"/>
        </w:rPr>
        <w:t>经组织专家评审，集体研究，形成如下审批意见：</w:t>
      </w:r>
    </w:p>
    <w:p w14:paraId="17313F76">
      <w:pPr>
        <w:keepNext w:val="0"/>
        <w:keepLines w:val="0"/>
        <w:pageBreakBefore w:val="0"/>
        <w:kinsoku/>
        <w:wordWrap/>
        <w:overflowPunct/>
        <w:topLinePunct w:val="0"/>
        <w:autoSpaceDE/>
        <w:autoSpaceDN/>
        <w:bidi w:val="0"/>
        <w:adjustRightInd/>
        <w:snapToGrid/>
        <w:spacing w:line="360" w:lineRule="auto"/>
        <w:ind w:firstLine="640" w:firstLineChars="200"/>
        <w:jc w:val="both"/>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highlight w:val="none"/>
          <w:lang w:val="en-US" w:eastAsia="zh-CN"/>
        </w:rPr>
        <w:t>一、</w:t>
      </w:r>
      <w:r>
        <w:rPr>
          <w:rStyle w:val="18"/>
          <w:rFonts w:hint="eastAsia" w:ascii="仿宋" w:hAnsi="仿宋" w:eastAsia="仿宋" w:cs="Times New Roman"/>
          <w:color w:val="auto"/>
          <w:sz w:val="32"/>
          <w:szCs w:val="32"/>
          <w:highlight w:val="none"/>
        </w:rPr>
        <w:t>该项目</w:t>
      </w:r>
      <w:r>
        <w:rPr>
          <w:rStyle w:val="18"/>
          <w:rFonts w:hint="eastAsia" w:ascii="仿宋" w:hAnsi="仿宋" w:eastAsia="仿宋" w:cs="Times New Roman"/>
          <w:color w:val="auto"/>
          <w:sz w:val="32"/>
          <w:szCs w:val="32"/>
          <w:highlight w:val="none"/>
          <w:lang w:eastAsia="zh-CN"/>
        </w:rPr>
        <w:t>属于改扩建项目，位于</w:t>
      </w:r>
      <w:r>
        <w:rPr>
          <w:rStyle w:val="18"/>
          <w:rFonts w:hint="eastAsia" w:ascii="仿宋" w:hAnsi="仿宋" w:eastAsia="仿宋" w:cs="Times New Roman"/>
          <w:color w:val="auto"/>
          <w:sz w:val="32"/>
          <w:szCs w:val="32"/>
          <w:highlight w:val="none"/>
        </w:rPr>
        <w:t>东胜区罕台镇查干布拉格村</w:t>
      </w:r>
      <w:r>
        <w:rPr>
          <w:rStyle w:val="18"/>
          <w:rFonts w:hint="eastAsia" w:ascii="仿宋" w:hAnsi="仿宋" w:eastAsia="仿宋" w:cs="Times New Roman"/>
          <w:color w:val="auto"/>
          <w:sz w:val="32"/>
          <w:szCs w:val="32"/>
          <w:highlight w:val="none"/>
          <w:lang w:val="en-US" w:eastAsia="zh-CN"/>
        </w:rPr>
        <w:t>李家壕煤矿工业广场内</w:t>
      </w:r>
      <w:r>
        <w:rPr>
          <w:rStyle w:val="18"/>
          <w:rFonts w:hint="eastAsia" w:ascii="仿宋" w:hAnsi="仿宋" w:eastAsia="仿宋" w:cs="Times New Roman"/>
          <w:color w:val="auto"/>
          <w:sz w:val="32"/>
          <w:szCs w:val="32"/>
          <w:highlight w:val="none"/>
          <w:lang w:eastAsia="zh-CN"/>
        </w:rPr>
        <w:t>。</w:t>
      </w:r>
      <w:r>
        <w:rPr>
          <w:rStyle w:val="18"/>
          <w:rFonts w:hint="eastAsia" w:ascii="仿宋" w:hAnsi="仿宋" w:eastAsia="仿宋" w:cs="Times New Roman"/>
          <w:color w:val="auto"/>
          <w:sz w:val="32"/>
          <w:szCs w:val="32"/>
          <w:highlight w:val="none"/>
          <w:lang w:val="en-US" w:eastAsia="zh-CN"/>
        </w:rPr>
        <w:t>项目不新增用地</w:t>
      </w:r>
      <w:r>
        <w:rPr>
          <w:rStyle w:val="18"/>
          <w:rFonts w:hint="eastAsia" w:ascii="仿宋" w:hAnsi="仿宋" w:eastAsia="仿宋" w:cs="Times New Roman"/>
          <w:color w:val="auto"/>
          <w:sz w:val="32"/>
          <w:szCs w:val="32"/>
          <w:highlight w:val="none"/>
          <w:lang w:eastAsia="zh-CN"/>
        </w:rPr>
        <w:t>，</w:t>
      </w:r>
      <w:r>
        <w:rPr>
          <w:rStyle w:val="18"/>
          <w:rFonts w:hint="default" w:ascii="仿宋" w:hAnsi="仿宋" w:eastAsia="仿宋" w:cs="Times New Roman"/>
          <w:color w:val="auto"/>
          <w:sz w:val="32"/>
          <w:szCs w:val="32"/>
          <w:highlight w:val="none"/>
          <w:lang w:eastAsia="zh-CN"/>
        </w:rPr>
        <w:t>总投资</w:t>
      </w:r>
      <w:r>
        <w:rPr>
          <w:rStyle w:val="18"/>
          <w:rFonts w:hint="eastAsia" w:ascii="仿宋" w:hAnsi="仿宋" w:eastAsia="仿宋" w:cs="Times New Roman"/>
          <w:color w:val="auto"/>
          <w:sz w:val="32"/>
          <w:szCs w:val="32"/>
          <w:highlight w:val="none"/>
          <w:lang w:val="en-US" w:eastAsia="zh-CN"/>
        </w:rPr>
        <w:t>226万</w:t>
      </w:r>
      <w:r>
        <w:rPr>
          <w:rStyle w:val="18"/>
          <w:rFonts w:hint="default" w:ascii="仿宋" w:hAnsi="仿宋" w:eastAsia="仿宋" w:cs="Times New Roman"/>
          <w:color w:val="auto"/>
          <w:sz w:val="32"/>
          <w:szCs w:val="32"/>
          <w:highlight w:val="none"/>
          <w:lang w:eastAsia="zh-CN"/>
        </w:rPr>
        <w:t>元</w:t>
      </w:r>
      <w:r>
        <w:rPr>
          <w:rStyle w:val="18"/>
          <w:rFonts w:hint="default" w:ascii="仿宋" w:hAnsi="仿宋" w:eastAsia="仿宋" w:cs="Times New Roman"/>
          <w:color w:val="auto"/>
          <w:sz w:val="32"/>
          <w:szCs w:val="32"/>
          <w:highlight w:val="none"/>
        </w:rPr>
        <w:t>，</w:t>
      </w:r>
      <w:r>
        <w:rPr>
          <w:rStyle w:val="18"/>
          <w:rFonts w:hint="eastAsia" w:ascii="仿宋" w:hAnsi="仿宋" w:eastAsia="仿宋" w:cs="Times New Roman"/>
          <w:color w:val="auto"/>
          <w:sz w:val="32"/>
          <w:szCs w:val="32"/>
          <w:highlight w:val="none"/>
          <w:lang w:eastAsia="zh-CN"/>
        </w:rPr>
        <w:t>全部为环保投资</w:t>
      </w:r>
      <w:r>
        <w:rPr>
          <w:rStyle w:val="18"/>
          <w:rFonts w:hint="eastAsia" w:ascii="仿宋" w:hAnsi="仿宋" w:eastAsia="仿宋" w:cs="Times New Roman"/>
          <w:color w:val="auto"/>
          <w:sz w:val="32"/>
          <w:szCs w:val="32"/>
          <w:highlight w:val="none"/>
        </w:rPr>
        <w:t>。</w:t>
      </w:r>
      <w:r>
        <w:rPr>
          <w:rStyle w:val="18"/>
          <w:rFonts w:hint="eastAsia" w:ascii="仿宋" w:hAnsi="仿宋" w:eastAsia="仿宋" w:cs="Times New Roman"/>
          <w:color w:val="auto"/>
          <w:sz w:val="32"/>
          <w:szCs w:val="32"/>
          <w:highlight w:val="none"/>
          <w:lang w:eastAsia="zh-CN"/>
        </w:rPr>
        <w:t>主要建设内容及规模：</w:t>
      </w:r>
      <w:r>
        <w:rPr>
          <w:rStyle w:val="18"/>
          <w:rFonts w:hint="eastAsia" w:ascii="仿宋" w:hAnsi="仿宋" w:eastAsia="仿宋" w:cs="Times New Roman"/>
          <w:color w:val="auto"/>
          <w:sz w:val="32"/>
          <w:szCs w:val="32"/>
          <w:highlight w:val="none"/>
          <w:lang w:val="en-US" w:eastAsia="zh-CN"/>
        </w:rPr>
        <w:t>对现有矿井水处理系统进行改扩建，将预沉调节池中原有二台井下水提升泵（一用一备）扩建为三台（二用一备）；高效澄清池中斜板由100平方米变更为150平方米；2台φ2.8m石英砂过滤器更换为2台φ3.2m，深度处理系统及其他公辅工程和环保工程均依托原有。项目建成后，预处理规模由4500m</w:t>
      </w:r>
      <w:r>
        <w:rPr>
          <w:rStyle w:val="18"/>
          <w:rFonts w:hint="eastAsia" w:ascii="仿宋" w:hAnsi="仿宋" w:eastAsia="仿宋" w:cs="Times New Roman"/>
          <w:color w:val="auto"/>
          <w:sz w:val="32"/>
          <w:szCs w:val="32"/>
          <w:highlight w:val="none"/>
          <w:vertAlign w:val="superscript"/>
          <w:lang w:val="en-US" w:eastAsia="zh-CN"/>
        </w:rPr>
        <w:t>3</w:t>
      </w:r>
      <w:r>
        <w:rPr>
          <w:rStyle w:val="18"/>
          <w:rFonts w:hint="eastAsia" w:ascii="仿宋" w:hAnsi="仿宋" w:eastAsia="仿宋" w:cs="Times New Roman"/>
          <w:color w:val="auto"/>
          <w:sz w:val="32"/>
          <w:szCs w:val="32"/>
          <w:highlight w:val="none"/>
          <w:lang w:val="en-US" w:eastAsia="zh-CN"/>
        </w:rPr>
        <w:t>/d提升至6000m</w:t>
      </w:r>
      <w:r>
        <w:rPr>
          <w:rStyle w:val="18"/>
          <w:rFonts w:hint="eastAsia" w:ascii="仿宋" w:hAnsi="仿宋" w:eastAsia="仿宋" w:cs="Times New Roman"/>
          <w:color w:val="auto"/>
          <w:sz w:val="32"/>
          <w:szCs w:val="32"/>
          <w:highlight w:val="none"/>
          <w:vertAlign w:val="superscript"/>
          <w:lang w:val="en-US" w:eastAsia="zh-CN"/>
        </w:rPr>
        <w:t>3</w:t>
      </w:r>
      <w:r>
        <w:rPr>
          <w:rStyle w:val="18"/>
          <w:rFonts w:hint="eastAsia" w:ascii="仿宋" w:hAnsi="仿宋" w:eastAsia="仿宋" w:cs="Times New Roman"/>
          <w:color w:val="auto"/>
          <w:sz w:val="32"/>
          <w:szCs w:val="32"/>
          <w:highlight w:val="none"/>
          <w:lang w:val="en-US" w:eastAsia="zh-CN"/>
        </w:rPr>
        <w:t>/d，深度处理规模不变，仍为2000m</w:t>
      </w:r>
      <w:r>
        <w:rPr>
          <w:rStyle w:val="18"/>
          <w:rFonts w:hint="eastAsia" w:ascii="仿宋" w:hAnsi="仿宋" w:eastAsia="仿宋" w:cs="Times New Roman"/>
          <w:color w:val="auto"/>
          <w:sz w:val="32"/>
          <w:szCs w:val="32"/>
          <w:highlight w:val="none"/>
          <w:vertAlign w:val="superscript"/>
          <w:lang w:val="en-US" w:eastAsia="zh-CN"/>
        </w:rPr>
        <w:t>3</w:t>
      </w:r>
      <w:r>
        <w:rPr>
          <w:rStyle w:val="18"/>
          <w:rFonts w:hint="eastAsia" w:ascii="仿宋" w:hAnsi="仿宋" w:eastAsia="仿宋" w:cs="Times New Roman"/>
          <w:color w:val="auto"/>
          <w:sz w:val="32"/>
          <w:szCs w:val="32"/>
          <w:highlight w:val="none"/>
          <w:lang w:val="en-US" w:eastAsia="zh-CN"/>
        </w:rPr>
        <w:t>/d。</w:t>
      </w:r>
    </w:p>
    <w:p w14:paraId="627E5A5B">
      <w:pPr>
        <w:keepNext w:val="0"/>
        <w:keepLines w:val="0"/>
        <w:pageBreakBefore w:val="0"/>
        <w:kinsoku/>
        <w:wordWrap/>
        <w:overflowPunct/>
        <w:topLinePunct w:val="0"/>
        <w:autoSpaceDE/>
        <w:autoSpaceDN/>
        <w:bidi w:val="0"/>
        <w:adjustRightInd/>
        <w:snapToGrid/>
        <w:spacing w:line="360" w:lineRule="auto"/>
        <w:jc w:val="center"/>
        <w:rPr>
          <w:rStyle w:val="18"/>
          <w:rFonts w:hint="eastAsia" w:ascii="仿宋" w:hAnsi="仿宋" w:eastAsia="仿宋"/>
          <w:color w:val="auto"/>
          <w:sz w:val="32"/>
          <w:szCs w:val="32"/>
          <w:highlight w:val="none"/>
        </w:rPr>
      </w:pPr>
      <w:r>
        <w:rPr>
          <w:rStyle w:val="18"/>
          <w:rFonts w:hint="eastAsia" w:ascii="仿宋" w:hAnsi="仿宋" w:eastAsia="仿宋" w:cs="Times New Roman"/>
          <w:color w:val="auto"/>
          <w:sz w:val="32"/>
          <w:szCs w:val="32"/>
          <w:highlight w:val="none"/>
          <w:lang w:val="en-US" w:eastAsia="zh-CN"/>
        </w:rPr>
        <w:t xml:space="preserve">   </w:t>
      </w:r>
      <w:r>
        <w:rPr>
          <w:rStyle w:val="18"/>
          <w:rFonts w:hint="eastAsia" w:ascii="仿宋" w:hAnsi="仿宋" w:eastAsia="仿宋" w:cs="Times New Roman"/>
          <w:color w:val="auto"/>
          <w:sz w:val="32"/>
          <w:szCs w:val="32"/>
          <w:highlight w:val="none"/>
        </w:rPr>
        <w:t>《报告表》认为，在全面落实各项生态环境保护和环境污</w:t>
      </w:r>
      <w:r>
        <w:rPr>
          <w:rStyle w:val="18"/>
          <w:rFonts w:hint="eastAsia" w:ascii="仿宋" w:hAnsi="仿宋" w:eastAsia="仿宋"/>
          <w:color w:val="auto"/>
          <w:sz w:val="32"/>
          <w:szCs w:val="32"/>
          <w:highlight w:val="none"/>
        </w:rPr>
        <w:t>染防治措施的前提下，项目建设对环境的不利影响能够得到一定的缓解和控制。因此，我局原则同意你单位按照《报告表》中所列的建设项目性质、规模、地点、环境保护措施进行建设。</w:t>
      </w:r>
    </w:p>
    <w:p w14:paraId="79A7658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highlight w:val="none"/>
          <w:lang w:val="en-US"/>
        </w:rPr>
      </w:pPr>
      <w:r>
        <w:rPr>
          <w:rStyle w:val="18"/>
          <w:rFonts w:hint="eastAsia" w:ascii="仿宋" w:hAnsi="仿宋" w:eastAsia="仿宋"/>
          <w:color w:val="auto"/>
          <w:sz w:val="32"/>
          <w:szCs w:val="32"/>
          <w:highlight w:val="none"/>
          <w:lang w:val="en-US" w:eastAsia="zh-CN"/>
        </w:rPr>
        <w:t>二、在项目工程设计、建设和环境管理中，你单位必须严格落实</w:t>
      </w:r>
      <w:r>
        <w:rPr>
          <w:rStyle w:val="18"/>
          <w:rFonts w:hint="eastAsia" w:ascii="仿宋" w:hAnsi="仿宋" w:eastAsia="仿宋"/>
          <w:color w:val="auto"/>
          <w:sz w:val="32"/>
          <w:szCs w:val="32"/>
          <w:highlight w:val="none"/>
        </w:rPr>
        <w:t>《报告表》</w:t>
      </w:r>
      <w:r>
        <w:rPr>
          <w:rStyle w:val="18"/>
          <w:rFonts w:hint="eastAsia" w:ascii="仿宋" w:hAnsi="仿宋" w:eastAsia="仿宋"/>
          <w:color w:val="auto"/>
          <w:sz w:val="32"/>
          <w:szCs w:val="32"/>
          <w:highlight w:val="none"/>
          <w:lang w:val="en-US" w:eastAsia="zh-CN"/>
        </w:rPr>
        <w:t>中提出的各项环保措施和要求，确保各项污染物稳定达标排放，并须着重做好以下工作：</w:t>
      </w:r>
    </w:p>
    <w:p w14:paraId="7F062956">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8"/>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sz w:val="32"/>
          <w:szCs w:val="32"/>
          <w:highlight w:val="none"/>
          <w:lang w:val="en-US" w:eastAsia="zh-CN"/>
        </w:rPr>
        <w:t>（</w:t>
      </w:r>
      <w:r>
        <w:rPr>
          <w:rStyle w:val="18"/>
          <w:rFonts w:hint="eastAsia" w:ascii="仿宋" w:hAnsi="仿宋" w:eastAsia="仿宋" w:cs="Times New Roman"/>
          <w:color w:val="auto"/>
          <w:sz w:val="32"/>
          <w:szCs w:val="32"/>
          <w:highlight w:val="none"/>
          <w:lang w:val="en-US" w:eastAsia="zh-CN"/>
        </w:rPr>
        <w:t>一）严格落实施工期污染防治措施</w:t>
      </w:r>
    </w:p>
    <w:p w14:paraId="4B7D31C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highlight w:val="none"/>
          <w:lang w:val="en-US" w:eastAsia="zh-CN"/>
        </w:rPr>
        <w:t>1、</w:t>
      </w:r>
      <w:r>
        <w:rPr>
          <w:rStyle w:val="18"/>
          <w:rFonts w:hint="eastAsia" w:ascii="仿宋" w:hAnsi="仿宋" w:eastAsia="仿宋" w:cs="Times New Roman"/>
          <w:color w:val="auto"/>
          <w:sz w:val="32"/>
          <w:szCs w:val="32"/>
          <w:highlight w:val="none"/>
        </w:rPr>
        <w:t>加强施工期环境管理</w:t>
      </w:r>
      <w:r>
        <w:rPr>
          <w:rStyle w:val="18"/>
          <w:rFonts w:hint="eastAsia" w:ascii="仿宋" w:hAnsi="仿宋" w:eastAsia="仿宋" w:cs="Times New Roman"/>
          <w:color w:val="auto"/>
          <w:sz w:val="32"/>
          <w:szCs w:val="32"/>
          <w:highlight w:val="none"/>
          <w:lang w:eastAsia="zh-CN"/>
        </w:rPr>
        <w:t>。</w:t>
      </w:r>
      <w:r>
        <w:rPr>
          <w:rStyle w:val="18"/>
          <w:rFonts w:hint="eastAsia" w:ascii="仿宋" w:hAnsi="仿宋" w:eastAsia="仿宋" w:cs="Times New Roman"/>
          <w:color w:val="auto"/>
          <w:sz w:val="32"/>
          <w:szCs w:val="32"/>
          <w:highlight w:val="none"/>
        </w:rPr>
        <w:t>施工期大气污染物排放执行《大气污染物综合排放标准》（GB16297-1996）表2中无组织排放监控浓度限值。</w:t>
      </w:r>
    </w:p>
    <w:p w14:paraId="1DED1190">
      <w:pPr>
        <w:keepNext w:val="0"/>
        <w:keepLines w:val="0"/>
        <w:pageBreakBefore w:val="0"/>
        <w:kinsoku/>
        <w:wordWrap/>
        <w:overflowPunct/>
        <w:topLinePunct w:val="0"/>
        <w:autoSpaceDE/>
        <w:autoSpaceDN/>
        <w:bidi w:val="0"/>
        <w:adjustRightInd/>
        <w:snapToGrid/>
        <w:spacing w:line="360" w:lineRule="auto"/>
        <w:ind w:firstLine="640" w:firstLineChars="200"/>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highlight w:val="none"/>
          <w:lang w:val="en-US" w:eastAsia="zh-CN"/>
        </w:rPr>
        <w:t>2、施工人员生活污水依托现有污水处理设施处理。</w:t>
      </w:r>
    </w:p>
    <w:p w14:paraId="5EBD051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highlight w:val="none"/>
          <w:lang w:val="en-US" w:eastAsia="zh-CN"/>
        </w:rPr>
        <w:t>3、选用低噪声施工设备，合理安排作业时间，避免夜间施工，控制车辆时速。施工期噪声执行《建筑施工场界环境噪声排放标准》（GB12523-2011）。</w:t>
      </w:r>
    </w:p>
    <w:p w14:paraId="1986388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color w:val="auto"/>
          <w:sz w:val="32"/>
          <w:szCs w:val="32"/>
          <w:highlight w:val="none"/>
          <w:lang w:val="en-US" w:eastAsia="zh-CN"/>
        </w:rPr>
      </w:pPr>
      <w:r>
        <w:rPr>
          <w:rStyle w:val="18"/>
          <w:rFonts w:hint="eastAsia" w:ascii="仿宋" w:hAnsi="仿宋" w:eastAsia="仿宋" w:cs="Times New Roman"/>
          <w:color w:val="auto"/>
          <w:sz w:val="32"/>
          <w:szCs w:val="32"/>
          <w:highlight w:val="none"/>
          <w:lang w:val="en-US" w:eastAsia="zh-CN"/>
        </w:rPr>
        <w:t>4、</w:t>
      </w:r>
      <w:r>
        <w:rPr>
          <w:rStyle w:val="18"/>
          <w:rFonts w:hint="eastAsia" w:ascii="仿宋" w:hAnsi="仿宋" w:eastAsia="仿宋" w:cs="Times New Roman"/>
          <w:color w:val="auto"/>
          <w:sz w:val="32"/>
          <w:szCs w:val="32"/>
          <w:highlight w:val="none"/>
          <w:lang w:val="en-US" w:eastAsia="zh-CN" w:bidi="ar-SA"/>
        </w:rPr>
        <w:t>固体废物集中堆放及时清运，交有关部门进行处理</w:t>
      </w:r>
      <w:r>
        <w:rPr>
          <w:rStyle w:val="18"/>
          <w:rFonts w:hint="eastAsia" w:ascii="仿宋" w:hAnsi="仿宋" w:eastAsia="仿宋" w:cs="Times New Roman"/>
          <w:color w:val="auto"/>
          <w:sz w:val="32"/>
          <w:szCs w:val="32"/>
          <w:highlight w:val="none"/>
          <w:lang w:val="en-US" w:eastAsia="zh-CN"/>
        </w:rPr>
        <w:t>。</w:t>
      </w:r>
    </w:p>
    <w:p w14:paraId="294E62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（二）严格落实运营期污染防治措施</w:t>
      </w:r>
    </w:p>
    <w:p w14:paraId="1DA74A1D">
      <w:pPr>
        <w:keepNext w:val="0"/>
        <w:keepLines w:val="0"/>
        <w:pageBreakBefore w:val="0"/>
        <w:kinsoku/>
        <w:wordWrap/>
        <w:overflowPunct/>
        <w:topLinePunct w:val="0"/>
        <w:autoSpaceDE/>
        <w:autoSpaceDN/>
        <w:bidi w:val="0"/>
        <w:adjustRightInd/>
        <w:snapToGrid/>
        <w:spacing w:line="360" w:lineRule="auto"/>
        <w:ind w:firstLine="640" w:firstLineChars="200"/>
        <w:rPr>
          <w:rFonts w:hint="default"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1、大气污染防治措施。本项目</w:t>
      </w:r>
      <w:r>
        <w:rPr>
          <w:rFonts w:hint="default" w:ascii="仿宋" w:hAnsi="仿宋" w:eastAsia="仿宋" w:cs="仿宋"/>
          <w:color w:val="auto"/>
          <w:kern w:val="0"/>
          <w:sz w:val="32"/>
          <w:szCs w:val="32"/>
          <w:highlight w:val="none"/>
          <w:lang w:val="en-US" w:eastAsia="zh-CN" w:bidi="ar-SA"/>
        </w:rPr>
        <w:t>采用“调节池+高效澄清池混凝沉淀+石英砂过滤器过滤+超滤+反渗透”处理工艺，改造后</w:t>
      </w:r>
      <w:r>
        <w:rPr>
          <w:rFonts w:hint="eastAsia" w:ascii="仿宋" w:hAnsi="仿宋" w:eastAsia="仿宋" w:cs="仿宋"/>
          <w:color w:val="auto"/>
          <w:kern w:val="0"/>
          <w:sz w:val="32"/>
          <w:szCs w:val="32"/>
          <w:highlight w:val="none"/>
          <w:lang w:val="en-US" w:eastAsia="zh-CN" w:bidi="ar-SA"/>
        </w:rPr>
        <w:t>的</w:t>
      </w:r>
      <w:r>
        <w:rPr>
          <w:rFonts w:hint="default" w:ascii="仿宋" w:hAnsi="仿宋" w:eastAsia="仿宋" w:cs="仿宋"/>
          <w:color w:val="auto"/>
          <w:kern w:val="0"/>
          <w:sz w:val="32"/>
          <w:szCs w:val="32"/>
          <w:highlight w:val="none"/>
          <w:lang w:val="en-US" w:eastAsia="zh-CN" w:bidi="ar-SA"/>
        </w:rPr>
        <w:t>工艺无生化处理过程，</w:t>
      </w:r>
      <w:r>
        <w:rPr>
          <w:rFonts w:hint="eastAsia" w:ascii="仿宋" w:hAnsi="仿宋" w:eastAsia="仿宋" w:cs="仿宋"/>
          <w:color w:val="auto"/>
          <w:kern w:val="0"/>
          <w:sz w:val="32"/>
          <w:szCs w:val="32"/>
          <w:highlight w:val="none"/>
          <w:lang w:val="en-US" w:eastAsia="zh-CN" w:bidi="ar-SA"/>
        </w:rPr>
        <w:t>故</w:t>
      </w:r>
      <w:r>
        <w:rPr>
          <w:rFonts w:hint="default" w:ascii="仿宋" w:hAnsi="仿宋" w:eastAsia="仿宋" w:cs="仿宋"/>
          <w:color w:val="auto"/>
          <w:kern w:val="0"/>
          <w:sz w:val="32"/>
          <w:szCs w:val="32"/>
          <w:highlight w:val="none"/>
          <w:lang w:val="en-US" w:eastAsia="zh-CN" w:bidi="ar-SA"/>
        </w:rPr>
        <w:t>运营期</w:t>
      </w:r>
      <w:r>
        <w:rPr>
          <w:rFonts w:hint="eastAsia" w:ascii="仿宋" w:hAnsi="仿宋" w:eastAsia="仿宋" w:cs="仿宋"/>
          <w:color w:val="auto"/>
          <w:kern w:val="0"/>
          <w:sz w:val="32"/>
          <w:szCs w:val="32"/>
          <w:highlight w:val="none"/>
          <w:lang w:val="en-US" w:eastAsia="zh-CN" w:bidi="ar-SA"/>
        </w:rPr>
        <w:t>不产生废气。</w:t>
      </w:r>
    </w:p>
    <w:p w14:paraId="516ECAA3">
      <w:pPr>
        <w:pStyle w:val="53"/>
        <w:keepNext w:val="0"/>
        <w:keepLines w:val="0"/>
        <w:pageBreakBefore w:val="0"/>
        <w:widowControl w:val="0"/>
        <w:kinsoku/>
        <w:wordWrap/>
        <w:overflowPunct/>
        <w:topLinePunct w:val="0"/>
        <w:autoSpaceDE/>
        <w:autoSpaceDN/>
        <w:bidi w:val="0"/>
        <w:adjustRightInd/>
        <w:snapToGrid/>
        <w:spacing w:before="0" w:line="360" w:lineRule="auto"/>
        <w:ind w:left="0" w:right="0" w:rightChars="0" w:firstLine="640" w:firstLineChars="200"/>
        <w:jc w:val="both"/>
        <w:textAlignment w:val="auto"/>
        <w:rPr>
          <w:rStyle w:val="18"/>
          <w:rFonts w:hint="default" w:ascii="仿宋" w:hAnsi="仿宋" w:eastAsia="仿宋" w:cs="Times New Roman"/>
          <w:color w:val="auto"/>
          <w:kern w:val="0"/>
          <w:sz w:val="32"/>
          <w:szCs w:val="32"/>
          <w:highlight w:val="none"/>
          <w:lang w:val="en-US" w:eastAsia="zh-CN" w:bidi="ar-SA"/>
        </w:rPr>
      </w:pPr>
      <w:r>
        <w:rPr>
          <w:rStyle w:val="18"/>
          <w:rFonts w:hint="eastAsia" w:ascii="仿宋" w:hAnsi="仿宋" w:eastAsia="仿宋" w:cs="Times New Roman"/>
          <w:color w:val="auto"/>
          <w:sz w:val="32"/>
          <w:szCs w:val="32"/>
          <w:highlight w:val="none"/>
          <w:lang w:val="en-US" w:eastAsia="zh-CN"/>
        </w:rPr>
        <w:t>2、</w:t>
      </w:r>
      <w:r>
        <w:rPr>
          <w:rStyle w:val="18"/>
          <w:rFonts w:hint="eastAsia" w:ascii="仿宋" w:hAnsi="仿宋" w:eastAsia="仿宋" w:cs="Times New Roman"/>
          <w:color w:val="auto"/>
          <w:kern w:val="0"/>
          <w:sz w:val="32"/>
          <w:szCs w:val="32"/>
          <w:highlight w:val="none"/>
          <w:lang w:val="en-US" w:eastAsia="zh-CN" w:bidi="ar-SA"/>
        </w:rPr>
        <w:t>水污染防治措施。</w:t>
      </w:r>
      <w:r>
        <w:rPr>
          <w:rFonts w:hint="default" w:ascii="仿宋" w:hAnsi="仿宋" w:eastAsia="仿宋" w:cs="仿宋"/>
          <w:color w:val="auto"/>
          <w:sz w:val="32"/>
          <w:szCs w:val="32"/>
          <w:highlight w:val="none"/>
          <w:lang w:val="en-US" w:eastAsia="zh-CN"/>
        </w:rPr>
        <w:t>运</w:t>
      </w:r>
      <w:r>
        <w:rPr>
          <w:rFonts w:hint="eastAsia" w:ascii="仿宋" w:hAnsi="仿宋" w:eastAsia="仿宋" w:cs="仿宋"/>
          <w:color w:val="auto"/>
          <w:sz w:val="32"/>
          <w:szCs w:val="32"/>
          <w:highlight w:val="none"/>
          <w:lang w:val="en-US" w:eastAsia="zh-CN"/>
        </w:rPr>
        <w:t>营</w:t>
      </w:r>
      <w:r>
        <w:rPr>
          <w:rFonts w:hint="default" w:ascii="仿宋" w:hAnsi="仿宋" w:eastAsia="仿宋" w:cs="仿宋"/>
          <w:color w:val="auto"/>
          <w:sz w:val="32"/>
          <w:szCs w:val="32"/>
          <w:highlight w:val="none"/>
          <w:lang w:val="en-US" w:eastAsia="zh-CN"/>
        </w:rPr>
        <w:t>期</w:t>
      </w:r>
      <w:r>
        <w:rPr>
          <w:rFonts w:hint="eastAsia" w:ascii="仿宋" w:hAnsi="仿宋" w:eastAsia="仿宋" w:cs="仿宋"/>
          <w:color w:val="auto"/>
          <w:sz w:val="32"/>
          <w:szCs w:val="32"/>
          <w:highlight w:val="none"/>
          <w:lang w:val="en-US" w:eastAsia="zh-CN"/>
        </w:rPr>
        <w:t>不新增生活污水。</w:t>
      </w:r>
      <w:r>
        <w:rPr>
          <w:rFonts w:hint="eastAsia" w:ascii="仿宋" w:hAnsi="仿宋" w:eastAsia="仿宋" w:cs="Times New Roman"/>
          <w:color w:val="auto"/>
          <w:kern w:val="0"/>
          <w:sz w:val="32"/>
          <w:szCs w:val="32"/>
          <w:highlight w:val="none"/>
          <w:lang w:val="en-US" w:eastAsia="zh-CN" w:bidi="ar-SA"/>
        </w:rPr>
        <w:t>反冲洗废水返回调节池与</w:t>
      </w:r>
      <w:r>
        <w:rPr>
          <w:rStyle w:val="18"/>
          <w:rFonts w:hint="default" w:ascii="仿宋" w:hAnsi="仿宋" w:eastAsia="仿宋" w:cs="Times New Roman"/>
          <w:color w:val="auto"/>
          <w:kern w:val="0"/>
          <w:sz w:val="32"/>
          <w:szCs w:val="32"/>
          <w:highlight w:val="none"/>
          <w:lang w:val="en-US" w:eastAsia="zh-CN" w:bidi="ar-SA"/>
        </w:rPr>
        <w:t>矿井水</w:t>
      </w:r>
      <w:r>
        <w:rPr>
          <w:rStyle w:val="18"/>
          <w:rFonts w:hint="eastAsia" w:ascii="仿宋" w:hAnsi="仿宋" w:eastAsia="仿宋" w:cs="Times New Roman"/>
          <w:color w:val="auto"/>
          <w:kern w:val="0"/>
          <w:sz w:val="32"/>
          <w:szCs w:val="32"/>
          <w:highlight w:val="none"/>
          <w:lang w:val="en-US" w:eastAsia="zh-CN" w:bidi="ar-SA"/>
        </w:rPr>
        <w:t>一起经预处理系统处理，满足</w:t>
      </w:r>
      <w:r>
        <w:rPr>
          <w:rStyle w:val="18"/>
          <w:rFonts w:hint="default" w:ascii="仿宋" w:hAnsi="仿宋" w:eastAsia="仿宋" w:cs="Times New Roman"/>
          <w:color w:val="auto"/>
          <w:kern w:val="0"/>
          <w:sz w:val="32"/>
          <w:szCs w:val="32"/>
          <w:highlight w:val="none"/>
          <w:lang w:val="en-US" w:eastAsia="zh-CN" w:bidi="ar-SA"/>
        </w:rPr>
        <w:t>《煤炭工业污染物排放标准》（GB20426-2006）排放限值</w:t>
      </w:r>
      <w:r>
        <w:rPr>
          <w:rStyle w:val="18"/>
          <w:rFonts w:hint="eastAsia" w:ascii="仿宋" w:hAnsi="仿宋" w:eastAsia="仿宋" w:cs="Times New Roman"/>
          <w:color w:val="auto"/>
          <w:kern w:val="0"/>
          <w:sz w:val="32"/>
          <w:szCs w:val="32"/>
          <w:highlight w:val="none"/>
          <w:lang w:val="en-US" w:eastAsia="zh-CN" w:bidi="ar-SA"/>
        </w:rPr>
        <w:t>和《城市污水再生利用 城市杂用水水质》（GB/T18920-2020）中城市绿化和道路清扫用水水质标准后，</w:t>
      </w:r>
      <w:r>
        <w:rPr>
          <w:rStyle w:val="18"/>
          <w:rFonts w:hint="default" w:ascii="仿宋" w:hAnsi="仿宋" w:eastAsia="仿宋" w:cs="Times New Roman"/>
          <w:color w:val="auto"/>
          <w:kern w:val="0"/>
          <w:sz w:val="32"/>
          <w:szCs w:val="32"/>
          <w:highlight w:val="none"/>
          <w:lang w:val="en-US" w:eastAsia="zh-CN" w:bidi="ar-SA"/>
        </w:rPr>
        <w:t>部分回用于李家壕煤矿井下消防、抑尘</w:t>
      </w:r>
      <w:r>
        <w:rPr>
          <w:rStyle w:val="18"/>
          <w:rFonts w:hint="eastAsia" w:ascii="仿宋" w:hAnsi="仿宋" w:eastAsia="仿宋" w:cs="Times New Roman"/>
          <w:color w:val="auto"/>
          <w:kern w:val="0"/>
          <w:sz w:val="32"/>
          <w:szCs w:val="32"/>
          <w:highlight w:val="none"/>
          <w:lang w:val="en-US" w:eastAsia="zh-CN" w:bidi="ar-SA"/>
        </w:rPr>
        <w:t>用水、</w:t>
      </w:r>
      <w:r>
        <w:rPr>
          <w:rStyle w:val="18"/>
          <w:rFonts w:hint="default" w:ascii="仿宋" w:hAnsi="仿宋" w:eastAsia="仿宋" w:cs="Times New Roman"/>
          <w:color w:val="auto"/>
          <w:kern w:val="0"/>
          <w:sz w:val="32"/>
          <w:szCs w:val="32"/>
          <w:highlight w:val="none"/>
          <w:lang w:val="en-US" w:eastAsia="zh-CN" w:bidi="ar-SA"/>
        </w:rPr>
        <w:t>李家壕选煤厂生产用水</w:t>
      </w:r>
      <w:r>
        <w:rPr>
          <w:rStyle w:val="18"/>
          <w:rFonts w:hint="eastAsia" w:ascii="仿宋" w:hAnsi="仿宋" w:eastAsia="仿宋" w:cs="Times New Roman"/>
          <w:color w:val="auto"/>
          <w:kern w:val="0"/>
          <w:sz w:val="32"/>
          <w:szCs w:val="32"/>
          <w:highlight w:val="none"/>
          <w:lang w:val="en-US" w:eastAsia="zh-CN" w:bidi="ar-SA"/>
        </w:rPr>
        <w:t>、黄泥灌浆用水、道路洒水抑尘用水、厂区内绿化用水、</w:t>
      </w:r>
      <w:r>
        <w:rPr>
          <w:rStyle w:val="18"/>
          <w:rFonts w:hint="default" w:ascii="仿宋" w:hAnsi="仿宋" w:eastAsia="仿宋" w:cs="Times New Roman"/>
          <w:color w:val="auto"/>
          <w:kern w:val="0"/>
          <w:sz w:val="32"/>
          <w:szCs w:val="32"/>
          <w:highlight w:val="none"/>
          <w:lang w:val="en-US" w:eastAsia="zh-CN" w:bidi="ar-SA"/>
        </w:rPr>
        <w:t>复垦区绿化用水，不外排；剩余部分经深度处理系统处理</w:t>
      </w:r>
      <w:r>
        <w:rPr>
          <w:rStyle w:val="18"/>
          <w:rFonts w:hint="eastAsia" w:ascii="仿宋" w:hAnsi="仿宋" w:eastAsia="仿宋" w:cs="Times New Roman"/>
          <w:color w:val="auto"/>
          <w:kern w:val="0"/>
          <w:sz w:val="32"/>
          <w:szCs w:val="32"/>
          <w:highlight w:val="none"/>
          <w:lang w:val="en-US" w:eastAsia="zh-CN" w:bidi="ar-SA"/>
        </w:rPr>
        <w:t>后</w:t>
      </w:r>
      <w:r>
        <w:rPr>
          <w:rStyle w:val="18"/>
          <w:rFonts w:hint="default" w:ascii="仿宋" w:hAnsi="仿宋" w:eastAsia="仿宋" w:cs="Times New Roman"/>
          <w:color w:val="auto"/>
          <w:kern w:val="0"/>
          <w:sz w:val="32"/>
          <w:szCs w:val="32"/>
          <w:highlight w:val="none"/>
          <w:lang w:val="en-US" w:eastAsia="zh-CN" w:bidi="ar-SA"/>
        </w:rPr>
        <w:t>满足《地表水环境质量标准》（GB3838-2002）Ⅲ 类标准</w:t>
      </w:r>
      <w:r>
        <w:rPr>
          <w:rStyle w:val="18"/>
          <w:rFonts w:hint="eastAsia" w:ascii="仿宋" w:hAnsi="仿宋" w:eastAsia="仿宋" w:cs="Times New Roman"/>
          <w:color w:val="auto"/>
          <w:kern w:val="0"/>
          <w:sz w:val="32"/>
          <w:szCs w:val="32"/>
          <w:highlight w:val="none"/>
          <w:lang w:val="en-US" w:eastAsia="zh-CN" w:bidi="ar-SA"/>
        </w:rPr>
        <w:t>限值，</w:t>
      </w:r>
      <w:r>
        <w:rPr>
          <w:rStyle w:val="18"/>
          <w:rFonts w:hint="default" w:ascii="仿宋" w:hAnsi="仿宋" w:eastAsia="仿宋" w:cs="Times New Roman"/>
          <w:color w:val="auto"/>
          <w:kern w:val="0"/>
          <w:sz w:val="32"/>
          <w:szCs w:val="32"/>
          <w:highlight w:val="none"/>
          <w:lang w:val="en-US" w:eastAsia="zh-CN" w:bidi="ar-SA"/>
        </w:rPr>
        <w:t>用于锅炉用水</w:t>
      </w:r>
      <w:r>
        <w:rPr>
          <w:rStyle w:val="18"/>
          <w:rFonts w:hint="eastAsia" w:ascii="仿宋" w:hAnsi="仿宋" w:eastAsia="仿宋" w:cs="Times New Roman"/>
          <w:color w:val="auto"/>
          <w:kern w:val="0"/>
          <w:sz w:val="32"/>
          <w:szCs w:val="32"/>
          <w:highlight w:val="none"/>
          <w:lang w:val="en-US" w:eastAsia="zh-CN" w:bidi="ar-SA"/>
        </w:rPr>
        <w:t>、冲厕用水、金乌嵘鼎洗煤厂洗煤用水、鄂尔多斯市律艺园林工程有限责任公司城区绿化用水</w:t>
      </w:r>
      <w:r>
        <w:rPr>
          <w:rStyle w:val="18"/>
          <w:rFonts w:hint="default" w:ascii="仿宋" w:hAnsi="仿宋" w:eastAsia="仿宋" w:cs="Times New Roman"/>
          <w:color w:val="auto"/>
          <w:kern w:val="0"/>
          <w:sz w:val="32"/>
          <w:szCs w:val="32"/>
          <w:highlight w:val="none"/>
          <w:lang w:val="en-US" w:eastAsia="zh-CN" w:bidi="ar-SA"/>
        </w:rPr>
        <w:t>。反渗透装置</w:t>
      </w:r>
      <w:r>
        <w:rPr>
          <w:rStyle w:val="18"/>
          <w:rFonts w:hint="eastAsia" w:ascii="仿宋" w:hAnsi="仿宋" w:eastAsia="仿宋" w:cs="Times New Roman"/>
          <w:color w:val="auto"/>
          <w:kern w:val="0"/>
          <w:sz w:val="32"/>
          <w:szCs w:val="32"/>
          <w:highlight w:val="none"/>
          <w:lang w:val="en-US" w:eastAsia="zh-CN" w:bidi="ar-SA"/>
        </w:rPr>
        <w:t>产生</w:t>
      </w:r>
      <w:r>
        <w:rPr>
          <w:rStyle w:val="18"/>
          <w:rFonts w:hint="default" w:ascii="仿宋" w:hAnsi="仿宋" w:eastAsia="仿宋" w:cs="Times New Roman"/>
          <w:color w:val="auto"/>
          <w:kern w:val="0"/>
          <w:sz w:val="32"/>
          <w:szCs w:val="32"/>
          <w:highlight w:val="none"/>
          <w:lang w:val="en-US" w:eastAsia="zh-CN" w:bidi="ar-SA"/>
        </w:rPr>
        <w:t>的浓水暂存</w:t>
      </w:r>
      <w:r>
        <w:rPr>
          <w:rStyle w:val="18"/>
          <w:rFonts w:hint="eastAsia" w:ascii="仿宋" w:hAnsi="仿宋" w:eastAsia="仿宋" w:cs="Times New Roman"/>
          <w:color w:val="auto"/>
          <w:kern w:val="0"/>
          <w:sz w:val="32"/>
          <w:szCs w:val="32"/>
          <w:highlight w:val="none"/>
          <w:lang w:val="en-US" w:eastAsia="zh-CN" w:bidi="ar-SA"/>
        </w:rPr>
        <w:t>于</w:t>
      </w:r>
      <w:r>
        <w:rPr>
          <w:rStyle w:val="18"/>
          <w:rFonts w:hint="default" w:ascii="仿宋" w:hAnsi="仿宋" w:eastAsia="仿宋" w:cs="Times New Roman"/>
          <w:color w:val="auto"/>
          <w:kern w:val="0"/>
          <w:sz w:val="32"/>
          <w:szCs w:val="32"/>
          <w:highlight w:val="none"/>
          <w:lang w:val="en-US" w:eastAsia="zh-CN" w:bidi="ar-SA"/>
        </w:rPr>
        <w:t>现有浓水池后</w:t>
      </w:r>
      <w:r>
        <w:rPr>
          <w:rStyle w:val="18"/>
          <w:rFonts w:hint="eastAsia" w:ascii="仿宋" w:hAnsi="仿宋" w:eastAsia="仿宋" w:cs="Times New Roman"/>
          <w:color w:val="auto"/>
          <w:kern w:val="0"/>
          <w:sz w:val="32"/>
          <w:szCs w:val="32"/>
          <w:highlight w:val="none"/>
          <w:lang w:val="en-US" w:eastAsia="zh-CN" w:bidi="ar-SA"/>
        </w:rPr>
        <w:t>，部分</w:t>
      </w:r>
      <w:r>
        <w:rPr>
          <w:rStyle w:val="18"/>
          <w:rFonts w:hint="default" w:ascii="仿宋" w:hAnsi="仿宋" w:eastAsia="仿宋" w:cs="Times New Roman"/>
          <w:color w:val="auto"/>
          <w:kern w:val="0"/>
          <w:sz w:val="32"/>
          <w:szCs w:val="32"/>
          <w:highlight w:val="none"/>
          <w:lang w:val="en-US" w:eastAsia="zh-CN" w:bidi="ar-SA"/>
        </w:rPr>
        <w:t>用于</w:t>
      </w:r>
      <w:r>
        <w:rPr>
          <w:rStyle w:val="18"/>
          <w:rFonts w:hint="eastAsia" w:ascii="仿宋" w:hAnsi="仿宋" w:eastAsia="仿宋" w:cs="Times New Roman"/>
          <w:color w:val="auto"/>
          <w:kern w:val="0"/>
          <w:sz w:val="32"/>
          <w:szCs w:val="32"/>
          <w:highlight w:val="none"/>
          <w:lang w:val="en-US" w:eastAsia="zh-CN" w:bidi="ar-SA"/>
        </w:rPr>
        <w:t>李家壕</w:t>
      </w:r>
      <w:r>
        <w:rPr>
          <w:rStyle w:val="18"/>
          <w:rFonts w:hint="default" w:ascii="仿宋" w:hAnsi="仿宋" w:eastAsia="仿宋" w:cs="Times New Roman"/>
          <w:color w:val="auto"/>
          <w:kern w:val="0"/>
          <w:sz w:val="32"/>
          <w:szCs w:val="32"/>
          <w:highlight w:val="none"/>
          <w:lang w:val="en-US" w:eastAsia="zh-CN" w:bidi="ar-SA"/>
        </w:rPr>
        <w:t>洗煤厂储煤棚抑尘用水、剩余部分</w:t>
      </w:r>
      <w:r>
        <w:rPr>
          <w:rStyle w:val="18"/>
          <w:rFonts w:hint="eastAsia" w:ascii="仿宋" w:hAnsi="仿宋" w:eastAsia="仿宋" w:cs="Times New Roman"/>
          <w:color w:val="auto"/>
          <w:kern w:val="0"/>
          <w:sz w:val="32"/>
          <w:szCs w:val="32"/>
          <w:highlight w:val="none"/>
          <w:lang w:val="en-US" w:eastAsia="zh-CN" w:bidi="ar-SA"/>
        </w:rPr>
        <w:t>由</w:t>
      </w:r>
      <w:r>
        <w:rPr>
          <w:rStyle w:val="18"/>
          <w:rFonts w:hint="default" w:ascii="仿宋" w:hAnsi="仿宋" w:eastAsia="仿宋" w:cs="Times New Roman"/>
          <w:color w:val="auto"/>
          <w:kern w:val="0"/>
          <w:sz w:val="32"/>
          <w:szCs w:val="32"/>
          <w:highlight w:val="none"/>
          <w:lang w:val="en-US" w:eastAsia="zh-CN" w:bidi="ar-SA"/>
        </w:rPr>
        <w:t>罐车拉运至内蒙古久科康瑞环保科技有限公司处理</w:t>
      </w:r>
      <w:r>
        <w:rPr>
          <w:rStyle w:val="18"/>
          <w:rFonts w:hint="eastAsia" w:ascii="仿宋" w:hAnsi="仿宋" w:eastAsia="仿宋" w:cs="Times New Roman"/>
          <w:color w:val="auto"/>
          <w:kern w:val="0"/>
          <w:sz w:val="32"/>
          <w:szCs w:val="32"/>
          <w:highlight w:val="none"/>
          <w:lang w:val="en-US" w:eastAsia="zh-CN" w:bidi="ar-SA"/>
        </w:rPr>
        <w:t>。</w:t>
      </w:r>
    </w:p>
    <w:p w14:paraId="7E796F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color w:val="auto"/>
          <w:highlight w:val="none"/>
        </w:rPr>
      </w:pPr>
      <w:r>
        <w:rPr>
          <w:rStyle w:val="18"/>
          <w:rFonts w:hint="eastAsia" w:ascii="仿宋" w:hAnsi="仿宋" w:eastAsia="仿宋"/>
          <w:color w:val="auto"/>
          <w:sz w:val="32"/>
          <w:szCs w:val="32"/>
          <w:highlight w:val="none"/>
          <w:lang w:val="en-US" w:eastAsia="zh-CN"/>
        </w:rPr>
        <w:t>3、</w:t>
      </w:r>
      <w:r>
        <w:rPr>
          <w:rStyle w:val="18"/>
          <w:rFonts w:hint="eastAsia" w:ascii="仿宋" w:hAnsi="仿宋" w:eastAsia="仿宋" w:cs="Times New Roman"/>
          <w:color w:val="auto"/>
          <w:sz w:val="32"/>
          <w:szCs w:val="32"/>
          <w:highlight w:val="none"/>
          <w:lang w:val="en-US" w:eastAsia="zh-CN"/>
        </w:rPr>
        <w:t>噪声污染防治措施。通过采取选用低噪声设备、厂房隔声、基础减振等</w:t>
      </w:r>
      <w:r>
        <w:rPr>
          <w:rStyle w:val="18"/>
          <w:rFonts w:hint="eastAsia" w:ascii="仿宋" w:hAnsi="仿宋" w:eastAsia="仿宋"/>
          <w:color w:val="auto"/>
          <w:sz w:val="32"/>
          <w:szCs w:val="32"/>
          <w:highlight w:val="none"/>
          <w:lang w:val="en-US" w:eastAsia="zh-CN"/>
        </w:rPr>
        <w:t>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eastAsia" w:ascii="仿宋" w:hAnsi="仿宋" w:eastAsia="仿宋"/>
          <w:color w:val="auto"/>
          <w:sz w:val="32"/>
          <w:szCs w:val="32"/>
          <w:highlight w:val="none"/>
        </w:rPr>
        <w:t>《工业企业厂界环境噪声排放</w:t>
      </w:r>
      <w:r>
        <w:rPr>
          <w:rStyle w:val="18"/>
          <w:rFonts w:hint="eastAsia" w:ascii="仿宋" w:hAnsi="仿宋" w:eastAsia="仿宋"/>
          <w:color w:val="auto"/>
          <w:sz w:val="32"/>
          <w:szCs w:val="32"/>
          <w:highlight w:val="none"/>
          <w:lang w:val="en-US" w:eastAsia="zh-CN"/>
        </w:rPr>
        <w:t>标</w:t>
      </w:r>
      <w:r>
        <w:rPr>
          <w:rStyle w:val="18"/>
          <w:rFonts w:hint="eastAsia" w:ascii="仿宋" w:hAnsi="仿宋" w:eastAsia="仿宋"/>
          <w:color w:val="auto"/>
          <w:sz w:val="32"/>
          <w:szCs w:val="32"/>
          <w:highlight w:val="none"/>
        </w:rPr>
        <w:t>准》（GB12348-2008）中</w:t>
      </w:r>
      <w:r>
        <w:rPr>
          <w:rStyle w:val="18"/>
          <w:rFonts w:hint="eastAsia" w:ascii="仿宋" w:hAnsi="仿宋" w:eastAsia="仿宋"/>
          <w:color w:val="auto"/>
          <w:sz w:val="32"/>
          <w:szCs w:val="32"/>
          <w:highlight w:val="none"/>
          <w:lang w:val="en-US" w:eastAsia="zh-CN"/>
        </w:rPr>
        <w:t>3</w:t>
      </w:r>
      <w:r>
        <w:rPr>
          <w:rStyle w:val="18"/>
          <w:rFonts w:hint="eastAsia" w:ascii="仿宋" w:hAnsi="仿宋" w:eastAsia="仿宋"/>
          <w:color w:val="auto"/>
          <w:sz w:val="32"/>
          <w:szCs w:val="32"/>
          <w:highlight w:val="none"/>
        </w:rPr>
        <w:t>类标准。</w:t>
      </w:r>
    </w:p>
    <w:p w14:paraId="40A2D7A7">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highlight w:val="none"/>
          <w:lang w:val="en-US" w:eastAsia="zh-CN" w:bidi="ar-SA"/>
        </w:rPr>
        <w:t>4、</w:t>
      </w:r>
      <w:r>
        <w:rPr>
          <w:rStyle w:val="18"/>
          <w:rFonts w:hint="eastAsia" w:ascii="仿宋" w:hAnsi="仿宋" w:eastAsia="仿宋" w:cs="Times New Roman"/>
          <w:color w:val="auto"/>
          <w:sz w:val="32"/>
          <w:szCs w:val="32"/>
          <w:highlight w:val="none"/>
          <w:lang w:val="en-US" w:eastAsia="zh-CN" w:bidi="ar-SA"/>
        </w:rPr>
        <w:t>固废污染防治措施。</w:t>
      </w:r>
      <w:r>
        <w:rPr>
          <w:rFonts w:hint="eastAsia" w:ascii="仿宋" w:hAnsi="仿宋" w:eastAsia="仿宋" w:cs="仿宋"/>
          <w:strike w:val="0"/>
          <w:dstrike w:val="0"/>
          <w:color w:val="auto"/>
          <w:kern w:val="0"/>
          <w:sz w:val="32"/>
          <w:szCs w:val="32"/>
          <w:highlight w:val="none"/>
          <w:lang w:val="en-US" w:eastAsia="zh-CN" w:bidi="ar-SA"/>
        </w:rPr>
        <w:t>妥善处置各类固体废弃物。</w:t>
      </w:r>
      <w:r>
        <w:rPr>
          <w:rFonts w:hint="eastAsia" w:ascii="仿宋" w:hAnsi="仿宋" w:eastAsia="仿宋" w:cs="仿宋"/>
          <w:strike w:val="0"/>
          <w:dstrike w:val="0"/>
          <w:color w:val="auto"/>
          <w:kern w:val="0"/>
          <w:sz w:val="32"/>
          <w:szCs w:val="32"/>
          <w:lang w:val="en-US" w:eastAsia="zh-CN" w:bidi="ar-SA"/>
        </w:rPr>
        <w:t>建设单位须严格按照《一般工业固体废物贮存和填埋污染控制标准》（GB18599-2020）处置一般固废，不得乱弃。</w:t>
      </w:r>
    </w:p>
    <w:p w14:paraId="53D223DD">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7E936C0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rPr>
          <w:rStyle w:val="18"/>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C60000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lang w:val="en-US" w:eastAsia="zh-CN"/>
        </w:rPr>
        <w:t>五、</w:t>
      </w:r>
      <w:r>
        <w:rPr>
          <w:rStyle w:val="18"/>
          <w:rFonts w:hint="eastAsia" w:ascii="仿宋" w:hAnsi="仿宋" w:eastAsia="仿宋" w:cs="Times New Roman"/>
          <w:color w:val="auto"/>
          <w:sz w:val="32"/>
          <w:szCs w:val="32"/>
        </w:rPr>
        <w:t>该项目事中事后监管由鄂尔多斯市生态环境综合行政执法支队东胜区大队负责</w:t>
      </w:r>
      <w:r>
        <w:rPr>
          <w:rStyle w:val="18"/>
          <w:rFonts w:hint="eastAsia" w:ascii="仿宋" w:hAnsi="仿宋" w:eastAsia="仿宋" w:cs="Times New Roman"/>
          <w:color w:val="auto"/>
          <w:sz w:val="32"/>
          <w:szCs w:val="32"/>
          <w:lang w:eastAsia="zh-CN"/>
        </w:rPr>
        <w:t>。</w:t>
      </w:r>
    </w:p>
    <w:p w14:paraId="717968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lang w:val="en-US" w:eastAsia="zh-CN"/>
        </w:rPr>
        <w:t>六、</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14:paraId="158E6B6B">
      <w:pPr>
        <w:pStyle w:val="4"/>
        <w:jc w:val="left"/>
        <w:rPr>
          <w:rFonts w:hint="eastAsia"/>
          <w:color w:val="auto"/>
          <w:lang w:val="en-US" w:eastAsia="zh-CN"/>
        </w:rPr>
      </w:pPr>
      <w:r>
        <w:rPr>
          <w:rFonts w:hint="eastAsia"/>
          <w:color w:val="auto"/>
          <w:lang w:val="en-US" w:eastAsia="zh-CN"/>
        </w:rPr>
        <w:t xml:space="preserve">   </w:t>
      </w:r>
    </w:p>
    <w:p w14:paraId="7A0CD1FC">
      <w:pPr>
        <w:pStyle w:val="3"/>
        <w:rPr>
          <w:rFonts w:hint="default"/>
          <w:lang w:val="en-US" w:eastAsia="zh-CN"/>
        </w:rPr>
      </w:pPr>
    </w:p>
    <w:p w14:paraId="685B0EC3">
      <w:pPr>
        <w:jc w:val="left"/>
      </w:pPr>
    </w:p>
    <w:p w14:paraId="4EEC7E0E">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14:paraId="71B84C6F">
      <w:pPr>
        <w:spacing w:line="360" w:lineRule="auto"/>
        <w:ind w:firstLine="640" w:firstLineChars="200"/>
        <w:textAlignment w:val="auto"/>
        <w:rPr>
          <w:rStyle w:val="18"/>
          <w:rFonts w:ascii="仿宋" w:hAnsi="仿宋" w:eastAsia="仿宋"/>
          <w:color w:val="auto"/>
          <w:sz w:val="32"/>
          <w:szCs w:val="32"/>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12</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14:paraId="26B08713">
      <w:pPr>
        <w:pStyle w:val="27"/>
        <w:rPr>
          <w:color w:val="auto"/>
        </w:rPr>
      </w:pPr>
    </w:p>
    <w:p w14:paraId="02379160">
      <w:pPr>
        <w:pStyle w:val="27"/>
        <w:rPr>
          <w:color w:val="auto"/>
        </w:rPr>
      </w:pPr>
      <w:bookmarkStart w:id="0" w:name="_GoBack"/>
      <w:bookmarkEnd w:id="0"/>
    </w:p>
    <w:p w14:paraId="79CDF458">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12</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361" w:right="1530" w:bottom="1361"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2F31">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DC7D93">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7DC7D93">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68C97F1F">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3CDA">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21485B">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421485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6E0836FA">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042B">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CC1A40"/>
    <w:rsid w:val="01EF3980"/>
    <w:rsid w:val="02BA5D3C"/>
    <w:rsid w:val="02D42558"/>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9217C1"/>
    <w:rsid w:val="09B06929"/>
    <w:rsid w:val="09D92F4C"/>
    <w:rsid w:val="0A3D33B0"/>
    <w:rsid w:val="0A4C24C5"/>
    <w:rsid w:val="0A5D0D80"/>
    <w:rsid w:val="0A667AEF"/>
    <w:rsid w:val="0A6D53BD"/>
    <w:rsid w:val="0A9A115F"/>
    <w:rsid w:val="0AA477AD"/>
    <w:rsid w:val="0AA74DF8"/>
    <w:rsid w:val="0ABF0394"/>
    <w:rsid w:val="0AD65965"/>
    <w:rsid w:val="0B197BD3"/>
    <w:rsid w:val="0B440899"/>
    <w:rsid w:val="0B6446A4"/>
    <w:rsid w:val="0B792C38"/>
    <w:rsid w:val="0B860EB1"/>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9165B0"/>
    <w:rsid w:val="11CD325E"/>
    <w:rsid w:val="11D2180D"/>
    <w:rsid w:val="12EA255A"/>
    <w:rsid w:val="13464D5E"/>
    <w:rsid w:val="1398649C"/>
    <w:rsid w:val="13991169"/>
    <w:rsid w:val="139A0B1F"/>
    <w:rsid w:val="13C532EF"/>
    <w:rsid w:val="144C07C7"/>
    <w:rsid w:val="14E153AA"/>
    <w:rsid w:val="14F54230"/>
    <w:rsid w:val="15451A2B"/>
    <w:rsid w:val="1562595D"/>
    <w:rsid w:val="15652C35"/>
    <w:rsid w:val="156D1455"/>
    <w:rsid w:val="15E91737"/>
    <w:rsid w:val="16015C16"/>
    <w:rsid w:val="16041455"/>
    <w:rsid w:val="166E0EC0"/>
    <w:rsid w:val="168C74C9"/>
    <w:rsid w:val="16DA15C2"/>
    <w:rsid w:val="16FB6BF7"/>
    <w:rsid w:val="16FF6904"/>
    <w:rsid w:val="171F5F2F"/>
    <w:rsid w:val="173B3498"/>
    <w:rsid w:val="1747459A"/>
    <w:rsid w:val="178F5508"/>
    <w:rsid w:val="17D90483"/>
    <w:rsid w:val="17E15C23"/>
    <w:rsid w:val="18047D2E"/>
    <w:rsid w:val="181635BD"/>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7D8378D"/>
    <w:rsid w:val="28150F91"/>
    <w:rsid w:val="288E0726"/>
    <w:rsid w:val="289A0EE5"/>
    <w:rsid w:val="28A2177B"/>
    <w:rsid w:val="28DA25CC"/>
    <w:rsid w:val="28F60FCD"/>
    <w:rsid w:val="29115E06"/>
    <w:rsid w:val="2956242B"/>
    <w:rsid w:val="29581C87"/>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B60EB6"/>
    <w:rsid w:val="2EF21325"/>
    <w:rsid w:val="2EFF6701"/>
    <w:rsid w:val="2F1876BA"/>
    <w:rsid w:val="2F47531B"/>
    <w:rsid w:val="2F837265"/>
    <w:rsid w:val="2F8C2E25"/>
    <w:rsid w:val="2F8E3C27"/>
    <w:rsid w:val="2FA07EE4"/>
    <w:rsid w:val="2FAA2B11"/>
    <w:rsid w:val="2FC328DF"/>
    <w:rsid w:val="2FE05822"/>
    <w:rsid w:val="2FEA3599"/>
    <w:rsid w:val="301223CD"/>
    <w:rsid w:val="30276045"/>
    <w:rsid w:val="30552879"/>
    <w:rsid w:val="3071536E"/>
    <w:rsid w:val="30CD0F38"/>
    <w:rsid w:val="30E16A06"/>
    <w:rsid w:val="30F601C2"/>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850719"/>
    <w:rsid w:val="3D9D29AC"/>
    <w:rsid w:val="3D9F0D66"/>
    <w:rsid w:val="3DB17760"/>
    <w:rsid w:val="3DC119A0"/>
    <w:rsid w:val="3DD06792"/>
    <w:rsid w:val="3E391C30"/>
    <w:rsid w:val="3E6216DB"/>
    <w:rsid w:val="3E6D2368"/>
    <w:rsid w:val="3E8C50F6"/>
    <w:rsid w:val="3E9E6EFC"/>
    <w:rsid w:val="3EA147B7"/>
    <w:rsid w:val="3EAA1A98"/>
    <w:rsid w:val="3ED4195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94255B"/>
    <w:rsid w:val="40A601F0"/>
    <w:rsid w:val="40B345F0"/>
    <w:rsid w:val="40BF08B4"/>
    <w:rsid w:val="40C94DC1"/>
    <w:rsid w:val="40D07EFD"/>
    <w:rsid w:val="411D0018"/>
    <w:rsid w:val="413328ED"/>
    <w:rsid w:val="41392B4A"/>
    <w:rsid w:val="413F1DCA"/>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1D16AC"/>
    <w:rsid w:val="4477148F"/>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601B2"/>
    <w:rsid w:val="4C2274BE"/>
    <w:rsid w:val="4CD95DD7"/>
    <w:rsid w:val="4D137AF0"/>
    <w:rsid w:val="4D377F90"/>
    <w:rsid w:val="4D3F6B37"/>
    <w:rsid w:val="4D666553"/>
    <w:rsid w:val="4D743394"/>
    <w:rsid w:val="4D7C0517"/>
    <w:rsid w:val="4DD86D52"/>
    <w:rsid w:val="4DDE7B5E"/>
    <w:rsid w:val="4DEE5E67"/>
    <w:rsid w:val="4E062159"/>
    <w:rsid w:val="4E102281"/>
    <w:rsid w:val="4E1D3132"/>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AD3DB7"/>
    <w:rsid w:val="50C61171"/>
    <w:rsid w:val="51167CDE"/>
    <w:rsid w:val="51324DA9"/>
    <w:rsid w:val="5180327A"/>
    <w:rsid w:val="51AD2147"/>
    <w:rsid w:val="51CE1891"/>
    <w:rsid w:val="51D501ED"/>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E641C3"/>
    <w:rsid w:val="54EC6DF6"/>
    <w:rsid w:val="54F16F78"/>
    <w:rsid w:val="54F41FB5"/>
    <w:rsid w:val="55215714"/>
    <w:rsid w:val="554D7806"/>
    <w:rsid w:val="555B0286"/>
    <w:rsid w:val="55876BE5"/>
    <w:rsid w:val="55A94050"/>
    <w:rsid w:val="55CA36B6"/>
    <w:rsid w:val="56073F6A"/>
    <w:rsid w:val="561A1EEF"/>
    <w:rsid w:val="56767024"/>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3212FE"/>
    <w:rsid w:val="5955323E"/>
    <w:rsid w:val="59597413"/>
    <w:rsid w:val="59BA4CD4"/>
    <w:rsid w:val="59EE5797"/>
    <w:rsid w:val="59F12F67"/>
    <w:rsid w:val="5A184997"/>
    <w:rsid w:val="5A9F6E67"/>
    <w:rsid w:val="5AAB7FEF"/>
    <w:rsid w:val="5AC272A3"/>
    <w:rsid w:val="5AED3483"/>
    <w:rsid w:val="5B307B0A"/>
    <w:rsid w:val="5B557E8F"/>
    <w:rsid w:val="5B94004E"/>
    <w:rsid w:val="5B962018"/>
    <w:rsid w:val="5BB1110B"/>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0E40B6"/>
    <w:rsid w:val="602B2726"/>
    <w:rsid w:val="60417BB4"/>
    <w:rsid w:val="60854409"/>
    <w:rsid w:val="60B2650C"/>
    <w:rsid w:val="611D40E2"/>
    <w:rsid w:val="614462DE"/>
    <w:rsid w:val="619C7C5C"/>
    <w:rsid w:val="61A12EB3"/>
    <w:rsid w:val="61A86601"/>
    <w:rsid w:val="61B218A1"/>
    <w:rsid w:val="61B516C4"/>
    <w:rsid w:val="61EF4764"/>
    <w:rsid w:val="624D0F56"/>
    <w:rsid w:val="625904A9"/>
    <w:rsid w:val="628730AA"/>
    <w:rsid w:val="62A64AED"/>
    <w:rsid w:val="62B965EC"/>
    <w:rsid w:val="62BE2B8C"/>
    <w:rsid w:val="62F45876"/>
    <w:rsid w:val="63057A83"/>
    <w:rsid w:val="632919C3"/>
    <w:rsid w:val="632D32DF"/>
    <w:rsid w:val="6333639E"/>
    <w:rsid w:val="636B778B"/>
    <w:rsid w:val="63713FBD"/>
    <w:rsid w:val="63950102"/>
    <w:rsid w:val="63A177AC"/>
    <w:rsid w:val="63DC07E4"/>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7AE6CF2"/>
    <w:rsid w:val="684478D1"/>
    <w:rsid w:val="686109FC"/>
    <w:rsid w:val="686801CC"/>
    <w:rsid w:val="6881195A"/>
    <w:rsid w:val="688C32E6"/>
    <w:rsid w:val="68BE2BAE"/>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C21C47"/>
    <w:rsid w:val="6BE50451"/>
    <w:rsid w:val="6BEB28AD"/>
    <w:rsid w:val="6C1D1BAE"/>
    <w:rsid w:val="6C32108A"/>
    <w:rsid w:val="6C495CD7"/>
    <w:rsid w:val="6C6C7186"/>
    <w:rsid w:val="6C71153E"/>
    <w:rsid w:val="6CA67BC0"/>
    <w:rsid w:val="6CAE4CE7"/>
    <w:rsid w:val="6CBC11B2"/>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3F48EB"/>
    <w:rsid w:val="7358775B"/>
    <w:rsid w:val="73BA11B9"/>
    <w:rsid w:val="73D60472"/>
    <w:rsid w:val="73E831D5"/>
    <w:rsid w:val="73F53D48"/>
    <w:rsid w:val="74890514"/>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5A247F"/>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3"/>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4"/>
    <w:qFormat/>
    <w:uiPriority w:val="99"/>
    <w:pPr>
      <w:ind w:left="100" w:leftChars="2500"/>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1">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2">
    <w:name w:val="正文首行缩进 21"/>
    <w:basedOn w:val="5"/>
    <w:next w:val="1"/>
    <w:qFormat/>
    <w:uiPriority w:val="0"/>
    <w:pPr>
      <w:spacing w:afterLines="0"/>
      <w:ind w:left="420" w:firstLine="420" w:firstLineChars="200"/>
    </w:pPr>
    <w:rPr>
      <w:lang w:eastAsia="zh-CN" w:bidi="ar-SA"/>
    </w:rPr>
  </w:style>
  <w:style w:type="character" w:customStyle="1" w:styleId="23">
    <w:name w:val="正文文本 Char"/>
    <w:basedOn w:val="16"/>
    <w:link w:val="7"/>
    <w:semiHidden/>
    <w:qFormat/>
    <w:uiPriority w:val="99"/>
    <w:rPr>
      <w:color w:val="000000"/>
      <w:kern w:val="0"/>
      <w:szCs w:val="20"/>
    </w:rPr>
  </w:style>
  <w:style w:type="character" w:customStyle="1" w:styleId="24">
    <w:name w:val="日期 Char"/>
    <w:basedOn w:val="16"/>
    <w:link w:val="9"/>
    <w:semiHidden/>
    <w:qFormat/>
    <w:uiPriority w:val="99"/>
    <w:rPr>
      <w:color w:val="000000"/>
      <w:kern w:val="0"/>
      <w:szCs w:val="20"/>
    </w:rPr>
  </w:style>
  <w:style w:type="character" w:customStyle="1" w:styleId="25">
    <w:name w:val="页脚 Char"/>
    <w:basedOn w:val="18"/>
    <w:link w:val="10"/>
    <w:qFormat/>
    <w:locked/>
    <w:uiPriority w:val="99"/>
    <w:rPr>
      <w:rFonts w:cs="Times New Roman"/>
      <w:color w:val="000000"/>
      <w:sz w:val="18"/>
    </w:rPr>
  </w:style>
  <w:style w:type="character" w:customStyle="1" w:styleId="26">
    <w:name w:val="页眉 Char"/>
    <w:basedOn w:val="18"/>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 w:type="paragraph" w:styleId="52">
    <w:name w:val="List Paragraph"/>
    <w:basedOn w:val="1"/>
    <w:qFormat/>
    <w:uiPriority w:val="34"/>
    <w:pPr>
      <w:spacing w:line="240" w:lineRule="auto"/>
      <w:ind w:firstLine="420" w:firstLineChars="200"/>
    </w:pPr>
    <w:rPr>
      <w:rFonts w:ascii="仿宋_GB2312" w:hAnsi="仿宋_GB2312"/>
      <w:szCs w:val="22"/>
    </w:rPr>
  </w:style>
  <w:style w:type="paragraph" w:customStyle="1" w:styleId="5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1672</Words>
  <Characters>1797</Characters>
  <Lines>10</Lines>
  <Paragraphs>3</Paragraphs>
  <TotalTime>38</TotalTime>
  <ScaleCrop>false</ScaleCrop>
  <LinksUpToDate>false</LinksUpToDate>
  <CharactersWithSpaces>1869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2025-11-26T09:38:00Z</cp:lastPrinted>
  <dcterms:modified xsi:type="dcterms:W3CDTF">2025-11-28T01:17:05Z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8291FBFE545D4A0C917537C08E7E929D_13</vt:lpwstr>
  </property>
  <property fmtid="{D5CDD505-2E9C-101B-9397-08002B2CF9AE}" pid="4" name="KSOTemplateDocerSaveRecord">
    <vt:lpwstr>eyJoZGlkIjoiZGMyN2E2MTRmYjM2NzM2N2YwMzQyOWU3MDQxMjhiZDciLCJ1c2VySWQiOiIyNDY1NDUzNzIifQ==</vt:lpwstr>
  </property>
</Properties>
</file>