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6B5F1E93">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国能包头能源有限责任公司李家壕煤矿</w:t>
            </w:r>
          </w:p>
          <w:p w14:paraId="31035110">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矿井水处理站扩建项目</w:t>
            </w:r>
          </w:p>
          <w:p w14:paraId="352A1B66">
            <w:pPr>
              <w:spacing w:line="600" w:lineRule="exact"/>
              <w:jc w:val="center"/>
              <w:rPr>
                <w:rFonts w:hint="default" w:ascii="Times New Roman" w:hAnsi="Times New Roman" w:eastAsia="宋体" w:cs="Times New Roman"/>
                <w:color w:val="auto"/>
                <w:sz w:val="24"/>
                <w:szCs w:val="24"/>
                <w:highlight w:val="none"/>
                <w:lang w:val="en-US" w:eastAsia="zh-CN"/>
              </w:rPr>
            </w:pPr>
          </w:p>
        </w:tc>
        <w:tc>
          <w:tcPr>
            <w:tcW w:w="397" w:type="dxa"/>
            <w:vAlign w:val="center"/>
          </w:tcPr>
          <w:p w14:paraId="086DDD41">
            <w:pPr>
              <w:spacing w:line="600" w:lineRule="exact"/>
              <w:jc w:val="center"/>
              <w:rPr>
                <w:color w:val="000000"/>
                <w:szCs w:val="21"/>
              </w:rPr>
            </w:pPr>
            <w:r>
              <w:rPr>
                <w:color w:val="000000"/>
                <w:szCs w:val="21"/>
              </w:rPr>
              <w:t>鄂尔多斯市东胜区</w:t>
            </w:r>
            <w:r>
              <w:rPr>
                <w:rFonts w:hint="eastAsia"/>
                <w:color w:val="000000"/>
                <w:szCs w:val="21"/>
              </w:rPr>
              <w:t>罕台镇查干布拉格村</w:t>
            </w:r>
            <w:r>
              <w:rPr>
                <w:rFonts w:hint="eastAsia"/>
                <w:color w:val="000000"/>
                <w:szCs w:val="21"/>
                <w:lang w:val="en-US" w:eastAsia="zh-CN"/>
              </w:rPr>
              <w:t>李家壕煤矿工业广场内</w:t>
            </w:r>
          </w:p>
        </w:tc>
        <w:tc>
          <w:tcPr>
            <w:tcW w:w="465" w:type="dxa"/>
            <w:vAlign w:val="center"/>
          </w:tcPr>
          <w:p w14:paraId="713C7422">
            <w:pPr>
              <w:spacing w:line="600" w:lineRule="exact"/>
              <w:jc w:val="center"/>
              <w:rPr>
                <w:rFonts w:hint="eastAsia"/>
                <w:color w:val="000000"/>
                <w:szCs w:val="21"/>
                <w:lang w:val="en-US" w:eastAsia="zh-CN"/>
              </w:rPr>
            </w:pPr>
            <w:r>
              <w:rPr>
                <w:rFonts w:hint="eastAsia"/>
                <w:color w:val="000000"/>
                <w:szCs w:val="21"/>
                <w:lang w:val="en-US" w:eastAsia="zh-CN"/>
              </w:rPr>
              <w:t>国能包头能源有限责任公司</w:t>
            </w:r>
          </w:p>
          <w:p w14:paraId="032B8280">
            <w:pPr>
              <w:spacing w:line="600" w:lineRule="exact"/>
              <w:jc w:val="center"/>
              <w:rPr>
                <w:color w:val="000000"/>
                <w:szCs w:val="21"/>
              </w:rPr>
            </w:pPr>
            <w:r>
              <w:rPr>
                <w:rFonts w:hint="eastAsia"/>
                <w:color w:val="000000"/>
                <w:szCs w:val="21"/>
                <w:lang w:val="en-US" w:eastAsia="zh-CN"/>
              </w:rPr>
              <w:t>李家壕煤矿</w:t>
            </w:r>
          </w:p>
        </w:tc>
        <w:tc>
          <w:tcPr>
            <w:tcW w:w="675" w:type="dxa"/>
            <w:vAlign w:val="center"/>
          </w:tcPr>
          <w:p w14:paraId="5D04F640">
            <w:pPr>
              <w:spacing w:line="600" w:lineRule="exact"/>
              <w:jc w:val="center"/>
              <w:rPr>
                <w:color w:val="000000"/>
                <w:szCs w:val="21"/>
              </w:rPr>
            </w:pPr>
            <w:r>
              <w:rPr>
                <w:rFonts w:hint="eastAsia"/>
                <w:color w:val="000000"/>
                <w:szCs w:val="21"/>
                <w:lang w:val="en-US" w:eastAsia="zh-CN"/>
              </w:rPr>
              <w:t>内蒙古峰泰环保有限公司</w:t>
            </w:r>
          </w:p>
        </w:tc>
        <w:tc>
          <w:tcPr>
            <w:tcW w:w="2555" w:type="dxa"/>
            <w:vAlign w:val="center"/>
          </w:tcPr>
          <w:p w14:paraId="731FFDFB">
            <w:pPr>
              <w:spacing w:line="360" w:lineRule="auto"/>
              <w:ind w:firstLine="420" w:firstLineChars="200"/>
              <w:rPr>
                <w:rFonts w:hint="default"/>
                <w:color w:val="000000"/>
                <w:szCs w:val="21"/>
                <w:lang w:val="en-US" w:eastAsia="zh-CN"/>
              </w:rPr>
            </w:pPr>
            <w:r>
              <w:rPr>
                <w:rFonts w:hint="default"/>
                <w:color w:val="000000"/>
                <w:szCs w:val="21"/>
                <w:lang w:val="en-US" w:eastAsia="zh-CN"/>
              </w:rPr>
              <w:t>一、该项目属于改扩建项目，位于东胜区罕台镇查干布拉格村李家壕煤矿工业广场内。项目不新增用地，总投资226万元，全部为环保投资。主要建设内容及规模：对现有矿井水处理系统进行改扩建，将预沉调节池中原有二台井下水提升泵（一用一备）扩建为三台（二用一备）；高效澄清池中斜板由100平方米变更为150平方米；2台φ2.8m石英砂过滤器更换为2台φ3.2m，深度处理系统及其他公辅工程和环保工程均依托原有。项目建成后，预处理规模由4500m</w:t>
            </w:r>
            <w:r>
              <w:rPr>
                <w:rFonts w:hint="default"/>
                <w:color w:val="000000"/>
                <w:szCs w:val="21"/>
                <w:vertAlign w:val="superscript"/>
                <w:lang w:val="en-US" w:eastAsia="zh-CN"/>
              </w:rPr>
              <w:t>3</w:t>
            </w:r>
            <w:r>
              <w:rPr>
                <w:rFonts w:hint="default"/>
                <w:color w:val="000000"/>
                <w:szCs w:val="21"/>
                <w:lang w:val="en-US" w:eastAsia="zh-CN"/>
              </w:rPr>
              <w:t>/d提升至6000m</w:t>
            </w:r>
            <w:r>
              <w:rPr>
                <w:rFonts w:hint="default"/>
                <w:color w:val="000000"/>
                <w:szCs w:val="21"/>
                <w:vertAlign w:val="superscript"/>
                <w:lang w:val="en-US" w:eastAsia="zh-CN"/>
              </w:rPr>
              <w:t>3</w:t>
            </w:r>
            <w:r>
              <w:rPr>
                <w:rFonts w:hint="default"/>
                <w:color w:val="000000"/>
                <w:szCs w:val="21"/>
                <w:lang w:val="en-US" w:eastAsia="zh-CN"/>
              </w:rPr>
              <w:t>/d，深度处理规模不变，仍为2000m</w:t>
            </w:r>
            <w:r>
              <w:rPr>
                <w:rFonts w:hint="default"/>
                <w:color w:val="000000"/>
                <w:szCs w:val="21"/>
                <w:vertAlign w:val="superscript"/>
                <w:lang w:val="en-US" w:eastAsia="zh-CN"/>
              </w:rPr>
              <w:t>3</w:t>
            </w:r>
            <w:r>
              <w:rPr>
                <w:rFonts w:hint="default"/>
                <w:color w:val="000000"/>
                <w:szCs w:val="21"/>
                <w:lang w:val="en-US" w:eastAsia="zh-CN"/>
              </w:rPr>
              <w:t>/d。</w:t>
            </w:r>
          </w:p>
          <w:p w14:paraId="6105B59A">
            <w:pPr>
              <w:spacing w:line="360" w:lineRule="auto"/>
              <w:ind w:firstLine="420" w:firstLineChars="200"/>
              <w:rPr>
                <w:rFonts w:hint="default"/>
                <w:color w:val="000000"/>
                <w:szCs w:val="21"/>
                <w:lang w:val="en-US" w:eastAsia="zh-CN"/>
              </w:rPr>
            </w:pPr>
          </w:p>
          <w:p w14:paraId="1C62A9FF">
            <w:pPr>
              <w:spacing w:line="360" w:lineRule="auto"/>
              <w:ind w:firstLine="420" w:firstLineChars="200"/>
              <w:rPr>
                <w:color w:val="000000"/>
                <w:szCs w:val="21"/>
              </w:rPr>
            </w:pPr>
          </w:p>
        </w:tc>
        <w:tc>
          <w:tcPr>
            <w:tcW w:w="4877" w:type="dxa"/>
            <w:vAlign w:val="center"/>
          </w:tcPr>
          <w:p w14:paraId="409B1422">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5F46E113">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667EFFFB">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436E5E69">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w:t>
            </w:r>
            <w:r>
              <w:rPr>
                <w:rFonts w:hint="eastAsia"/>
                <w:color w:val="000000"/>
                <w:szCs w:val="21"/>
                <w:lang w:eastAsia="zh-CN"/>
              </w:rPr>
              <w:t>。</w:t>
            </w:r>
            <w:r>
              <w:rPr>
                <w:rFonts w:hint="eastAsia"/>
                <w:color w:val="000000"/>
                <w:szCs w:val="21"/>
              </w:rPr>
              <w:t>施工期大气污染物排放执行《大气污染物综合排放标准》（GB16297-1996）表2中无组织排放监控浓度限值。</w:t>
            </w:r>
          </w:p>
          <w:p w14:paraId="109BD1B3">
            <w:pPr>
              <w:spacing w:line="360" w:lineRule="auto"/>
              <w:jc w:val="left"/>
              <w:rPr>
                <w:rFonts w:hint="eastAsia"/>
                <w:color w:val="000000"/>
                <w:szCs w:val="21"/>
                <w:lang w:val="en-US" w:eastAsia="zh-CN"/>
              </w:rPr>
            </w:pPr>
            <w:r>
              <w:rPr>
                <w:rFonts w:hint="eastAsia"/>
                <w:color w:val="000000"/>
                <w:szCs w:val="21"/>
                <w:lang w:val="en-US" w:eastAsia="zh-CN"/>
              </w:rPr>
              <w:t>2、施工人员生活污水依托现有污水处理设施处理。</w:t>
            </w:r>
          </w:p>
          <w:p w14:paraId="7D427FEE">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3C086417">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60D4FD29">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4C4C1B9F">
            <w:pPr>
              <w:spacing w:line="360" w:lineRule="auto"/>
              <w:jc w:val="left"/>
              <w:rPr>
                <w:rFonts w:hint="eastAsia"/>
                <w:color w:val="000000"/>
                <w:szCs w:val="21"/>
                <w:lang w:val="en-US" w:eastAsia="zh-CN"/>
              </w:rPr>
            </w:pPr>
            <w:r>
              <w:rPr>
                <w:rFonts w:hint="eastAsia"/>
                <w:color w:val="000000"/>
                <w:szCs w:val="21"/>
                <w:lang w:val="en-US" w:eastAsia="zh-CN"/>
              </w:rPr>
              <w:t>1、大气污染防治措施。本项目采用“调节池+高效澄清池混凝沉淀+石英砂过滤器过滤+超滤+反渗透”处理工艺，改造后的工艺无生化处理过程，故运营期不产生废气。</w:t>
            </w:r>
          </w:p>
          <w:p w14:paraId="12E6BC0D">
            <w:pPr>
              <w:spacing w:line="360" w:lineRule="auto"/>
              <w:jc w:val="left"/>
              <w:rPr>
                <w:rFonts w:hint="eastAsia"/>
                <w:color w:val="000000"/>
                <w:szCs w:val="21"/>
                <w:lang w:val="en-US" w:eastAsia="zh-CN"/>
              </w:rPr>
            </w:pPr>
            <w:r>
              <w:rPr>
                <w:rFonts w:hint="eastAsia"/>
                <w:color w:val="000000"/>
                <w:szCs w:val="21"/>
                <w:lang w:val="en-US" w:eastAsia="zh-CN"/>
              </w:rPr>
              <w:t>2、水污染防治措施。运营期不新增生活污水。反冲洗废水返回调节池与矿井水一起经预处理系统处理，满足《煤炭工业污染物排放标准》（GB20426-2006）排放限值和《城市污水再生利用 城市杂用水水质》（GB/T18920-2020）中城市绿化和道路清扫用水水质标准后，部分回用于李家壕煤矿井下消防、抑尘用水、李家壕选煤厂生产用水、黄泥灌浆用水、道路洒水抑尘用水、厂区内绿化用水、复垦区绿化用水，不外排；剩余部分经深度处理系统处理后满足《地表水环境质量标准》（GB3838-2002）Ⅲ 类标准限值，用于锅炉用水、冲厕用水、金乌嵘鼎洗煤厂洗煤用水、鄂尔多斯市律艺园林工程有限责任公司城区绿化用水。反渗透装置产生的浓水暂存于现有浓水池后，部分用于李家壕洗煤厂储煤棚抑尘用水、剩余部分由罐车拉运至内蒙古久科康瑞环保科技有限公司处理。</w:t>
            </w:r>
          </w:p>
          <w:p w14:paraId="20AFE18A">
            <w:pPr>
              <w:spacing w:line="360" w:lineRule="auto"/>
              <w:jc w:val="left"/>
              <w:rPr>
                <w:rFonts w:hint="eastAsia"/>
                <w:color w:val="000000"/>
                <w:szCs w:val="21"/>
              </w:rPr>
            </w:pPr>
            <w:r>
              <w:rPr>
                <w:rFonts w:hint="eastAsia"/>
                <w:color w:val="000000"/>
                <w:szCs w:val="21"/>
                <w:lang w:val="en-US" w:eastAsia="zh-CN"/>
              </w:rPr>
              <w:t>3、噪声污染防治措施。通过采取选用低噪声设备、厂房隔声、基础减振等措施，确保</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14:paraId="629327FE">
            <w:pPr>
              <w:spacing w:line="360" w:lineRule="auto"/>
              <w:jc w:val="left"/>
              <w:rPr>
                <w:rFonts w:hint="eastAsia"/>
                <w:color w:val="000000"/>
                <w:szCs w:val="21"/>
                <w:lang w:val="en-US" w:eastAsia="zh-CN"/>
              </w:rPr>
            </w:pPr>
            <w:r>
              <w:rPr>
                <w:rFonts w:hint="eastAsia"/>
                <w:color w:val="000000"/>
                <w:szCs w:val="21"/>
                <w:lang w:val="en-US" w:eastAsia="zh-CN"/>
              </w:rPr>
              <w:t>4、固废污染防治措施。妥善处置各类固体废弃物。建设单位须严格按照《一般工业固体废物贮存和填埋污染控制标准》（GB18599-2020）处置一般固废，不得乱弃。</w:t>
            </w:r>
          </w:p>
          <w:p w14:paraId="39F55DF3">
            <w:pPr>
              <w:spacing w:line="360" w:lineRule="auto"/>
              <w:jc w:val="left"/>
              <w:rPr>
                <w:rFonts w:hint="eastAsia"/>
                <w:color w:val="000000"/>
                <w:szCs w:val="21"/>
              </w:rPr>
            </w:pPr>
            <w:r>
              <w:rPr>
                <w:rFonts w:hint="eastAsia"/>
                <w:color w:val="000000"/>
                <w:szCs w:val="21"/>
                <w:lang w:val="en-US" w:eastAsia="zh-CN"/>
              </w:rPr>
              <w:t>5、强化环境风险防范，制定突发环境事件应急预案，落实环境风险事故防范措施，提高事故风险防范和污染控制能力。</w:t>
            </w:r>
          </w:p>
          <w:p w14:paraId="40FE2DE2">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5795EC92">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1999A394">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bookmarkStart w:id="0" w:name="_GoBack"/>
            <w:bookmarkEnd w:id="0"/>
            <w:r>
              <w:rPr>
                <w:rFonts w:hint="eastAsia"/>
                <w:color w:val="000000"/>
                <w:szCs w:val="21"/>
              </w:rPr>
              <w:t xml:space="preserve">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EDD74A0"/>
    <w:rsid w:val="23022A8E"/>
    <w:rsid w:val="30463BE9"/>
    <w:rsid w:val="3E062DA7"/>
    <w:rsid w:val="430F14CF"/>
    <w:rsid w:val="43DC2BDE"/>
    <w:rsid w:val="44A80449"/>
    <w:rsid w:val="497150DD"/>
    <w:rsid w:val="49D847BF"/>
    <w:rsid w:val="4A7E49A9"/>
    <w:rsid w:val="4AD11E12"/>
    <w:rsid w:val="4DE41872"/>
    <w:rsid w:val="54973A8B"/>
    <w:rsid w:val="59565E50"/>
    <w:rsid w:val="5C2E4690"/>
    <w:rsid w:val="5E371149"/>
    <w:rsid w:val="641136E8"/>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样式"/>
    <w:basedOn w:val="1"/>
    <w:qFormat/>
    <w:uiPriority w:val="0"/>
    <w:pPr>
      <w:spacing w:line="520" w:lineRule="exact"/>
      <w:ind w:firstLine="562"/>
    </w:pPr>
    <w:rPr>
      <w:rFonts w:cs="宋体"/>
      <w:sz w:val="28"/>
      <w:szCs w:val="28"/>
    </w:rPr>
  </w:style>
  <w:style w:type="paragraph" w:styleId="3">
    <w:name w:val="Normal Indent"/>
    <w:basedOn w:val="1"/>
    <w:next w:val="4"/>
    <w:autoRedefine/>
    <w:semiHidden/>
    <w:unhideWhenUsed/>
    <w:qFormat/>
    <w:uiPriority w:val="99"/>
    <w:pPr>
      <w:ind w:firstLine="420" w:firstLineChars="200"/>
    </w:pPr>
  </w:style>
  <w:style w:type="paragraph" w:styleId="4">
    <w:name w:val="table of figures"/>
    <w:basedOn w:val="1"/>
    <w:next w:val="1"/>
    <w:qFormat/>
    <w:uiPriority w:val="0"/>
    <w:pPr>
      <w:ind w:left="200" w:leftChars="200" w:hanging="200" w:hangingChars="200"/>
    </w:pPr>
  </w:style>
  <w:style w:type="paragraph" w:styleId="5">
    <w:name w:val="annotation text"/>
    <w:basedOn w:val="1"/>
    <w:next w:val="1"/>
    <w:qFormat/>
    <w:uiPriority w:val="0"/>
    <w:pPr>
      <w:jc w:val="left"/>
    </w:pPr>
  </w:style>
  <w:style w:type="paragraph" w:styleId="6">
    <w:name w:val="Body Text"/>
    <w:basedOn w:val="1"/>
    <w:qFormat/>
    <w:uiPriority w:val="99"/>
    <w:pPr>
      <w:spacing w:after="120"/>
    </w:pPr>
    <w:rPr>
      <w:rFonts w:ascii="Calibri" w:hAnsi="Calibri"/>
      <w:szCs w:val="22"/>
    </w:rPr>
  </w:style>
  <w:style w:type="paragraph" w:styleId="7">
    <w:name w:val="Body Text Indent"/>
    <w:basedOn w:val="1"/>
    <w:qFormat/>
    <w:uiPriority w:val="99"/>
    <w:pPr>
      <w:ind w:left="420" w:leftChars="200"/>
    </w:pPr>
  </w:style>
  <w:style w:type="paragraph" w:styleId="8">
    <w:name w:val="footer"/>
    <w:basedOn w:val="1"/>
    <w:link w:val="2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20"/>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toc 2"/>
    <w:basedOn w:val="1"/>
    <w:next w:val="1"/>
    <w:unhideWhenUsed/>
    <w:qFormat/>
    <w:uiPriority w:val="39"/>
    <w:pPr>
      <w:ind w:left="420" w:leftChars="200"/>
    </w:pPr>
  </w:style>
  <w:style w:type="paragraph" w:styleId="11">
    <w:name w:val="Body Text 2"/>
    <w:basedOn w:val="1"/>
    <w:next w:val="1"/>
    <w:qFormat/>
    <w:uiPriority w:val="0"/>
    <w:pPr>
      <w:spacing w:after="120" w:line="480" w:lineRule="auto"/>
    </w:pPr>
  </w:style>
  <w:style w:type="paragraph" w:styleId="12">
    <w:name w:val="Body Text First Indent 2"/>
    <w:basedOn w:val="7"/>
    <w:next w:val="1"/>
    <w:qFormat/>
    <w:uiPriority w:val="99"/>
    <w:pPr>
      <w:spacing w:line="240" w:lineRule="auto"/>
      <w:ind w:firstLine="420"/>
    </w:pPr>
  </w:style>
  <w:style w:type="paragraph" w:customStyle="1" w:styleId="15">
    <w:name w:val="xl27"/>
    <w:basedOn w:val="1"/>
    <w:next w:val="5"/>
    <w:qFormat/>
    <w:uiPriority w:val="0"/>
    <w:pPr>
      <w:widowControl/>
      <w:spacing w:before="280" w:after="280"/>
      <w:jc w:val="center"/>
    </w:pPr>
    <w:rPr>
      <w:rFonts w:hAnsi="宋体" w:cs="宋体"/>
    </w:rPr>
  </w:style>
  <w:style w:type="paragraph" w:customStyle="1" w:styleId="16">
    <w:name w:val="Default"/>
    <w:basedOn w:val="17"/>
    <w:next w:val="18"/>
    <w:qFormat/>
    <w:uiPriority w:val="0"/>
    <w:pPr>
      <w:adjustRightInd w:val="0"/>
    </w:pPr>
    <w:rPr>
      <w:rFonts w:ascii="宋体" w:cs="宋体"/>
      <w:color w:val="000000"/>
      <w:sz w:val="24"/>
      <w:lang w:val="en-US"/>
    </w:rPr>
  </w:style>
  <w:style w:type="paragraph" w:customStyle="1" w:styleId="17">
    <w:name w:val="文本"/>
    <w:basedOn w:val="1"/>
    <w:next w:val="1"/>
    <w:qFormat/>
    <w:uiPriority w:val="0"/>
    <w:pPr>
      <w:autoSpaceDE w:val="0"/>
      <w:autoSpaceDN w:val="0"/>
      <w:ind w:firstLine="480"/>
    </w:pPr>
    <w:rPr>
      <w:lang w:val="zh-CN"/>
    </w:rPr>
  </w:style>
  <w:style w:type="paragraph" w:customStyle="1" w:styleId="18">
    <w:name w:val="表格文字"/>
    <w:basedOn w:val="6"/>
    <w:next w:val="1"/>
    <w:qFormat/>
    <w:uiPriority w:val="0"/>
    <w:pPr>
      <w:jc w:val="center"/>
    </w:pPr>
    <w:rPr>
      <w:rFonts w:ascii="Arial Narrow" w:hAnsi="Arial Narrow" w:eastAsia="汉鼎简书宋"/>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页眉 字符"/>
    <w:basedOn w:val="14"/>
    <w:link w:val="9"/>
    <w:autoRedefine/>
    <w:qFormat/>
    <w:uiPriority w:val="99"/>
    <w:rPr>
      <w:sz w:val="18"/>
      <w:szCs w:val="18"/>
    </w:rPr>
  </w:style>
  <w:style w:type="character" w:customStyle="1" w:styleId="21">
    <w:name w:val="页脚 字符"/>
    <w:basedOn w:val="14"/>
    <w:link w:val="8"/>
    <w:autoRedefine/>
    <w:qFormat/>
    <w:uiPriority w:val="99"/>
    <w:rPr>
      <w:sz w:val="18"/>
      <w:szCs w:val="18"/>
    </w:rPr>
  </w:style>
  <w:style w:type="character" w:customStyle="1" w:styleId="22">
    <w:name w:val="NormalCharacter"/>
    <w:autoRedefine/>
    <w:semiHidden/>
    <w:qFormat/>
    <w:uiPriority w:val="99"/>
  </w:style>
  <w:style w:type="paragraph" w:customStyle="1" w:styleId="23">
    <w:name w:val="图表"/>
    <w:basedOn w:val="7"/>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4">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5">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1698</Words>
  <Characters>1790</Characters>
  <Lines>11</Lines>
  <Paragraphs>3</Paragraphs>
  <TotalTime>3</TotalTime>
  <ScaleCrop>false</ScaleCrop>
  <LinksUpToDate>false</LinksUpToDate>
  <CharactersWithSpaces>1843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2025-11-28T08:36:22Z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