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eastAsia="宋体"/>
                <w:color w:val="000000"/>
                <w:szCs w:val="21"/>
                <w:lang w:val="en-US" w:eastAsia="zh-CN"/>
              </w:rPr>
              <w:t>东胜区东康快速路至布日都梁连接线工程</w:t>
            </w:r>
          </w:p>
        </w:tc>
        <w:tc>
          <w:tcPr>
            <w:tcW w:w="397" w:type="dxa"/>
            <w:vAlign w:val="center"/>
          </w:tcPr>
          <w:p w14:paraId="086DDD41">
            <w:pPr>
              <w:spacing w:line="600" w:lineRule="exact"/>
              <w:jc w:val="center"/>
              <w:rPr>
                <w:color w:val="000000"/>
                <w:szCs w:val="21"/>
              </w:rPr>
            </w:pPr>
            <w:r>
              <w:rPr>
                <w:rFonts w:hint="default" w:eastAsia="宋体"/>
                <w:color w:val="000000"/>
                <w:szCs w:val="21"/>
                <w:lang w:val="en-US" w:eastAsia="zh-CN"/>
              </w:rPr>
              <w:t>内蒙古自治区鄂尔多斯市东胜区布日都梁村</w:t>
            </w:r>
          </w:p>
        </w:tc>
        <w:tc>
          <w:tcPr>
            <w:tcW w:w="465" w:type="dxa"/>
            <w:vAlign w:val="center"/>
          </w:tcPr>
          <w:p w14:paraId="25BCC080">
            <w:pPr>
              <w:spacing w:line="600" w:lineRule="exact"/>
              <w:jc w:val="center"/>
              <w:rPr>
                <w:color w:val="000000"/>
                <w:szCs w:val="21"/>
              </w:rPr>
            </w:pPr>
            <w:r>
              <w:rPr>
                <w:rFonts w:hint="eastAsia" w:eastAsia="宋体"/>
                <w:color w:val="000000"/>
                <w:szCs w:val="21"/>
                <w:lang w:val="en-US" w:eastAsia="zh-CN"/>
              </w:rPr>
              <w:t>鄂尔多斯市东胜区交通运输局</w:t>
            </w:r>
          </w:p>
        </w:tc>
        <w:tc>
          <w:tcPr>
            <w:tcW w:w="675" w:type="dxa"/>
            <w:vAlign w:val="center"/>
          </w:tcPr>
          <w:p w14:paraId="5D04F640">
            <w:pPr>
              <w:spacing w:line="600" w:lineRule="exact"/>
              <w:jc w:val="center"/>
              <w:rPr>
                <w:color w:val="000000"/>
                <w:szCs w:val="21"/>
              </w:rPr>
            </w:pPr>
            <w:r>
              <w:rPr>
                <w:rFonts w:hint="eastAsia"/>
                <w:color w:val="000000"/>
                <w:szCs w:val="21"/>
                <w:lang w:val="en-US" w:eastAsia="zh-CN"/>
              </w:rPr>
              <w:t>内蒙古中政国环工程顾问有限公司</w:t>
            </w:r>
          </w:p>
        </w:tc>
        <w:tc>
          <w:tcPr>
            <w:tcW w:w="2555" w:type="dxa"/>
            <w:vAlign w:val="center"/>
          </w:tcPr>
          <w:p w14:paraId="0A23DF94">
            <w:pPr>
              <w:spacing w:line="360" w:lineRule="auto"/>
              <w:ind w:firstLine="420" w:firstLineChars="200"/>
              <w:rPr>
                <w:rFonts w:hint="default"/>
                <w:color w:val="000000"/>
                <w:szCs w:val="21"/>
                <w:lang w:val="en-US" w:eastAsia="zh-CN"/>
              </w:rPr>
            </w:pPr>
            <w:r>
              <w:rPr>
                <w:rFonts w:hint="default"/>
                <w:color w:val="000000"/>
                <w:szCs w:val="21"/>
                <w:lang w:val="en-US" w:eastAsia="zh-CN"/>
              </w:rPr>
              <w:t>一、该项目属于新建项目，位于东胜区布日都梁村。项目总占地面积184800平方米，其中永久占地137600平方米，临时占地47200平方米；总投资6002.19万元，其中环保投资175万元。主要建设内容：本工程建设公路全长合计7.01千米，包含13条道路，分别为世纪大道南北线、NW匝道、WS匝道、WN匝道、SW匝道、连接线1~6和改路，其中世纪大道南北线、NW匝道、WS匝道、WN匝道、SW匝道按照三级公路标准设计，连接线1~6和改路按照四级公路标准设计，并配套建设桥梁工程、排水防护工程、照明工程、环保工程及施工期临时工程等。项目建成后，本工程与东康快速路、世纪大道立交形成互通。</w:t>
            </w:r>
          </w:p>
          <w:p w14:paraId="119FFEDF">
            <w:pPr>
              <w:spacing w:line="360" w:lineRule="auto"/>
              <w:ind w:firstLine="420" w:firstLineChars="200"/>
              <w:rPr>
                <w:rFonts w:hint="default"/>
                <w:color w:val="000000"/>
                <w:szCs w:val="21"/>
                <w:lang w:val="en-US" w:eastAsia="zh-CN"/>
              </w:rPr>
            </w:pPr>
          </w:p>
          <w:p w14:paraId="1C62A9FF">
            <w:pPr>
              <w:spacing w:line="360" w:lineRule="auto"/>
              <w:ind w:firstLine="420" w:firstLineChars="200"/>
              <w:rPr>
                <w:color w:val="000000"/>
                <w:szCs w:val="21"/>
              </w:rPr>
            </w:pPr>
          </w:p>
        </w:tc>
        <w:tc>
          <w:tcPr>
            <w:tcW w:w="4877" w:type="dxa"/>
            <w:vAlign w:val="center"/>
          </w:tcPr>
          <w:p w14:paraId="4AEF177C">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C4C15B5">
            <w:pPr>
              <w:spacing w:line="360" w:lineRule="auto"/>
              <w:jc w:val="left"/>
              <w:rPr>
                <w:rFonts w:hint="eastAsia"/>
                <w:color w:val="000000"/>
                <w:szCs w:val="21"/>
                <w:lang w:val="en-US" w:eastAsia="zh-CN"/>
              </w:rPr>
            </w:pPr>
            <w:r>
              <w:rPr>
                <w:rFonts w:hint="eastAsia"/>
                <w:color w:val="000000"/>
                <w:szCs w:val="21"/>
                <w:lang w:val="en-US" w:eastAsia="zh-CN"/>
              </w:rPr>
              <w:t>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184789A2">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0B1FBCDE">
            <w:pPr>
              <w:spacing w:line="360" w:lineRule="auto"/>
              <w:jc w:val="left"/>
              <w:rPr>
                <w:rFonts w:hint="eastAsia"/>
                <w:color w:val="000000"/>
                <w:szCs w:val="21"/>
                <w:lang w:val="en-US" w:eastAsia="zh-CN"/>
              </w:rPr>
            </w:pPr>
            <w:r>
              <w:rPr>
                <w:rFonts w:hint="eastAsia"/>
                <w:color w:val="000000"/>
                <w:szCs w:val="21"/>
                <w:lang w:val="en-US" w:eastAsia="zh-CN"/>
              </w:rPr>
              <w:t>1、加强施工期环境管理，配备足够的洒水车、篷布等防尘设备，有效控制施工期挖土、物料装卸、物料运输过程中产生的扬尘污染。路面施工时应采用沥青洒布车，沥青摊铺时宜选择大气扩散条件好的时段，减轻摊铺对道路两侧敏感点的影响。施工期大气污染物排放执行《大气污染物综合排放标准》（GB16297-1996）表2中无组织排放监控浓度限值。</w:t>
            </w:r>
          </w:p>
          <w:p w14:paraId="7831E606">
            <w:pPr>
              <w:spacing w:line="360" w:lineRule="auto"/>
              <w:jc w:val="left"/>
              <w:rPr>
                <w:rFonts w:hint="eastAsia"/>
                <w:color w:val="000000"/>
                <w:szCs w:val="21"/>
                <w:lang w:val="en-US" w:eastAsia="zh-CN"/>
              </w:rPr>
            </w:pPr>
            <w:r>
              <w:rPr>
                <w:rFonts w:hint="eastAsia"/>
                <w:color w:val="000000"/>
                <w:szCs w:val="21"/>
                <w:lang w:val="en-US" w:eastAsia="zh-CN"/>
              </w:rPr>
              <w:t>2、施工生产废水经临时沉淀池沉淀后用于洒水抑尘，不外排。施工人员生活污水依托附近公共卫生间。</w:t>
            </w:r>
          </w:p>
          <w:p w14:paraId="4E209F04">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w:t>
            </w:r>
            <w:r>
              <w:rPr>
                <w:rFonts w:hint="eastAsia"/>
                <w:color w:val="000000"/>
                <w:szCs w:val="21"/>
              </w:rPr>
              <w:t>避免噪声扰民</w:t>
            </w:r>
            <w:r>
              <w:rPr>
                <w:rFonts w:hint="eastAsia"/>
                <w:color w:val="000000"/>
                <w:szCs w:val="21"/>
                <w:lang w:val="en-US" w:eastAsia="zh-CN"/>
              </w:rPr>
              <w:t>。运输车辆路过敏感点时应减速慢行，禁止鸣笛。在敏感点附近的施工场界外设置声屏障。施工期噪声执行《建筑施工场界环境噪声排放标准》（GB12523-2011）。</w:t>
            </w:r>
          </w:p>
          <w:p w14:paraId="738FD46C">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4、妥善处置各类固体废弃物。建筑垃圾送至建筑垃圾处理场进行处置。生活垃圾集中收集，定期交由环卫部门统一处置。一般工业固体废弃物执行《一般工业固体废物贮存和填埋污染控制标准》（GB18599-2020）。</w:t>
            </w:r>
          </w:p>
          <w:p w14:paraId="4321CAC7">
            <w:pPr>
              <w:spacing w:line="360" w:lineRule="auto"/>
              <w:jc w:val="left"/>
              <w:rPr>
                <w:rFonts w:hint="eastAsia"/>
                <w:color w:val="000000"/>
                <w:szCs w:val="21"/>
                <w:lang w:val="en-US" w:eastAsia="zh-CN"/>
              </w:rPr>
            </w:pPr>
            <w:r>
              <w:rPr>
                <w:rFonts w:hint="eastAsia"/>
                <w:color w:val="000000"/>
                <w:szCs w:val="21"/>
                <w:lang w:val="en-US" w:eastAsia="zh-CN"/>
              </w:rPr>
              <w:t>5、</w:t>
            </w:r>
            <w:r>
              <w:rPr>
                <w:rFonts w:hint="eastAsia"/>
                <w:color w:val="000000"/>
                <w:szCs w:val="21"/>
                <w:lang w:eastAsia="zh-CN"/>
              </w:rPr>
              <w:t>加强施工期生态保护和污染防治。</w:t>
            </w:r>
            <w:r>
              <w:rPr>
                <w:rFonts w:hint="eastAsia"/>
                <w:color w:val="000000"/>
                <w:szCs w:val="21"/>
              </w:rPr>
              <w:t>土石</w:t>
            </w:r>
            <w:r>
              <w:rPr>
                <w:rFonts w:hint="eastAsia"/>
                <w:color w:val="000000"/>
                <w:szCs w:val="21"/>
                <w:lang w:val="en-US" w:eastAsia="zh-CN"/>
              </w:rPr>
              <w:t>方开挖过程中应严格按照设计要求施工，尽可能缩小施工活动范围。表土方与弃土方分开放置，表土用于道路边坡防护和临时工程生态恢复时的绿化覆土；弃土部分用于场地平整回填，部分用于弃土场裸土地的整治。合理安排施工工序，分期、分段施工，</w:t>
            </w:r>
            <w:r>
              <w:rPr>
                <w:rFonts w:hint="eastAsia"/>
                <w:color w:val="000000"/>
                <w:szCs w:val="21"/>
              </w:rPr>
              <w:t>减少对植被和土壤的破坏</w:t>
            </w:r>
            <w:r>
              <w:rPr>
                <w:rFonts w:hint="eastAsia"/>
                <w:color w:val="000000"/>
                <w:szCs w:val="21"/>
                <w:lang w:eastAsia="zh-CN"/>
              </w:rPr>
              <w:t>，防止水土流失，减小对生态环境的影响。</w:t>
            </w:r>
            <w:r>
              <w:rPr>
                <w:rFonts w:hint="eastAsia"/>
                <w:color w:val="000000"/>
                <w:szCs w:val="21"/>
                <w:lang w:val="en-US" w:eastAsia="zh-CN"/>
              </w:rPr>
              <w:t xml:space="preserve">施工结束及时进行土地整治，恢复地表原有植被。  </w:t>
            </w:r>
          </w:p>
          <w:p w14:paraId="3765CDCD">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2B9DEBF5">
            <w:pPr>
              <w:spacing w:line="360" w:lineRule="auto"/>
              <w:jc w:val="left"/>
              <w:rPr>
                <w:rFonts w:hint="eastAsia"/>
                <w:color w:val="000000"/>
                <w:szCs w:val="21"/>
                <w:lang w:val="en-US" w:eastAsia="zh-CN"/>
              </w:rPr>
            </w:pPr>
            <w:r>
              <w:rPr>
                <w:rFonts w:hint="eastAsia"/>
                <w:color w:val="000000"/>
                <w:szCs w:val="21"/>
                <w:lang w:val="en-US" w:eastAsia="zh-CN"/>
              </w:rPr>
              <w:t>1、运营期应加强路面、交通设施的养护管理，保障道路畅通，提升道路的整体服务水平，使行驶的机动车保持良好的工况从而减少污染物排放。</w:t>
            </w:r>
          </w:p>
          <w:p w14:paraId="574FB8AE">
            <w:pPr>
              <w:spacing w:line="360" w:lineRule="auto"/>
              <w:jc w:val="left"/>
              <w:rPr>
                <w:rFonts w:hint="eastAsia"/>
                <w:color w:val="000000"/>
                <w:szCs w:val="21"/>
                <w:lang w:val="en-US" w:eastAsia="zh-CN"/>
              </w:rPr>
            </w:pPr>
            <w:r>
              <w:rPr>
                <w:rFonts w:hint="eastAsia"/>
                <w:color w:val="000000"/>
                <w:szCs w:val="21"/>
                <w:lang w:val="en-US" w:eastAsia="zh-CN"/>
              </w:rPr>
              <w:t>2、运营期应定期检查清理道路的雨水排水系统，做好排水系统的维护保养，保证排水畅通。</w:t>
            </w:r>
          </w:p>
          <w:p w14:paraId="03BB9ECD">
            <w:pPr>
              <w:spacing w:line="360" w:lineRule="auto"/>
              <w:jc w:val="left"/>
              <w:rPr>
                <w:rFonts w:hint="eastAsia"/>
                <w:color w:val="000000"/>
                <w:szCs w:val="21"/>
                <w:lang w:val="en-US" w:eastAsia="zh-CN"/>
              </w:rPr>
            </w:pPr>
            <w:r>
              <w:rPr>
                <w:rFonts w:hint="eastAsia"/>
                <w:color w:val="000000"/>
                <w:szCs w:val="21"/>
                <w:lang w:val="en-US" w:eastAsia="zh-CN"/>
              </w:rPr>
              <w:t>3、运营期应采取妥善措施，控制噪声污染，确保监所行政楼敏感点噪声满足《声环境质量标准》（GB3096-2008）中4a类标准，其他敏感点噪声满足《声环境质量标准》（GB3096-2008）中1类标准。</w:t>
            </w:r>
          </w:p>
          <w:p w14:paraId="78EF8882">
            <w:pPr>
              <w:spacing w:line="360" w:lineRule="auto"/>
              <w:jc w:val="left"/>
              <w:rPr>
                <w:rFonts w:hint="eastAsia"/>
                <w:color w:val="000000"/>
                <w:szCs w:val="21"/>
                <w:lang w:val="en-US" w:eastAsia="zh-CN"/>
              </w:rPr>
            </w:pPr>
            <w:r>
              <w:rPr>
                <w:rFonts w:hint="eastAsia"/>
                <w:color w:val="000000"/>
                <w:szCs w:val="21"/>
                <w:lang w:val="en-US" w:eastAsia="zh-CN"/>
              </w:rPr>
              <w:t>4、运营期应对路基边坡和临时占地内种植的植物及时补种，加强公路沿线绿化工程的养护。</w:t>
            </w:r>
          </w:p>
          <w:p w14:paraId="7B93BD90">
            <w:pPr>
              <w:spacing w:line="360" w:lineRule="auto"/>
              <w:jc w:val="left"/>
              <w:rPr>
                <w:rFonts w:hint="eastAsia"/>
                <w:color w:val="000000"/>
                <w:szCs w:val="21"/>
                <w:lang w:val="en-US" w:eastAsia="zh-CN"/>
              </w:rPr>
            </w:pPr>
            <w:r>
              <w:rPr>
                <w:rFonts w:hint="eastAsia"/>
                <w:color w:val="000000"/>
                <w:szCs w:val="21"/>
                <w:lang w:val="en-US" w:eastAsia="zh-CN"/>
              </w:rPr>
              <w:t>5、强化环境风险防范，制定突发环境事件应急预案，落实环境风险事故防范措施，提高事故风险防范和污染控制能力。</w:t>
            </w:r>
          </w:p>
          <w:p w14:paraId="65599414">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6E448654">
            <w:pPr>
              <w:spacing w:line="360" w:lineRule="auto"/>
              <w:jc w:val="left"/>
              <w:rPr>
                <w:rFonts w:hint="eastAsia"/>
                <w:color w:val="000000"/>
                <w:szCs w:val="21"/>
              </w:rPr>
            </w:pPr>
            <w:r>
              <w:rPr>
                <w:rFonts w:hint="eastAsia"/>
                <w:color w:val="000000"/>
                <w:szCs w:val="21"/>
                <w:lang w:val="en-US" w:eastAsia="zh-CN"/>
              </w:rPr>
              <w:t>四、</w:t>
            </w:r>
            <w:bookmarkStart w:id="0" w:name="_GoBack"/>
            <w:bookmarkEnd w:id="0"/>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443C4D69">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六、</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EDD74A0"/>
    <w:rsid w:val="23022A8E"/>
    <w:rsid w:val="30463BE9"/>
    <w:rsid w:val="3E062DA7"/>
    <w:rsid w:val="430F14CF"/>
    <w:rsid w:val="43DC2BDE"/>
    <w:rsid w:val="44A80449"/>
    <w:rsid w:val="497150DD"/>
    <w:rsid w:val="49D847BF"/>
    <w:rsid w:val="4A7E49A9"/>
    <w:rsid w:val="4AD11E12"/>
    <w:rsid w:val="4DE41872"/>
    <w:rsid w:val="54973A8B"/>
    <w:rsid w:val="59565E50"/>
    <w:rsid w:val="5E371149"/>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spacing w:line="520" w:lineRule="exact"/>
      <w:ind w:firstLine="562"/>
    </w:pPr>
    <w:rPr>
      <w:rFonts w:cs="宋体"/>
      <w:sz w:val="28"/>
      <w:szCs w:val="28"/>
    </w:rPr>
  </w:style>
  <w:style w:type="paragraph" w:styleId="3">
    <w:name w:val="Normal Indent"/>
    <w:basedOn w:val="1"/>
    <w:next w:val="4"/>
    <w:autoRedefine/>
    <w:semiHidden/>
    <w:unhideWhenUsed/>
    <w:qFormat/>
    <w:uiPriority w:val="99"/>
    <w:pPr>
      <w:ind w:firstLine="420" w:firstLineChars="200"/>
    </w:pPr>
  </w:style>
  <w:style w:type="paragraph" w:styleId="4">
    <w:name w:val="table of figures"/>
    <w:basedOn w:val="1"/>
    <w:next w:val="1"/>
    <w:qFormat/>
    <w:uiPriority w:val="0"/>
    <w:pPr>
      <w:ind w:left="200" w:leftChars="200" w:hanging="200" w:hangingChars="200"/>
    </w:pPr>
  </w:style>
  <w:style w:type="paragraph" w:styleId="5">
    <w:name w:val="annotation text"/>
    <w:basedOn w:val="1"/>
    <w:next w:val="1"/>
    <w:qFormat/>
    <w:uiPriority w:val="0"/>
    <w:pPr>
      <w:jc w:val="left"/>
    </w:pPr>
  </w:style>
  <w:style w:type="paragraph" w:styleId="6">
    <w:name w:val="Body Text"/>
    <w:basedOn w:val="1"/>
    <w:qFormat/>
    <w:uiPriority w:val="99"/>
    <w:pPr>
      <w:spacing w:after="120"/>
    </w:pPr>
    <w:rPr>
      <w:rFonts w:ascii="Calibri" w:hAnsi="Calibri"/>
      <w:szCs w:val="22"/>
    </w:rPr>
  </w:style>
  <w:style w:type="paragraph" w:styleId="7">
    <w:name w:val="Body Text Indent"/>
    <w:basedOn w:val="1"/>
    <w:qFormat/>
    <w:uiPriority w:val="99"/>
    <w:pPr>
      <w:ind w:left="420" w:leftChars="200"/>
    </w:pPr>
  </w:style>
  <w:style w:type="paragraph" w:styleId="8">
    <w:name w:val="footer"/>
    <w:basedOn w:val="1"/>
    <w:link w:val="2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9">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0">
    <w:name w:val="toc 2"/>
    <w:basedOn w:val="1"/>
    <w:next w:val="1"/>
    <w:unhideWhenUsed/>
    <w:qFormat/>
    <w:uiPriority w:val="39"/>
    <w:pPr>
      <w:ind w:left="420" w:leftChars="200"/>
    </w:pPr>
  </w:style>
  <w:style w:type="paragraph" w:styleId="11">
    <w:name w:val="Body Text 2"/>
    <w:basedOn w:val="1"/>
    <w:next w:val="1"/>
    <w:qFormat/>
    <w:uiPriority w:val="0"/>
    <w:pPr>
      <w:spacing w:after="120" w:line="480" w:lineRule="auto"/>
    </w:pPr>
  </w:style>
  <w:style w:type="paragraph" w:styleId="12">
    <w:name w:val="Body Text First Indent 2"/>
    <w:basedOn w:val="7"/>
    <w:next w:val="1"/>
    <w:qFormat/>
    <w:uiPriority w:val="99"/>
    <w:pPr>
      <w:spacing w:line="240" w:lineRule="auto"/>
      <w:ind w:firstLine="420"/>
    </w:pPr>
  </w:style>
  <w:style w:type="paragraph" w:customStyle="1" w:styleId="15">
    <w:name w:val="xl27"/>
    <w:basedOn w:val="1"/>
    <w:next w:val="5"/>
    <w:qFormat/>
    <w:uiPriority w:val="0"/>
    <w:pPr>
      <w:widowControl/>
      <w:spacing w:before="280" w:after="280"/>
      <w:jc w:val="center"/>
    </w:pPr>
    <w:rPr>
      <w:rFonts w:hAnsi="宋体" w:cs="宋体"/>
    </w:rPr>
  </w:style>
  <w:style w:type="paragraph" w:customStyle="1" w:styleId="16">
    <w:name w:val="Default"/>
    <w:basedOn w:val="17"/>
    <w:next w:val="18"/>
    <w:qFormat/>
    <w:uiPriority w:val="0"/>
    <w:pPr>
      <w:adjustRightInd w:val="0"/>
    </w:pPr>
    <w:rPr>
      <w:rFonts w:ascii="宋体" w:cs="宋体"/>
      <w:color w:val="000000"/>
      <w:sz w:val="24"/>
      <w:lang w:val="en-US"/>
    </w:rPr>
  </w:style>
  <w:style w:type="paragraph" w:customStyle="1" w:styleId="17">
    <w:name w:val="文本"/>
    <w:basedOn w:val="1"/>
    <w:next w:val="1"/>
    <w:qFormat/>
    <w:uiPriority w:val="0"/>
    <w:pPr>
      <w:autoSpaceDE w:val="0"/>
      <w:autoSpaceDN w:val="0"/>
      <w:ind w:firstLine="480"/>
    </w:pPr>
    <w:rPr>
      <w:lang w:val="zh-CN"/>
    </w:rPr>
  </w:style>
  <w:style w:type="paragraph" w:customStyle="1" w:styleId="18">
    <w:name w:val="表格文字"/>
    <w:basedOn w:val="6"/>
    <w:next w:val="1"/>
    <w:qFormat/>
    <w:uiPriority w:val="0"/>
    <w:pPr>
      <w:jc w:val="center"/>
    </w:pPr>
    <w:rPr>
      <w:rFonts w:ascii="Arial Narrow" w:hAnsi="Arial Narrow" w:eastAsia="汉鼎简书宋"/>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页眉 字符"/>
    <w:basedOn w:val="14"/>
    <w:link w:val="9"/>
    <w:autoRedefine/>
    <w:qFormat/>
    <w:uiPriority w:val="99"/>
    <w:rPr>
      <w:sz w:val="18"/>
      <w:szCs w:val="18"/>
    </w:rPr>
  </w:style>
  <w:style w:type="character" w:customStyle="1" w:styleId="21">
    <w:name w:val="页脚 字符"/>
    <w:basedOn w:val="14"/>
    <w:link w:val="8"/>
    <w:autoRedefine/>
    <w:qFormat/>
    <w:uiPriority w:val="99"/>
    <w:rPr>
      <w:sz w:val="18"/>
      <w:szCs w:val="18"/>
    </w:rPr>
  </w:style>
  <w:style w:type="character" w:customStyle="1" w:styleId="22">
    <w:name w:val="NormalCharacter"/>
    <w:autoRedefine/>
    <w:semiHidden/>
    <w:qFormat/>
    <w:uiPriority w:val="99"/>
  </w:style>
  <w:style w:type="paragraph" w:customStyle="1" w:styleId="23">
    <w:name w:val="图表"/>
    <w:basedOn w:val="7"/>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4">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1589</Words>
  <Characters>1711</Characters>
  <Lines>11</Lines>
  <Paragraphs>3</Paragraphs>
  <TotalTime>3</TotalTime>
  <ScaleCrop>false</ScaleCrop>
  <LinksUpToDate>false</LinksUpToDate>
  <CharactersWithSpaces>1765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2025-11-18T08:52:03Z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