
<file path=[Content_Types].xml><?xml version="1.0" encoding="utf-8"?>
<Types xmlns="http://schemas.openxmlformats.org/package/2006/content-types">
  <Default Extension="xml" ContentType="application/xml"/>
  <Default Extension="jpeg" ContentType="image/jpeg"/>
  <Default Extension="JPG" ContentType="image/.jpg"/>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60EA47">
      <w:pPr>
        <w:pStyle w:val="10"/>
        <w:rPr>
          <w:rFonts w:hint="eastAsia" w:ascii="Times New Roman"/>
          <w:color w:val="auto"/>
          <w:sz w:val="20"/>
        </w:rPr>
      </w:pPr>
    </w:p>
    <w:p w14:paraId="631EADBC">
      <w:pPr>
        <w:pStyle w:val="10"/>
        <w:rPr>
          <w:rFonts w:hint="eastAsia" w:ascii="Times New Roman"/>
          <w:color w:val="auto"/>
          <w:sz w:val="20"/>
        </w:rPr>
      </w:pPr>
    </w:p>
    <w:p w14:paraId="2BB22C26">
      <w:pPr>
        <w:pStyle w:val="10"/>
        <w:rPr>
          <w:rFonts w:hint="eastAsia" w:ascii="Times New Roman"/>
          <w:color w:val="auto"/>
          <w:sz w:val="20"/>
        </w:rPr>
      </w:pPr>
      <w:bookmarkStart w:id="11" w:name="_GoBack"/>
      <w:bookmarkEnd w:id="11"/>
    </w:p>
    <w:p w14:paraId="588AB1D5">
      <w:pPr>
        <w:pStyle w:val="10"/>
        <w:rPr>
          <w:rFonts w:hint="eastAsia" w:ascii="Times New Roman"/>
          <w:color w:val="auto"/>
          <w:sz w:val="20"/>
        </w:rPr>
      </w:pPr>
    </w:p>
    <w:p w14:paraId="217AE74A">
      <w:pPr>
        <w:pStyle w:val="10"/>
        <w:rPr>
          <w:rFonts w:ascii="Times New Roman"/>
          <w:color w:val="auto"/>
          <w:sz w:val="20"/>
        </w:rPr>
      </w:pPr>
    </w:p>
    <w:p w14:paraId="68D0C148">
      <w:pPr>
        <w:pStyle w:val="10"/>
        <w:rPr>
          <w:rFonts w:ascii="Times New Roman"/>
          <w:color w:val="auto"/>
          <w:sz w:val="20"/>
        </w:rPr>
      </w:pPr>
    </w:p>
    <w:p w14:paraId="3788AE68">
      <w:pPr>
        <w:pStyle w:val="10"/>
        <w:rPr>
          <w:rFonts w:ascii="Times New Roman"/>
          <w:color w:val="auto"/>
          <w:sz w:val="20"/>
        </w:rPr>
      </w:pPr>
    </w:p>
    <w:p w14:paraId="5ABA93BB">
      <w:pPr>
        <w:pStyle w:val="10"/>
        <w:rPr>
          <w:rFonts w:ascii="Times New Roman"/>
          <w:color w:val="auto"/>
          <w:sz w:val="20"/>
        </w:rPr>
      </w:pPr>
    </w:p>
    <w:p w14:paraId="16105F2E">
      <w:pPr>
        <w:pStyle w:val="10"/>
        <w:rPr>
          <w:rFonts w:ascii="Times New Roman"/>
          <w:color w:val="auto"/>
          <w:sz w:val="20"/>
        </w:rPr>
      </w:pPr>
    </w:p>
    <w:p w14:paraId="75DC4C8E">
      <w:pPr>
        <w:spacing w:before="60"/>
        <w:ind w:right="464"/>
        <w:jc w:val="center"/>
        <w:rPr>
          <w:rFonts w:hint="eastAsia" w:ascii="微软雅黑" w:eastAsia="微软雅黑"/>
          <w:color w:val="auto"/>
          <w:sz w:val="72"/>
        </w:rPr>
      </w:pPr>
      <w:bookmarkStart w:id="0" w:name="建设项目环境影响报告表"/>
      <w:bookmarkEnd w:id="0"/>
      <w:r>
        <w:rPr>
          <w:rFonts w:hint="eastAsia" w:ascii="微软雅黑" w:eastAsia="微软雅黑"/>
          <w:color w:val="auto"/>
          <w:sz w:val="72"/>
        </w:rPr>
        <w:t>建设项目环境影响报告表</w:t>
      </w:r>
    </w:p>
    <w:p w14:paraId="19F48EEC">
      <w:pPr>
        <w:pStyle w:val="31"/>
        <w:rPr>
          <w:rFonts w:hint="eastAsia" w:ascii="微软雅黑" w:eastAsia="微软雅黑"/>
          <w:color w:val="auto"/>
          <w:sz w:val="72"/>
        </w:rPr>
      </w:pPr>
    </w:p>
    <w:p w14:paraId="7404D693">
      <w:pPr>
        <w:spacing w:before="149"/>
        <w:ind w:right="464"/>
        <w:jc w:val="center"/>
        <w:rPr>
          <w:rFonts w:ascii="楷体" w:eastAsia="楷体"/>
          <w:color w:val="auto"/>
          <w:sz w:val="48"/>
        </w:rPr>
      </w:pPr>
      <w:r>
        <w:rPr>
          <w:rFonts w:hint="eastAsia" w:ascii="楷体" w:eastAsia="楷体"/>
          <w:color w:val="auto"/>
          <w:sz w:val="48"/>
        </w:rPr>
        <w:t>（污染影响类）</w:t>
      </w:r>
    </w:p>
    <w:p w14:paraId="6623BE29">
      <w:pPr>
        <w:pStyle w:val="10"/>
        <w:rPr>
          <w:rFonts w:ascii="楷体"/>
          <w:color w:val="auto"/>
          <w:sz w:val="48"/>
        </w:rPr>
      </w:pPr>
    </w:p>
    <w:p w14:paraId="3B560795">
      <w:pPr>
        <w:pStyle w:val="10"/>
        <w:rPr>
          <w:rFonts w:ascii="楷体"/>
          <w:color w:val="auto"/>
          <w:sz w:val="48"/>
        </w:rPr>
      </w:pPr>
    </w:p>
    <w:p w14:paraId="6C27E9FC">
      <w:pPr>
        <w:pStyle w:val="10"/>
        <w:rPr>
          <w:rFonts w:ascii="楷体"/>
          <w:color w:val="auto"/>
          <w:sz w:val="48"/>
        </w:rPr>
      </w:pPr>
    </w:p>
    <w:p w14:paraId="41913C1D">
      <w:pPr>
        <w:pStyle w:val="10"/>
        <w:rPr>
          <w:rFonts w:ascii="楷体"/>
          <w:color w:val="auto"/>
          <w:sz w:val="48"/>
        </w:rPr>
      </w:pPr>
    </w:p>
    <w:p w14:paraId="5306FD2C">
      <w:pPr>
        <w:pStyle w:val="16"/>
        <w:rPr>
          <w:color w:val="auto"/>
        </w:rPr>
      </w:pPr>
    </w:p>
    <w:p w14:paraId="6F4B5574">
      <w:pPr>
        <w:pStyle w:val="10"/>
        <w:rPr>
          <w:rFonts w:ascii="楷体"/>
          <w:color w:val="auto"/>
          <w:sz w:val="48"/>
        </w:rPr>
      </w:pPr>
    </w:p>
    <w:p w14:paraId="55D874F4">
      <w:pPr>
        <w:keepNext w:val="0"/>
        <w:keepLines w:val="0"/>
        <w:pageBreakBefore w:val="0"/>
        <w:widowControl w:val="0"/>
        <w:tabs>
          <w:tab w:val="left" w:pos="4459"/>
        </w:tabs>
        <w:kinsoku/>
        <w:wordWrap/>
        <w:overflowPunct/>
        <w:topLinePunct w:val="0"/>
        <w:autoSpaceDE/>
        <w:autoSpaceDN/>
        <w:bidi w:val="0"/>
        <w:adjustRightInd/>
        <w:snapToGrid/>
        <w:spacing w:line="600" w:lineRule="exact"/>
        <w:ind w:left="717" w:leftChars="326" w:right="0" w:firstLine="720" w:firstLineChars="200"/>
        <w:jc w:val="both"/>
        <w:textAlignment w:val="baseline"/>
        <w:rPr>
          <w:rFonts w:hint="eastAsia" w:ascii="仿宋" w:eastAsia="仿宋"/>
          <w:color w:val="auto"/>
          <w:sz w:val="36"/>
          <w:u w:val="single"/>
          <w:lang w:val="en-US" w:eastAsia="zh-CN"/>
        </w:rPr>
      </w:pPr>
      <w:r>
        <w:rPr>
          <w:rFonts w:hint="eastAsia" w:ascii="仿宋" w:eastAsia="仿宋"/>
          <w:color w:val="auto"/>
          <w:sz w:val="36"/>
        </w:rPr>
        <w:t>项目名称：</w:t>
      </w:r>
      <w:r>
        <w:rPr>
          <w:rFonts w:hint="eastAsia" w:ascii="仿宋" w:eastAsia="仿宋"/>
          <w:color w:val="auto"/>
          <w:sz w:val="36"/>
          <w:u w:val="single"/>
          <w:lang w:val="en-US" w:eastAsia="zh-CN"/>
        </w:rPr>
        <w:t>鄂尔多斯广厦医院改扩建项目</w:t>
      </w:r>
    </w:p>
    <w:p w14:paraId="3B08216E">
      <w:pPr>
        <w:keepNext w:val="0"/>
        <w:keepLines w:val="0"/>
        <w:pageBreakBefore w:val="0"/>
        <w:widowControl w:val="0"/>
        <w:tabs>
          <w:tab w:val="left" w:pos="4459"/>
        </w:tabs>
        <w:kinsoku/>
        <w:wordWrap/>
        <w:overflowPunct/>
        <w:topLinePunct w:val="0"/>
        <w:autoSpaceDE/>
        <w:autoSpaceDN/>
        <w:bidi w:val="0"/>
        <w:adjustRightInd/>
        <w:snapToGrid/>
        <w:spacing w:line="600" w:lineRule="exact"/>
        <w:ind w:right="0" w:firstLine="1440" w:firstLineChars="400"/>
        <w:jc w:val="both"/>
        <w:textAlignment w:val="baseline"/>
        <w:rPr>
          <w:rFonts w:hint="default" w:ascii="仿宋" w:eastAsia="仿宋"/>
          <w:color w:val="auto"/>
          <w:sz w:val="36"/>
          <w:u w:val="single"/>
          <w:lang w:val="en-US" w:eastAsia="zh-CN"/>
        </w:rPr>
      </w:pPr>
      <w:r>
        <w:rPr>
          <w:rFonts w:hint="eastAsia" w:ascii="仿宋" w:eastAsia="仿宋"/>
          <w:color w:val="auto"/>
          <w:sz w:val="36"/>
        </w:rPr>
        <w:t>建设单位：</w:t>
      </w:r>
      <w:r>
        <w:rPr>
          <w:rFonts w:hint="eastAsia" w:ascii="仿宋" w:eastAsia="仿宋"/>
          <w:color w:val="auto"/>
          <w:sz w:val="36"/>
          <w:u w:val="single"/>
          <w:lang w:val="en-US" w:eastAsia="zh-CN"/>
        </w:rPr>
        <w:t xml:space="preserve">     鄂尔多斯广厦医院     </w:t>
      </w:r>
    </w:p>
    <w:p w14:paraId="44500AAA">
      <w:pPr>
        <w:keepNext w:val="0"/>
        <w:keepLines w:val="0"/>
        <w:pageBreakBefore w:val="0"/>
        <w:widowControl w:val="0"/>
        <w:tabs>
          <w:tab w:val="left" w:pos="4459"/>
        </w:tabs>
        <w:kinsoku/>
        <w:wordWrap/>
        <w:overflowPunct/>
        <w:topLinePunct w:val="0"/>
        <w:autoSpaceDE/>
        <w:autoSpaceDN/>
        <w:bidi w:val="0"/>
        <w:adjustRightInd/>
        <w:snapToGrid/>
        <w:spacing w:line="600" w:lineRule="exact"/>
        <w:ind w:left="717" w:leftChars="326" w:right="0" w:firstLine="720" w:firstLineChars="200"/>
        <w:jc w:val="both"/>
        <w:textAlignment w:val="baseline"/>
        <w:rPr>
          <w:rFonts w:hint="default" w:ascii="仿宋" w:eastAsia="仿宋"/>
          <w:color w:val="auto"/>
          <w:sz w:val="36"/>
          <w:u w:val="single"/>
          <w:lang w:val="en-US" w:eastAsia="zh-CN"/>
        </w:rPr>
      </w:pPr>
      <w:r>
        <w:rPr>
          <w:rFonts w:hint="eastAsia" w:ascii="仿宋" w:eastAsia="仿宋"/>
          <w:color w:val="auto"/>
          <w:sz w:val="36"/>
        </w:rPr>
        <w:t>编制日期：</w:t>
      </w:r>
      <w:r>
        <w:rPr>
          <w:rFonts w:hint="eastAsia" w:ascii="仿宋" w:eastAsia="仿宋"/>
          <w:color w:val="auto"/>
          <w:spacing w:val="0"/>
          <w:sz w:val="36"/>
          <w:u w:val="single"/>
          <w:lang w:val="en-US" w:eastAsia="zh-CN"/>
        </w:rPr>
        <w:t xml:space="preserve">        </w:t>
      </w:r>
      <w:r>
        <w:rPr>
          <w:rFonts w:hint="eastAsia" w:ascii="仿宋" w:eastAsia="仿宋"/>
          <w:color w:val="auto"/>
          <w:spacing w:val="0"/>
          <w:sz w:val="36"/>
          <w:u w:val="single"/>
        </w:rPr>
        <w:t>202</w:t>
      </w:r>
      <w:r>
        <w:rPr>
          <w:rFonts w:hint="eastAsia" w:ascii="仿宋" w:eastAsia="仿宋"/>
          <w:color w:val="auto"/>
          <w:spacing w:val="0"/>
          <w:sz w:val="36"/>
          <w:u w:val="single"/>
          <w:lang w:val="en-US" w:eastAsia="zh-CN"/>
        </w:rPr>
        <w:t>5</w:t>
      </w:r>
      <w:r>
        <w:rPr>
          <w:rFonts w:hint="eastAsia" w:ascii="仿宋" w:eastAsia="仿宋"/>
          <w:color w:val="auto"/>
          <w:spacing w:val="0"/>
          <w:sz w:val="36"/>
          <w:u w:val="single"/>
        </w:rPr>
        <w:t>年</w:t>
      </w:r>
      <w:r>
        <w:rPr>
          <w:rFonts w:hint="eastAsia" w:ascii="仿宋" w:eastAsia="仿宋"/>
          <w:color w:val="auto"/>
          <w:spacing w:val="0"/>
          <w:sz w:val="36"/>
          <w:u w:val="single"/>
          <w:lang w:val="en-US" w:eastAsia="zh-CN"/>
        </w:rPr>
        <w:t>10</w:t>
      </w:r>
      <w:r>
        <w:rPr>
          <w:rFonts w:hint="eastAsia" w:ascii="仿宋" w:eastAsia="仿宋"/>
          <w:color w:val="auto"/>
          <w:spacing w:val="0"/>
          <w:sz w:val="36"/>
          <w:u w:val="single"/>
        </w:rPr>
        <w:t>月</w:t>
      </w:r>
      <w:r>
        <w:rPr>
          <w:rFonts w:hint="eastAsia" w:ascii="仿宋" w:eastAsia="仿宋"/>
          <w:color w:val="auto"/>
          <w:spacing w:val="0"/>
          <w:sz w:val="36"/>
          <w:u w:val="single"/>
          <w:lang w:val="en-US" w:eastAsia="zh-CN"/>
        </w:rPr>
        <w:t xml:space="preserve">        </w:t>
      </w:r>
    </w:p>
    <w:p w14:paraId="3CAB4B02">
      <w:pPr>
        <w:pStyle w:val="10"/>
        <w:rPr>
          <w:rFonts w:ascii="仿宋"/>
          <w:color w:val="auto"/>
          <w:sz w:val="20"/>
        </w:rPr>
      </w:pPr>
    </w:p>
    <w:p w14:paraId="4A7ABFB0">
      <w:pPr>
        <w:pStyle w:val="10"/>
        <w:rPr>
          <w:rFonts w:ascii="仿宋"/>
          <w:color w:val="auto"/>
          <w:sz w:val="20"/>
        </w:rPr>
      </w:pPr>
    </w:p>
    <w:p w14:paraId="6A77595E">
      <w:pPr>
        <w:pStyle w:val="10"/>
        <w:rPr>
          <w:rFonts w:ascii="仿宋"/>
          <w:color w:val="auto"/>
          <w:sz w:val="20"/>
        </w:rPr>
      </w:pPr>
    </w:p>
    <w:p w14:paraId="089153CF">
      <w:pPr>
        <w:pStyle w:val="10"/>
        <w:rPr>
          <w:rFonts w:ascii="仿宋"/>
          <w:color w:val="auto"/>
          <w:sz w:val="20"/>
        </w:rPr>
      </w:pPr>
    </w:p>
    <w:p w14:paraId="627A2992">
      <w:pPr>
        <w:pStyle w:val="10"/>
        <w:rPr>
          <w:rFonts w:ascii="仿宋"/>
          <w:color w:val="auto"/>
          <w:sz w:val="20"/>
        </w:rPr>
      </w:pPr>
    </w:p>
    <w:p w14:paraId="11397DDA">
      <w:pPr>
        <w:pStyle w:val="10"/>
        <w:rPr>
          <w:rFonts w:ascii="仿宋"/>
          <w:color w:val="auto"/>
          <w:sz w:val="20"/>
        </w:rPr>
      </w:pPr>
    </w:p>
    <w:p w14:paraId="3C9F5A46">
      <w:pPr>
        <w:pStyle w:val="10"/>
        <w:rPr>
          <w:rFonts w:ascii="仿宋"/>
          <w:color w:val="auto"/>
          <w:sz w:val="20"/>
        </w:rPr>
      </w:pPr>
    </w:p>
    <w:p w14:paraId="5D4BC93B">
      <w:pPr>
        <w:pStyle w:val="10"/>
        <w:spacing w:before="1"/>
        <w:rPr>
          <w:rFonts w:ascii="仿宋"/>
          <w:color w:val="auto"/>
          <w:sz w:val="15"/>
        </w:rPr>
      </w:pPr>
    </w:p>
    <w:p w14:paraId="00FDA00B">
      <w:pPr>
        <w:pStyle w:val="4"/>
        <w:ind w:left="0" w:leftChars="0" w:firstLine="0" w:firstLineChars="0"/>
        <w:jc w:val="center"/>
        <w:rPr>
          <w:rFonts w:hint="eastAsia" w:ascii="楷体" w:eastAsia="楷体"/>
          <w:color w:val="auto"/>
          <w:sz w:val="36"/>
        </w:rPr>
        <w:sectPr>
          <w:footerReference r:id="rId3" w:type="default"/>
          <w:footerReference r:id="rId4" w:type="even"/>
          <w:pgSz w:w="11910" w:h="16840"/>
          <w:pgMar w:top="1701" w:right="1531" w:bottom="1701" w:left="1531" w:header="720" w:footer="1043" w:gutter="0"/>
          <w:pgBorders>
            <w:top w:val="none" w:sz="0" w:space="0"/>
            <w:left w:val="none" w:sz="0" w:space="0"/>
            <w:bottom w:val="none" w:sz="0" w:space="0"/>
            <w:right w:val="none" w:sz="0" w:space="0"/>
          </w:pgBorders>
          <w:pgNumType w:start="3"/>
          <w:cols w:space="720" w:num="1"/>
        </w:sectPr>
      </w:pPr>
      <w:r>
        <w:rPr>
          <w:rFonts w:hint="eastAsia" w:ascii="楷体" w:eastAsia="楷体"/>
          <w:color w:val="auto"/>
          <w:sz w:val="36"/>
        </w:rPr>
        <w:t>中华人民共和国生态环境部制</w:t>
      </w:r>
    </w:p>
    <w:p w14:paraId="751551B2">
      <w:pPr>
        <w:pStyle w:val="17"/>
        <w:jc w:val="center"/>
        <w:outlineLvl w:val="0"/>
        <w:rPr>
          <w:rFonts w:hint="eastAsia" w:ascii="黑体" w:hAnsi="黑体" w:eastAsia="黑体"/>
          <w:snapToGrid w:val="0"/>
          <w:color w:val="auto"/>
          <w:sz w:val="30"/>
          <w:szCs w:val="30"/>
        </w:rPr>
      </w:pPr>
      <w:bookmarkStart w:id="1" w:name="一、建设项目基本情况"/>
      <w:bookmarkEnd w:id="1"/>
      <w:r>
        <w:rPr>
          <w:rFonts w:hint="eastAsia" w:ascii="黑体" w:hAnsi="黑体" w:eastAsia="黑体"/>
          <w:snapToGrid w:val="0"/>
          <w:color w:val="auto"/>
          <w:sz w:val="30"/>
          <w:szCs w:val="30"/>
        </w:rPr>
        <w:t>一、建设项目基本情况</w:t>
      </w:r>
    </w:p>
    <w:tbl>
      <w:tblPr>
        <w:tblStyle w:val="20"/>
        <w:tblW w:w="9083" w:type="dxa"/>
        <w:tblInd w:w="-11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204"/>
        <w:gridCol w:w="1763"/>
        <w:gridCol w:w="2333"/>
        <w:gridCol w:w="2783"/>
      </w:tblGrid>
      <w:tr w14:paraId="605CE5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9" w:hRule="atLeast"/>
        </w:trPr>
        <w:tc>
          <w:tcPr>
            <w:tcW w:w="2204" w:type="dxa"/>
            <w:tcBorders>
              <w:bottom w:val="single" w:color="000000" w:sz="4" w:space="0"/>
              <w:right w:val="single" w:color="000000" w:sz="4" w:space="0"/>
            </w:tcBorders>
            <w:noWrap w:val="0"/>
            <w:vAlign w:val="center"/>
          </w:tcPr>
          <w:p w14:paraId="2433863C">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建设项目名称</w:t>
            </w:r>
          </w:p>
        </w:tc>
        <w:tc>
          <w:tcPr>
            <w:tcW w:w="6879" w:type="dxa"/>
            <w:gridSpan w:val="3"/>
            <w:tcBorders>
              <w:left w:val="single" w:color="000000" w:sz="4" w:space="0"/>
              <w:bottom w:val="single" w:color="000000" w:sz="4" w:space="0"/>
            </w:tcBorders>
            <w:noWrap w:val="0"/>
            <w:vAlign w:val="center"/>
          </w:tcPr>
          <w:p w14:paraId="5478C970">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鄂尔多斯广厦医院改扩建项目</w:t>
            </w:r>
          </w:p>
        </w:tc>
      </w:tr>
      <w:tr w14:paraId="705C0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5" w:hRule="atLeast"/>
        </w:trPr>
        <w:tc>
          <w:tcPr>
            <w:tcW w:w="2204" w:type="dxa"/>
            <w:tcBorders>
              <w:top w:val="single" w:color="000000" w:sz="4" w:space="0"/>
              <w:bottom w:val="single" w:color="000000" w:sz="4" w:space="0"/>
              <w:right w:val="single" w:color="000000" w:sz="4" w:space="0"/>
            </w:tcBorders>
            <w:noWrap w:val="0"/>
            <w:vAlign w:val="center"/>
          </w:tcPr>
          <w:p w14:paraId="2A10E34E">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项目代码</w:t>
            </w:r>
          </w:p>
        </w:tc>
        <w:tc>
          <w:tcPr>
            <w:tcW w:w="6879" w:type="dxa"/>
            <w:gridSpan w:val="3"/>
            <w:tcBorders>
              <w:top w:val="single" w:color="000000" w:sz="4" w:space="0"/>
              <w:left w:val="single" w:color="000000" w:sz="4" w:space="0"/>
              <w:bottom w:val="single" w:color="000000" w:sz="4" w:space="0"/>
            </w:tcBorders>
            <w:noWrap w:val="0"/>
            <w:vAlign w:val="center"/>
          </w:tcPr>
          <w:p w14:paraId="7E2441B1">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p>
        </w:tc>
      </w:tr>
      <w:tr w14:paraId="7C023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5" w:hRule="atLeast"/>
        </w:trPr>
        <w:tc>
          <w:tcPr>
            <w:tcW w:w="2204" w:type="dxa"/>
            <w:tcBorders>
              <w:top w:val="single" w:color="000000" w:sz="4" w:space="0"/>
              <w:bottom w:val="single" w:color="000000" w:sz="4" w:space="0"/>
              <w:right w:val="single" w:color="000000" w:sz="4" w:space="0"/>
            </w:tcBorders>
            <w:noWrap w:val="0"/>
            <w:vAlign w:val="center"/>
          </w:tcPr>
          <w:p w14:paraId="7D1EDD73">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建设单位联系人</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61D8B4E8">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eastAsia="zh-CN"/>
              </w:rPr>
              <w:t>赵永军</w:t>
            </w:r>
          </w:p>
        </w:tc>
        <w:tc>
          <w:tcPr>
            <w:tcW w:w="2333" w:type="dxa"/>
            <w:tcBorders>
              <w:top w:val="single" w:color="000000" w:sz="4" w:space="0"/>
              <w:left w:val="single" w:color="000000" w:sz="4" w:space="0"/>
              <w:bottom w:val="single" w:color="000000" w:sz="4" w:space="0"/>
              <w:right w:val="single" w:color="000000" w:sz="4" w:space="0"/>
            </w:tcBorders>
            <w:noWrap w:val="0"/>
            <w:vAlign w:val="center"/>
          </w:tcPr>
          <w:p w14:paraId="7CA822D4">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联系方式</w:t>
            </w:r>
          </w:p>
        </w:tc>
        <w:tc>
          <w:tcPr>
            <w:tcW w:w="2783" w:type="dxa"/>
            <w:tcBorders>
              <w:top w:val="single" w:color="000000" w:sz="4" w:space="0"/>
              <w:left w:val="single" w:color="000000" w:sz="4" w:space="0"/>
              <w:bottom w:val="single" w:color="000000" w:sz="4" w:space="0"/>
            </w:tcBorders>
            <w:noWrap w:val="0"/>
            <w:vAlign w:val="center"/>
          </w:tcPr>
          <w:p w14:paraId="2385AA6E">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15704774666</w:t>
            </w:r>
          </w:p>
        </w:tc>
      </w:tr>
      <w:tr w14:paraId="360E8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0" w:hRule="atLeast"/>
        </w:trPr>
        <w:tc>
          <w:tcPr>
            <w:tcW w:w="2204" w:type="dxa"/>
            <w:tcBorders>
              <w:top w:val="single" w:color="000000" w:sz="4" w:space="0"/>
              <w:bottom w:val="single" w:color="000000" w:sz="4" w:space="0"/>
              <w:right w:val="single" w:color="000000" w:sz="4" w:space="0"/>
            </w:tcBorders>
            <w:noWrap w:val="0"/>
            <w:vAlign w:val="center"/>
          </w:tcPr>
          <w:p w14:paraId="2994FF5C">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建设地点</w:t>
            </w:r>
          </w:p>
        </w:tc>
        <w:tc>
          <w:tcPr>
            <w:tcW w:w="6879" w:type="dxa"/>
            <w:gridSpan w:val="3"/>
            <w:tcBorders>
              <w:top w:val="single" w:color="000000" w:sz="4" w:space="0"/>
              <w:left w:val="single" w:color="000000" w:sz="4" w:space="0"/>
              <w:bottom w:val="single" w:color="000000" w:sz="4" w:space="0"/>
            </w:tcBorders>
            <w:noWrap w:val="0"/>
            <w:vAlign w:val="center"/>
          </w:tcPr>
          <w:p w14:paraId="14BE441A">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rPr>
              <w:t>内蒙古自治区鄂尔多斯市</w:t>
            </w:r>
            <w:r>
              <w:rPr>
                <w:rFonts w:hint="default" w:ascii="Times New Roman" w:hAnsi="Times New Roman" w:eastAsia="宋体" w:cs="Times New Roman"/>
                <w:color w:val="auto"/>
                <w:sz w:val="24"/>
                <w:szCs w:val="24"/>
                <w:u w:val="none"/>
                <w:lang w:val="en-US" w:eastAsia="zh-CN"/>
              </w:rPr>
              <w:t>东胜区伊化南路11号</w:t>
            </w:r>
          </w:p>
          <w:p w14:paraId="308085C2">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u w:val="none"/>
                <w:lang w:val="en-US" w:eastAsia="zh-CN"/>
              </w:rPr>
              <w:t>鄂尔多斯广厦医院院内</w:t>
            </w:r>
          </w:p>
        </w:tc>
      </w:tr>
      <w:tr w14:paraId="3150A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trPr>
        <w:tc>
          <w:tcPr>
            <w:tcW w:w="2204" w:type="dxa"/>
            <w:tcBorders>
              <w:top w:val="single" w:color="000000" w:sz="4" w:space="0"/>
              <w:bottom w:val="single" w:color="000000" w:sz="4" w:space="0"/>
              <w:right w:val="single" w:color="000000" w:sz="4" w:space="0"/>
            </w:tcBorders>
            <w:noWrap w:val="0"/>
            <w:vAlign w:val="center"/>
          </w:tcPr>
          <w:p w14:paraId="7227DA06">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地理坐标</w:t>
            </w:r>
          </w:p>
        </w:tc>
        <w:tc>
          <w:tcPr>
            <w:tcW w:w="6879" w:type="dxa"/>
            <w:gridSpan w:val="3"/>
            <w:tcBorders>
              <w:top w:val="single" w:color="000000" w:sz="4" w:space="0"/>
              <w:left w:val="single" w:color="000000" w:sz="4" w:space="0"/>
              <w:bottom w:val="single" w:color="000000" w:sz="4" w:space="0"/>
            </w:tcBorders>
            <w:noWrap w:val="0"/>
            <w:vAlign w:val="center"/>
          </w:tcPr>
          <w:p w14:paraId="012CD169">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109°59'7.577"，39°48'24.276"</w:t>
            </w:r>
          </w:p>
        </w:tc>
      </w:tr>
      <w:tr w14:paraId="30BE6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trPr>
        <w:tc>
          <w:tcPr>
            <w:tcW w:w="2204" w:type="dxa"/>
            <w:tcBorders>
              <w:top w:val="single" w:color="000000" w:sz="4" w:space="0"/>
              <w:bottom w:val="single" w:color="000000" w:sz="4" w:space="0"/>
              <w:right w:val="single" w:color="000000" w:sz="4" w:space="0"/>
            </w:tcBorders>
            <w:noWrap w:val="0"/>
            <w:vAlign w:val="center"/>
          </w:tcPr>
          <w:p w14:paraId="5456A74F">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国民经济</w:t>
            </w:r>
          </w:p>
          <w:p w14:paraId="5F8632D4">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行业类别</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64D4D8E0">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eastAsia="zh-CN"/>
              </w:rPr>
              <w:t>Q8411综合医院</w:t>
            </w:r>
          </w:p>
        </w:tc>
        <w:tc>
          <w:tcPr>
            <w:tcW w:w="2333" w:type="dxa"/>
            <w:tcBorders>
              <w:top w:val="single" w:color="000000" w:sz="4" w:space="0"/>
              <w:left w:val="single" w:color="000000" w:sz="4" w:space="0"/>
              <w:bottom w:val="single" w:color="000000" w:sz="4" w:space="0"/>
              <w:right w:val="single" w:color="000000" w:sz="4" w:space="0"/>
            </w:tcBorders>
            <w:noWrap w:val="0"/>
            <w:vAlign w:val="center"/>
          </w:tcPr>
          <w:p w14:paraId="78091CBE">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建设项目</w:t>
            </w:r>
          </w:p>
          <w:p w14:paraId="1066CE3C">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行业类别</w:t>
            </w:r>
          </w:p>
        </w:tc>
        <w:tc>
          <w:tcPr>
            <w:tcW w:w="2783" w:type="dxa"/>
            <w:tcBorders>
              <w:top w:val="single" w:color="000000" w:sz="4" w:space="0"/>
              <w:left w:val="single" w:color="000000" w:sz="4" w:space="0"/>
              <w:bottom w:val="single" w:color="000000" w:sz="4" w:space="0"/>
            </w:tcBorders>
            <w:noWrap w:val="0"/>
            <w:vAlign w:val="center"/>
          </w:tcPr>
          <w:p w14:paraId="29A92187">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eastAsia="zh-CN"/>
              </w:rPr>
              <w:t>四十九</w:t>
            </w:r>
            <w:r>
              <w:rPr>
                <w:rFonts w:hint="default" w:ascii="Times New Roman" w:hAnsi="Times New Roman" w:eastAsia="宋体" w:cs="Times New Roman"/>
                <w:color w:val="auto"/>
                <w:sz w:val="24"/>
                <w:szCs w:val="24"/>
                <w:lang w:val="en-US"/>
              </w:rPr>
              <w:t>、</w:t>
            </w:r>
            <w:r>
              <w:rPr>
                <w:rFonts w:hint="default" w:ascii="Times New Roman" w:hAnsi="Times New Roman" w:eastAsia="宋体" w:cs="Times New Roman"/>
                <w:color w:val="auto"/>
                <w:sz w:val="24"/>
                <w:szCs w:val="24"/>
                <w:lang w:val="en-US" w:eastAsia="zh-CN"/>
              </w:rPr>
              <w:t>卫生</w:t>
            </w:r>
            <w:r>
              <w:rPr>
                <w:rFonts w:hint="default" w:ascii="Times New Roman" w:hAnsi="Times New Roman" w:eastAsia="宋体" w:cs="Times New Roman"/>
                <w:color w:val="auto"/>
                <w:sz w:val="24"/>
                <w:szCs w:val="24"/>
                <w:lang w:val="en-US"/>
              </w:rPr>
              <w:t>；</w:t>
            </w:r>
            <w:r>
              <w:rPr>
                <w:rFonts w:hint="default" w:ascii="Times New Roman" w:hAnsi="Times New Roman" w:eastAsia="宋体" w:cs="Times New Roman"/>
                <w:color w:val="auto"/>
                <w:sz w:val="24"/>
                <w:szCs w:val="24"/>
                <w:lang w:val="en-US" w:eastAsia="zh-CN"/>
              </w:rPr>
              <w:t>108医院；其他（住院床位20张以下的除外）</w:t>
            </w:r>
          </w:p>
        </w:tc>
      </w:tr>
      <w:tr w14:paraId="2003B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trPr>
        <w:tc>
          <w:tcPr>
            <w:tcW w:w="2204" w:type="dxa"/>
            <w:tcBorders>
              <w:top w:val="single" w:color="000000" w:sz="4" w:space="0"/>
              <w:bottom w:val="single" w:color="000000" w:sz="4" w:space="0"/>
              <w:right w:val="single" w:color="000000" w:sz="4" w:space="0"/>
            </w:tcBorders>
            <w:noWrap w:val="0"/>
            <w:vAlign w:val="center"/>
          </w:tcPr>
          <w:p w14:paraId="0C703057">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建设性质</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315D1293">
            <w:pPr>
              <w:pStyle w:val="45"/>
              <w:keepNext w:val="0"/>
              <w:keepLines/>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新建（迁建）</w:t>
            </w:r>
          </w:p>
          <w:p w14:paraId="24BB77F2">
            <w:pPr>
              <w:pStyle w:val="45"/>
              <w:keepNext w:val="0"/>
              <w:keepLines/>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auto"/>
                <w:sz w:val="24"/>
                <w:szCs w:val="24"/>
              </w:rPr>
            </w:pP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改建</w:t>
            </w:r>
          </w:p>
          <w:p w14:paraId="654EA3D9">
            <w:pPr>
              <w:pStyle w:val="45"/>
              <w:keepNext w:val="0"/>
              <w:keepLines/>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扩建</w:t>
            </w:r>
          </w:p>
          <w:p w14:paraId="3A0B27B7">
            <w:pPr>
              <w:pStyle w:val="45"/>
              <w:keepNext w:val="0"/>
              <w:keepLines/>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技术改造</w:t>
            </w:r>
          </w:p>
        </w:tc>
        <w:tc>
          <w:tcPr>
            <w:tcW w:w="2333" w:type="dxa"/>
            <w:tcBorders>
              <w:top w:val="single" w:color="000000" w:sz="4" w:space="0"/>
              <w:left w:val="single" w:color="000000" w:sz="4" w:space="0"/>
              <w:bottom w:val="single" w:color="000000" w:sz="4" w:space="0"/>
              <w:right w:val="single" w:color="000000" w:sz="4" w:space="0"/>
            </w:tcBorders>
            <w:noWrap w:val="0"/>
            <w:vAlign w:val="center"/>
          </w:tcPr>
          <w:p w14:paraId="322118D5">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建设项目</w:t>
            </w:r>
          </w:p>
          <w:p w14:paraId="0F3B063C">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申报情形</w:t>
            </w:r>
          </w:p>
        </w:tc>
        <w:tc>
          <w:tcPr>
            <w:tcW w:w="2783" w:type="dxa"/>
            <w:tcBorders>
              <w:top w:val="single" w:color="000000" w:sz="4" w:space="0"/>
              <w:left w:val="single" w:color="000000" w:sz="4" w:space="0"/>
              <w:bottom w:val="single" w:color="000000" w:sz="4" w:space="0"/>
            </w:tcBorders>
            <w:noWrap w:val="0"/>
            <w:vAlign w:val="center"/>
          </w:tcPr>
          <w:p w14:paraId="3DE94306">
            <w:pPr>
              <w:pStyle w:val="45"/>
              <w:keepNext w:val="0"/>
              <w:keepLines/>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首次申报项目</w:t>
            </w:r>
          </w:p>
          <w:p w14:paraId="3D51C773">
            <w:pPr>
              <w:pStyle w:val="45"/>
              <w:keepNext w:val="0"/>
              <w:keepLines/>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不予批准后再次申报项目</w:t>
            </w:r>
          </w:p>
          <w:p w14:paraId="09BC2F95">
            <w:pPr>
              <w:pStyle w:val="45"/>
              <w:keepNext w:val="0"/>
              <w:keepLines/>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超五年重新审核项目</w:t>
            </w:r>
          </w:p>
          <w:p w14:paraId="6752BA81">
            <w:pPr>
              <w:pStyle w:val="45"/>
              <w:keepNext w:val="0"/>
              <w:keepLines/>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重大变动重新报批项目</w:t>
            </w:r>
          </w:p>
        </w:tc>
      </w:tr>
      <w:tr w14:paraId="6611B7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trPr>
        <w:tc>
          <w:tcPr>
            <w:tcW w:w="2204" w:type="dxa"/>
            <w:tcBorders>
              <w:top w:val="single" w:color="000000" w:sz="4" w:space="0"/>
              <w:bottom w:val="single" w:color="000000" w:sz="4" w:space="0"/>
              <w:right w:val="single" w:color="000000" w:sz="4" w:space="0"/>
            </w:tcBorders>
            <w:noWrap w:val="0"/>
            <w:vAlign w:val="center"/>
          </w:tcPr>
          <w:p w14:paraId="532BACEE">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项目审批（核准/</w:t>
            </w:r>
          </w:p>
          <w:p w14:paraId="53F73E8D">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备案）部门（选填）</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56CEF004">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w:t>
            </w:r>
          </w:p>
        </w:tc>
        <w:tc>
          <w:tcPr>
            <w:tcW w:w="2333" w:type="dxa"/>
            <w:tcBorders>
              <w:top w:val="single" w:color="000000" w:sz="4" w:space="0"/>
              <w:left w:val="single" w:color="000000" w:sz="4" w:space="0"/>
              <w:bottom w:val="single" w:color="000000" w:sz="4" w:space="0"/>
              <w:right w:val="single" w:color="000000" w:sz="4" w:space="0"/>
            </w:tcBorders>
            <w:noWrap w:val="0"/>
            <w:vAlign w:val="center"/>
          </w:tcPr>
          <w:p w14:paraId="2B15B00C">
            <w:pPr>
              <w:pStyle w:val="45"/>
              <w:keepNext w:val="0"/>
              <w:keepLines/>
              <w:pageBreakBefore w:val="0"/>
              <w:widowControl w:val="0"/>
              <w:kinsoku/>
              <w:wordWrap/>
              <w:overflowPunct/>
              <w:topLinePunct w:val="0"/>
              <w:autoSpaceDE/>
              <w:autoSpaceDN/>
              <w:bidi w:val="0"/>
              <w:adjustRightInd/>
              <w:snapToGrid/>
              <w:spacing w:line="400" w:lineRule="exact"/>
              <w:ind w:firstLine="158"/>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项目审批（核准/ </w:t>
            </w:r>
          </w:p>
          <w:p w14:paraId="1684D63D">
            <w:pPr>
              <w:pStyle w:val="45"/>
              <w:keepNext w:val="0"/>
              <w:keepLines/>
              <w:pageBreakBefore w:val="0"/>
              <w:widowControl w:val="0"/>
              <w:kinsoku/>
              <w:wordWrap/>
              <w:overflowPunct/>
              <w:topLinePunct w:val="0"/>
              <w:autoSpaceDE/>
              <w:autoSpaceDN/>
              <w:bidi w:val="0"/>
              <w:adjustRightInd/>
              <w:snapToGrid/>
              <w:spacing w:line="400" w:lineRule="exact"/>
              <w:ind w:firstLine="158"/>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备案）文号（选填）</w:t>
            </w:r>
          </w:p>
        </w:tc>
        <w:tc>
          <w:tcPr>
            <w:tcW w:w="2783" w:type="dxa"/>
            <w:tcBorders>
              <w:top w:val="single" w:color="000000" w:sz="4" w:space="0"/>
              <w:left w:val="single" w:color="000000" w:sz="4" w:space="0"/>
              <w:bottom w:val="single" w:color="000000" w:sz="4" w:space="0"/>
            </w:tcBorders>
            <w:noWrap w:val="0"/>
            <w:vAlign w:val="center"/>
          </w:tcPr>
          <w:p w14:paraId="000ADBB8">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w:t>
            </w:r>
          </w:p>
        </w:tc>
      </w:tr>
      <w:tr w14:paraId="49DE8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3" w:hRule="atLeast"/>
        </w:trPr>
        <w:tc>
          <w:tcPr>
            <w:tcW w:w="2204" w:type="dxa"/>
            <w:tcBorders>
              <w:top w:val="single" w:color="000000" w:sz="4" w:space="0"/>
              <w:bottom w:val="single" w:color="000000" w:sz="4" w:space="0"/>
              <w:right w:val="single" w:color="000000" w:sz="4" w:space="0"/>
            </w:tcBorders>
            <w:noWrap w:val="0"/>
            <w:vAlign w:val="center"/>
          </w:tcPr>
          <w:p w14:paraId="74C224E0">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总投资（万元）</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086F079C">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5</w:t>
            </w:r>
            <w:r>
              <w:rPr>
                <w:rFonts w:hint="default" w:ascii="Times New Roman" w:hAnsi="Times New Roman" w:eastAsia="宋体" w:cs="Times New Roman"/>
                <w:color w:val="auto"/>
                <w:sz w:val="24"/>
                <w:szCs w:val="24"/>
                <w:lang w:val="en-US" w:eastAsia="zh-CN"/>
              </w:rPr>
              <w:t>00</w:t>
            </w:r>
          </w:p>
        </w:tc>
        <w:tc>
          <w:tcPr>
            <w:tcW w:w="2333" w:type="dxa"/>
            <w:tcBorders>
              <w:top w:val="single" w:color="000000" w:sz="4" w:space="0"/>
              <w:left w:val="single" w:color="000000" w:sz="4" w:space="0"/>
              <w:bottom w:val="single" w:color="000000" w:sz="4" w:space="0"/>
              <w:right w:val="single" w:color="000000" w:sz="4" w:space="0"/>
            </w:tcBorders>
            <w:noWrap w:val="0"/>
            <w:vAlign w:val="center"/>
          </w:tcPr>
          <w:p w14:paraId="2AF33517">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环保投资（万元）</w:t>
            </w:r>
          </w:p>
        </w:tc>
        <w:tc>
          <w:tcPr>
            <w:tcW w:w="2783" w:type="dxa"/>
            <w:tcBorders>
              <w:top w:val="single" w:color="000000" w:sz="4" w:space="0"/>
              <w:left w:val="single" w:color="000000" w:sz="4" w:space="0"/>
              <w:bottom w:val="single" w:color="000000" w:sz="4" w:space="0"/>
            </w:tcBorders>
            <w:noWrap w:val="0"/>
            <w:vAlign w:val="center"/>
          </w:tcPr>
          <w:p w14:paraId="3FAAC65F">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90</w:t>
            </w:r>
            <w:r>
              <w:rPr>
                <w:rFonts w:hint="default" w:ascii="Times New Roman" w:hAnsi="Times New Roman" w:eastAsia="宋体" w:cs="Times New Roman"/>
                <w:color w:val="auto"/>
                <w:sz w:val="24"/>
                <w:szCs w:val="24"/>
                <w:lang w:val="en-US" w:eastAsia="zh-CN"/>
              </w:rPr>
              <w:t>.65</w:t>
            </w:r>
          </w:p>
        </w:tc>
      </w:tr>
      <w:tr w14:paraId="4B4AAE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5" w:hRule="atLeast"/>
        </w:trPr>
        <w:tc>
          <w:tcPr>
            <w:tcW w:w="2204" w:type="dxa"/>
            <w:tcBorders>
              <w:top w:val="single" w:color="000000" w:sz="4" w:space="0"/>
              <w:bottom w:val="single" w:color="000000" w:sz="4" w:space="0"/>
              <w:right w:val="single" w:color="000000" w:sz="4" w:space="0"/>
            </w:tcBorders>
            <w:noWrap w:val="0"/>
            <w:vAlign w:val="center"/>
          </w:tcPr>
          <w:p w14:paraId="08B81819">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环保投资占比（%）</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262E8912">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eastAsia" w:ascii="Times New Roman" w:hAnsi="Times New Roman" w:cs="Times New Roman"/>
                <w:color w:val="auto"/>
                <w:sz w:val="24"/>
                <w:szCs w:val="24"/>
                <w:lang w:val="en-US" w:eastAsia="zh-CN"/>
              </w:rPr>
              <w:t>18.1</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w:t>
            </w:r>
          </w:p>
        </w:tc>
        <w:tc>
          <w:tcPr>
            <w:tcW w:w="2333" w:type="dxa"/>
            <w:tcBorders>
              <w:top w:val="single" w:color="000000" w:sz="4" w:space="0"/>
              <w:left w:val="single" w:color="000000" w:sz="4" w:space="0"/>
              <w:bottom w:val="single" w:color="000000" w:sz="4" w:space="0"/>
              <w:right w:val="single" w:color="000000" w:sz="4" w:space="0"/>
            </w:tcBorders>
            <w:noWrap w:val="0"/>
            <w:vAlign w:val="center"/>
          </w:tcPr>
          <w:p w14:paraId="34426452">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施工工期</w:t>
            </w:r>
          </w:p>
        </w:tc>
        <w:tc>
          <w:tcPr>
            <w:tcW w:w="2783" w:type="dxa"/>
            <w:tcBorders>
              <w:top w:val="single" w:color="000000" w:sz="4" w:space="0"/>
              <w:left w:val="single" w:color="000000" w:sz="4" w:space="0"/>
              <w:bottom w:val="single" w:color="000000" w:sz="4" w:space="0"/>
            </w:tcBorders>
            <w:noWrap w:val="0"/>
            <w:vAlign w:val="center"/>
          </w:tcPr>
          <w:p w14:paraId="04BF14B3">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eastAsia="zh-CN"/>
              </w:rPr>
              <w:t>12</w:t>
            </w:r>
            <w:r>
              <w:rPr>
                <w:rFonts w:hint="default" w:ascii="Times New Roman" w:hAnsi="Times New Roman" w:eastAsia="宋体" w:cs="Times New Roman"/>
                <w:color w:val="auto"/>
                <w:sz w:val="24"/>
                <w:szCs w:val="24"/>
                <w:lang w:val="en-US"/>
              </w:rPr>
              <w:t>个月</w:t>
            </w:r>
          </w:p>
        </w:tc>
      </w:tr>
      <w:tr w14:paraId="65E0F4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97" w:hRule="atLeast"/>
        </w:trPr>
        <w:tc>
          <w:tcPr>
            <w:tcW w:w="2204" w:type="dxa"/>
            <w:tcBorders>
              <w:top w:val="single" w:color="000000" w:sz="4" w:space="0"/>
              <w:bottom w:val="single" w:color="000000" w:sz="4" w:space="0"/>
              <w:right w:val="single" w:color="000000" w:sz="4" w:space="0"/>
            </w:tcBorders>
            <w:noWrap w:val="0"/>
            <w:vAlign w:val="center"/>
          </w:tcPr>
          <w:p w14:paraId="6512802E">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是否开工建设</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6924E991">
            <w:pPr>
              <w:pStyle w:val="45"/>
              <w:keepNext w:val="0"/>
              <w:keepLines/>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否</w:t>
            </w:r>
          </w:p>
          <w:p w14:paraId="3B9BDEC0">
            <w:pPr>
              <w:pStyle w:val="45"/>
              <w:keepNext w:val="0"/>
              <w:keepLines/>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auto"/>
                <w:sz w:val="24"/>
                <w:szCs w:val="24"/>
              </w:rPr>
            </w:pP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是</w:t>
            </w:r>
          </w:p>
        </w:tc>
        <w:tc>
          <w:tcPr>
            <w:tcW w:w="2333" w:type="dxa"/>
            <w:tcBorders>
              <w:top w:val="single" w:color="000000" w:sz="4" w:space="0"/>
              <w:left w:val="single" w:color="000000" w:sz="4" w:space="0"/>
              <w:bottom w:val="single" w:color="000000" w:sz="4" w:space="0"/>
              <w:right w:val="single" w:color="000000" w:sz="4" w:space="0"/>
            </w:tcBorders>
            <w:noWrap w:val="0"/>
            <w:vAlign w:val="center"/>
          </w:tcPr>
          <w:p w14:paraId="10712752">
            <w:pPr>
              <w:pStyle w:val="45"/>
              <w:keepNext w:val="0"/>
              <w:keepLines/>
              <w:pageBreakBefore w:val="0"/>
              <w:widowControl w:val="0"/>
              <w:kinsoku/>
              <w:wordWrap/>
              <w:overflowPunct/>
              <w:topLinePunct w:val="0"/>
              <w:autoSpaceDE/>
              <w:autoSpaceDN/>
              <w:bidi w:val="0"/>
              <w:adjustRightInd/>
              <w:snapToGrid/>
              <w:spacing w:line="400" w:lineRule="exact"/>
              <w:ind w:hanging="89"/>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用地面积（m</w:t>
            </w:r>
            <w:r>
              <w:rPr>
                <w:rFonts w:hint="default" w:ascii="Times New Roman" w:hAnsi="Times New Roman" w:eastAsia="宋体" w:cs="Times New Roman"/>
                <w:color w:val="auto"/>
                <w:sz w:val="24"/>
                <w:szCs w:val="24"/>
                <w:vertAlign w:val="superscript"/>
                <w:lang w:val="en-US"/>
              </w:rPr>
              <w:t>2</w:t>
            </w:r>
            <w:r>
              <w:rPr>
                <w:rFonts w:hint="default" w:ascii="Times New Roman" w:hAnsi="Times New Roman" w:eastAsia="宋体" w:cs="Times New Roman"/>
                <w:color w:val="auto"/>
                <w:sz w:val="24"/>
                <w:szCs w:val="24"/>
              </w:rPr>
              <w:t>）</w:t>
            </w:r>
          </w:p>
        </w:tc>
        <w:tc>
          <w:tcPr>
            <w:tcW w:w="2783" w:type="dxa"/>
            <w:tcBorders>
              <w:top w:val="single" w:color="000000" w:sz="4" w:space="0"/>
              <w:left w:val="single" w:color="000000" w:sz="4" w:space="0"/>
              <w:bottom w:val="single" w:color="000000" w:sz="4" w:space="0"/>
            </w:tcBorders>
            <w:noWrap w:val="0"/>
            <w:vAlign w:val="center"/>
          </w:tcPr>
          <w:p w14:paraId="53111645">
            <w:pPr>
              <w:pStyle w:val="45"/>
              <w:keepNext w:val="0"/>
              <w:keepLines/>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eastAsia="zh-CN"/>
              </w:rPr>
              <w:t>不新增占地</w:t>
            </w:r>
          </w:p>
        </w:tc>
      </w:tr>
      <w:tr w14:paraId="36A95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trPr>
        <w:tc>
          <w:tcPr>
            <w:tcW w:w="2204" w:type="dxa"/>
            <w:tcBorders>
              <w:top w:val="single" w:color="000000" w:sz="4" w:space="0"/>
              <w:bottom w:val="single" w:color="000000" w:sz="4" w:space="0"/>
              <w:right w:val="single" w:color="000000" w:sz="4" w:space="0"/>
            </w:tcBorders>
            <w:noWrap w:val="0"/>
            <w:vAlign w:val="center"/>
          </w:tcPr>
          <w:p w14:paraId="1759979A">
            <w:pPr>
              <w:pStyle w:val="4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专项评价设置情况</w:t>
            </w:r>
          </w:p>
        </w:tc>
        <w:tc>
          <w:tcPr>
            <w:tcW w:w="6879" w:type="dxa"/>
            <w:gridSpan w:val="3"/>
            <w:tcBorders>
              <w:top w:val="single" w:color="000000" w:sz="4" w:space="0"/>
              <w:left w:val="single" w:color="000000" w:sz="4" w:space="0"/>
              <w:bottom w:val="single" w:color="000000" w:sz="4" w:space="0"/>
            </w:tcBorders>
            <w:noWrap w:val="0"/>
            <w:vAlign w:val="center"/>
          </w:tcPr>
          <w:p w14:paraId="64EC53BF">
            <w:pPr>
              <w:pStyle w:val="45"/>
              <w:keepLines/>
              <w:autoSpaceDE/>
              <w:autoSpaceDN/>
              <w:spacing w:line="520" w:lineRule="exact"/>
              <w:ind w:firstLine="480" w:firstLineChars="200"/>
              <w:jc w:val="both"/>
              <w:rPr>
                <w:rFonts w:hint="default" w:ascii="Times New Roman" w:hAnsi="Times New Roman" w:cs="Times New Roman"/>
                <w:b/>
                <w:bCs/>
                <w:color w:val="auto"/>
                <w:sz w:val="24"/>
                <w:szCs w:val="24"/>
                <w:lang w:val="en-US"/>
              </w:rPr>
            </w:pPr>
            <w:r>
              <w:rPr>
                <w:rFonts w:hint="default" w:ascii="Times New Roman" w:hAnsi="Times New Roman" w:cs="Times New Roman"/>
                <w:color w:val="auto"/>
                <w:sz w:val="24"/>
                <w:szCs w:val="24"/>
                <w:lang w:val="en-US"/>
              </w:rPr>
              <w:t>根据《建设项目环境影响报告表编制技术指南（污染影响类）（试行）》判别，本项目不</w:t>
            </w:r>
            <w:r>
              <w:rPr>
                <w:rFonts w:hint="default" w:ascii="Times New Roman" w:hAnsi="Times New Roman" w:cs="Times New Roman"/>
                <w:color w:val="auto"/>
                <w:sz w:val="24"/>
                <w:szCs w:val="24"/>
                <w:lang w:val="en-US" w:eastAsia="zh-CN"/>
              </w:rPr>
              <w:t>需</w:t>
            </w:r>
            <w:r>
              <w:rPr>
                <w:rFonts w:hint="default" w:ascii="Times New Roman" w:hAnsi="Times New Roman" w:cs="Times New Roman"/>
                <w:color w:val="auto"/>
                <w:sz w:val="24"/>
                <w:szCs w:val="24"/>
                <w:lang w:val="en-US"/>
              </w:rPr>
              <w:t>开展专项评价。</w:t>
            </w:r>
          </w:p>
          <w:p w14:paraId="582D4868">
            <w:pPr>
              <w:pStyle w:val="45"/>
              <w:keepNext w:val="0"/>
              <w:keepLines w:val="0"/>
              <w:pageBreakBefore w:val="0"/>
              <w:widowControl w:val="0"/>
              <w:kinsoku w:val="0"/>
              <w:wordWrap/>
              <w:overflowPunct/>
              <w:topLinePunct w:val="0"/>
              <w:autoSpaceDE w:val="0"/>
              <w:autoSpaceDN w:val="0"/>
              <w:bidi w:val="0"/>
              <w:adjustRightInd/>
              <w:snapToGrid/>
              <w:spacing w:line="520" w:lineRule="exact"/>
              <w:ind w:firstLine="0" w:firstLineChars="0"/>
              <w:jc w:val="center"/>
              <w:textAlignment w:val="auto"/>
              <w:rPr>
                <w:rFonts w:hint="default" w:ascii="Times New Roman" w:hAnsi="Times New Roman" w:cs="Times New Roman"/>
                <w:b/>
                <w:bCs/>
                <w:color w:val="auto"/>
                <w:sz w:val="24"/>
                <w:szCs w:val="24"/>
                <w:lang w:val="en-US"/>
              </w:rPr>
            </w:pPr>
            <w:r>
              <w:rPr>
                <w:rFonts w:hint="default" w:ascii="Times New Roman" w:hAnsi="Times New Roman" w:cs="Times New Roman"/>
                <w:b/>
                <w:bCs/>
                <w:color w:val="auto"/>
                <w:sz w:val="24"/>
                <w:szCs w:val="24"/>
                <w:lang w:val="en-US"/>
              </w:rPr>
              <w:t xml:space="preserve">表1-1 </w:t>
            </w:r>
            <w:r>
              <w:rPr>
                <w:rFonts w:hint="eastAsia"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lang w:val="en-US"/>
              </w:rPr>
              <w:t>项目专项评价设置情况判定表</w:t>
            </w:r>
          </w:p>
          <w:tbl>
            <w:tblPr>
              <w:tblStyle w:val="20"/>
              <w:tblW w:w="495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2576"/>
              <w:gridCol w:w="2350"/>
              <w:gridCol w:w="807"/>
            </w:tblGrid>
            <w:tr w14:paraId="61FC42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66" w:type="dxa"/>
                  <w:noWrap w:val="0"/>
                  <w:vAlign w:val="center"/>
                </w:tcPr>
                <w:p w14:paraId="51E3CAA9">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专项评价的类别</w:t>
                  </w:r>
                </w:p>
              </w:tc>
              <w:tc>
                <w:tcPr>
                  <w:tcW w:w="2576" w:type="dxa"/>
                  <w:noWrap w:val="0"/>
                  <w:vAlign w:val="center"/>
                </w:tcPr>
                <w:p w14:paraId="1867B067">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设置原则</w:t>
                  </w:r>
                </w:p>
              </w:tc>
              <w:tc>
                <w:tcPr>
                  <w:tcW w:w="2350" w:type="dxa"/>
                  <w:noWrap w:val="0"/>
                  <w:vAlign w:val="center"/>
                </w:tcPr>
                <w:p w14:paraId="7EC654EF">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本项目情况</w:t>
                  </w:r>
                </w:p>
              </w:tc>
              <w:tc>
                <w:tcPr>
                  <w:tcW w:w="807" w:type="dxa"/>
                  <w:noWrap w:val="0"/>
                  <w:vAlign w:val="center"/>
                </w:tcPr>
                <w:p w14:paraId="396F4366">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专项设置</w:t>
                  </w:r>
                </w:p>
              </w:tc>
            </w:tr>
            <w:tr w14:paraId="0FEED6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66" w:type="dxa"/>
                  <w:noWrap w:val="0"/>
                  <w:vAlign w:val="center"/>
                </w:tcPr>
                <w:p w14:paraId="3AFEFB62">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大气</w:t>
                  </w:r>
                </w:p>
              </w:tc>
              <w:tc>
                <w:tcPr>
                  <w:tcW w:w="2576" w:type="dxa"/>
                  <w:noWrap w:val="0"/>
                  <w:vAlign w:val="center"/>
                </w:tcPr>
                <w:p w14:paraId="3B569BBD">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排放废气含有有毒有害污染物、二噁英、苯并芘、氰化物、氯气且厂界外500m范围内有环境空气保护目标的建设项目</w:t>
                  </w:r>
                </w:p>
              </w:tc>
              <w:tc>
                <w:tcPr>
                  <w:tcW w:w="2350" w:type="dxa"/>
                  <w:noWrap w:val="0"/>
                  <w:vAlign w:val="center"/>
                </w:tcPr>
                <w:p w14:paraId="1BE88AF0">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rPr>
                    <w:t>本项目</w:t>
                  </w:r>
                  <w:r>
                    <w:rPr>
                      <w:rFonts w:hint="default" w:ascii="Times New Roman" w:hAnsi="Times New Roman" w:eastAsia="宋体" w:cs="Times New Roman"/>
                      <w:color w:val="auto"/>
                      <w:sz w:val="21"/>
                      <w:szCs w:val="21"/>
                    </w:rPr>
                    <w:t>运营</w:t>
                  </w:r>
                  <w:r>
                    <w:rPr>
                      <w:rFonts w:hint="default" w:ascii="Times New Roman" w:hAnsi="Times New Roman" w:eastAsia="宋体" w:cs="Times New Roman"/>
                      <w:color w:val="auto"/>
                      <w:sz w:val="21"/>
                      <w:szCs w:val="21"/>
                      <w:lang w:val="en-US"/>
                    </w:rPr>
                    <w:t>过程中</w:t>
                  </w:r>
                  <w:r>
                    <w:rPr>
                      <w:rFonts w:hint="default" w:ascii="Times New Roman" w:hAnsi="Times New Roman" w:eastAsia="宋体" w:cs="Times New Roman"/>
                      <w:color w:val="auto"/>
                      <w:sz w:val="21"/>
                      <w:szCs w:val="21"/>
                      <w:lang w:val="en-US" w:eastAsia="zh-CN"/>
                    </w:rPr>
                    <w:t>排放</w:t>
                  </w:r>
                  <w:r>
                    <w:rPr>
                      <w:rFonts w:hint="default" w:ascii="Times New Roman" w:hAnsi="Times New Roman" w:eastAsia="宋体" w:cs="Times New Roman"/>
                      <w:color w:val="auto"/>
                      <w:sz w:val="21"/>
                      <w:szCs w:val="21"/>
                      <w:lang w:val="en-US"/>
                    </w:rPr>
                    <w:t>废气</w:t>
                  </w:r>
                  <w:r>
                    <w:rPr>
                      <w:rFonts w:hint="default" w:ascii="Times New Roman" w:hAnsi="Times New Roman" w:eastAsia="宋体" w:cs="Times New Roman"/>
                      <w:color w:val="auto"/>
                      <w:sz w:val="21"/>
                      <w:szCs w:val="21"/>
                      <w:lang w:val="en-US" w:eastAsia="zh-CN"/>
                    </w:rPr>
                    <w:t>不</w:t>
                  </w:r>
                  <w:r>
                    <w:rPr>
                      <w:rFonts w:hint="default" w:ascii="Times New Roman" w:hAnsi="Times New Roman" w:eastAsia="宋体" w:cs="Times New Roman"/>
                      <w:color w:val="auto"/>
                      <w:sz w:val="21"/>
                      <w:szCs w:val="21"/>
                      <w:lang w:val="en-US"/>
                    </w:rPr>
                    <w:t>含有有毒有害污染物、二噁英、苯并芘、氰化物、氯气</w:t>
                  </w:r>
                  <w:r>
                    <w:rPr>
                      <w:rFonts w:hint="default" w:ascii="Times New Roman" w:hAnsi="Times New Roman" w:eastAsia="宋体" w:cs="Times New Roman"/>
                      <w:color w:val="auto"/>
                      <w:sz w:val="21"/>
                      <w:szCs w:val="21"/>
                      <w:lang w:val="en-US" w:eastAsia="zh-CN"/>
                    </w:rPr>
                    <w:t>等</w:t>
                  </w:r>
                </w:p>
              </w:tc>
              <w:tc>
                <w:tcPr>
                  <w:tcW w:w="807" w:type="dxa"/>
                  <w:noWrap w:val="0"/>
                  <w:vAlign w:val="center"/>
                </w:tcPr>
                <w:p w14:paraId="055ADFEB">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无</w:t>
                  </w:r>
                </w:p>
              </w:tc>
            </w:tr>
            <w:tr w14:paraId="2C53C0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66" w:type="dxa"/>
                  <w:noWrap w:val="0"/>
                  <w:vAlign w:val="center"/>
                </w:tcPr>
                <w:p w14:paraId="1865C1D0">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地表水</w:t>
                  </w:r>
                </w:p>
              </w:tc>
              <w:tc>
                <w:tcPr>
                  <w:tcW w:w="2576" w:type="dxa"/>
                  <w:noWrap w:val="0"/>
                  <w:vAlign w:val="center"/>
                </w:tcPr>
                <w:p w14:paraId="2ECA44F9">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新增工业废水直排建设项目（槽罐车外送污水处理厂的除外）；新增废水直排的污水集中处理厂</w:t>
                  </w:r>
                </w:p>
              </w:tc>
              <w:tc>
                <w:tcPr>
                  <w:tcW w:w="2350" w:type="dxa"/>
                  <w:noWrap w:val="0"/>
                  <w:vAlign w:val="center"/>
                </w:tcPr>
                <w:p w14:paraId="42439590">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本项目</w:t>
                  </w:r>
                  <w:r>
                    <w:rPr>
                      <w:rFonts w:hint="default" w:ascii="Times New Roman" w:hAnsi="Times New Roman" w:eastAsia="宋体" w:cs="Times New Roman"/>
                      <w:color w:val="auto"/>
                      <w:sz w:val="21"/>
                      <w:szCs w:val="21"/>
                      <w:lang w:val="en-US" w:eastAsia="zh-CN"/>
                    </w:rPr>
                    <w:t>不属于</w:t>
                  </w:r>
                  <w:r>
                    <w:rPr>
                      <w:rFonts w:hint="default" w:ascii="Times New Roman" w:hAnsi="Times New Roman" w:eastAsia="宋体" w:cs="Times New Roman"/>
                      <w:color w:val="auto"/>
                      <w:sz w:val="21"/>
                      <w:szCs w:val="21"/>
                    </w:rPr>
                    <w:t>新增工业废水直排建设项目</w:t>
                  </w:r>
                </w:p>
              </w:tc>
              <w:tc>
                <w:tcPr>
                  <w:tcW w:w="807" w:type="dxa"/>
                  <w:noWrap w:val="0"/>
                  <w:vAlign w:val="center"/>
                </w:tcPr>
                <w:p w14:paraId="3E5CF3A2">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无</w:t>
                  </w:r>
                </w:p>
              </w:tc>
            </w:tr>
            <w:tr w14:paraId="7B13B3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66" w:type="dxa"/>
                  <w:noWrap w:val="0"/>
                  <w:vAlign w:val="center"/>
                </w:tcPr>
                <w:p w14:paraId="235FD25D">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环境风险</w:t>
                  </w:r>
                </w:p>
              </w:tc>
              <w:tc>
                <w:tcPr>
                  <w:tcW w:w="2576" w:type="dxa"/>
                  <w:noWrap w:val="0"/>
                  <w:vAlign w:val="center"/>
                </w:tcPr>
                <w:p w14:paraId="1F6DC3ED">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有毒有害和易燃易爆危险物质存储量超过临界量的建设项目</w:t>
                  </w:r>
                </w:p>
              </w:tc>
              <w:tc>
                <w:tcPr>
                  <w:tcW w:w="2350" w:type="dxa"/>
                  <w:noWrap w:val="0"/>
                  <w:vAlign w:val="center"/>
                </w:tcPr>
                <w:p w14:paraId="2168A973">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eastAsia="zh-CN"/>
                    </w:rPr>
                    <w:t>本项目危废暂存库暂存</w:t>
                  </w:r>
                  <w:r>
                    <w:rPr>
                      <w:rFonts w:hint="default" w:ascii="Times New Roman" w:hAnsi="Times New Roman" w:eastAsia="宋体" w:cs="Times New Roman"/>
                      <w:color w:val="auto"/>
                      <w:sz w:val="21"/>
                      <w:szCs w:val="21"/>
                      <w:lang w:val="en-US"/>
                    </w:rPr>
                    <w:t>危险物质存储量</w:t>
                  </w:r>
                  <w:r>
                    <w:rPr>
                      <w:rFonts w:hint="default" w:ascii="Times New Roman" w:hAnsi="Times New Roman" w:eastAsia="宋体" w:cs="Times New Roman"/>
                      <w:color w:val="auto"/>
                      <w:sz w:val="21"/>
                      <w:szCs w:val="21"/>
                      <w:lang w:val="en-US" w:eastAsia="zh-CN"/>
                    </w:rPr>
                    <w:t>未</w:t>
                  </w:r>
                  <w:r>
                    <w:rPr>
                      <w:rFonts w:hint="default" w:ascii="Times New Roman" w:hAnsi="Times New Roman" w:eastAsia="宋体" w:cs="Times New Roman"/>
                      <w:color w:val="auto"/>
                      <w:sz w:val="21"/>
                      <w:szCs w:val="21"/>
                      <w:lang w:val="en-US"/>
                    </w:rPr>
                    <w:t>超过临界量</w:t>
                  </w:r>
                </w:p>
              </w:tc>
              <w:tc>
                <w:tcPr>
                  <w:tcW w:w="807" w:type="dxa"/>
                  <w:noWrap w:val="0"/>
                  <w:vAlign w:val="center"/>
                </w:tcPr>
                <w:p w14:paraId="2E0276D3">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无</w:t>
                  </w:r>
                </w:p>
              </w:tc>
            </w:tr>
            <w:tr w14:paraId="5ABFE2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66" w:type="dxa"/>
                  <w:noWrap w:val="0"/>
                  <w:vAlign w:val="center"/>
                </w:tcPr>
                <w:p w14:paraId="6F845B13">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生态</w:t>
                  </w:r>
                </w:p>
              </w:tc>
              <w:tc>
                <w:tcPr>
                  <w:tcW w:w="2576" w:type="dxa"/>
                  <w:noWrap w:val="0"/>
                  <w:vAlign w:val="center"/>
                </w:tcPr>
                <w:p w14:paraId="650F0A3E">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取水口下游500m范围内有重要水生生物的自然产卵场、索饵场、越冬场和洄游通道的新增河道取水的污染类建设项目</w:t>
                  </w:r>
                </w:p>
              </w:tc>
              <w:tc>
                <w:tcPr>
                  <w:tcW w:w="2350" w:type="dxa"/>
                  <w:noWrap w:val="0"/>
                  <w:vAlign w:val="center"/>
                </w:tcPr>
                <w:p w14:paraId="130A27F1">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不涉及</w:t>
                  </w:r>
                </w:p>
              </w:tc>
              <w:tc>
                <w:tcPr>
                  <w:tcW w:w="807" w:type="dxa"/>
                  <w:noWrap w:val="0"/>
                  <w:vAlign w:val="center"/>
                </w:tcPr>
                <w:p w14:paraId="0F8F5DE7">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无</w:t>
                  </w:r>
                </w:p>
              </w:tc>
            </w:tr>
            <w:tr w14:paraId="0E93B6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66" w:type="dxa"/>
                  <w:noWrap w:val="0"/>
                  <w:vAlign w:val="center"/>
                </w:tcPr>
                <w:p w14:paraId="32118470">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海洋</w:t>
                  </w:r>
                </w:p>
              </w:tc>
              <w:tc>
                <w:tcPr>
                  <w:tcW w:w="2576" w:type="dxa"/>
                  <w:noWrap w:val="0"/>
                  <w:vAlign w:val="center"/>
                </w:tcPr>
                <w:p w14:paraId="4B910F67">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直接向海洋排放污染物的海洋工程建设项目</w:t>
                  </w:r>
                </w:p>
              </w:tc>
              <w:tc>
                <w:tcPr>
                  <w:tcW w:w="2350" w:type="dxa"/>
                  <w:noWrap w:val="0"/>
                  <w:vAlign w:val="center"/>
                </w:tcPr>
                <w:p w14:paraId="4D46DB1E">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不涉及</w:t>
                  </w:r>
                </w:p>
              </w:tc>
              <w:tc>
                <w:tcPr>
                  <w:tcW w:w="807" w:type="dxa"/>
                  <w:noWrap w:val="0"/>
                  <w:vAlign w:val="center"/>
                </w:tcPr>
                <w:p w14:paraId="3395135D">
                  <w:pPr>
                    <w:pStyle w:val="45"/>
                    <w:keepNext w:val="0"/>
                    <w:keepLines/>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无</w:t>
                  </w:r>
                </w:p>
              </w:tc>
            </w:tr>
          </w:tbl>
          <w:p w14:paraId="3CC6D6CE">
            <w:pPr>
              <w:pStyle w:val="45"/>
              <w:keepLines/>
              <w:autoSpaceDE/>
              <w:autoSpaceDN/>
              <w:spacing w:line="520" w:lineRule="exact"/>
              <w:jc w:val="center"/>
              <w:rPr>
                <w:rFonts w:hint="default" w:ascii="Times New Roman" w:hAnsi="Times New Roman" w:cs="Times New Roman"/>
                <w:color w:val="auto"/>
                <w:sz w:val="24"/>
                <w:szCs w:val="24"/>
              </w:rPr>
            </w:pPr>
          </w:p>
        </w:tc>
      </w:tr>
      <w:tr w14:paraId="6B5231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trPr>
        <w:tc>
          <w:tcPr>
            <w:tcW w:w="2204" w:type="dxa"/>
            <w:tcBorders>
              <w:top w:val="single" w:color="000000" w:sz="4" w:space="0"/>
              <w:bottom w:val="single" w:color="000000" w:sz="4" w:space="0"/>
              <w:right w:val="single" w:color="000000" w:sz="4" w:space="0"/>
            </w:tcBorders>
            <w:noWrap w:val="0"/>
            <w:vAlign w:val="center"/>
          </w:tcPr>
          <w:p w14:paraId="0948E64A">
            <w:pPr>
              <w:pStyle w:val="4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规划情况</w:t>
            </w:r>
          </w:p>
        </w:tc>
        <w:tc>
          <w:tcPr>
            <w:tcW w:w="6879" w:type="dxa"/>
            <w:gridSpan w:val="3"/>
            <w:tcBorders>
              <w:top w:val="single" w:color="000000" w:sz="4" w:space="0"/>
              <w:left w:val="single" w:color="000000" w:sz="4" w:space="0"/>
              <w:bottom w:val="single" w:color="000000" w:sz="4" w:space="0"/>
            </w:tcBorders>
            <w:noWrap w:val="0"/>
            <w:vAlign w:val="center"/>
          </w:tcPr>
          <w:p w14:paraId="62A78606">
            <w:pPr>
              <w:pStyle w:val="45"/>
              <w:keepNext w:val="0"/>
              <w:keepLines/>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w w:val="99"/>
                <w:sz w:val="24"/>
                <w:szCs w:val="24"/>
              </w:rPr>
              <w:t>无</w:t>
            </w:r>
          </w:p>
        </w:tc>
      </w:tr>
      <w:tr w14:paraId="14A966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trPr>
        <w:tc>
          <w:tcPr>
            <w:tcW w:w="2204" w:type="dxa"/>
            <w:tcBorders>
              <w:top w:val="single" w:color="000000" w:sz="4" w:space="0"/>
              <w:bottom w:val="single" w:color="000000" w:sz="4" w:space="0"/>
              <w:right w:val="single" w:color="000000" w:sz="4" w:space="0"/>
            </w:tcBorders>
            <w:noWrap w:val="0"/>
            <w:vAlign w:val="center"/>
          </w:tcPr>
          <w:p w14:paraId="43420032">
            <w:pPr>
              <w:pStyle w:val="4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规划环境影响</w:t>
            </w:r>
          </w:p>
          <w:p w14:paraId="48D467FF">
            <w:pPr>
              <w:pStyle w:val="4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评价情况</w:t>
            </w:r>
          </w:p>
        </w:tc>
        <w:tc>
          <w:tcPr>
            <w:tcW w:w="6879" w:type="dxa"/>
            <w:gridSpan w:val="3"/>
            <w:tcBorders>
              <w:top w:val="single" w:color="000000" w:sz="4" w:space="0"/>
              <w:left w:val="single" w:color="000000" w:sz="4" w:space="0"/>
              <w:bottom w:val="single" w:color="000000" w:sz="4" w:space="0"/>
            </w:tcBorders>
            <w:noWrap w:val="0"/>
            <w:vAlign w:val="center"/>
          </w:tcPr>
          <w:p w14:paraId="2D75EF3A">
            <w:pPr>
              <w:pStyle w:val="45"/>
              <w:keepNext w:val="0"/>
              <w:keepLines/>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w w:val="99"/>
                <w:sz w:val="24"/>
                <w:szCs w:val="24"/>
              </w:rPr>
              <w:t>无</w:t>
            </w:r>
          </w:p>
        </w:tc>
      </w:tr>
      <w:tr w14:paraId="7EC71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trPr>
        <w:tc>
          <w:tcPr>
            <w:tcW w:w="2204" w:type="dxa"/>
            <w:tcBorders>
              <w:top w:val="single" w:color="000000" w:sz="4" w:space="0"/>
              <w:bottom w:val="single" w:color="000000" w:sz="4" w:space="0"/>
              <w:right w:val="single" w:color="000000" w:sz="4" w:space="0"/>
            </w:tcBorders>
            <w:noWrap w:val="0"/>
            <w:vAlign w:val="center"/>
          </w:tcPr>
          <w:p w14:paraId="59672028">
            <w:pPr>
              <w:pStyle w:val="45"/>
              <w:keepNext w:val="0"/>
              <w:keepLines w:val="0"/>
              <w:pageBreakBefore w:val="0"/>
              <w:widowControl w:val="0"/>
              <w:kinsoku/>
              <w:wordWrap/>
              <w:overflowPunct/>
              <w:topLinePunct w:val="0"/>
              <w:autoSpaceDE/>
              <w:autoSpaceDN/>
              <w:bidi w:val="0"/>
              <w:adjustRightInd/>
              <w:snapToGrid/>
              <w:spacing w:line="520" w:lineRule="exact"/>
              <w:ind w:firstLine="208"/>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规划及规划环境</w:t>
            </w:r>
            <w:r>
              <w:rPr>
                <w:rFonts w:hint="default" w:ascii="Times New Roman" w:hAnsi="Times New Roman" w:cs="Times New Roman"/>
                <w:color w:val="auto"/>
                <w:spacing w:val="-2"/>
                <w:sz w:val="24"/>
                <w:szCs w:val="24"/>
              </w:rPr>
              <w:t>影响评价符合性分析</w:t>
            </w:r>
          </w:p>
        </w:tc>
        <w:tc>
          <w:tcPr>
            <w:tcW w:w="6879" w:type="dxa"/>
            <w:gridSpan w:val="3"/>
            <w:tcBorders>
              <w:top w:val="single" w:color="000000" w:sz="4" w:space="0"/>
              <w:left w:val="single" w:color="000000" w:sz="4" w:space="0"/>
              <w:bottom w:val="single" w:color="000000" w:sz="4" w:space="0"/>
            </w:tcBorders>
            <w:noWrap w:val="0"/>
            <w:vAlign w:val="center"/>
          </w:tcPr>
          <w:p w14:paraId="312A4A22">
            <w:pPr>
              <w:pStyle w:val="45"/>
              <w:keepNext w:val="0"/>
              <w:keepLines/>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w w:val="99"/>
                <w:sz w:val="24"/>
                <w:szCs w:val="24"/>
              </w:rPr>
              <w:t>无</w:t>
            </w:r>
          </w:p>
        </w:tc>
      </w:tr>
      <w:tr w14:paraId="66CC0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trPr>
        <w:tc>
          <w:tcPr>
            <w:tcW w:w="2204" w:type="dxa"/>
            <w:tcBorders>
              <w:top w:val="single" w:color="000000" w:sz="4" w:space="0"/>
              <w:bottom w:val="single" w:color="000000" w:sz="4" w:space="0"/>
              <w:right w:val="single" w:color="000000" w:sz="4" w:space="0"/>
            </w:tcBorders>
            <w:noWrap w:val="0"/>
            <w:vAlign w:val="center"/>
          </w:tcPr>
          <w:p w14:paraId="0FDFC4E5">
            <w:pPr>
              <w:pStyle w:val="45"/>
              <w:keepNext w:val="0"/>
              <w:keepLines w:val="0"/>
              <w:pageBreakBefore w:val="0"/>
              <w:widowControl w:val="0"/>
              <w:kinsoku/>
              <w:wordWrap/>
              <w:overflowPunct/>
              <w:topLinePunct w:val="0"/>
              <w:autoSpaceDE/>
              <w:autoSpaceDN/>
              <w:bidi w:val="0"/>
              <w:adjustRightInd/>
              <w:snapToGrid/>
              <w:spacing w:line="520" w:lineRule="exact"/>
              <w:ind w:firstLine="208"/>
              <w:jc w:val="center"/>
              <w:textAlignment w:val="auto"/>
              <w:rPr>
                <w:rFonts w:hint="default" w:ascii="Times New Roman" w:hAnsi="Times New Roman" w:cs="Times New Roman"/>
                <w:color w:val="auto"/>
                <w:spacing w:val="-2"/>
                <w:sz w:val="24"/>
                <w:szCs w:val="24"/>
              </w:rPr>
            </w:pPr>
            <w:r>
              <w:rPr>
                <w:rFonts w:hint="default" w:ascii="Times New Roman" w:hAnsi="Times New Roman" w:cs="Times New Roman"/>
                <w:color w:val="auto"/>
                <w:spacing w:val="-2"/>
                <w:sz w:val="24"/>
                <w:szCs w:val="24"/>
                <w:lang w:val="en-US"/>
              </w:rPr>
              <w:t>其他符合性分析</w:t>
            </w:r>
          </w:p>
        </w:tc>
        <w:tc>
          <w:tcPr>
            <w:tcW w:w="6879" w:type="dxa"/>
            <w:gridSpan w:val="3"/>
            <w:tcBorders>
              <w:top w:val="single" w:color="000000" w:sz="4" w:space="0"/>
              <w:left w:val="single" w:color="000000" w:sz="4" w:space="0"/>
              <w:bottom w:val="single" w:color="000000" w:sz="4" w:space="0"/>
            </w:tcBorders>
            <w:noWrap w:val="0"/>
            <w:vAlign w:val="center"/>
          </w:tcPr>
          <w:p w14:paraId="485465F3">
            <w:pPr>
              <w:pStyle w:val="45"/>
              <w:keepNext/>
              <w:spacing w:line="520" w:lineRule="exact"/>
              <w:ind w:firstLine="482" w:firstLineChars="200"/>
              <w:jc w:val="both"/>
              <w:rPr>
                <w:rFonts w:hint="eastAsia"/>
                <w:b/>
                <w:bCs/>
                <w:color w:val="auto"/>
                <w:sz w:val="24"/>
                <w:szCs w:val="24"/>
              </w:rPr>
            </w:pPr>
            <w:r>
              <w:rPr>
                <w:rFonts w:hint="eastAsia"/>
                <w:b/>
                <w:bCs/>
                <w:color w:val="auto"/>
                <w:sz w:val="24"/>
                <w:szCs w:val="24"/>
                <w:lang w:val="en-US"/>
              </w:rPr>
              <w:t>1、</w:t>
            </w:r>
            <w:r>
              <w:rPr>
                <w:rFonts w:hint="eastAsia"/>
                <w:b/>
                <w:bCs/>
                <w:color w:val="auto"/>
                <w:sz w:val="24"/>
                <w:szCs w:val="24"/>
              </w:rPr>
              <w:t>与“生态环境</w:t>
            </w:r>
            <w:r>
              <w:rPr>
                <w:rFonts w:hint="eastAsia"/>
                <w:b/>
                <w:bCs/>
                <w:color w:val="auto"/>
                <w:sz w:val="24"/>
                <w:szCs w:val="24"/>
                <w:lang w:eastAsia="zh-CN"/>
              </w:rPr>
              <w:t>分区管控</w:t>
            </w:r>
            <w:r>
              <w:rPr>
                <w:rFonts w:hint="eastAsia"/>
                <w:b/>
                <w:bCs/>
                <w:color w:val="auto"/>
                <w:sz w:val="24"/>
                <w:szCs w:val="24"/>
              </w:rPr>
              <w:t>”符合性分析</w:t>
            </w:r>
          </w:p>
          <w:p w14:paraId="00F2FA4A">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lang w:val="zh-CN"/>
              </w:rPr>
            </w:pPr>
            <w:r>
              <w:rPr>
                <w:rFonts w:hint="default" w:ascii="Times New Roman" w:hAnsi="Times New Roman" w:eastAsia="宋体" w:cs="Times New Roman"/>
                <w:color w:val="auto"/>
                <w:sz w:val="24"/>
                <w:szCs w:val="24"/>
                <w:lang w:val="zh-CN"/>
              </w:rPr>
              <w:t>根据</w:t>
            </w:r>
            <w:r>
              <w:rPr>
                <w:rFonts w:hint="default" w:ascii="Times New Roman" w:hAnsi="Times New Roman" w:eastAsia="宋体" w:cs="Times New Roman"/>
                <w:color w:val="auto"/>
                <w:sz w:val="24"/>
                <w:szCs w:val="24"/>
                <w:lang w:val="zh-CN" w:eastAsia="zh-CN"/>
              </w:rPr>
              <w:t>生态环境部《2023年生态环境分区管控成果动态更新工作方案》（环办环评函〔2023〕81号）、自治区生态环境厅《关于开展2023年生态环境分区管控成果动态更新工作的通知》（内环办〔2023〕89号）有关要求</w:t>
            </w:r>
            <w:r>
              <w:rPr>
                <w:rFonts w:hint="default" w:ascii="Times New Roman" w:hAnsi="Times New Roman" w:eastAsia="宋体" w:cs="Times New Roman"/>
                <w:color w:val="auto"/>
                <w:sz w:val="24"/>
                <w:szCs w:val="24"/>
                <w:lang w:val="zh-CN"/>
              </w:rPr>
              <w:t>，</w:t>
            </w:r>
            <w:r>
              <w:rPr>
                <w:rFonts w:hint="default" w:ascii="Times New Roman" w:hAnsi="Times New Roman" w:eastAsia="宋体" w:cs="Times New Roman"/>
                <w:color w:val="auto"/>
                <w:sz w:val="24"/>
                <w:szCs w:val="24"/>
                <w:lang w:val="zh-CN" w:eastAsia="zh-CN"/>
              </w:rPr>
              <w:t>结合</w:t>
            </w:r>
            <w:r>
              <w:rPr>
                <w:rFonts w:hint="default" w:ascii="Times New Roman" w:hAnsi="Times New Roman" w:eastAsia="宋体" w:cs="Times New Roman"/>
                <w:color w:val="auto"/>
                <w:sz w:val="24"/>
                <w:szCs w:val="24"/>
                <w:lang w:val="zh-CN"/>
              </w:rPr>
              <w:t>鄂尔多斯市</w:t>
            </w:r>
            <w:r>
              <w:rPr>
                <w:rFonts w:hint="default" w:ascii="Times New Roman" w:hAnsi="Times New Roman" w:eastAsia="宋体" w:cs="Times New Roman"/>
                <w:color w:val="auto"/>
                <w:sz w:val="24"/>
                <w:szCs w:val="24"/>
                <w:lang w:val="zh-CN" w:eastAsia="zh-CN"/>
              </w:rPr>
              <w:t>“十四五”时期各相关规划、国土空间规划及最新政策要求，印发《鄂尔多斯市生态环境分区管控动态更新成果（2023年版）》。</w:t>
            </w:r>
          </w:p>
          <w:p w14:paraId="2A9E1941">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lang w:val="zh-CN"/>
              </w:rPr>
            </w:pPr>
            <w:r>
              <w:rPr>
                <w:rFonts w:hint="default" w:ascii="Times New Roman" w:hAnsi="Times New Roman" w:eastAsia="宋体" w:cs="Times New Roman"/>
                <w:color w:val="auto"/>
                <w:sz w:val="24"/>
                <w:szCs w:val="24"/>
                <w:lang w:val="zh-CN"/>
              </w:rPr>
              <w:t>基于生态保护红线、环境质量底线、资源利用上线，充分吸纳整合已有相关规划、功能区划、行动计划等要求，从空间布局约束、污染物排放管控、环境风险防控和资源利用效率等方面明确生态环境准入要求，建立两级生态环境准入清单管控体系，即1个鄂尔多斯市总体准入清单、</w:t>
            </w:r>
            <w:r>
              <w:rPr>
                <w:rFonts w:hint="default" w:ascii="Times New Roman" w:hAnsi="Times New Roman" w:eastAsia="宋体" w:cs="Times New Roman"/>
                <w:color w:val="auto"/>
                <w:sz w:val="24"/>
                <w:szCs w:val="24"/>
                <w:lang w:val="en-US" w:eastAsia="zh-CN"/>
              </w:rPr>
              <w:t>171</w:t>
            </w:r>
            <w:r>
              <w:rPr>
                <w:rFonts w:hint="default" w:ascii="Times New Roman" w:hAnsi="Times New Roman" w:eastAsia="宋体" w:cs="Times New Roman"/>
                <w:color w:val="auto"/>
                <w:sz w:val="24"/>
                <w:szCs w:val="24"/>
                <w:lang w:val="zh-CN"/>
              </w:rPr>
              <w:t>个环境管控单元准入清单，包括优先保护单元、重点管控单元、一般管控单元三类，实施分类管控。</w:t>
            </w:r>
          </w:p>
          <w:p w14:paraId="06BBA7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lang w:val="zh-CN"/>
              </w:rPr>
            </w:pPr>
            <w:r>
              <w:rPr>
                <w:rFonts w:hint="default" w:ascii="Times New Roman" w:hAnsi="Times New Roman" w:eastAsia="宋体" w:cs="Times New Roman"/>
                <w:color w:val="auto"/>
                <w:sz w:val="24"/>
                <w:szCs w:val="24"/>
                <w:lang w:val="zh-CN"/>
              </w:rPr>
              <w:t>优先保护单元：共</w:t>
            </w:r>
            <w:r>
              <w:rPr>
                <w:rFonts w:hint="default" w:ascii="Times New Roman" w:hAnsi="Times New Roman" w:eastAsia="宋体" w:cs="Times New Roman"/>
                <w:color w:val="auto"/>
                <w:sz w:val="24"/>
                <w:szCs w:val="24"/>
                <w:lang w:val="en-US" w:eastAsia="zh-CN"/>
              </w:rPr>
              <w:t>76</w:t>
            </w:r>
            <w:r>
              <w:rPr>
                <w:rFonts w:hint="default" w:ascii="Times New Roman" w:hAnsi="Times New Roman" w:eastAsia="宋体" w:cs="Times New Roman"/>
                <w:color w:val="auto"/>
                <w:sz w:val="24"/>
                <w:szCs w:val="24"/>
                <w:lang w:val="zh-CN"/>
              </w:rPr>
              <w:t>个，面积占比为6</w:t>
            </w:r>
            <w:r>
              <w:rPr>
                <w:rFonts w:hint="default" w:ascii="Times New Roman" w:hAnsi="Times New Roman" w:eastAsia="宋体" w:cs="Times New Roman"/>
                <w:color w:val="auto"/>
                <w:sz w:val="24"/>
                <w:szCs w:val="24"/>
                <w:lang w:val="en-US" w:eastAsia="zh-CN"/>
              </w:rPr>
              <w:t>4.35</w:t>
            </w:r>
            <w:r>
              <w:rPr>
                <w:rFonts w:hint="default" w:ascii="Times New Roman" w:hAnsi="Times New Roman" w:eastAsia="宋体" w:cs="Times New Roman"/>
                <w:color w:val="auto"/>
                <w:sz w:val="24"/>
                <w:szCs w:val="24"/>
                <w:lang w:val="zh-CN"/>
              </w:rPr>
              <w:t>%，主要包括我市生态保护红线、自然保护地、集中式饮用水水源保护区等生态功能重要区和生态环境敏感区。该区域以生态环境保护优先为原则，依法禁止或限制大规模、高强度的工业开发和城镇建设，确保生态环境功能不降低。</w:t>
            </w:r>
          </w:p>
          <w:p w14:paraId="324376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lang w:val="zh-CN"/>
              </w:rPr>
            </w:pPr>
            <w:r>
              <w:rPr>
                <w:rFonts w:hint="default" w:ascii="Times New Roman" w:hAnsi="Times New Roman" w:eastAsia="宋体" w:cs="Times New Roman"/>
                <w:color w:val="auto"/>
                <w:sz w:val="24"/>
                <w:szCs w:val="24"/>
                <w:lang w:val="zh-CN"/>
              </w:rPr>
              <w:t>重点管控单元：共</w:t>
            </w:r>
            <w:r>
              <w:rPr>
                <w:rFonts w:hint="default" w:ascii="Times New Roman" w:hAnsi="Times New Roman" w:eastAsia="宋体" w:cs="Times New Roman"/>
                <w:color w:val="auto"/>
                <w:sz w:val="24"/>
                <w:szCs w:val="24"/>
                <w:lang w:val="en-US" w:eastAsia="zh-CN"/>
              </w:rPr>
              <w:t>86</w:t>
            </w:r>
            <w:r>
              <w:rPr>
                <w:rFonts w:hint="default" w:ascii="Times New Roman" w:hAnsi="Times New Roman" w:eastAsia="宋体" w:cs="Times New Roman"/>
                <w:color w:val="auto"/>
                <w:sz w:val="24"/>
                <w:szCs w:val="24"/>
                <w:lang w:val="zh-CN"/>
              </w:rPr>
              <w:t>个，面积占比为</w:t>
            </w:r>
            <w:r>
              <w:rPr>
                <w:rFonts w:hint="default" w:ascii="Times New Roman" w:hAnsi="Times New Roman" w:eastAsia="宋体" w:cs="Times New Roman"/>
                <w:color w:val="auto"/>
                <w:sz w:val="24"/>
                <w:szCs w:val="24"/>
                <w:lang w:val="en-US" w:eastAsia="zh-CN"/>
              </w:rPr>
              <w:t>28.10</w:t>
            </w:r>
            <w:r>
              <w:rPr>
                <w:rFonts w:hint="default" w:ascii="Times New Roman" w:hAnsi="Times New Roman" w:eastAsia="宋体" w:cs="Times New Roman"/>
                <w:color w:val="auto"/>
                <w:sz w:val="24"/>
                <w:szCs w:val="24"/>
                <w:lang w:val="zh-CN"/>
              </w:rPr>
              <w:t>%，主要包括工业园区、城市、矿区等开发强度高、污染排放量大、环境问题相对集中的区域，以及生态需水补给区等。该区域应不断提升资源利用效率，有针对性地加强污染物排放控制和环境风险防控，解决生态环境质量不达标、生态环境风险高等问题。</w:t>
            </w:r>
          </w:p>
          <w:p w14:paraId="45F0E6FA">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lang w:val="zh-CN"/>
              </w:rPr>
            </w:pPr>
            <w:r>
              <w:rPr>
                <w:rFonts w:hint="default" w:ascii="Times New Roman" w:hAnsi="Times New Roman" w:eastAsia="宋体" w:cs="Times New Roman"/>
                <w:color w:val="auto"/>
                <w:sz w:val="24"/>
                <w:szCs w:val="24"/>
                <w:lang w:val="zh-CN"/>
              </w:rPr>
              <w:t>一般管控单元：共</w:t>
            </w:r>
            <w:r>
              <w:rPr>
                <w:rFonts w:hint="default" w:ascii="Times New Roman" w:hAnsi="Times New Roman" w:eastAsia="宋体" w:cs="Times New Roman"/>
                <w:color w:val="auto"/>
                <w:sz w:val="24"/>
                <w:szCs w:val="24"/>
                <w:lang w:val="en-US" w:eastAsia="zh-CN"/>
              </w:rPr>
              <w:t>9</w:t>
            </w:r>
            <w:r>
              <w:rPr>
                <w:rFonts w:hint="default" w:ascii="Times New Roman" w:hAnsi="Times New Roman" w:eastAsia="宋体" w:cs="Times New Roman"/>
                <w:color w:val="auto"/>
                <w:sz w:val="24"/>
                <w:szCs w:val="24"/>
                <w:lang w:val="zh-CN"/>
              </w:rPr>
              <w:t>个，面积占比为</w:t>
            </w:r>
            <w:r>
              <w:rPr>
                <w:rFonts w:hint="default" w:ascii="Times New Roman" w:hAnsi="Times New Roman" w:eastAsia="宋体" w:cs="Times New Roman"/>
                <w:color w:val="auto"/>
                <w:sz w:val="24"/>
                <w:szCs w:val="24"/>
                <w:lang w:val="en-US" w:eastAsia="zh-CN"/>
              </w:rPr>
              <w:t>7.56</w:t>
            </w:r>
            <w:r>
              <w:rPr>
                <w:rFonts w:hint="default" w:ascii="Times New Roman" w:hAnsi="Times New Roman" w:eastAsia="宋体" w:cs="Times New Roman"/>
                <w:color w:val="auto"/>
                <w:sz w:val="24"/>
                <w:szCs w:val="24"/>
                <w:lang w:val="zh-CN"/>
              </w:rPr>
              <w:t>%，优先保护单元、重点管控单元之外为一般管控单元。该区域主要落实生态环境保护基本要求。</w:t>
            </w:r>
          </w:p>
          <w:p w14:paraId="6699C3C3">
            <w:pPr>
              <w:pStyle w:val="10"/>
              <w:keepNext w:val="0"/>
              <w:keepLines w:val="0"/>
              <w:pageBreakBefore w:val="0"/>
              <w:widowControl w:val="0"/>
              <w:kinsoku/>
              <w:wordWrap/>
              <w:overflowPunct/>
              <w:topLinePunct w:val="0"/>
              <w:autoSpaceDE/>
              <w:autoSpaceDN/>
              <w:bidi w:val="0"/>
              <w:adjustRightInd w:val="0"/>
              <w:snapToGrid w:val="0"/>
              <w:spacing w:after="0" w:line="520" w:lineRule="exact"/>
              <w:ind w:firstLine="480" w:firstLineChars="200"/>
              <w:jc w:val="both"/>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szCs w:val="24"/>
                <w:lang w:val="zh-CN"/>
              </w:rPr>
              <w:t>本项目与“</w:t>
            </w:r>
            <w:r>
              <w:rPr>
                <w:rFonts w:hint="default" w:ascii="Times New Roman" w:hAnsi="Times New Roman" w:eastAsia="宋体" w:cs="Times New Roman"/>
                <w:color w:val="auto"/>
                <w:sz w:val="24"/>
                <w:szCs w:val="24"/>
              </w:rPr>
              <w:t>生态环境</w:t>
            </w:r>
            <w:r>
              <w:rPr>
                <w:rFonts w:hint="default" w:ascii="Times New Roman" w:hAnsi="Times New Roman" w:eastAsia="宋体" w:cs="Times New Roman"/>
                <w:color w:val="auto"/>
                <w:sz w:val="24"/>
                <w:szCs w:val="24"/>
                <w:lang w:eastAsia="zh-CN"/>
              </w:rPr>
              <w:t>分区管控</w:t>
            </w:r>
            <w:r>
              <w:rPr>
                <w:rFonts w:hint="default" w:ascii="Times New Roman" w:hAnsi="Times New Roman" w:eastAsia="宋体" w:cs="Times New Roman"/>
                <w:color w:val="auto"/>
                <w:sz w:val="24"/>
                <w:szCs w:val="24"/>
                <w:lang w:val="zh-CN"/>
              </w:rPr>
              <w:t>”符合性分析如下：</w:t>
            </w:r>
          </w:p>
          <w:p w14:paraId="444D3367">
            <w:pPr>
              <w:pStyle w:val="45"/>
              <w:numPr>
                <w:ilvl w:val="0"/>
                <w:numId w:val="0"/>
              </w:numPr>
              <w:kinsoku w:val="0"/>
              <w:spacing w:line="520" w:lineRule="exact"/>
              <w:ind w:firstLine="480" w:firstLineChars="200"/>
              <w:jc w:val="both"/>
              <w:rPr>
                <w:rFonts w:hint="default" w:ascii="Times New Roman" w:hAnsi="Times New Roman" w:cs="Times New Roman"/>
                <w:color w:val="auto"/>
                <w:sz w:val="24"/>
              </w:rPr>
            </w:pPr>
            <w:r>
              <w:rPr>
                <w:rFonts w:hint="default" w:ascii="Times New Roman" w:hAnsi="Times New Roman" w:eastAsia="宋体" w:cs="Times New Roman"/>
                <w:color w:val="auto"/>
                <w:sz w:val="24"/>
                <w:szCs w:val="22"/>
                <w:lang w:val="zh-CN" w:eastAsia="zh-CN" w:bidi="zh-CN"/>
              </w:rPr>
              <w:t>（1）</w:t>
            </w:r>
            <w:r>
              <w:rPr>
                <w:rFonts w:hint="default" w:ascii="Times New Roman" w:hAnsi="Times New Roman" w:cs="Times New Roman"/>
                <w:color w:val="auto"/>
                <w:sz w:val="24"/>
              </w:rPr>
              <w:t>生态保护红线</w:t>
            </w:r>
          </w:p>
          <w:p w14:paraId="78A819E4">
            <w:pPr>
              <w:pStyle w:val="10"/>
              <w:autoSpaceDE w:val="0"/>
              <w:autoSpaceDN w:val="0"/>
              <w:adjustRightInd w:val="0"/>
              <w:snapToGrid w:val="0"/>
              <w:spacing w:after="0" w:line="520" w:lineRule="exact"/>
              <w:ind w:firstLine="480" w:firstLineChars="200"/>
              <w:jc w:val="both"/>
              <w:rPr>
                <w:rFonts w:hint="default" w:ascii="Times New Roman" w:hAnsi="Times New Roman" w:cs="Times New Roman"/>
                <w:color w:val="auto"/>
                <w:sz w:val="24"/>
              </w:rPr>
            </w:pPr>
            <w:r>
              <w:rPr>
                <w:rFonts w:hint="default" w:ascii="Times New Roman" w:hAnsi="Times New Roman" w:cs="Times New Roman"/>
                <w:color w:val="auto"/>
                <w:sz w:val="24"/>
                <w:lang w:val="zh-CN"/>
              </w:rPr>
              <w:t>根据《内蒙古自治区人民政府关于实施“三线一单”生态环境分区管控的意见》（内政发〔2020〕24号），《鄂尔多斯市人民政府关于“三线一单”生态环境分区管控的实施意见》（鄂府发〔2021〕218号），《鄂尔多斯市生态环境分区管控动态更新成果（2023 年版）》，内蒙古自治区生态保护红线可能涉及的区域主要包括水源涵养区、水土保持区、防风固沙区、生物多样性维护区等陆地重要生态功能区、水土流失敏感区、土地沙化敏感区、石漠化敏感区、高寒生态脆弱区、干旱、半干旱生态脆弱区等陆地生态环境敏感区和脆弱区、国家级自然保护区、世界文化自然遗产、国家级风景名胜区、国家森林公园和国家地质公园等禁止开发区</w:t>
            </w:r>
            <w:r>
              <w:rPr>
                <w:rFonts w:hint="default" w:ascii="Times New Roman" w:hAnsi="Times New Roman" w:cs="Times New Roman"/>
                <w:color w:val="auto"/>
                <w:sz w:val="24"/>
              </w:rPr>
              <w:t>。</w:t>
            </w:r>
          </w:p>
          <w:p w14:paraId="0B1A90D7">
            <w:pPr>
              <w:pStyle w:val="10"/>
              <w:autoSpaceDE w:val="0"/>
              <w:autoSpaceDN w:val="0"/>
              <w:adjustRightInd w:val="0"/>
              <w:snapToGrid w:val="0"/>
              <w:spacing w:after="0" w:line="520" w:lineRule="exact"/>
              <w:ind w:firstLine="480" w:firstLineChars="200"/>
              <w:jc w:val="both"/>
              <w:rPr>
                <w:rFonts w:hint="eastAsia" w:ascii="Times New Roman" w:hAnsi="Times New Roman" w:eastAsia="宋体" w:cs="Times New Roman"/>
                <w:color w:val="auto"/>
                <w:sz w:val="24"/>
                <w:lang w:eastAsia="zh-CN"/>
              </w:rPr>
            </w:pPr>
            <w:r>
              <w:rPr>
                <w:rFonts w:hint="default" w:ascii="Times New Roman" w:hAnsi="Times New Roman" w:cs="Times New Roman"/>
                <w:color w:val="auto"/>
                <w:sz w:val="24"/>
              </w:rPr>
              <w:t>本项目位于鄂尔多斯市东胜区伊化南路</w:t>
            </w:r>
            <w:r>
              <w:rPr>
                <w:rFonts w:hint="eastAsia" w:ascii="Times New Roman" w:hAnsi="Times New Roman" w:cs="Times New Roman"/>
                <w:color w:val="auto"/>
                <w:sz w:val="24"/>
                <w:lang w:eastAsia="zh-CN"/>
              </w:rPr>
              <w:t>11号鄂尔多斯广厦医院院内</w:t>
            </w:r>
            <w:r>
              <w:rPr>
                <w:rFonts w:hint="default" w:ascii="Times New Roman" w:hAnsi="Times New Roman" w:cs="Times New Roman"/>
                <w:color w:val="auto"/>
                <w:sz w:val="24"/>
              </w:rPr>
              <w:t>，选址不涉及自然保护区、风景名胜区、世界文化自然遗产、国家森林公园和地质公园、集中式饮用水水源地等禁止开发区域，因此项目选址不涉及生态保护红线</w:t>
            </w:r>
            <w:r>
              <w:rPr>
                <w:rFonts w:hint="default" w:ascii="Times New Roman" w:hAnsi="Times New Roman" w:cs="Times New Roman"/>
                <w:color w:val="auto"/>
                <w:sz w:val="24"/>
                <w:lang w:val="zh-CN"/>
              </w:rPr>
              <w:t>，符合生态保护红线要求</w:t>
            </w:r>
            <w:r>
              <w:rPr>
                <w:rFonts w:hint="default" w:ascii="Times New Roman" w:hAnsi="Times New Roman" w:cs="Times New Roman"/>
                <w:color w:val="auto"/>
                <w:sz w:val="24"/>
              </w:rPr>
              <w:t>。</w:t>
            </w:r>
          </w:p>
          <w:p w14:paraId="1C7F23C4">
            <w:pPr>
              <w:spacing w:line="520" w:lineRule="exact"/>
              <w:ind w:firstLine="480" w:firstLineChars="200"/>
              <w:jc w:val="both"/>
              <w:rPr>
                <w:rFonts w:hint="default" w:ascii="Times New Roman" w:hAnsi="Times New Roman" w:cs="Times New Roman"/>
                <w:color w:val="auto"/>
                <w:sz w:val="24"/>
              </w:rPr>
            </w:pPr>
            <w:r>
              <w:rPr>
                <w:rFonts w:hint="default" w:ascii="Times New Roman" w:hAnsi="Times New Roman" w:cs="Times New Roman"/>
                <w:color w:val="auto"/>
                <w:sz w:val="24"/>
              </w:rPr>
              <w:t>（2）环境质量底线</w:t>
            </w:r>
          </w:p>
          <w:p w14:paraId="7BD282B4">
            <w:pPr>
              <w:pStyle w:val="45"/>
              <w:keepNext w:val="0"/>
              <w:keepLines w:val="0"/>
              <w:pageBreakBefore w:val="0"/>
              <w:widowControl w:val="0"/>
              <w:kinsoku w:val="0"/>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rPr>
              <w:t>根据内蒙古自治区生态环境厅发布的《202</w:t>
            </w:r>
            <w:r>
              <w:rPr>
                <w:rFonts w:hint="eastAsia" w:ascii="Times New Roman" w:hAnsi="Times New Roman" w:cs="Times New Roman"/>
                <w:b w:val="0"/>
                <w:bCs w:val="0"/>
                <w:color w:val="auto"/>
                <w:sz w:val="24"/>
                <w:szCs w:val="24"/>
                <w:lang w:val="en-US" w:eastAsia="zh-CN"/>
              </w:rPr>
              <w:t>4</w:t>
            </w:r>
            <w:r>
              <w:rPr>
                <w:rFonts w:hint="eastAsia" w:ascii="Times New Roman" w:hAnsi="Times New Roman" w:cs="Times New Roman"/>
                <w:b w:val="0"/>
                <w:bCs w:val="0"/>
                <w:color w:val="auto"/>
                <w:sz w:val="24"/>
                <w:szCs w:val="24"/>
              </w:rPr>
              <w:t>年内蒙古自治区生态环境状况公报》可知，</w:t>
            </w:r>
            <w:r>
              <w:rPr>
                <w:rFonts w:hint="eastAsia" w:ascii="Times New Roman" w:hAnsi="Times New Roman" w:cs="Times New Roman"/>
                <w:b w:val="0"/>
                <w:bCs w:val="0"/>
                <w:color w:val="auto"/>
                <w:sz w:val="24"/>
                <w:szCs w:val="24"/>
                <w:lang w:val="en-US" w:eastAsia="zh-CN"/>
              </w:rPr>
              <w:t>2024年，全区环境空气六项污染物年均浓度均达标</w:t>
            </w:r>
            <w:r>
              <w:rPr>
                <w:rFonts w:hint="eastAsia" w:ascii="Times New Roman" w:hAnsi="Times New Roman" w:cs="Times New Roman"/>
                <w:b w:val="0"/>
                <w:bCs w:val="0"/>
                <w:color w:val="auto"/>
                <w:sz w:val="24"/>
                <w:szCs w:val="24"/>
                <w:lang w:eastAsia="zh-CN"/>
              </w:rPr>
              <w:t>，</w:t>
            </w:r>
            <w:r>
              <w:rPr>
                <w:rFonts w:hint="eastAsia" w:ascii="Times New Roman" w:hAnsi="Times New Roman" w:cs="Times New Roman"/>
                <w:b w:val="0"/>
                <w:bCs w:val="0"/>
                <w:color w:val="auto"/>
                <w:sz w:val="24"/>
                <w:szCs w:val="24"/>
              </w:rPr>
              <w:t>项目所在区域为城市环境空气质量达标区</w:t>
            </w:r>
            <w:r>
              <w:rPr>
                <w:rFonts w:hint="eastAsia" w:ascii="Times New Roman" w:hAnsi="Times New Roman" w:cs="Times New Roman"/>
                <w:b w:val="0"/>
                <w:bCs w:val="0"/>
                <w:color w:val="auto"/>
                <w:sz w:val="24"/>
                <w:szCs w:val="24"/>
                <w:lang w:eastAsia="zh-CN"/>
              </w:rPr>
              <w:t>。</w:t>
            </w:r>
            <w:r>
              <w:rPr>
                <w:rFonts w:hint="eastAsia" w:ascii="Times New Roman" w:hAnsi="Times New Roman" w:cs="Times New Roman"/>
                <w:b w:val="0"/>
                <w:bCs w:val="0"/>
                <w:color w:val="auto"/>
                <w:sz w:val="24"/>
                <w:szCs w:val="24"/>
              </w:rPr>
              <w:t>根据环境质量现状监测结果，区域环境空气质量现状符合环境功能区划（即环境质量目标）要求。声环境现状监测结果满足《声环境质量标准》（GB3096-2008）</w:t>
            </w:r>
            <w:r>
              <w:rPr>
                <w:rFonts w:hint="eastAsia" w:ascii="Times New Roman" w:hAnsi="Times New Roman" w:cs="Times New Roman"/>
                <w:b w:val="0"/>
                <w:bCs w:val="0"/>
                <w:color w:val="auto"/>
                <w:sz w:val="24"/>
                <w:szCs w:val="24"/>
                <w:lang w:val="en-US" w:eastAsia="zh-CN"/>
              </w:rPr>
              <w:t>1</w:t>
            </w:r>
            <w:r>
              <w:rPr>
                <w:rFonts w:hint="eastAsia" w:ascii="Times New Roman" w:hAnsi="Times New Roman" w:cs="Times New Roman"/>
                <w:b w:val="0"/>
                <w:bCs w:val="0"/>
                <w:color w:val="auto"/>
                <w:sz w:val="24"/>
                <w:szCs w:val="24"/>
              </w:rPr>
              <w:t>类标准限值要求。</w:t>
            </w:r>
          </w:p>
          <w:p w14:paraId="3F098DF7">
            <w:pPr>
              <w:pStyle w:val="45"/>
              <w:kinsoku w:val="0"/>
              <w:spacing w:line="520" w:lineRule="exact"/>
              <w:ind w:firstLine="480" w:firstLineChars="200"/>
              <w:jc w:val="both"/>
              <w:rPr>
                <w:rFonts w:hint="eastAsia"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rPr>
              <w:t>本项目运营</w:t>
            </w:r>
            <w:r>
              <w:rPr>
                <w:rFonts w:hint="eastAsia" w:ascii="Times New Roman" w:hAnsi="Times New Roman" w:cs="Times New Roman"/>
                <w:b w:val="0"/>
                <w:bCs w:val="0"/>
                <w:color w:val="auto"/>
                <w:sz w:val="24"/>
                <w:szCs w:val="24"/>
                <w:lang w:eastAsia="zh-CN"/>
              </w:rPr>
              <w:t>后</w:t>
            </w:r>
            <w:r>
              <w:rPr>
                <w:rFonts w:hint="eastAsia" w:ascii="Times New Roman" w:hAnsi="Times New Roman" w:cs="Times New Roman"/>
                <w:b w:val="0"/>
                <w:bCs w:val="0"/>
                <w:color w:val="auto"/>
                <w:sz w:val="24"/>
                <w:szCs w:val="24"/>
              </w:rPr>
              <w:t>污染物在采取相应的污染防治措施后，均达标排放，</w:t>
            </w:r>
            <w:r>
              <w:rPr>
                <w:rFonts w:hint="eastAsia" w:ascii="Times New Roman" w:hAnsi="Times New Roman" w:cs="Times New Roman"/>
                <w:b w:val="0"/>
                <w:bCs w:val="0"/>
                <w:color w:val="auto"/>
                <w:sz w:val="24"/>
                <w:szCs w:val="24"/>
                <w:lang w:val="zh-CN"/>
              </w:rPr>
              <w:t>产生的污染物较少，</w:t>
            </w:r>
            <w:r>
              <w:rPr>
                <w:rFonts w:hint="eastAsia" w:ascii="Times New Roman" w:hAnsi="Times New Roman" w:cs="Times New Roman"/>
                <w:b w:val="0"/>
                <w:bCs w:val="0"/>
                <w:color w:val="auto"/>
                <w:sz w:val="24"/>
                <w:szCs w:val="24"/>
              </w:rPr>
              <w:t>不会明显降低区域环境质量现状</w:t>
            </w:r>
            <w:r>
              <w:rPr>
                <w:rFonts w:hint="eastAsia" w:ascii="Times New Roman" w:hAnsi="Times New Roman" w:cs="Times New Roman"/>
                <w:b w:val="0"/>
                <w:bCs w:val="0"/>
                <w:color w:val="auto"/>
                <w:sz w:val="24"/>
                <w:szCs w:val="24"/>
                <w:lang w:eastAsia="zh-CN"/>
              </w:rPr>
              <w:t>。因此项目的建设不会对当地环境质量底线造成冲击</w:t>
            </w:r>
            <w:r>
              <w:rPr>
                <w:rFonts w:hint="eastAsia" w:ascii="Times New Roman" w:hAnsi="Times New Roman" w:cs="Times New Roman"/>
                <w:b w:val="0"/>
                <w:bCs w:val="0"/>
                <w:color w:val="auto"/>
                <w:sz w:val="24"/>
                <w:szCs w:val="24"/>
              </w:rPr>
              <w:t>，能维持环境功能区质量现状，本项目符合环境质量底线要求。</w:t>
            </w:r>
          </w:p>
          <w:p w14:paraId="5080C8C5">
            <w:pPr>
              <w:pStyle w:val="45"/>
              <w:keepNext w:val="0"/>
              <w:keepLines w:val="0"/>
              <w:pageBreakBefore w:val="0"/>
              <w:widowControl w:val="0"/>
              <w:kinsoku w:val="0"/>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rPr>
              <w:t>（3）资源利用上限</w:t>
            </w:r>
          </w:p>
          <w:p w14:paraId="5F0847F0">
            <w:pPr>
              <w:pStyle w:val="45"/>
              <w:keepNext w:val="0"/>
              <w:keepLines w:val="0"/>
              <w:pageBreakBefore w:val="0"/>
              <w:widowControl w:val="0"/>
              <w:kinsoku w:val="0"/>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rPr>
              <w:t>本项目</w:t>
            </w:r>
            <w:r>
              <w:rPr>
                <w:rFonts w:hint="default" w:ascii="Times New Roman" w:hAnsi="Times New Roman" w:cs="Times New Roman"/>
                <w:color w:val="auto"/>
                <w:sz w:val="24"/>
              </w:rPr>
              <w:t>位于</w:t>
            </w:r>
            <w:r>
              <w:rPr>
                <w:rFonts w:hint="eastAsia" w:ascii="Times New Roman" w:hAnsi="Times New Roman" w:cs="Times New Roman"/>
                <w:color w:val="auto"/>
                <w:sz w:val="24"/>
                <w:lang w:eastAsia="zh-CN"/>
              </w:rPr>
              <w:t>鄂尔多斯广厦医院院内</w:t>
            </w:r>
            <w:r>
              <w:rPr>
                <w:rFonts w:hint="default" w:ascii="Times New Roman" w:hAnsi="Times New Roman" w:cs="Times New Roman"/>
                <w:color w:val="auto"/>
                <w:sz w:val="24"/>
              </w:rPr>
              <w:t>，</w:t>
            </w:r>
            <w:r>
              <w:rPr>
                <w:rFonts w:hint="eastAsia" w:ascii="Times New Roman" w:hAnsi="Times New Roman" w:cs="Times New Roman"/>
                <w:b w:val="0"/>
                <w:bCs w:val="0"/>
                <w:color w:val="auto"/>
                <w:sz w:val="24"/>
                <w:szCs w:val="24"/>
                <w:lang w:eastAsia="zh-CN"/>
              </w:rPr>
              <w:t>不新增占地</w:t>
            </w:r>
            <w:r>
              <w:rPr>
                <w:rFonts w:hint="eastAsia" w:ascii="Times New Roman" w:hAnsi="Times New Roman" w:cs="Times New Roman"/>
                <w:b w:val="0"/>
                <w:bCs w:val="0"/>
                <w:color w:val="auto"/>
                <w:sz w:val="24"/>
                <w:szCs w:val="24"/>
              </w:rPr>
              <w:t>，不</w:t>
            </w:r>
            <w:r>
              <w:rPr>
                <w:rFonts w:hint="eastAsia" w:ascii="Times New Roman" w:hAnsi="Times New Roman" w:cs="Times New Roman"/>
                <w:b w:val="0"/>
                <w:bCs w:val="0"/>
                <w:color w:val="auto"/>
                <w:sz w:val="24"/>
                <w:szCs w:val="24"/>
                <w:lang w:eastAsia="zh-CN"/>
              </w:rPr>
              <w:t>新增</w:t>
            </w:r>
            <w:r>
              <w:rPr>
                <w:rFonts w:hint="eastAsia" w:ascii="Times New Roman" w:hAnsi="Times New Roman" w:cs="Times New Roman"/>
                <w:b w:val="0"/>
                <w:bCs w:val="0"/>
                <w:color w:val="auto"/>
                <w:sz w:val="24"/>
                <w:szCs w:val="24"/>
              </w:rPr>
              <w:t>区域土地资源；项目所在地周边基础设施完善</w:t>
            </w:r>
            <w:r>
              <w:rPr>
                <w:rFonts w:hint="eastAsia" w:ascii="Times New Roman" w:hAnsi="Times New Roman" w:cs="Times New Roman"/>
                <w:b w:val="0"/>
                <w:bCs w:val="0"/>
                <w:color w:val="auto"/>
                <w:sz w:val="24"/>
                <w:szCs w:val="24"/>
                <w:lang w:eastAsia="zh-CN"/>
              </w:rPr>
              <w:t>，</w:t>
            </w:r>
            <w:r>
              <w:rPr>
                <w:rFonts w:hint="eastAsia" w:ascii="Times New Roman" w:hAnsi="Times New Roman" w:cs="Times New Roman"/>
                <w:b w:val="0"/>
                <w:bCs w:val="0"/>
                <w:color w:val="auto"/>
                <w:sz w:val="24"/>
                <w:szCs w:val="24"/>
                <w:lang w:val="zh-CN" w:eastAsia="zh-CN"/>
              </w:rPr>
              <w:t>项目运营期水资源、电</w:t>
            </w:r>
            <w:r>
              <w:rPr>
                <w:rFonts w:hint="eastAsia" w:ascii="Times New Roman" w:hAnsi="Times New Roman" w:cs="Times New Roman"/>
                <w:b w:val="0"/>
                <w:bCs w:val="0"/>
                <w:color w:val="auto"/>
                <w:sz w:val="24"/>
                <w:szCs w:val="24"/>
                <w:lang w:eastAsia="zh-CN"/>
              </w:rPr>
              <w:t>能</w:t>
            </w:r>
            <w:r>
              <w:rPr>
                <w:rFonts w:hint="eastAsia" w:ascii="Times New Roman" w:hAnsi="Times New Roman" w:cs="Times New Roman"/>
                <w:b w:val="0"/>
                <w:bCs w:val="0"/>
                <w:color w:val="auto"/>
                <w:sz w:val="24"/>
                <w:szCs w:val="24"/>
                <w:lang w:val="zh-CN" w:eastAsia="zh-CN"/>
              </w:rPr>
              <w:t>等</w:t>
            </w:r>
            <w:r>
              <w:rPr>
                <w:rFonts w:hint="eastAsia" w:ascii="Times New Roman" w:hAnsi="Times New Roman" w:cs="Times New Roman"/>
                <w:b w:val="0"/>
                <w:bCs w:val="0"/>
                <w:color w:val="auto"/>
                <w:sz w:val="24"/>
                <w:szCs w:val="24"/>
                <w:lang w:eastAsia="zh-CN"/>
              </w:rPr>
              <w:t>资源</w:t>
            </w:r>
            <w:r>
              <w:rPr>
                <w:rFonts w:hint="eastAsia" w:ascii="Times New Roman" w:hAnsi="Times New Roman" w:cs="Times New Roman"/>
                <w:b w:val="0"/>
                <w:bCs w:val="0"/>
                <w:color w:val="auto"/>
                <w:sz w:val="24"/>
                <w:szCs w:val="24"/>
                <w:lang w:val="zh-CN" w:eastAsia="zh-CN"/>
              </w:rPr>
              <w:t>消耗</w:t>
            </w:r>
            <w:r>
              <w:rPr>
                <w:rFonts w:hint="eastAsia" w:ascii="Times New Roman" w:hAnsi="Times New Roman" w:cs="Times New Roman"/>
                <w:b w:val="0"/>
                <w:bCs w:val="0"/>
                <w:color w:val="auto"/>
                <w:sz w:val="24"/>
                <w:szCs w:val="24"/>
                <w:lang w:eastAsia="zh-CN"/>
              </w:rPr>
              <w:t>较少</w:t>
            </w:r>
            <w:r>
              <w:rPr>
                <w:rFonts w:hint="eastAsia" w:ascii="Times New Roman" w:hAnsi="Times New Roman" w:cs="Times New Roman"/>
                <w:b w:val="0"/>
                <w:bCs w:val="0"/>
                <w:color w:val="auto"/>
                <w:sz w:val="24"/>
                <w:szCs w:val="24"/>
                <w:lang w:val="zh-CN" w:eastAsia="zh-CN"/>
              </w:rPr>
              <w:t>，</w:t>
            </w:r>
            <w:r>
              <w:rPr>
                <w:rFonts w:hint="eastAsia" w:ascii="Times New Roman" w:hAnsi="Times New Roman" w:cs="Times New Roman"/>
                <w:b w:val="0"/>
                <w:bCs w:val="0"/>
                <w:color w:val="auto"/>
                <w:sz w:val="24"/>
                <w:szCs w:val="24"/>
                <w:lang w:eastAsia="zh-CN"/>
              </w:rPr>
              <w:t>相对区域资源利用总量较少，</w:t>
            </w:r>
            <w:r>
              <w:rPr>
                <w:rFonts w:hint="eastAsia" w:ascii="Times New Roman" w:hAnsi="Times New Roman" w:cs="Times New Roman"/>
                <w:b w:val="0"/>
                <w:bCs w:val="0"/>
                <w:color w:val="auto"/>
                <w:sz w:val="24"/>
                <w:szCs w:val="24"/>
                <w:lang w:val="zh-CN" w:eastAsia="zh-CN"/>
              </w:rPr>
              <w:t>项目资源消耗符合资源利用上线要求</w:t>
            </w:r>
            <w:r>
              <w:rPr>
                <w:rFonts w:hint="eastAsia" w:ascii="Times New Roman" w:hAnsi="Times New Roman" w:cs="Times New Roman"/>
                <w:b w:val="0"/>
                <w:bCs w:val="0"/>
                <w:color w:val="auto"/>
                <w:sz w:val="24"/>
                <w:szCs w:val="24"/>
              </w:rPr>
              <w:t>。</w:t>
            </w:r>
          </w:p>
          <w:p w14:paraId="573E3FC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cs="Times New Roman"/>
                <w:bCs/>
                <w:color w:val="auto"/>
                <w:sz w:val="24"/>
              </w:rPr>
            </w:pPr>
            <w:r>
              <w:rPr>
                <w:rFonts w:hint="default" w:ascii="Times New Roman" w:hAnsi="Times New Roman" w:cs="Times New Roman"/>
                <w:color w:val="auto"/>
                <w:sz w:val="24"/>
              </w:rPr>
              <w:t>（4）生态环境准入清单</w:t>
            </w:r>
          </w:p>
          <w:p w14:paraId="58710BDE">
            <w:pPr>
              <w:pStyle w:val="45"/>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cs="Times New Roman"/>
                <w:b w:val="0"/>
                <w:bCs w:val="0"/>
                <w:color w:val="auto"/>
                <w:sz w:val="24"/>
                <w:szCs w:val="24"/>
              </w:rPr>
            </w:pPr>
            <w:r>
              <w:rPr>
                <w:rFonts w:hint="default" w:ascii="Times New Roman" w:hAnsi="Times New Roman" w:eastAsia="宋体" w:cs="Times New Roman"/>
                <w:color w:val="auto"/>
                <w:sz w:val="24"/>
                <w:szCs w:val="24"/>
                <w:lang w:eastAsia="zh-CN"/>
              </w:rPr>
              <w:t>根据“</w:t>
            </w:r>
            <w:r>
              <w:rPr>
                <w:rFonts w:hint="default" w:ascii="Times New Roman" w:hAnsi="Times New Roman" w:eastAsia="宋体" w:cs="Times New Roman"/>
                <w:color w:val="auto"/>
                <w:sz w:val="24"/>
                <w:szCs w:val="24"/>
              </w:rPr>
              <w:t>鄂尔多斯市生态环境局关于发布《鄂尔多斯市生态环境</w:t>
            </w:r>
            <w:r>
              <w:rPr>
                <w:rFonts w:hint="default" w:ascii="Times New Roman" w:hAnsi="Times New Roman" w:eastAsia="宋体" w:cs="Times New Roman"/>
                <w:color w:val="auto"/>
                <w:sz w:val="24"/>
                <w:szCs w:val="24"/>
                <w:lang w:eastAsia="zh-CN"/>
              </w:rPr>
              <w:t>分区管控动态更新成果（</w:t>
            </w:r>
            <w:r>
              <w:rPr>
                <w:rFonts w:hint="default" w:ascii="Times New Roman" w:hAnsi="Times New Roman" w:eastAsia="宋体" w:cs="Times New Roman"/>
                <w:color w:val="auto"/>
                <w:sz w:val="24"/>
                <w:szCs w:val="24"/>
                <w:lang w:val="en-US" w:eastAsia="zh-CN"/>
              </w:rPr>
              <w:t>2023年版</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》的通知</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以及内蒙古自治区“三线一单”公众端应用平台项目研判</w:t>
            </w:r>
            <w:r>
              <w:rPr>
                <w:rFonts w:hint="default" w:ascii="Times New Roman" w:hAnsi="Times New Roman" w:eastAsia="宋体" w:cs="Times New Roman"/>
                <w:color w:val="auto"/>
                <w:sz w:val="24"/>
                <w:szCs w:val="24"/>
              </w:rPr>
              <w:t>，本项目位于鄂尔多斯市东胜区伊化南路</w:t>
            </w:r>
            <w:r>
              <w:rPr>
                <w:rFonts w:hint="default" w:ascii="Times New Roman" w:hAnsi="Times New Roman" w:eastAsia="宋体" w:cs="Times New Roman"/>
                <w:color w:val="auto"/>
                <w:sz w:val="24"/>
                <w:szCs w:val="24"/>
                <w:lang w:eastAsia="zh-CN"/>
              </w:rPr>
              <w:t>11号鄂尔多斯广厦医院院内</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所在位置</w:t>
            </w:r>
            <w:r>
              <w:rPr>
                <w:rFonts w:hint="default" w:ascii="Times New Roman" w:hAnsi="Times New Roman" w:eastAsia="宋体" w:cs="Times New Roman"/>
                <w:color w:val="auto"/>
                <w:sz w:val="24"/>
                <w:szCs w:val="24"/>
              </w:rPr>
              <w:t>属于《鄂尔多斯市生态环境准入清单》中</w:t>
            </w:r>
            <w:r>
              <w:rPr>
                <w:rFonts w:hint="default" w:ascii="Times New Roman" w:hAnsi="Times New Roman" w:eastAsia="宋体" w:cs="Times New Roman"/>
                <w:color w:val="auto"/>
                <w:sz w:val="24"/>
                <w:szCs w:val="24"/>
                <w:lang w:eastAsia="zh-CN"/>
              </w:rPr>
              <w:t>“东胜区重点管控单元</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东胜区</w:t>
            </w:r>
            <w:r>
              <w:rPr>
                <w:rFonts w:hint="default" w:ascii="Times New Roman" w:hAnsi="Times New Roman" w:eastAsia="宋体" w:cs="Times New Roman"/>
                <w:color w:val="auto"/>
                <w:sz w:val="24"/>
                <w:szCs w:val="24"/>
                <w:lang w:eastAsia="zh-CN"/>
              </w:rPr>
              <w:t>城镇边界</w:t>
            </w:r>
            <w:r>
              <w:rPr>
                <w:rFonts w:hint="default" w:ascii="Times New Roman" w:hAnsi="Times New Roman" w:eastAsia="宋体" w:cs="Times New Roman"/>
                <w:color w:val="auto"/>
                <w:sz w:val="24"/>
                <w:szCs w:val="24"/>
              </w:rPr>
              <w:t>（ZH150602200</w:t>
            </w:r>
            <w:r>
              <w:rPr>
                <w:rFonts w:hint="default"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w:t>
            </w:r>
          </w:p>
          <w:p w14:paraId="2F5E924D">
            <w:pPr>
              <w:pStyle w:val="45"/>
              <w:kinsoku w:val="0"/>
              <w:spacing w:line="520" w:lineRule="exact"/>
              <w:ind w:firstLine="480" w:firstLineChars="200"/>
              <w:jc w:val="both"/>
              <w:rPr>
                <w:rFonts w:hint="eastAsia"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rPr>
              <w:t>单元管控要求</w:t>
            </w:r>
            <w:r>
              <w:rPr>
                <w:rFonts w:hint="eastAsia" w:ascii="Times New Roman" w:hAnsi="Times New Roman" w:cs="Times New Roman"/>
                <w:b w:val="0"/>
                <w:bCs w:val="0"/>
                <w:color w:val="auto"/>
                <w:sz w:val="24"/>
                <w:szCs w:val="24"/>
                <w:lang w:eastAsia="zh-CN"/>
              </w:rPr>
              <w:t>如下</w:t>
            </w:r>
            <w:r>
              <w:rPr>
                <w:rFonts w:hint="eastAsia" w:ascii="Times New Roman" w:hAnsi="Times New Roman" w:cs="Times New Roman"/>
                <w:b w:val="0"/>
                <w:bCs w:val="0"/>
                <w:color w:val="auto"/>
                <w:sz w:val="24"/>
                <w:szCs w:val="24"/>
              </w:rPr>
              <w:t>。</w:t>
            </w:r>
          </w:p>
          <w:p w14:paraId="2334C4B2">
            <w:pPr>
              <w:pStyle w:val="45"/>
              <w:keepNext w:val="0"/>
              <w:keepLines w:val="0"/>
              <w:pageBreakBefore w:val="0"/>
              <w:widowControl w:val="0"/>
              <w:kinsoku w:val="0"/>
              <w:wordWrap/>
              <w:overflowPunct/>
              <w:topLinePunct w:val="0"/>
              <w:autoSpaceDE w:val="0"/>
              <w:autoSpaceDN w:val="0"/>
              <w:bidi w:val="0"/>
              <w:adjustRightInd/>
              <w:snapToGrid/>
              <w:spacing w:line="520" w:lineRule="exact"/>
              <w:ind w:firstLine="0" w:firstLineChars="0"/>
              <w:jc w:val="center"/>
              <w:textAlignment w:val="auto"/>
              <w:rPr>
                <w:rFonts w:ascii="Times New Roman" w:hAnsi="Times New Roman" w:cs="Times New Roman"/>
                <w:b/>
                <w:bCs/>
                <w:color w:val="auto"/>
                <w:sz w:val="24"/>
                <w:szCs w:val="24"/>
              </w:rPr>
            </w:pPr>
            <w:r>
              <w:rPr>
                <w:rFonts w:ascii="Times New Roman" w:hAnsi="Times New Roman" w:cs="Times New Roman"/>
                <w:b/>
                <w:bCs/>
                <w:color w:val="auto"/>
                <w:sz w:val="24"/>
                <w:szCs w:val="24"/>
              </w:rPr>
              <w:t>表1</w:t>
            </w:r>
            <w:r>
              <w:rPr>
                <w:rFonts w:hint="eastAsia" w:ascii="Times New Roman" w:hAnsi="Times New Roman" w:cs="Times New Roman"/>
                <w:b/>
                <w:bCs/>
                <w:color w:val="auto"/>
                <w:sz w:val="24"/>
                <w:szCs w:val="24"/>
                <w:lang w:val="en-US"/>
              </w:rPr>
              <w:t>-</w:t>
            </w:r>
            <w:r>
              <w:rPr>
                <w:rFonts w:hint="eastAsia" w:ascii="Times New Roman" w:hAnsi="Times New Roman" w:cs="Times New Roman"/>
                <w:b/>
                <w:bCs/>
                <w:color w:val="auto"/>
                <w:sz w:val="24"/>
                <w:szCs w:val="24"/>
                <w:lang w:val="en-US" w:eastAsia="zh-CN"/>
              </w:rPr>
              <w:t>2</w:t>
            </w:r>
            <w:r>
              <w:rPr>
                <w:rFonts w:ascii="Times New Roman" w:hAnsi="Times New Roman" w:cs="Times New Roman"/>
                <w:b/>
                <w:bCs/>
                <w:color w:val="auto"/>
                <w:sz w:val="24"/>
                <w:szCs w:val="24"/>
              </w:rPr>
              <w:t xml:space="preserve"> </w:t>
            </w:r>
            <w:r>
              <w:rPr>
                <w:rFonts w:hint="eastAsia" w:ascii="Times New Roman" w:hAnsi="Times New Roman" w:cs="Times New Roman"/>
                <w:b/>
                <w:bCs/>
                <w:color w:val="auto"/>
                <w:sz w:val="24"/>
                <w:szCs w:val="24"/>
                <w:lang w:val="en-US" w:eastAsia="zh-CN"/>
              </w:rPr>
              <w:t xml:space="preserve">   </w:t>
            </w:r>
            <w:r>
              <w:rPr>
                <w:rFonts w:hint="eastAsia" w:ascii="Times New Roman" w:hAnsi="Times New Roman" w:cs="Times New Roman"/>
                <w:b/>
                <w:bCs/>
                <w:color w:val="auto"/>
                <w:sz w:val="24"/>
                <w:szCs w:val="24"/>
              </w:rPr>
              <w:t>东胜区城镇边界环境管控单元管控要求</w:t>
            </w:r>
          </w:p>
          <w:tbl>
            <w:tblPr>
              <w:tblStyle w:val="21"/>
              <w:tblW w:w="665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90"/>
              <w:gridCol w:w="2907"/>
              <w:gridCol w:w="2681"/>
              <w:gridCol w:w="581"/>
            </w:tblGrid>
            <w:tr w14:paraId="4DFFC3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97" w:type="dxa"/>
                  <w:gridSpan w:val="2"/>
                  <w:tcBorders>
                    <w:tl2br w:val="nil"/>
                    <w:tr2bl w:val="nil"/>
                  </w:tcBorders>
                  <w:noWrap w:val="0"/>
                  <w:tcMar>
                    <w:top w:w="0" w:type="dxa"/>
                    <w:left w:w="0" w:type="dxa"/>
                    <w:bottom w:w="0" w:type="dxa"/>
                    <w:right w:w="0" w:type="dxa"/>
                  </w:tcMar>
                  <w:vAlign w:val="center"/>
                </w:tcPr>
                <w:p w14:paraId="2230CA4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管控要求</w:t>
                  </w:r>
                </w:p>
              </w:tc>
              <w:tc>
                <w:tcPr>
                  <w:tcW w:w="2681" w:type="dxa"/>
                  <w:tcBorders>
                    <w:tl2br w:val="nil"/>
                    <w:tr2bl w:val="nil"/>
                  </w:tcBorders>
                  <w:noWrap w:val="0"/>
                  <w:tcMar>
                    <w:top w:w="0" w:type="dxa"/>
                    <w:left w:w="0" w:type="dxa"/>
                    <w:bottom w:w="0" w:type="dxa"/>
                    <w:right w:w="0" w:type="dxa"/>
                  </w:tcMar>
                  <w:vAlign w:val="center"/>
                </w:tcPr>
                <w:p w14:paraId="247AF6A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项目情况</w:t>
                  </w:r>
                </w:p>
              </w:tc>
              <w:tc>
                <w:tcPr>
                  <w:tcW w:w="581" w:type="dxa"/>
                  <w:tcBorders>
                    <w:tl2br w:val="nil"/>
                    <w:tr2bl w:val="nil"/>
                  </w:tcBorders>
                  <w:noWrap w:val="0"/>
                  <w:tcMar>
                    <w:top w:w="0" w:type="dxa"/>
                    <w:left w:w="0" w:type="dxa"/>
                    <w:bottom w:w="0" w:type="dxa"/>
                    <w:right w:w="0" w:type="dxa"/>
                  </w:tcMar>
                  <w:vAlign w:val="center"/>
                </w:tcPr>
                <w:p w14:paraId="454E259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是否符合</w:t>
                  </w:r>
                </w:p>
              </w:tc>
            </w:tr>
            <w:tr w14:paraId="2C4D85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0" w:type="dxa"/>
                  <w:tcBorders>
                    <w:tl2br w:val="nil"/>
                    <w:tr2bl w:val="nil"/>
                  </w:tcBorders>
                  <w:noWrap w:val="0"/>
                  <w:tcMar>
                    <w:top w:w="0" w:type="dxa"/>
                    <w:left w:w="0" w:type="dxa"/>
                    <w:bottom w:w="0" w:type="dxa"/>
                    <w:right w:w="0" w:type="dxa"/>
                  </w:tcMar>
                  <w:vAlign w:val="center"/>
                </w:tcPr>
                <w:p w14:paraId="4631CFA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空间布局约束</w:t>
                  </w:r>
                </w:p>
              </w:tc>
              <w:tc>
                <w:tcPr>
                  <w:tcW w:w="2907" w:type="dxa"/>
                  <w:tcBorders>
                    <w:tl2br w:val="nil"/>
                    <w:tr2bl w:val="nil"/>
                  </w:tcBorders>
                  <w:noWrap w:val="0"/>
                  <w:tcMar>
                    <w:top w:w="0" w:type="dxa"/>
                    <w:left w:w="0" w:type="dxa"/>
                    <w:bottom w:w="0" w:type="dxa"/>
                    <w:right w:w="0" w:type="dxa"/>
                  </w:tcMar>
                  <w:vAlign w:val="center"/>
                </w:tcPr>
                <w:p w14:paraId="6D565331">
                  <w:pPr>
                    <w:pStyle w:val="29"/>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1.城市建成区禁止新建35蒸吨/小时以下燃煤锅炉。</w:t>
                  </w:r>
                </w:p>
                <w:p w14:paraId="662D4632">
                  <w:pPr>
                    <w:pStyle w:val="29"/>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 2.禁止在居民区和学校、医院、疗养院、养老院等单位周边新建、改建、扩建可能造成土壤污染的建设项目。禁止在人口聚居区域内新（改、扩）建涉重金属及恶臭气体排放企业。</w:t>
                  </w:r>
                </w:p>
                <w:p w14:paraId="644F13E0">
                  <w:pPr>
                    <w:pStyle w:val="29"/>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3.有计划关闭超采区已批自备水井，禁止超采区工农业生产及服务业新增取用地下水。</w:t>
                  </w:r>
                </w:p>
              </w:tc>
              <w:tc>
                <w:tcPr>
                  <w:tcW w:w="2681" w:type="dxa"/>
                  <w:tcBorders>
                    <w:tl2br w:val="nil"/>
                    <w:tr2bl w:val="nil"/>
                  </w:tcBorders>
                  <w:noWrap w:val="0"/>
                  <w:tcMar>
                    <w:top w:w="0" w:type="dxa"/>
                    <w:left w:w="0" w:type="dxa"/>
                    <w:bottom w:w="0" w:type="dxa"/>
                    <w:right w:w="0" w:type="dxa"/>
                  </w:tcMar>
                  <w:vAlign w:val="center"/>
                </w:tcPr>
                <w:p w14:paraId="4EE8C763">
                  <w:pPr>
                    <w:pStyle w:val="29"/>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本项目不涉及新建燃煤锅炉；本项目属于医院改扩建项目，</w:t>
                  </w:r>
                  <w:r>
                    <w:rPr>
                      <w:rFonts w:hint="eastAsia" w:ascii="Times New Roman" w:hAnsi="Times New Roman" w:eastAsia="宋体" w:cs="Times New Roman"/>
                      <w:color w:val="auto"/>
                      <w:sz w:val="21"/>
                      <w:szCs w:val="21"/>
                      <w:lang w:val="en-US" w:eastAsia="zh-CN"/>
                    </w:rPr>
                    <w:t>废水处理站与危废暂存库均设防渗措施，</w:t>
                  </w:r>
                  <w:r>
                    <w:rPr>
                      <w:rFonts w:hint="default" w:ascii="Times New Roman" w:hAnsi="Times New Roman" w:eastAsia="宋体" w:cs="Times New Roman"/>
                      <w:color w:val="auto"/>
                      <w:sz w:val="21"/>
                      <w:szCs w:val="21"/>
                      <w:lang w:val="en-US" w:eastAsia="zh-CN"/>
                    </w:rPr>
                    <w:t>不属于重金属及恶臭气体等排放企业；不新增取用地下水；选址不位于超采区且用水来源为市政用水。</w:t>
                  </w:r>
                </w:p>
              </w:tc>
              <w:tc>
                <w:tcPr>
                  <w:tcW w:w="581" w:type="dxa"/>
                  <w:tcBorders>
                    <w:tl2br w:val="nil"/>
                    <w:tr2bl w:val="nil"/>
                  </w:tcBorders>
                  <w:noWrap w:val="0"/>
                  <w:tcMar>
                    <w:top w:w="0" w:type="dxa"/>
                    <w:left w:w="0" w:type="dxa"/>
                    <w:bottom w:w="0" w:type="dxa"/>
                    <w:right w:w="0" w:type="dxa"/>
                  </w:tcMar>
                  <w:vAlign w:val="center"/>
                </w:tcPr>
                <w:p w14:paraId="47262566">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符合</w:t>
                  </w:r>
                </w:p>
              </w:tc>
            </w:tr>
            <w:tr w14:paraId="6DCE89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0" w:type="dxa"/>
                  <w:tcBorders>
                    <w:tl2br w:val="nil"/>
                    <w:tr2bl w:val="nil"/>
                  </w:tcBorders>
                  <w:noWrap w:val="0"/>
                  <w:tcMar>
                    <w:top w:w="0" w:type="dxa"/>
                    <w:left w:w="0" w:type="dxa"/>
                    <w:bottom w:w="0" w:type="dxa"/>
                    <w:right w:w="0" w:type="dxa"/>
                  </w:tcMar>
                  <w:vAlign w:val="center"/>
                </w:tcPr>
                <w:p w14:paraId="75A611A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污染物排放管控</w:t>
                  </w:r>
                </w:p>
              </w:tc>
              <w:tc>
                <w:tcPr>
                  <w:tcW w:w="2907" w:type="dxa"/>
                  <w:tcBorders>
                    <w:tl2br w:val="nil"/>
                    <w:tr2bl w:val="nil"/>
                  </w:tcBorders>
                  <w:noWrap w:val="0"/>
                  <w:tcMar>
                    <w:top w:w="0" w:type="dxa"/>
                    <w:left w:w="0" w:type="dxa"/>
                    <w:bottom w:w="0" w:type="dxa"/>
                    <w:right w:w="0" w:type="dxa"/>
                  </w:tcMar>
                  <w:vAlign w:val="center"/>
                </w:tcPr>
                <w:p w14:paraId="528608A2">
                  <w:pPr>
                    <w:pStyle w:val="29"/>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1.提升城镇生活污水收集管网覆盖率，逐步实施雨污管网分流改造、管网更新、破损修复改</w:t>
                  </w:r>
                  <w:r>
                    <w:rPr>
                      <w:rFonts w:hint="eastAsia" w:ascii="Times New Roman" w:hAnsi="Times New Roman" w:cs="Times New Roman"/>
                      <w:color w:val="auto"/>
                      <w:sz w:val="21"/>
                      <w:szCs w:val="21"/>
                      <w:lang w:val="en-US" w:eastAsia="zh-CN"/>
                    </w:rPr>
                    <w:t>造</w:t>
                  </w:r>
                  <w:r>
                    <w:rPr>
                      <w:rFonts w:hint="default" w:ascii="Times New Roman" w:hAnsi="Times New Roman" w:eastAsia="宋体" w:cs="Times New Roman"/>
                      <w:color w:val="auto"/>
                      <w:sz w:val="21"/>
                      <w:szCs w:val="21"/>
                      <w:lang w:val="en-US" w:eastAsia="zh-CN"/>
                    </w:rPr>
                    <w:t>、中水回用等工程。城镇生活污水实现“应收尽收、应处尽处”。</w:t>
                  </w:r>
                </w:p>
              </w:tc>
              <w:tc>
                <w:tcPr>
                  <w:tcW w:w="2681" w:type="dxa"/>
                  <w:tcBorders>
                    <w:tl2br w:val="nil"/>
                    <w:tr2bl w:val="nil"/>
                  </w:tcBorders>
                  <w:noWrap w:val="0"/>
                  <w:tcMar>
                    <w:top w:w="0" w:type="dxa"/>
                    <w:left w:w="0" w:type="dxa"/>
                    <w:bottom w:w="0" w:type="dxa"/>
                    <w:right w:w="0" w:type="dxa"/>
                  </w:tcMar>
                  <w:vAlign w:val="center"/>
                </w:tcPr>
                <w:p w14:paraId="69476522">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根据《医疗机构水污染物排放标准》（GB18466-2005）规定，医疗机构的办公区、非医疗生活区等污水与病区污水合流时，一律视为医疗机构污水。本项目医疗废水经污水处理站处理后排入市政污水管网。</w:t>
                  </w:r>
                </w:p>
              </w:tc>
              <w:tc>
                <w:tcPr>
                  <w:tcW w:w="581" w:type="dxa"/>
                  <w:tcBorders>
                    <w:tl2br w:val="nil"/>
                    <w:tr2bl w:val="nil"/>
                  </w:tcBorders>
                  <w:noWrap w:val="0"/>
                  <w:tcMar>
                    <w:top w:w="0" w:type="dxa"/>
                    <w:left w:w="0" w:type="dxa"/>
                    <w:bottom w:w="0" w:type="dxa"/>
                    <w:right w:w="0" w:type="dxa"/>
                  </w:tcMar>
                  <w:vAlign w:val="center"/>
                </w:tcPr>
                <w:p w14:paraId="7211F243">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符合</w:t>
                  </w:r>
                </w:p>
              </w:tc>
            </w:tr>
            <w:tr w14:paraId="224075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0" w:type="dxa"/>
                  <w:tcBorders>
                    <w:tl2br w:val="nil"/>
                    <w:tr2bl w:val="nil"/>
                  </w:tcBorders>
                  <w:noWrap w:val="0"/>
                  <w:tcMar>
                    <w:top w:w="0" w:type="dxa"/>
                    <w:left w:w="0" w:type="dxa"/>
                    <w:bottom w:w="0" w:type="dxa"/>
                    <w:right w:w="0" w:type="dxa"/>
                  </w:tcMar>
                  <w:vAlign w:val="center"/>
                </w:tcPr>
                <w:p w14:paraId="232B55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vertAlign w:val="baseline"/>
                      <w:lang w:val="en-US" w:eastAsia="zh-CN" w:bidi="zh-CN"/>
                    </w:rPr>
                  </w:pPr>
                  <w:r>
                    <w:rPr>
                      <w:rFonts w:hint="default" w:ascii="Times New Roman" w:hAnsi="Times New Roman" w:eastAsia="宋体" w:cs="Times New Roman"/>
                      <w:bCs/>
                      <w:color w:val="auto"/>
                      <w:sz w:val="21"/>
                      <w:szCs w:val="21"/>
                      <w:vertAlign w:val="baseline"/>
                      <w:lang w:val="en-US" w:eastAsia="zh-CN"/>
                    </w:rPr>
                    <w:t>资源</w:t>
                  </w:r>
                  <w:r>
                    <w:rPr>
                      <w:rFonts w:hint="default" w:ascii="Times New Roman" w:hAnsi="Times New Roman" w:cs="Times New Roman"/>
                      <w:bCs/>
                      <w:color w:val="auto"/>
                      <w:sz w:val="21"/>
                      <w:szCs w:val="21"/>
                      <w:vertAlign w:val="baseline"/>
                      <w:lang w:val="en-US" w:eastAsia="zh-CN"/>
                    </w:rPr>
                    <w:t>开发</w:t>
                  </w:r>
                  <w:r>
                    <w:rPr>
                      <w:rFonts w:hint="default" w:ascii="Times New Roman" w:hAnsi="Times New Roman" w:eastAsia="宋体" w:cs="Times New Roman"/>
                      <w:bCs/>
                      <w:color w:val="auto"/>
                      <w:sz w:val="21"/>
                      <w:szCs w:val="21"/>
                      <w:vertAlign w:val="baseline"/>
                      <w:lang w:val="en-US" w:eastAsia="zh-CN"/>
                    </w:rPr>
                    <w:t>效率</w:t>
                  </w:r>
                </w:p>
              </w:tc>
              <w:tc>
                <w:tcPr>
                  <w:tcW w:w="2907" w:type="dxa"/>
                  <w:tcBorders>
                    <w:tl2br w:val="nil"/>
                    <w:tr2bl w:val="nil"/>
                  </w:tcBorders>
                  <w:noWrap w:val="0"/>
                  <w:tcMar>
                    <w:top w:w="0" w:type="dxa"/>
                    <w:left w:w="0" w:type="dxa"/>
                    <w:bottom w:w="0" w:type="dxa"/>
                    <w:right w:w="0" w:type="dxa"/>
                  </w:tcMar>
                  <w:vAlign w:val="center"/>
                </w:tcPr>
                <w:p w14:paraId="7BB253F4">
                  <w:pPr>
                    <w:pStyle w:val="29"/>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1.强化水资源论证管理，优化水源配置，鼓励优先配置利用非常规水源。</w:t>
                  </w:r>
                </w:p>
                <w:p w14:paraId="14D50E00">
                  <w:pPr>
                    <w:pStyle w:val="29"/>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cs="Times New Roman"/>
                      <w:color w:val="auto"/>
                      <w:sz w:val="21"/>
                      <w:szCs w:val="21"/>
                      <w:lang w:val="en-US" w:eastAsia="zh-CN" w:bidi="zh-CN"/>
                    </w:rPr>
                  </w:pPr>
                  <w:r>
                    <w:rPr>
                      <w:rFonts w:hint="default" w:ascii="Times New Roman" w:hAnsi="Times New Roman" w:cs="Times New Roman"/>
                      <w:color w:val="auto"/>
                      <w:sz w:val="21"/>
                      <w:szCs w:val="21"/>
                      <w:lang w:val="en-US" w:eastAsia="zh-CN"/>
                    </w:rPr>
                    <w:t>2.严控地下水超采，执行地下水“五控”制度。</w:t>
                  </w:r>
                </w:p>
              </w:tc>
              <w:tc>
                <w:tcPr>
                  <w:tcW w:w="2681" w:type="dxa"/>
                  <w:tcBorders>
                    <w:tl2br w:val="nil"/>
                    <w:tr2bl w:val="nil"/>
                  </w:tcBorders>
                  <w:noWrap w:val="0"/>
                  <w:tcMar>
                    <w:top w:w="0" w:type="dxa"/>
                    <w:left w:w="0" w:type="dxa"/>
                    <w:bottom w:w="0" w:type="dxa"/>
                    <w:right w:w="0" w:type="dxa"/>
                  </w:tcMar>
                  <w:vAlign w:val="center"/>
                </w:tcPr>
                <w:p w14:paraId="5C4C5724">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Cs/>
                      <w:color w:val="auto"/>
                      <w:sz w:val="21"/>
                      <w:szCs w:val="21"/>
                      <w:vertAlign w:val="baseline"/>
                      <w:lang w:val="en-US" w:eastAsia="zh-CN" w:bidi="zh-CN"/>
                    </w:rPr>
                  </w:pPr>
                  <w:r>
                    <w:rPr>
                      <w:rFonts w:hint="default" w:ascii="Times New Roman" w:hAnsi="Times New Roman" w:cs="Times New Roman"/>
                      <w:bCs/>
                      <w:color w:val="auto"/>
                      <w:sz w:val="21"/>
                      <w:szCs w:val="21"/>
                      <w:vertAlign w:val="baseline"/>
                      <w:lang w:val="en-US" w:eastAsia="zh-CN"/>
                    </w:rPr>
                    <w:t>本项目属于医院改扩建项目，不属于</w:t>
                  </w:r>
                  <w:r>
                    <w:rPr>
                      <w:rFonts w:hint="default" w:ascii="Times New Roman" w:hAnsi="Times New Roman" w:eastAsia="宋体" w:cs="Times New Roman"/>
                      <w:bCs/>
                      <w:color w:val="auto"/>
                      <w:sz w:val="21"/>
                      <w:szCs w:val="21"/>
                      <w:vertAlign w:val="baseline"/>
                      <w:lang w:val="en-US" w:eastAsia="zh-CN"/>
                    </w:rPr>
                    <w:t>新建、扩建高污染、高耗水、高耗能项目</w:t>
                  </w:r>
                  <w:r>
                    <w:rPr>
                      <w:rFonts w:hint="eastAsia" w:ascii="Times New Roman" w:hAnsi="Times New Roman" w:cs="Times New Roman"/>
                      <w:bCs/>
                      <w:color w:val="auto"/>
                      <w:sz w:val="21"/>
                      <w:szCs w:val="21"/>
                      <w:vertAlign w:val="baseline"/>
                      <w:lang w:val="en-US" w:eastAsia="zh-CN"/>
                    </w:rPr>
                    <w:t>，位于城市建成区，使用市政供水</w:t>
                  </w:r>
                  <w:r>
                    <w:rPr>
                      <w:rFonts w:hint="default" w:ascii="Times New Roman" w:hAnsi="Times New Roman" w:eastAsia="宋体" w:cs="Times New Roman"/>
                      <w:bCs/>
                      <w:color w:val="auto"/>
                      <w:sz w:val="21"/>
                      <w:szCs w:val="21"/>
                      <w:vertAlign w:val="baseline"/>
                      <w:lang w:val="en-US" w:eastAsia="zh-CN"/>
                    </w:rPr>
                    <w:t>；本项目不涉及取用地下水。</w:t>
                  </w:r>
                </w:p>
              </w:tc>
              <w:tc>
                <w:tcPr>
                  <w:tcW w:w="581" w:type="dxa"/>
                  <w:tcBorders>
                    <w:tl2br w:val="nil"/>
                    <w:tr2bl w:val="nil"/>
                  </w:tcBorders>
                  <w:noWrap w:val="0"/>
                  <w:tcMar>
                    <w:top w:w="0" w:type="dxa"/>
                    <w:left w:w="0" w:type="dxa"/>
                    <w:bottom w:w="0" w:type="dxa"/>
                    <w:right w:w="0" w:type="dxa"/>
                  </w:tcMar>
                  <w:vAlign w:val="center"/>
                </w:tcPr>
                <w:p w14:paraId="4307A914">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符合</w:t>
                  </w:r>
                </w:p>
              </w:tc>
            </w:tr>
          </w:tbl>
          <w:p w14:paraId="3805E938">
            <w:pPr>
              <w:pStyle w:val="45"/>
              <w:keepLines w:val="0"/>
              <w:pageBreakBefore w:val="0"/>
              <w:widowControl w:val="0"/>
              <w:kinsoku/>
              <w:wordWrap/>
              <w:overflowPunct/>
              <w:topLinePunct w:val="0"/>
              <w:autoSpaceDE/>
              <w:autoSpaceDN/>
              <w:bidi w:val="0"/>
              <w:adjustRightInd/>
              <w:snapToGrid w:val="0"/>
              <w:spacing w:line="520" w:lineRule="exact"/>
              <w:ind w:firstLine="480" w:firstLineChars="200"/>
              <w:jc w:val="both"/>
              <w:textAlignment w:val="auto"/>
              <w:rPr>
                <w:rFonts w:ascii="Times New Roman" w:hAnsi="Times New Roman" w:cs="Times New Roman"/>
                <w:bCs/>
                <w:color w:val="auto"/>
                <w:sz w:val="24"/>
              </w:rPr>
            </w:pPr>
            <w:r>
              <w:rPr>
                <w:rFonts w:ascii="Times New Roman" w:hAnsi="Times New Roman" w:cs="Times New Roman"/>
                <w:bCs/>
                <w:color w:val="auto"/>
                <w:sz w:val="24"/>
              </w:rPr>
              <w:t>综上所述，项目符合国家和地方相关产业政策、规划，</w:t>
            </w:r>
            <w:r>
              <w:rPr>
                <w:rFonts w:hint="default" w:ascii="Times New Roman" w:hAnsi="Times New Roman" w:cs="Times New Roman"/>
                <w:color w:val="auto"/>
                <w:sz w:val="24"/>
                <w:szCs w:val="24"/>
              </w:rPr>
              <w:t>项目的建设</w:t>
            </w:r>
            <w:r>
              <w:rPr>
                <w:rFonts w:ascii="Times New Roman" w:hAnsi="Times New Roman" w:cs="Times New Roman"/>
                <w:bCs/>
                <w:color w:val="auto"/>
                <w:sz w:val="24"/>
              </w:rPr>
              <w:t>符合“</w:t>
            </w:r>
            <w:r>
              <w:rPr>
                <w:rFonts w:hint="default" w:ascii="Times New Roman" w:hAnsi="Times New Roman" w:cs="Times New Roman"/>
                <w:bCs/>
                <w:color w:val="auto"/>
                <w:sz w:val="24"/>
              </w:rPr>
              <w:t>生态环境</w:t>
            </w:r>
            <w:r>
              <w:rPr>
                <w:rFonts w:hint="default" w:ascii="Times New Roman" w:hAnsi="Times New Roman" w:cs="Times New Roman"/>
                <w:bCs/>
                <w:color w:val="auto"/>
                <w:sz w:val="24"/>
                <w:lang w:eastAsia="zh-CN"/>
              </w:rPr>
              <w:t>分区管控</w:t>
            </w:r>
            <w:r>
              <w:rPr>
                <w:rFonts w:ascii="Times New Roman" w:hAnsi="Times New Roman" w:cs="Times New Roman"/>
                <w:bCs/>
                <w:color w:val="auto"/>
                <w:sz w:val="24"/>
              </w:rPr>
              <w:t>”的要求。</w:t>
            </w:r>
          </w:p>
          <w:p w14:paraId="0DD03162">
            <w:pPr>
              <w:pStyle w:val="45"/>
              <w:keepNext/>
              <w:keepLines w:val="0"/>
              <w:pageBreakBefore w:val="0"/>
              <w:widowControl w:val="0"/>
              <w:kinsoku/>
              <w:wordWrap/>
              <w:overflowPunct/>
              <w:topLinePunct w:val="0"/>
              <w:autoSpaceDE/>
              <w:autoSpaceDN/>
              <w:bidi w:val="0"/>
              <w:adjustRightInd/>
              <w:spacing w:line="520" w:lineRule="exact"/>
              <w:ind w:firstLine="482" w:firstLineChars="200"/>
              <w:jc w:val="both"/>
              <w:textAlignment w:val="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lang w:val="en-US"/>
              </w:rPr>
              <w:t>2、产业政策</w:t>
            </w:r>
            <w:r>
              <w:rPr>
                <w:rFonts w:hint="default" w:ascii="Times New Roman" w:hAnsi="Times New Roman" w:cs="Times New Roman"/>
                <w:b/>
                <w:bCs/>
                <w:color w:val="auto"/>
                <w:sz w:val="24"/>
                <w:szCs w:val="24"/>
              </w:rPr>
              <w:t>符合性分析</w:t>
            </w:r>
          </w:p>
          <w:p w14:paraId="1582B684">
            <w:pPr>
              <w:keepLines w:val="0"/>
              <w:pageBreakBefore w:val="0"/>
              <w:widowControl w:val="0"/>
              <w:kinsoku/>
              <w:wordWrap/>
              <w:overflowPunct/>
              <w:topLinePunct w:val="0"/>
              <w:autoSpaceDE/>
              <w:autoSpaceDN/>
              <w:bidi w:val="0"/>
              <w:adjustRightInd/>
              <w:spacing w:line="520" w:lineRule="exact"/>
              <w:ind w:firstLine="480" w:firstLineChars="200"/>
              <w:jc w:val="both"/>
              <w:textAlignment w:val="auto"/>
              <w:rPr>
                <w:rFonts w:hint="default" w:ascii="Times New Roman" w:hAnsi="Times New Roman" w:cs="Times New Roman"/>
                <w:color w:val="auto"/>
                <w:sz w:val="24"/>
                <w:szCs w:val="24"/>
                <w:lang w:val="en-US"/>
              </w:rPr>
            </w:pPr>
            <w:r>
              <w:rPr>
                <w:rFonts w:hint="default" w:ascii="Times New Roman" w:hAnsi="Times New Roman" w:cs="Times New Roman"/>
                <w:color w:val="auto"/>
                <w:sz w:val="24"/>
                <w:szCs w:val="24"/>
                <w:lang w:val="en-US"/>
              </w:rPr>
              <w:t>根据《产业结构调整指导目录（</w:t>
            </w:r>
            <w:r>
              <w:rPr>
                <w:rFonts w:hint="eastAsia" w:ascii="Times New Roman" w:hAnsi="Times New Roman" w:cs="Times New Roman"/>
                <w:color w:val="auto"/>
                <w:sz w:val="24"/>
                <w:szCs w:val="24"/>
                <w:lang w:val="en-US" w:eastAsia="zh-CN"/>
              </w:rPr>
              <w:t>2024</w:t>
            </w:r>
            <w:r>
              <w:rPr>
                <w:rFonts w:hint="default" w:ascii="Times New Roman" w:hAnsi="Times New Roman" w:cs="Times New Roman"/>
                <w:color w:val="auto"/>
                <w:sz w:val="24"/>
                <w:szCs w:val="24"/>
                <w:lang w:val="en-US"/>
              </w:rPr>
              <w:t>本）》</w:t>
            </w:r>
            <w:r>
              <w:rPr>
                <w:rFonts w:hint="eastAsia" w:ascii="Times New Roman" w:hAnsi="Times New Roman" w:cs="Times New Roman"/>
                <w:color w:val="auto"/>
                <w:sz w:val="24"/>
                <w:szCs w:val="24"/>
                <w:lang w:val="en-US" w:eastAsia="zh-CN"/>
              </w:rPr>
              <w:t>，本</w:t>
            </w:r>
            <w:r>
              <w:rPr>
                <w:rFonts w:hint="default" w:ascii="Times New Roman" w:hAnsi="Times New Roman" w:cs="Times New Roman"/>
                <w:color w:val="auto"/>
                <w:sz w:val="24"/>
                <w:szCs w:val="24"/>
                <w:lang w:val="en-US"/>
              </w:rPr>
              <w:t>项目</w:t>
            </w:r>
            <w:r>
              <w:rPr>
                <w:rFonts w:hint="eastAsia" w:ascii="Times New Roman" w:hAnsi="Times New Roman" w:cs="Times New Roman"/>
                <w:color w:val="auto"/>
                <w:sz w:val="24"/>
                <w:szCs w:val="24"/>
                <w:lang w:val="en-US" w:eastAsia="zh-CN"/>
              </w:rPr>
              <w:t>不</w:t>
            </w:r>
            <w:r>
              <w:rPr>
                <w:rFonts w:hint="default" w:ascii="Times New Roman" w:hAnsi="Times New Roman" w:cs="Times New Roman"/>
                <w:color w:val="auto"/>
                <w:sz w:val="24"/>
                <w:szCs w:val="24"/>
                <w:lang w:val="en-US"/>
              </w:rPr>
              <w:t>属于</w:t>
            </w:r>
            <w:r>
              <w:rPr>
                <w:rFonts w:hint="default" w:ascii="Times New Roman" w:hAnsi="Times New Roman" w:cs="Times New Roman"/>
                <w:color w:val="auto"/>
                <w:sz w:val="24"/>
                <w:szCs w:val="24"/>
                <w:lang w:val="en-US" w:eastAsia="zh-CN"/>
              </w:rPr>
              <w:t>鼓励类、限制类和淘汰类，属于允许类</w:t>
            </w:r>
            <w:r>
              <w:rPr>
                <w:rFonts w:hint="default" w:ascii="Times New Roman" w:hAnsi="Times New Roman" w:cs="Times New Roman"/>
                <w:color w:val="auto"/>
                <w:sz w:val="24"/>
                <w:szCs w:val="24"/>
                <w:lang w:val="en-US"/>
              </w:rPr>
              <w:t>，</w:t>
            </w:r>
            <w:r>
              <w:rPr>
                <w:rFonts w:hint="eastAsia" w:ascii="Times New Roman" w:hAnsi="Times New Roman" w:cs="Times New Roman"/>
                <w:color w:val="auto"/>
                <w:sz w:val="24"/>
                <w:szCs w:val="24"/>
                <w:lang w:val="en-US" w:eastAsia="zh-CN"/>
              </w:rPr>
              <w:t>项目</w:t>
            </w:r>
            <w:r>
              <w:rPr>
                <w:rFonts w:hint="default" w:ascii="Times New Roman" w:hAnsi="Times New Roman" w:cs="Times New Roman"/>
                <w:color w:val="auto"/>
                <w:sz w:val="24"/>
                <w:szCs w:val="24"/>
                <w:lang w:val="en-US"/>
              </w:rPr>
              <w:t>建设符合国家产业政策。</w:t>
            </w:r>
          </w:p>
          <w:p w14:paraId="77FA63CB">
            <w:pPr>
              <w:spacing w:line="520" w:lineRule="exact"/>
              <w:ind w:firstLine="482" w:firstLineChars="200"/>
              <w:jc w:val="both"/>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3、与《危险废物贮存污染控制标准》（GB 18597—2023）符合性分析</w:t>
            </w:r>
          </w:p>
          <w:p w14:paraId="74D4F4E4">
            <w:pPr>
              <w:pStyle w:val="45"/>
              <w:kinsoku w:val="0"/>
              <w:spacing w:line="520" w:lineRule="exact"/>
              <w:ind w:firstLine="482" w:firstLineChars="200"/>
              <w:jc w:val="center"/>
              <w:rPr>
                <w:rFonts w:hint="eastAsia" w:ascii="Times New Roman" w:hAnsi="Times New Roman" w:eastAsia="宋体" w:cs="Times New Roman"/>
                <w:b/>
                <w:bCs/>
                <w:color w:val="auto"/>
                <w:sz w:val="24"/>
                <w:szCs w:val="24"/>
                <w:lang w:eastAsia="zh-CN"/>
              </w:rPr>
            </w:pPr>
            <w:r>
              <w:rPr>
                <w:rFonts w:ascii="Times New Roman" w:hAnsi="Times New Roman" w:cs="Times New Roman"/>
                <w:b/>
                <w:bCs/>
                <w:color w:val="auto"/>
                <w:sz w:val="24"/>
                <w:szCs w:val="24"/>
              </w:rPr>
              <w:t>表1</w:t>
            </w:r>
            <w:r>
              <w:rPr>
                <w:rFonts w:hint="eastAsia" w:ascii="Times New Roman" w:hAnsi="Times New Roman" w:cs="Times New Roman"/>
                <w:b/>
                <w:bCs/>
                <w:color w:val="auto"/>
                <w:sz w:val="24"/>
                <w:szCs w:val="24"/>
                <w:lang w:val="en-US"/>
              </w:rPr>
              <w:t>-</w:t>
            </w:r>
            <w:r>
              <w:rPr>
                <w:rFonts w:hint="eastAsia" w:ascii="Times New Roman" w:hAnsi="Times New Roman" w:cs="Times New Roman"/>
                <w:b/>
                <w:bCs/>
                <w:color w:val="auto"/>
                <w:sz w:val="24"/>
                <w:szCs w:val="24"/>
                <w:lang w:val="en-US" w:eastAsia="zh-CN"/>
              </w:rPr>
              <w:t>3</w:t>
            </w:r>
            <w:r>
              <w:rPr>
                <w:rFonts w:ascii="Times New Roman" w:hAnsi="Times New Roman" w:cs="Times New Roman"/>
                <w:b/>
                <w:bCs/>
                <w:color w:val="auto"/>
                <w:sz w:val="24"/>
                <w:szCs w:val="24"/>
              </w:rPr>
              <w:t xml:space="preserve"> </w:t>
            </w:r>
            <w:r>
              <w:rPr>
                <w:rFonts w:hint="eastAsia" w:ascii="Times New Roman" w:hAnsi="Times New Roman" w:cs="Times New Roman"/>
                <w:b/>
                <w:bCs/>
                <w:color w:val="auto"/>
                <w:sz w:val="24"/>
                <w:szCs w:val="24"/>
                <w:lang w:val="en-US" w:eastAsia="zh-CN"/>
              </w:rPr>
              <w:t xml:space="preserve">  </w:t>
            </w:r>
            <w:r>
              <w:rPr>
                <w:rFonts w:hint="eastAsia" w:ascii="Times New Roman" w:hAnsi="Times New Roman" w:cs="Times New Roman"/>
                <w:b/>
                <w:bCs/>
                <w:color w:val="auto"/>
                <w:sz w:val="24"/>
                <w:szCs w:val="24"/>
                <w:lang w:val="en-US"/>
              </w:rPr>
              <w:t>与《危险废物贮存污染控制标准》符合性</w:t>
            </w:r>
            <w:r>
              <w:rPr>
                <w:rFonts w:hint="eastAsia" w:ascii="Times New Roman" w:hAnsi="Times New Roman" w:cs="Times New Roman"/>
                <w:b/>
                <w:bCs/>
                <w:color w:val="auto"/>
                <w:sz w:val="24"/>
                <w:szCs w:val="24"/>
                <w:lang w:val="en-US" w:eastAsia="zh-CN"/>
              </w:rPr>
              <w:t>分析</w:t>
            </w:r>
          </w:p>
          <w:tbl>
            <w:tblPr>
              <w:tblStyle w:val="2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39"/>
              <w:gridCol w:w="447"/>
              <w:gridCol w:w="2988"/>
              <w:gridCol w:w="2523"/>
              <w:gridCol w:w="441"/>
            </w:tblGrid>
            <w:tr w14:paraId="432E22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9" w:type="dxa"/>
                  <w:tcBorders>
                    <w:tl2br w:val="nil"/>
                    <w:tr2bl w:val="nil"/>
                  </w:tcBorders>
                  <w:noWrap w:val="0"/>
                  <w:tcMar>
                    <w:top w:w="0" w:type="dxa"/>
                    <w:left w:w="0" w:type="dxa"/>
                    <w:bottom w:w="0" w:type="dxa"/>
                    <w:right w:w="0" w:type="dxa"/>
                  </w:tcMar>
                  <w:vAlign w:val="center"/>
                </w:tcPr>
                <w:p w14:paraId="1AFEEAEF">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3435" w:type="dxa"/>
                  <w:gridSpan w:val="2"/>
                  <w:tcBorders>
                    <w:tl2br w:val="nil"/>
                    <w:tr2bl w:val="nil"/>
                  </w:tcBorders>
                  <w:noWrap w:val="0"/>
                  <w:tcMar>
                    <w:top w:w="0" w:type="dxa"/>
                    <w:left w:w="0" w:type="dxa"/>
                    <w:bottom w:w="0" w:type="dxa"/>
                    <w:right w:w="0" w:type="dxa"/>
                  </w:tcMar>
                  <w:vAlign w:val="center"/>
                </w:tcPr>
                <w:p w14:paraId="098E4638">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标准要求</w:t>
                  </w:r>
                </w:p>
              </w:tc>
              <w:tc>
                <w:tcPr>
                  <w:tcW w:w="2523" w:type="dxa"/>
                  <w:tcBorders>
                    <w:tl2br w:val="nil"/>
                    <w:tr2bl w:val="nil"/>
                  </w:tcBorders>
                  <w:noWrap w:val="0"/>
                  <w:tcMar>
                    <w:top w:w="0" w:type="dxa"/>
                    <w:left w:w="0" w:type="dxa"/>
                    <w:bottom w:w="0" w:type="dxa"/>
                    <w:right w:w="0" w:type="dxa"/>
                  </w:tcMar>
                  <w:vAlign w:val="center"/>
                </w:tcPr>
                <w:p w14:paraId="4FDE9C5F">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项目情况</w:t>
                  </w:r>
                </w:p>
              </w:tc>
              <w:tc>
                <w:tcPr>
                  <w:tcW w:w="441" w:type="dxa"/>
                  <w:tcBorders>
                    <w:tl2br w:val="nil"/>
                    <w:tr2bl w:val="nil"/>
                  </w:tcBorders>
                  <w:noWrap w:val="0"/>
                  <w:tcMar>
                    <w:top w:w="0" w:type="dxa"/>
                    <w:left w:w="0" w:type="dxa"/>
                    <w:bottom w:w="0" w:type="dxa"/>
                    <w:right w:w="0" w:type="dxa"/>
                  </w:tcMar>
                  <w:vAlign w:val="center"/>
                </w:tcPr>
                <w:p w14:paraId="5723EB36">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是否</w:t>
                  </w:r>
                </w:p>
                <w:p w14:paraId="48193A62">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4D832A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9" w:type="dxa"/>
                  <w:tcBorders>
                    <w:tl2br w:val="nil"/>
                    <w:tr2bl w:val="nil"/>
                  </w:tcBorders>
                  <w:noWrap w:val="0"/>
                  <w:tcMar>
                    <w:top w:w="0" w:type="dxa"/>
                    <w:left w:w="0" w:type="dxa"/>
                    <w:bottom w:w="0" w:type="dxa"/>
                    <w:right w:w="0" w:type="dxa"/>
                  </w:tcMar>
                  <w:vAlign w:val="center"/>
                </w:tcPr>
                <w:p w14:paraId="292C0329">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1</w:t>
                  </w:r>
                </w:p>
              </w:tc>
              <w:tc>
                <w:tcPr>
                  <w:tcW w:w="447" w:type="dxa"/>
                  <w:tcBorders>
                    <w:tl2br w:val="nil"/>
                    <w:tr2bl w:val="nil"/>
                  </w:tcBorders>
                  <w:noWrap w:val="0"/>
                  <w:tcMar>
                    <w:top w:w="0" w:type="dxa"/>
                    <w:left w:w="0" w:type="dxa"/>
                    <w:bottom w:w="0" w:type="dxa"/>
                    <w:right w:w="0" w:type="dxa"/>
                  </w:tcMar>
                  <w:vAlign w:val="center"/>
                </w:tcPr>
                <w:p w14:paraId="017AD658">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一般</w:t>
                  </w:r>
                </w:p>
                <w:p w14:paraId="2C370074">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规</w:t>
                  </w:r>
                </w:p>
                <w:p w14:paraId="5F3F8CAB">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定</w:t>
                  </w:r>
                </w:p>
              </w:tc>
              <w:tc>
                <w:tcPr>
                  <w:tcW w:w="2988" w:type="dxa"/>
                  <w:tcBorders>
                    <w:tl2br w:val="nil"/>
                    <w:tr2bl w:val="nil"/>
                  </w:tcBorders>
                  <w:noWrap w:val="0"/>
                  <w:tcMar>
                    <w:top w:w="0" w:type="dxa"/>
                    <w:left w:w="0" w:type="dxa"/>
                    <w:bottom w:w="0" w:type="dxa"/>
                    <w:right w:w="0" w:type="dxa"/>
                  </w:tcMar>
                  <w:vAlign w:val="center"/>
                </w:tcPr>
                <w:p w14:paraId="1B6951AE">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贮存设施应根据危险废物的形态、物理化学性质、包装形式和污染物迁移途径，采取必要的防风、防晒、防雨、防漏、防渗、防腐以及其他环境污染防治措施，不应露天堆放危险废物。</w:t>
                  </w:r>
                </w:p>
                <w:p w14:paraId="1E8EF016">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 xml:space="preserve"> 贮存设施应根据危险废物的类别、数量、形态、物理化学性质和污染防治等要求设置必要的贮存分区，避免不相容的危险废物接触、混合。</w:t>
                  </w:r>
                </w:p>
                <w:p w14:paraId="04299648">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 xml:space="preserve"> 贮存设施或贮存分区内地面、墙面裙脚、堵截泄漏的围堰、接触危险废物的隔板和墙体等应采用坚固的材料建造，表面无裂缝。</w:t>
                  </w:r>
                </w:p>
                <w:p w14:paraId="704D9D2F">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default" w:ascii="Times New Roman" w:hAnsi="Times New Roman" w:eastAsia="宋体" w:cs="Times New Roman"/>
                      <w:color w:val="auto"/>
                      <w:sz w:val="21"/>
                      <w:szCs w:val="21"/>
                      <w:highlight w:val="none"/>
                      <w:vertAlign w:val="superscript"/>
                    </w:rPr>
                    <w:t>-7</w:t>
                  </w:r>
                  <w:r>
                    <w:rPr>
                      <w:rFonts w:hint="eastAsia" w:ascii="Times New Roman" w:hAnsi="Times New Roman" w:eastAsia="宋体" w:cs="Times New Roman"/>
                      <w:color w:val="auto"/>
                      <w:sz w:val="21"/>
                      <w:szCs w:val="21"/>
                      <w:highlight w:val="none"/>
                      <w:vertAlign w:val="superscript"/>
                      <w:lang w:val="en-US" w:eastAsia="zh-CN"/>
                    </w:rPr>
                    <w:t xml:space="preserve"> </w:t>
                  </w:r>
                  <w:r>
                    <w:rPr>
                      <w:rFonts w:hint="default" w:ascii="Times New Roman" w:hAnsi="Times New Roman" w:eastAsia="宋体" w:cs="Times New Roman"/>
                      <w:color w:val="auto"/>
                      <w:sz w:val="21"/>
                      <w:szCs w:val="21"/>
                      <w:highlight w:val="none"/>
                    </w:rPr>
                    <w:t>cm/s），或至少2mm厚高密度聚乙烯膜等人工防渗材料（渗透系数不大于10</w:t>
                  </w:r>
                  <w:r>
                    <w:rPr>
                      <w:rFonts w:hint="default" w:ascii="Times New Roman" w:hAnsi="Times New Roman" w:eastAsia="宋体" w:cs="Times New Roman"/>
                      <w:color w:val="auto"/>
                      <w:sz w:val="21"/>
                      <w:szCs w:val="21"/>
                      <w:highlight w:val="none"/>
                      <w:vertAlign w:val="superscript"/>
                    </w:rPr>
                    <w:t>-10</w:t>
                  </w:r>
                  <w:r>
                    <w:rPr>
                      <w:rFonts w:hint="default" w:ascii="Times New Roman" w:hAnsi="Times New Roman" w:eastAsia="宋体" w:cs="Times New Roman"/>
                      <w:color w:val="auto"/>
                      <w:sz w:val="21"/>
                      <w:szCs w:val="21"/>
                      <w:highlight w:val="none"/>
                    </w:rPr>
                    <w:t>cm/s），或其他防渗性能等效的材料。</w:t>
                  </w:r>
                </w:p>
                <w:p w14:paraId="5FAE2592">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同一贮存设施宜采用相同的防渗、防腐工艺（包括防渗、防腐结构或材料），防渗、防腐材料应覆盖所有可能与废物及其渗滤液、渗漏液等接触的构筑物表面；采用不同防渗、防腐工艺应分别建设贮存分区。</w:t>
                  </w:r>
                </w:p>
                <w:p w14:paraId="072A7EC0">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lang w:val="zh-CN" w:eastAsia="zh-CN" w:bidi="zh-CN"/>
                    </w:rPr>
                  </w:pP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 xml:space="preserve"> 贮存设施应采取技术和管理措施防止无关人员进入。</w:t>
                  </w:r>
                </w:p>
              </w:tc>
              <w:tc>
                <w:tcPr>
                  <w:tcW w:w="2523" w:type="dxa"/>
                  <w:tcBorders>
                    <w:tl2br w:val="nil"/>
                    <w:tr2bl w:val="nil"/>
                  </w:tcBorders>
                  <w:noWrap w:val="0"/>
                  <w:tcMar>
                    <w:top w:w="0" w:type="dxa"/>
                    <w:left w:w="0" w:type="dxa"/>
                    <w:bottom w:w="0" w:type="dxa"/>
                    <w:right w:w="0" w:type="dxa"/>
                  </w:tcMar>
                  <w:vAlign w:val="center"/>
                </w:tcPr>
                <w:p w14:paraId="2CFA1067">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本项目设危废暂存库暂存危险废物，</w:t>
                  </w:r>
                  <w:r>
                    <w:rPr>
                      <w:rFonts w:hint="eastAsia" w:ascii="Times New Roman" w:hAnsi="Times New Roman" w:eastAsia="宋体" w:cs="Times New Roman"/>
                      <w:color w:val="auto"/>
                      <w:sz w:val="21"/>
                      <w:szCs w:val="21"/>
                      <w:highlight w:val="none"/>
                      <w:lang w:val="en-US" w:eastAsia="zh-CN"/>
                    </w:rPr>
                    <w:t>具有</w:t>
                  </w:r>
                  <w:r>
                    <w:rPr>
                      <w:rFonts w:hint="default" w:ascii="Times New Roman" w:hAnsi="Times New Roman" w:eastAsia="宋体" w:cs="Times New Roman"/>
                      <w:color w:val="auto"/>
                      <w:sz w:val="21"/>
                      <w:szCs w:val="21"/>
                      <w:highlight w:val="none"/>
                      <w:lang w:eastAsia="zh-CN"/>
                    </w:rPr>
                    <w:t>防风、防晒、防雨、防漏、防渗、防腐</w:t>
                  </w:r>
                  <w:r>
                    <w:rPr>
                      <w:rFonts w:hint="eastAsia" w:ascii="Times New Roman" w:hAnsi="Times New Roman" w:eastAsia="宋体" w:cs="Times New Roman"/>
                      <w:color w:val="auto"/>
                      <w:sz w:val="21"/>
                      <w:szCs w:val="21"/>
                      <w:highlight w:val="none"/>
                      <w:lang w:val="en-US" w:eastAsia="zh-CN"/>
                    </w:rPr>
                    <w:t>功能</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eastAsia="zh-CN"/>
                    </w:rPr>
                    <w:t>不进行露天堆放。</w:t>
                  </w:r>
                </w:p>
                <w:p w14:paraId="354E0C03">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2.本项目</w:t>
                  </w:r>
                  <w:r>
                    <w:rPr>
                      <w:rFonts w:hint="default" w:ascii="Times New Roman" w:hAnsi="Times New Roman" w:eastAsia="宋体" w:cs="Times New Roman"/>
                      <w:color w:val="auto"/>
                      <w:sz w:val="21"/>
                      <w:szCs w:val="21"/>
                      <w:highlight w:val="none"/>
                    </w:rPr>
                    <w:t>感染性、损伤性、病理性废物</w:t>
                  </w:r>
                  <w:r>
                    <w:rPr>
                      <w:rFonts w:hint="default" w:ascii="Times New Roman" w:hAnsi="Times New Roman" w:eastAsia="宋体" w:cs="Times New Roman"/>
                      <w:color w:val="auto"/>
                      <w:sz w:val="21"/>
                      <w:szCs w:val="21"/>
                      <w:highlight w:val="none"/>
                      <w:lang w:eastAsia="zh-CN"/>
                    </w:rPr>
                    <w:t>收集于容器中，精贴标签，</w:t>
                  </w:r>
                  <w:r>
                    <w:rPr>
                      <w:rFonts w:hint="default" w:ascii="Times New Roman" w:hAnsi="Times New Roman" w:eastAsia="宋体" w:cs="Times New Roman"/>
                      <w:color w:val="auto"/>
                      <w:sz w:val="21"/>
                      <w:szCs w:val="21"/>
                      <w:highlight w:val="none"/>
                      <w:lang w:val="en-US" w:eastAsia="zh-CN"/>
                    </w:rPr>
                    <w:t>根据危险废物特性设置贮存分区，</w:t>
                  </w:r>
                  <w:r>
                    <w:rPr>
                      <w:rFonts w:hint="default" w:ascii="Times New Roman" w:hAnsi="Times New Roman" w:eastAsia="宋体" w:cs="Times New Roman"/>
                      <w:color w:val="auto"/>
                      <w:sz w:val="21"/>
                      <w:szCs w:val="21"/>
                      <w:highlight w:val="none"/>
                    </w:rPr>
                    <w:t>不相容的危险废物</w:t>
                  </w:r>
                  <w:r>
                    <w:rPr>
                      <w:rFonts w:hint="default" w:ascii="Times New Roman" w:hAnsi="Times New Roman" w:eastAsia="宋体" w:cs="Times New Roman"/>
                      <w:color w:val="auto"/>
                      <w:sz w:val="21"/>
                      <w:szCs w:val="21"/>
                      <w:highlight w:val="none"/>
                      <w:lang w:eastAsia="zh-CN"/>
                    </w:rPr>
                    <w:t>不</w:t>
                  </w:r>
                  <w:r>
                    <w:rPr>
                      <w:rFonts w:hint="default" w:ascii="Times New Roman" w:hAnsi="Times New Roman" w:eastAsia="宋体" w:cs="Times New Roman"/>
                      <w:color w:val="auto"/>
                      <w:sz w:val="21"/>
                      <w:szCs w:val="21"/>
                      <w:highlight w:val="none"/>
                    </w:rPr>
                    <w:t>接触、混合。</w:t>
                  </w:r>
                </w:p>
                <w:p w14:paraId="6D63FBAC">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3.本项目危废暂存库</w:t>
                  </w:r>
                  <w:r>
                    <w:rPr>
                      <w:rFonts w:hint="default" w:ascii="Times New Roman" w:hAnsi="Times New Roman" w:eastAsia="宋体" w:cs="Times New Roman"/>
                      <w:color w:val="auto"/>
                      <w:sz w:val="21"/>
                      <w:szCs w:val="21"/>
                      <w:highlight w:val="none"/>
                      <w:lang w:eastAsia="zh-CN"/>
                    </w:rPr>
                    <w:t xml:space="preserve">地面采用坚固、防渗、耐腐蚀的材料建造，并设计有堵截泄漏的裙脚、围堰等设施。 </w:t>
                  </w:r>
                </w:p>
                <w:p w14:paraId="0E2AE1C2">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4.本项目危废暂存库</w:t>
                  </w:r>
                  <w:r>
                    <w:rPr>
                      <w:rFonts w:hint="default" w:ascii="Times New Roman" w:hAnsi="Times New Roman" w:eastAsia="宋体" w:cs="Times New Roman"/>
                      <w:color w:val="auto"/>
                      <w:sz w:val="21"/>
                      <w:szCs w:val="21"/>
                      <w:highlight w:val="none"/>
                      <w:lang w:eastAsia="zh-CN"/>
                    </w:rPr>
                    <w:t>地面及裙脚基础垫层+2mmHDPE膜+环氧砂浆涂层，墙壁防渗防腐衬层高度为50cm，构筑物渗透系数</w:t>
                  </w:r>
                  <w:r>
                    <w:rPr>
                      <w:rFonts w:hint="eastAsia" w:ascii="Times New Roman" w:hAnsi="Times New Roman" w:eastAsia="宋体" w:cs="Times New Roman"/>
                      <w:color w:val="auto"/>
                      <w:sz w:val="21"/>
                      <w:szCs w:val="21"/>
                      <w:highlight w:val="none"/>
                      <w:lang w:val="en-US" w:eastAsia="zh-CN"/>
                    </w:rPr>
                    <w:t>不大于</w:t>
                  </w:r>
                  <w:r>
                    <w:rPr>
                      <w:rFonts w:hint="default" w:ascii="Times New Roman" w:hAnsi="Times New Roman" w:eastAsia="宋体" w:cs="Times New Roman"/>
                      <w:color w:val="auto"/>
                      <w:sz w:val="21"/>
                      <w:szCs w:val="21"/>
                      <w:highlight w:val="none"/>
                      <w:lang w:eastAsia="zh-CN"/>
                    </w:rPr>
                    <w:t>1.0×10</w:t>
                  </w:r>
                  <w:r>
                    <w:rPr>
                      <w:rFonts w:hint="default" w:ascii="Times New Roman" w:hAnsi="Times New Roman" w:eastAsia="宋体" w:cs="Times New Roman"/>
                      <w:color w:val="auto"/>
                      <w:sz w:val="21"/>
                      <w:szCs w:val="21"/>
                      <w:highlight w:val="none"/>
                      <w:vertAlign w:val="superscript"/>
                      <w:lang w:eastAsia="zh-CN"/>
                    </w:rPr>
                    <w:t>-10</w:t>
                  </w:r>
                  <w:r>
                    <w:rPr>
                      <w:rFonts w:hint="default" w:ascii="Times New Roman" w:hAnsi="Times New Roman" w:eastAsia="宋体" w:cs="Times New Roman"/>
                      <w:color w:val="auto"/>
                      <w:sz w:val="21"/>
                      <w:szCs w:val="21"/>
                      <w:highlight w:val="none"/>
                      <w:lang w:eastAsia="zh-CN"/>
                    </w:rPr>
                    <w:t>cm/s。</w:t>
                  </w:r>
                </w:p>
                <w:p w14:paraId="51D3E3FA">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5.本项目</w:t>
                  </w:r>
                  <w:r>
                    <w:rPr>
                      <w:rFonts w:hint="default" w:ascii="Times New Roman" w:hAnsi="Times New Roman" w:eastAsia="宋体" w:cs="Times New Roman"/>
                      <w:color w:val="auto"/>
                      <w:sz w:val="21"/>
                      <w:szCs w:val="21"/>
                      <w:highlight w:val="none"/>
                    </w:rPr>
                    <w:t>感染性、损伤性、病理性废物</w:t>
                  </w:r>
                  <w:r>
                    <w:rPr>
                      <w:rFonts w:hint="default" w:ascii="Times New Roman" w:hAnsi="Times New Roman" w:eastAsia="宋体" w:cs="Times New Roman"/>
                      <w:color w:val="auto"/>
                      <w:sz w:val="21"/>
                      <w:szCs w:val="21"/>
                      <w:highlight w:val="none"/>
                      <w:lang w:eastAsia="zh-CN"/>
                    </w:rPr>
                    <w:t>收集于容器中，</w:t>
                  </w:r>
                  <w:r>
                    <w:rPr>
                      <w:rFonts w:hint="eastAsia" w:ascii="Times New Roman" w:hAnsi="Times New Roman" w:cs="Times New Roman"/>
                      <w:color w:val="auto"/>
                      <w:sz w:val="21"/>
                      <w:szCs w:val="21"/>
                      <w:highlight w:val="none"/>
                      <w:lang w:val="en-US" w:eastAsia="zh-CN"/>
                    </w:rPr>
                    <w:t>粘</w:t>
                  </w:r>
                  <w:r>
                    <w:rPr>
                      <w:rFonts w:hint="default" w:ascii="Times New Roman" w:hAnsi="Times New Roman" w:eastAsia="宋体" w:cs="Times New Roman"/>
                      <w:color w:val="auto"/>
                      <w:sz w:val="21"/>
                      <w:szCs w:val="21"/>
                      <w:highlight w:val="none"/>
                      <w:lang w:eastAsia="zh-CN"/>
                    </w:rPr>
                    <w:t>贴标签，</w:t>
                  </w:r>
                  <w:r>
                    <w:rPr>
                      <w:rFonts w:hint="default" w:ascii="Times New Roman" w:hAnsi="Times New Roman" w:eastAsia="宋体" w:cs="Times New Roman"/>
                      <w:color w:val="auto"/>
                      <w:sz w:val="21"/>
                      <w:szCs w:val="21"/>
                      <w:highlight w:val="none"/>
                      <w:lang w:val="en-US" w:eastAsia="zh-CN"/>
                    </w:rPr>
                    <w:t>根据危险废物特性设置贮存分区。</w:t>
                  </w:r>
                </w:p>
                <w:p w14:paraId="709D50F1">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6.项目运营期加强管理，无关人员禁止出入。</w:t>
                  </w:r>
                </w:p>
              </w:tc>
              <w:tc>
                <w:tcPr>
                  <w:tcW w:w="441" w:type="dxa"/>
                  <w:tcBorders>
                    <w:tl2br w:val="nil"/>
                    <w:tr2bl w:val="nil"/>
                  </w:tcBorders>
                  <w:noWrap w:val="0"/>
                  <w:tcMar>
                    <w:top w:w="0" w:type="dxa"/>
                    <w:left w:w="0" w:type="dxa"/>
                    <w:bottom w:w="0" w:type="dxa"/>
                    <w:right w:w="0" w:type="dxa"/>
                  </w:tcMar>
                  <w:vAlign w:val="center"/>
                </w:tcPr>
                <w:p w14:paraId="0C262EA9">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0AB9C8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9" w:type="dxa"/>
                  <w:tcBorders>
                    <w:tl2br w:val="nil"/>
                    <w:tr2bl w:val="nil"/>
                  </w:tcBorders>
                  <w:noWrap w:val="0"/>
                  <w:tcMar>
                    <w:top w:w="0" w:type="dxa"/>
                    <w:left w:w="0" w:type="dxa"/>
                    <w:bottom w:w="0" w:type="dxa"/>
                    <w:right w:w="0" w:type="dxa"/>
                  </w:tcMar>
                  <w:vAlign w:val="center"/>
                </w:tcPr>
                <w:p w14:paraId="0CFC6879">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2</w:t>
                  </w:r>
                </w:p>
              </w:tc>
              <w:tc>
                <w:tcPr>
                  <w:tcW w:w="447" w:type="dxa"/>
                  <w:tcBorders>
                    <w:tl2br w:val="nil"/>
                    <w:tr2bl w:val="nil"/>
                  </w:tcBorders>
                  <w:noWrap w:val="0"/>
                  <w:tcMar>
                    <w:top w:w="0" w:type="dxa"/>
                    <w:left w:w="0" w:type="dxa"/>
                    <w:bottom w:w="0" w:type="dxa"/>
                    <w:right w:w="0" w:type="dxa"/>
                  </w:tcMar>
                  <w:vAlign w:val="center"/>
                </w:tcPr>
                <w:p w14:paraId="124940AA">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 xml:space="preserve"> 贮存库</w:t>
                  </w:r>
                  <w:r>
                    <w:rPr>
                      <w:rFonts w:hint="default" w:ascii="Times New Roman" w:hAnsi="Times New Roman" w:eastAsia="宋体" w:cs="Times New Roman"/>
                      <w:color w:val="auto"/>
                      <w:sz w:val="21"/>
                      <w:szCs w:val="21"/>
                      <w:highlight w:val="none"/>
                      <w:lang w:eastAsia="zh-CN"/>
                    </w:rPr>
                    <w:t>污染控制要求</w:t>
                  </w:r>
                </w:p>
              </w:tc>
              <w:tc>
                <w:tcPr>
                  <w:tcW w:w="2988" w:type="dxa"/>
                  <w:tcBorders>
                    <w:tl2br w:val="nil"/>
                    <w:tr2bl w:val="nil"/>
                  </w:tcBorders>
                  <w:noWrap w:val="0"/>
                  <w:tcMar>
                    <w:top w:w="0" w:type="dxa"/>
                    <w:left w:w="0" w:type="dxa"/>
                    <w:bottom w:w="0" w:type="dxa"/>
                    <w:right w:w="0" w:type="dxa"/>
                  </w:tcMar>
                  <w:vAlign w:val="center"/>
                </w:tcPr>
                <w:p w14:paraId="6D710C6A">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贮存库内不同贮存分区之间应采取隔离措施。隔离措施可根据危险废物特性采用过道、隔板或隔墙等方式。</w:t>
                  </w:r>
                </w:p>
                <w:p w14:paraId="421E4B2A">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在贮存库内或通过贮存分区方式贮存液态危险废物的，应具有液体泄漏堵截设施，堵截设施最小容积不应低于对应贮存区域最大液态废物容器容积或液态废物总储量 1/10（二者取较大者）；用于贮存可能产生渗滤液的危险废物的贮存库或贮存分区应设计渗滤液收集设施，收集设施容积应满足渗滤液的收集要求。</w:t>
                  </w:r>
                </w:p>
                <w:p w14:paraId="390E4A79">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lang w:val="zh-CN" w:eastAsia="zh-CN" w:bidi="zh-CN"/>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贮存易产生粉尘、VOCs、酸雾、有毒有害大气污染物和刺激性气味气体的危险废物贮存库，应设置气体收集装置和气体净化设施；气体净化设施的排气筒高度应符合 GB 16297 要求。</w:t>
                  </w:r>
                </w:p>
              </w:tc>
              <w:tc>
                <w:tcPr>
                  <w:tcW w:w="2523" w:type="dxa"/>
                  <w:tcBorders>
                    <w:tl2br w:val="nil"/>
                    <w:tr2bl w:val="nil"/>
                  </w:tcBorders>
                  <w:noWrap w:val="0"/>
                  <w:tcMar>
                    <w:top w:w="0" w:type="dxa"/>
                    <w:left w:w="0" w:type="dxa"/>
                    <w:bottom w:w="0" w:type="dxa"/>
                    <w:right w:w="0" w:type="dxa"/>
                  </w:tcMar>
                  <w:vAlign w:val="center"/>
                </w:tcPr>
                <w:p w14:paraId="45335064">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bidi="zh-CN"/>
                    </w:rPr>
                    <w:t>1.</w:t>
                  </w:r>
                  <w:r>
                    <w:rPr>
                      <w:rFonts w:hint="default" w:ascii="Times New Roman" w:hAnsi="Times New Roman" w:eastAsia="宋体" w:cs="Times New Roman"/>
                      <w:color w:val="auto"/>
                      <w:sz w:val="21"/>
                      <w:szCs w:val="21"/>
                      <w:highlight w:val="none"/>
                      <w:lang w:val="en-US" w:eastAsia="zh-CN"/>
                    </w:rPr>
                    <w:t>本项目感染性、损伤性、病理性废物收集于容器中，</w:t>
                  </w:r>
                  <w:r>
                    <w:rPr>
                      <w:rFonts w:hint="eastAsia" w:ascii="Times New Roman" w:hAnsi="Times New Roman" w:cs="Times New Roman"/>
                      <w:color w:val="auto"/>
                      <w:sz w:val="21"/>
                      <w:szCs w:val="21"/>
                      <w:highlight w:val="none"/>
                      <w:lang w:val="en-US" w:eastAsia="zh-CN"/>
                    </w:rPr>
                    <w:t>粘</w:t>
                  </w:r>
                  <w:r>
                    <w:rPr>
                      <w:rFonts w:hint="default" w:ascii="Times New Roman" w:hAnsi="Times New Roman" w:eastAsia="宋体" w:cs="Times New Roman"/>
                      <w:color w:val="auto"/>
                      <w:sz w:val="21"/>
                      <w:szCs w:val="21"/>
                      <w:highlight w:val="none"/>
                      <w:lang w:val="en-US" w:eastAsia="zh-CN"/>
                    </w:rPr>
                    <w:t>贴标签并注明主要成分，危废暂存库内设置分区并采取过道隔离措施。</w:t>
                  </w:r>
                </w:p>
                <w:p w14:paraId="0DCFF586">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baseline"/>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vertAlign w:val="baseline"/>
                      <w:lang w:val="en-US" w:eastAsia="zh-CN" w:bidi="zh-CN"/>
                    </w:rPr>
                    <w:t>2.</w:t>
                  </w:r>
                  <w:r>
                    <w:rPr>
                      <w:rFonts w:hint="default" w:ascii="Times New Roman" w:hAnsi="Times New Roman" w:eastAsia="宋体" w:cs="Times New Roman"/>
                      <w:color w:val="auto"/>
                      <w:sz w:val="21"/>
                      <w:szCs w:val="21"/>
                      <w:highlight w:val="none"/>
                      <w:lang w:val="en-US" w:eastAsia="zh-CN"/>
                    </w:rPr>
                    <w:t>本项目危废暂存间设置1m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vertAlign w:val="baseline"/>
                      <w:lang w:val="en-US" w:eastAsia="zh-CN"/>
                    </w:rPr>
                    <w:t>集液池。</w:t>
                  </w:r>
                </w:p>
                <w:p w14:paraId="7BA20D99">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baseline"/>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3.本危废暂存库用于暂存医疗废物、废药物、废药品、栅渣、化粪池和污水处理站污泥等，不属于易产生粉尘、VOCs、酸雾、有毒有害大气污染物和刺激性气味气体的危险废物贮存库项目，危废暂存库每日消毒。</w:t>
                  </w:r>
                </w:p>
              </w:tc>
              <w:tc>
                <w:tcPr>
                  <w:tcW w:w="441" w:type="dxa"/>
                  <w:tcBorders>
                    <w:tl2br w:val="nil"/>
                    <w:tr2bl w:val="nil"/>
                  </w:tcBorders>
                  <w:noWrap w:val="0"/>
                  <w:tcMar>
                    <w:top w:w="0" w:type="dxa"/>
                    <w:left w:w="0" w:type="dxa"/>
                    <w:bottom w:w="0" w:type="dxa"/>
                    <w:right w:w="0" w:type="dxa"/>
                  </w:tcMar>
                  <w:vAlign w:val="center"/>
                </w:tcPr>
                <w:p w14:paraId="01B71D5F">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符合</w:t>
                  </w:r>
                </w:p>
              </w:tc>
            </w:tr>
            <w:tr w14:paraId="533695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9" w:type="dxa"/>
                  <w:tcBorders>
                    <w:tl2br w:val="nil"/>
                    <w:tr2bl w:val="nil"/>
                  </w:tcBorders>
                  <w:noWrap w:val="0"/>
                  <w:tcMar>
                    <w:top w:w="0" w:type="dxa"/>
                    <w:left w:w="0" w:type="dxa"/>
                    <w:bottom w:w="0" w:type="dxa"/>
                    <w:right w:w="0" w:type="dxa"/>
                  </w:tcMar>
                  <w:vAlign w:val="center"/>
                </w:tcPr>
                <w:p w14:paraId="670541CE">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447" w:type="dxa"/>
                  <w:tcBorders>
                    <w:tl2br w:val="nil"/>
                    <w:tr2bl w:val="nil"/>
                  </w:tcBorders>
                  <w:noWrap w:val="0"/>
                  <w:tcMar>
                    <w:top w:w="0" w:type="dxa"/>
                    <w:left w:w="0" w:type="dxa"/>
                    <w:bottom w:w="0" w:type="dxa"/>
                    <w:right w:w="0" w:type="dxa"/>
                  </w:tcMar>
                  <w:vAlign w:val="center"/>
                </w:tcPr>
                <w:p w14:paraId="3CFACF7D">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容器和包装物污染控制要求</w:t>
                  </w:r>
                </w:p>
              </w:tc>
              <w:tc>
                <w:tcPr>
                  <w:tcW w:w="2988" w:type="dxa"/>
                  <w:tcBorders>
                    <w:tl2br w:val="nil"/>
                    <w:tr2bl w:val="nil"/>
                  </w:tcBorders>
                  <w:noWrap w:val="0"/>
                  <w:tcMar>
                    <w:top w:w="0" w:type="dxa"/>
                    <w:left w:w="0" w:type="dxa"/>
                    <w:bottom w:w="0" w:type="dxa"/>
                    <w:right w:w="0" w:type="dxa"/>
                  </w:tcMar>
                  <w:vAlign w:val="center"/>
                </w:tcPr>
                <w:p w14:paraId="4AC5A932">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容器和包装物材质、内衬应与盛装的危险废物相容。</w:t>
                  </w:r>
                </w:p>
                <w:p w14:paraId="44362C51">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针对不同类别、形态、物理化学性质的危险废物，其容器和包装物应满足相应的防渗、防漏、防腐和强度等要求。</w:t>
                  </w:r>
                </w:p>
                <w:p w14:paraId="0531D8AD">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硬质容器和包装物及其支护结构堆叠码放时不应有明显变形，无破损泄漏。</w:t>
                  </w:r>
                </w:p>
                <w:p w14:paraId="68B6D569">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柔性容器和包装物堆叠码放时应封口严密，无破损泄漏。</w:t>
                  </w:r>
                </w:p>
                <w:p w14:paraId="48D9521A">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使用容器盛装液态、半固态危险废物时，容器内部应留有适当的空间，以适应因温度变化等可能引发的收缩和膨胀，防止其导致容器渗漏或永久变形。</w:t>
                  </w:r>
                </w:p>
                <w:p w14:paraId="4A2EE649">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lang w:val="zh-CN" w:eastAsia="zh-CN" w:bidi="zh-CN"/>
                    </w:rPr>
                  </w:pP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容器和包装物外表面应保持清洁。</w:t>
                  </w:r>
                </w:p>
              </w:tc>
              <w:tc>
                <w:tcPr>
                  <w:tcW w:w="2523" w:type="dxa"/>
                  <w:tcBorders>
                    <w:tl2br w:val="nil"/>
                    <w:tr2bl w:val="nil"/>
                  </w:tcBorders>
                  <w:noWrap w:val="0"/>
                  <w:tcMar>
                    <w:top w:w="0" w:type="dxa"/>
                    <w:left w:w="0" w:type="dxa"/>
                    <w:bottom w:w="0" w:type="dxa"/>
                    <w:right w:w="0" w:type="dxa"/>
                  </w:tcMar>
                  <w:vAlign w:val="center"/>
                </w:tcPr>
                <w:p w14:paraId="25C3F357">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本项目</w:t>
                  </w:r>
                  <w:r>
                    <w:rPr>
                      <w:rFonts w:hint="default" w:ascii="Times New Roman" w:hAnsi="Times New Roman" w:eastAsia="宋体" w:cs="Times New Roman"/>
                      <w:color w:val="auto"/>
                      <w:sz w:val="21"/>
                      <w:szCs w:val="21"/>
                      <w:highlight w:val="none"/>
                    </w:rPr>
                    <w:t>感染性、损伤性、病理性废物</w:t>
                  </w:r>
                  <w:r>
                    <w:rPr>
                      <w:rFonts w:hint="default" w:ascii="Times New Roman" w:hAnsi="Times New Roman" w:eastAsia="宋体" w:cs="Times New Roman"/>
                      <w:color w:val="auto"/>
                      <w:sz w:val="21"/>
                      <w:szCs w:val="21"/>
                      <w:highlight w:val="none"/>
                      <w:lang w:eastAsia="zh-CN"/>
                    </w:rPr>
                    <w:t>收集于不同容器中，</w:t>
                  </w:r>
                  <w:r>
                    <w:rPr>
                      <w:rFonts w:hint="eastAsia" w:ascii="Times New Roman" w:hAnsi="Times New Roman" w:cs="Times New Roman"/>
                      <w:color w:val="auto"/>
                      <w:sz w:val="21"/>
                      <w:szCs w:val="21"/>
                      <w:highlight w:val="none"/>
                      <w:lang w:val="en-US" w:eastAsia="zh-CN"/>
                    </w:rPr>
                    <w:t>粘</w:t>
                  </w:r>
                  <w:r>
                    <w:rPr>
                      <w:rFonts w:hint="default" w:ascii="Times New Roman" w:hAnsi="Times New Roman" w:eastAsia="宋体" w:cs="Times New Roman"/>
                      <w:color w:val="auto"/>
                      <w:sz w:val="21"/>
                      <w:szCs w:val="21"/>
                      <w:highlight w:val="none"/>
                      <w:lang w:eastAsia="zh-CN"/>
                    </w:rPr>
                    <w:t>贴标签并注明主要成分。医疗废物储存时间不超过</w:t>
                  </w:r>
                  <w:r>
                    <w:rPr>
                      <w:rFonts w:hint="default" w:ascii="Times New Roman" w:hAnsi="Times New Roman" w:eastAsia="宋体" w:cs="Times New Roman"/>
                      <w:color w:val="auto"/>
                      <w:sz w:val="21"/>
                      <w:szCs w:val="21"/>
                      <w:highlight w:val="none"/>
                      <w:lang w:val="en-US" w:eastAsia="zh-CN"/>
                    </w:rPr>
                    <w:t>2d</w:t>
                  </w:r>
                  <w:r>
                    <w:rPr>
                      <w:rFonts w:hint="default" w:ascii="Times New Roman" w:hAnsi="Times New Roman" w:eastAsia="宋体" w:cs="Times New Roman"/>
                      <w:color w:val="auto"/>
                      <w:sz w:val="21"/>
                      <w:szCs w:val="21"/>
                      <w:highlight w:val="none"/>
                      <w:lang w:eastAsia="zh-CN"/>
                    </w:rPr>
                    <w:t>。</w:t>
                  </w:r>
                </w:p>
                <w:p w14:paraId="63F7E1F3">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本项目危废暂存库</w:t>
                  </w:r>
                  <w:r>
                    <w:rPr>
                      <w:rFonts w:hint="default" w:ascii="Times New Roman" w:hAnsi="Times New Roman" w:eastAsia="宋体" w:cs="Times New Roman"/>
                      <w:color w:val="auto"/>
                      <w:sz w:val="21"/>
                      <w:szCs w:val="21"/>
                      <w:highlight w:val="none"/>
                      <w:lang w:eastAsia="zh-CN"/>
                    </w:rPr>
                    <w:t>地面及裙脚基础垫层+2mmHDPE膜+环氧砂浆涂层，墙壁防渗防腐衬层高度为50cm，构筑物渗透系数</w:t>
                  </w:r>
                  <w:r>
                    <w:rPr>
                      <w:rFonts w:hint="eastAsia" w:ascii="Times New Roman" w:hAnsi="Times New Roman" w:eastAsia="宋体" w:cs="Times New Roman"/>
                      <w:color w:val="auto"/>
                      <w:sz w:val="21"/>
                      <w:szCs w:val="21"/>
                      <w:highlight w:val="none"/>
                      <w:lang w:val="en-US" w:eastAsia="zh-CN"/>
                    </w:rPr>
                    <w:t>不大于</w:t>
                  </w:r>
                  <w:r>
                    <w:rPr>
                      <w:rFonts w:hint="default" w:ascii="Times New Roman" w:hAnsi="Times New Roman" w:eastAsia="宋体" w:cs="Times New Roman"/>
                      <w:color w:val="auto"/>
                      <w:sz w:val="21"/>
                      <w:szCs w:val="21"/>
                      <w:highlight w:val="none"/>
                      <w:lang w:eastAsia="zh-CN"/>
                    </w:rPr>
                    <w:t>1.0×10</w:t>
                  </w:r>
                  <w:r>
                    <w:rPr>
                      <w:rFonts w:hint="default" w:ascii="Times New Roman" w:hAnsi="Times New Roman" w:eastAsia="宋体" w:cs="Times New Roman"/>
                      <w:color w:val="auto"/>
                      <w:sz w:val="21"/>
                      <w:szCs w:val="21"/>
                      <w:highlight w:val="none"/>
                      <w:vertAlign w:val="superscript"/>
                      <w:lang w:eastAsia="zh-CN"/>
                    </w:rPr>
                    <w:t>-10</w:t>
                  </w:r>
                  <w:r>
                    <w:rPr>
                      <w:rFonts w:hint="default" w:ascii="Times New Roman" w:hAnsi="Times New Roman" w:eastAsia="宋体" w:cs="Times New Roman"/>
                      <w:color w:val="auto"/>
                      <w:sz w:val="21"/>
                      <w:szCs w:val="21"/>
                      <w:highlight w:val="none"/>
                      <w:lang w:eastAsia="zh-CN"/>
                    </w:rPr>
                    <w:t>cm/s。</w:t>
                  </w:r>
                </w:p>
              </w:tc>
              <w:tc>
                <w:tcPr>
                  <w:tcW w:w="441" w:type="dxa"/>
                  <w:tcBorders>
                    <w:tl2br w:val="nil"/>
                    <w:tr2bl w:val="nil"/>
                  </w:tcBorders>
                  <w:noWrap w:val="0"/>
                  <w:tcMar>
                    <w:top w:w="0" w:type="dxa"/>
                    <w:left w:w="0" w:type="dxa"/>
                    <w:bottom w:w="0" w:type="dxa"/>
                    <w:right w:w="0" w:type="dxa"/>
                  </w:tcMar>
                  <w:vAlign w:val="center"/>
                </w:tcPr>
                <w:p w14:paraId="1F152DFF">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符合</w:t>
                  </w:r>
                </w:p>
              </w:tc>
            </w:tr>
            <w:tr w14:paraId="5BEBC6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9" w:type="dxa"/>
                  <w:tcBorders>
                    <w:tl2br w:val="nil"/>
                    <w:tr2bl w:val="nil"/>
                  </w:tcBorders>
                  <w:noWrap w:val="0"/>
                  <w:tcMar>
                    <w:top w:w="0" w:type="dxa"/>
                    <w:left w:w="0" w:type="dxa"/>
                    <w:bottom w:w="0" w:type="dxa"/>
                    <w:right w:w="0" w:type="dxa"/>
                  </w:tcMar>
                  <w:vAlign w:val="center"/>
                </w:tcPr>
                <w:p w14:paraId="3A56D2BC">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447" w:type="dxa"/>
                  <w:tcBorders>
                    <w:tl2br w:val="nil"/>
                    <w:tr2bl w:val="nil"/>
                  </w:tcBorders>
                  <w:noWrap w:val="0"/>
                  <w:tcMar>
                    <w:top w:w="0" w:type="dxa"/>
                    <w:left w:w="0" w:type="dxa"/>
                    <w:bottom w:w="0" w:type="dxa"/>
                    <w:right w:w="0" w:type="dxa"/>
                  </w:tcMar>
                  <w:vAlign w:val="center"/>
                </w:tcPr>
                <w:p w14:paraId="6B7AAB27">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运行与管理</w:t>
                  </w:r>
                </w:p>
              </w:tc>
              <w:tc>
                <w:tcPr>
                  <w:tcW w:w="2988" w:type="dxa"/>
                  <w:tcBorders>
                    <w:tl2br w:val="nil"/>
                    <w:tr2bl w:val="nil"/>
                  </w:tcBorders>
                  <w:noWrap w:val="0"/>
                  <w:tcMar>
                    <w:top w:w="0" w:type="dxa"/>
                    <w:left w:w="0" w:type="dxa"/>
                    <w:bottom w:w="0" w:type="dxa"/>
                    <w:right w:w="0" w:type="dxa"/>
                  </w:tcMar>
                  <w:vAlign w:val="center"/>
                </w:tcPr>
                <w:p w14:paraId="0F49C97A">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危险废物存入贮存设施前应对危险废物类别和特性与危险废物标签等危险废物识别标志的一致性进行核验，不一致的或类别、特性不明的不应存入。</w:t>
                  </w:r>
                </w:p>
                <w:p w14:paraId="5E1EE510">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 xml:space="preserve"> 应定期检查危险废物的贮存状况，及时清理贮存设施地面，更换破损泄漏的危险废物贮存容器和包装物，保证堆存危险废物的防雨、防风、防扬尘等设施功能完好。</w:t>
                  </w:r>
                </w:p>
                <w:p w14:paraId="0C97B26C">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作业设备及车辆等结束作业离开贮存设施时，应对其残留的危险废物进行清理，清理的废物或清洗废水应收集处理。</w:t>
                  </w:r>
                </w:p>
                <w:p w14:paraId="50EF6722">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贮存设施运行期间，应按国家有关标准和规定建立危险废物管理台账并保存。</w:t>
                  </w:r>
                </w:p>
                <w:p w14:paraId="4517815B">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贮存设施所有者或运营者应建立贮存设施环境管理制度、管理人员岗位职责制度、设施运行操作制度、人员岗位培训制度等。</w:t>
                  </w:r>
                </w:p>
                <w:p w14:paraId="62522CC3">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贮存设施所有者或运营者应依据国家土壤和地下水污染防治的有关规定，结合贮存设施特点建立土壤和地下水污染隐患排查制度，并定期开展隐患排查；发现隐患应及时采取措施消除隐患，并建立档案。</w:t>
                  </w:r>
                </w:p>
                <w:p w14:paraId="6DF9D84C">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lang w:val="zh-CN" w:eastAsia="zh-CN" w:bidi="zh-CN"/>
                    </w:rPr>
                  </w:pPr>
                  <w:r>
                    <w:rPr>
                      <w:rFonts w:hint="default"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贮存设施所有者或运营者应建立贮存设施全部档案，包括设计、施工、验收、运行、监测和环境应急等，应按国家有关档案管理的法律法规进行整理和归档。</w:t>
                  </w:r>
                </w:p>
              </w:tc>
              <w:tc>
                <w:tcPr>
                  <w:tcW w:w="2523" w:type="dxa"/>
                  <w:tcBorders>
                    <w:tl2br w:val="nil"/>
                    <w:tr2bl w:val="nil"/>
                  </w:tcBorders>
                  <w:noWrap w:val="0"/>
                  <w:tcMar>
                    <w:top w:w="0" w:type="dxa"/>
                    <w:left w:w="0" w:type="dxa"/>
                    <w:bottom w:w="0" w:type="dxa"/>
                    <w:right w:w="0" w:type="dxa"/>
                  </w:tcMar>
                  <w:vAlign w:val="center"/>
                </w:tcPr>
                <w:p w14:paraId="0254F6DB">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bidi="zh-CN"/>
                    </w:rPr>
                    <w:t>1.</w:t>
                  </w:r>
                  <w:r>
                    <w:rPr>
                      <w:rFonts w:hint="default" w:ascii="Times New Roman" w:hAnsi="Times New Roman" w:eastAsia="宋体" w:cs="Times New Roman"/>
                      <w:color w:val="auto"/>
                      <w:sz w:val="21"/>
                      <w:szCs w:val="21"/>
                      <w:highlight w:val="none"/>
                      <w:lang w:val="en-US" w:eastAsia="zh-CN"/>
                    </w:rPr>
                    <w:t>本项目</w:t>
                  </w:r>
                  <w:r>
                    <w:rPr>
                      <w:rFonts w:hint="default" w:ascii="Times New Roman" w:hAnsi="Times New Roman" w:eastAsia="宋体" w:cs="Times New Roman"/>
                      <w:color w:val="auto"/>
                      <w:sz w:val="21"/>
                      <w:szCs w:val="21"/>
                      <w:highlight w:val="none"/>
                    </w:rPr>
                    <w:t>危险废物存入</w:t>
                  </w:r>
                  <w:r>
                    <w:rPr>
                      <w:rFonts w:hint="default" w:ascii="Times New Roman" w:hAnsi="Times New Roman" w:eastAsia="宋体" w:cs="Times New Roman"/>
                      <w:color w:val="auto"/>
                      <w:sz w:val="21"/>
                      <w:szCs w:val="21"/>
                      <w:highlight w:val="none"/>
                      <w:lang w:eastAsia="zh-CN"/>
                    </w:rPr>
                    <w:t>危废暂存库</w:t>
                  </w:r>
                  <w:r>
                    <w:rPr>
                      <w:rFonts w:hint="default" w:ascii="Times New Roman" w:hAnsi="Times New Roman" w:eastAsia="宋体" w:cs="Times New Roman"/>
                      <w:color w:val="auto"/>
                      <w:sz w:val="21"/>
                      <w:szCs w:val="21"/>
                      <w:highlight w:val="none"/>
                    </w:rPr>
                    <w:t>前</w:t>
                  </w:r>
                  <w:r>
                    <w:rPr>
                      <w:rFonts w:hint="default" w:ascii="Times New Roman" w:hAnsi="Times New Roman" w:eastAsia="宋体" w:cs="Times New Roman"/>
                      <w:color w:val="auto"/>
                      <w:sz w:val="21"/>
                      <w:szCs w:val="21"/>
                      <w:highlight w:val="none"/>
                      <w:lang w:val="en-US" w:eastAsia="zh-CN"/>
                    </w:rPr>
                    <w:t>严格</w:t>
                  </w:r>
                  <w:r>
                    <w:rPr>
                      <w:rFonts w:hint="default" w:ascii="Times New Roman" w:hAnsi="Times New Roman" w:eastAsia="宋体" w:cs="Times New Roman"/>
                      <w:color w:val="auto"/>
                      <w:sz w:val="21"/>
                      <w:szCs w:val="21"/>
                      <w:highlight w:val="none"/>
                    </w:rPr>
                    <w:t>对危险废物类别</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特性与危险废物标签等危险废物识别标志的一致性进行核验，不一致的或类别、特性不明的不</w:t>
                  </w:r>
                  <w:r>
                    <w:rPr>
                      <w:rFonts w:hint="default" w:ascii="Times New Roman" w:hAnsi="Times New Roman" w:eastAsia="宋体" w:cs="Times New Roman"/>
                      <w:color w:val="auto"/>
                      <w:sz w:val="21"/>
                      <w:szCs w:val="21"/>
                      <w:highlight w:val="none"/>
                      <w:lang w:eastAsia="zh-CN"/>
                    </w:rPr>
                    <w:t>做</w:t>
                  </w:r>
                  <w:r>
                    <w:rPr>
                      <w:rFonts w:hint="default" w:ascii="Times New Roman" w:hAnsi="Times New Roman" w:eastAsia="宋体" w:cs="Times New Roman"/>
                      <w:color w:val="auto"/>
                      <w:sz w:val="21"/>
                      <w:szCs w:val="21"/>
                      <w:highlight w:val="none"/>
                    </w:rPr>
                    <w:t>存入。</w:t>
                  </w:r>
                </w:p>
                <w:p w14:paraId="789EA55F">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eastAsia="zh-CN"/>
                    </w:rPr>
                    <w:t>本项目医疗废物储存时间不超过</w:t>
                  </w:r>
                  <w:r>
                    <w:rPr>
                      <w:rFonts w:hint="default" w:ascii="Times New Roman" w:hAnsi="Times New Roman" w:eastAsia="宋体" w:cs="Times New Roman"/>
                      <w:color w:val="auto"/>
                      <w:sz w:val="21"/>
                      <w:szCs w:val="21"/>
                      <w:highlight w:val="none"/>
                      <w:lang w:val="en-US" w:eastAsia="zh-CN"/>
                    </w:rPr>
                    <w:t>2d。运行期间管理人员定期检查危险废物的贮存状况，及时清理贮存设施地面。如发现破损泄漏的危险废物贮存容器和包装物及时更换，保证贮存危险废物的防雨、防渗等设施功能完好。</w:t>
                  </w:r>
                </w:p>
                <w:p w14:paraId="120513E4">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eastAsia="zh-CN"/>
                    </w:rPr>
                    <w:t>本项目医疗废物贮存时间不超过</w:t>
                  </w:r>
                  <w:r>
                    <w:rPr>
                      <w:rFonts w:hint="default" w:ascii="Times New Roman" w:hAnsi="Times New Roman" w:eastAsia="宋体" w:cs="Times New Roman"/>
                      <w:color w:val="auto"/>
                      <w:sz w:val="21"/>
                      <w:szCs w:val="21"/>
                      <w:highlight w:val="none"/>
                      <w:lang w:val="en-US" w:eastAsia="zh-CN"/>
                    </w:rPr>
                    <w:t>2d。危废暂存库采取每日消毒措施。</w:t>
                  </w:r>
                </w:p>
                <w:p w14:paraId="3DD3D86F">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4.危废暂存库运行期间</w:t>
                  </w:r>
                  <w:r>
                    <w:rPr>
                      <w:rFonts w:hint="default" w:ascii="Times New Roman" w:hAnsi="Times New Roman" w:eastAsia="宋体" w:cs="Times New Roman"/>
                      <w:color w:val="auto"/>
                      <w:sz w:val="21"/>
                      <w:szCs w:val="21"/>
                      <w:highlight w:val="none"/>
                    </w:rPr>
                    <w:t>按国家有关标准和规定建立危险废物管理台账并保存。</w:t>
                  </w:r>
                </w:p>
                <w:p w14:paraId="5A3DEFBA">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5.本项目危废暂存库按规定设立环境管理制度等。</w:t>
                  </w:r>
                </w:p>
                <w:p w14:paraId="5D538850">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6.本项目属于医院医疗废物暂存设施建设，做好环评提出的措施及日常环保工作下发生事故可能性较小，企业应加强巡查、定期开展隐患排查，发现隐患可及时采取措施消除隐患，并建立档案。</w:t>
                  </w:r>
                </w:p>
                <w:p w14:paraId="51F05A87">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7.本环评要求企业充分落实本环评提出的各项污染防治措施，做好“三同时”及日常环保管理工作。</w:t>
                  </w:r>
                </w:p>
              </w:tc>
              <w:tc>
                <w:tcPr>
                  <w:tcW w:w="441" w:type="dxa"/>
                  <w:tcBorders>
                    <w:tl2br w:val="nil"/>
                    <w:tr2bl w:val="nil"/>
                  </w:tcBorders>
                  <w:noWrap w:val="0"/>
                  <w:tcMar>
                    <w:top w:w="0" w:type="dxa"/>
                    <w:left w:w="0" w:type="dxa"/>
                    <w:bottom w:w="0" w:type="dxa"/>
                    <w:right w:w="0" w:type="dxa"/>
                  </w:tcMar>
                  <w:vAlign w:val="center"/>
                </w:tcPr>
                <w:p w14:paraId="641832FB">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符合</w:t>
                  </w:r>
                </w:p>
              </w:tc>
            </w:tr>
            <w:tr w14:paraId="329ECE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9" w:type="dxa"/>
                  <w:tcBorders>
                    <w:tl2br w:val="nil"/>
                    <w:tr2bl w:val="nil"/>
                  </w:tcBorders>
                  <w:noWrap w:val="0"/>
                  <w:tcMar>
                    <w:top w:w="0" w:type="dxa"/>
                    <w:left w:w="0" w:type="dxa"/>
                    <w:bottom w:w="0" w:type="dxa"/>
                    <w:right w:w="0" w:type="dxa"/>
                  </w:tcMar>
                  <w:vAlign w:val="center"/>
                </w:tcPr>
                <w:p w14:paraId="2FC61E1E">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w:t>
                  </w:r>
                </w:p>
              </w:tc>
              <w:tc>
                <w:tcPr>
                  <w:tcW w:w="447" w:type="dxa"/>
                  <w:tcBorders>
                    <w:tl2br w:val="nil"/>
                    <w:tr2bl w:val="nil"/>
                  </w:tcBorders>
                  <w:noWrap w:val="0"/>
                  <w:tcMar>
                    <w:top w:w="0" w:type="dxa"/>
                    <w:left w:w="0" w:type="dxa"/>
                    <w:bottom w:w="0" w:type="dxa"/>
                    <w:right w:w="0" w:type="dxa"/>
                  </w:tcMar>
                  <w:vAlign w:val="center"/>
                </w:tcPr>
                <w:p w14:paraId="4BACD031">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环境应急要求</w:t>
                  </w:r>
                </w:p>
              </w:tc>
              <w:tc>
                <w:tcPr>
                  <w:tcW w:w="2988" w:type="dxa"/>
                  <w:tcBorders>
                    <w:tl2br w:val="nil"/>
                    <w:tr2bl w:val="nil"/>
                  </w:tcBorders>
                  <w:noWrap w:val="0"/>
                  <w:tcMar>
                    <w:top w:w="0" w:type="dxa"/>
                    <w:left w:w="0" w:type="dxa"/>
                    <w:bottom w:w="0" w:type="dxa"/>
                    <w:right w:w="0" w:type="dxa"/>
                  </w:tcMar>
                  <w:vAlign w:val="center"/>
                </w:tcPr>
                <w:p w14:paraId="39635A35">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贮存设施所有者或运营者应按照国家有关规定编制突发环境事件应急预案，定期开展必要的培训和环境应急演练，并做好培训、演练记录。</w:t>
                  </w:r>
                </w:p>
                <w:p w14:paraId="65E0D7F1">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贮存设施所有者或运营者应配备满足其突发环境事件应急要求的应急人员、装备和物资，并应设置应急照明系统。</w:t>
                  </w:r>
                </w:p>
                <w:p w14:paraId="7DEA56C6">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 xml:space="preserve"> 相关部门发布自然灾害或恶劣天气预警后，贮存设施所有者或运营者应启动相应防控措施，若有必要可将危险废物转移至其他具有防护条件的地点贮存。</w:t>
                  </w:r>
                </w:p>
              </w:tc>
              <w:tc>
                <w:tcPr>
                  <w:tcW w:w="2523" w:type="dxa"/>
                  <w:tcBorders>
                    <w:tl2br w:val="nil"/>
                    <w:tr2bl w:val="nil"/>
                  </w:tcBorders>
                  <w:noWrap w:val="0"/>
                  <w:tcMar>
                    <w:top w:w="0" w:type="dxa"/>
                    <w:left w:w="0" w:type="dxa"/>
                    <w:bottom w:w="0" w:type="dxa"/>
                    <w:right w:w="0" w:type="dxa"/>
                  </w:tcMar>
                  <w:vAlign w:val="center"/>
                </w:tcPr>
                <w:p w14:paraId="36D6079C">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bidi="zh-CN"/>
                    </w:rPr>
                    <w:t>1.</w:t>
                  </w:r>
                  <w:r>
                    <w:rPr>
                      <w:rFonts w:hint="default" w:ascii="Times New Roman" w:hAnsi="Times New Roman" w:eastAsia="宋体" w:cs="Times New Roman"/>
                      <w:color w:val="auto"/>
                      <w:sz w:val="21"/>
                      <w:szCs w:val="21"/>
                      <w:highlight w:val="none"/>
                      <w:lang w:val="en-US" w:eastAsia="zh-CN"/>
                    </w:rPr>
                    <w:t>环评要求企业编制突发环境事件应急预案并定期开展必要的培训和环境应急演练，并做好培训、演练记录。</w:t>
                  </w:r>
                </w:p>
                <w:p w14:paraId="274DD190">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2.鄂尔多斯广厦医院应配备应急救援装备、物资等，在危废暂存库内设有应急照明系统。</w:t>
                  </w:r>
                </w:p>
                <w:p w14:paraId="2BBF8675">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3.本项目</w:t>
                  </w:r>
                  <w:r>
                    <w:rPr>
                      <w:rFonts w:hint="default" w:ascii="Times New Roman" w:hAnsi="Times New Roman" w:eastAsia="宋体" w:cs="Times New Roman"/>
                      <w:color w:val="auto"/>
                      <w:sz w:val="21"/>
                      <w:szCs w:val="21"/>
                      <w:highlight w:val="none"/>
                      <w:lang w:eastAsia="zh-CN"/>
                    </w:rPr>
                    <w:t>地面采用坚固、防渗、耐腐蚀的材料建造，并设计有堵截泄漏的裙脚、围堰等设施。地面及裙脚基础垫层+2mmHDPE膜+环氧砂浆涂层，墙壁防渗防腐衬层高度为50cm，构筑物渗透系数</w:t>
                  </w:r>
                  <w:r>
                    <w:rPr>
                      <w:rFonts w:hint="default" w:ascii="Times New Roman" w:hAnsi="Times New Roman" w:eastAsia="宋体" w:cs="Times New Roman"/>
                      <w:color w:val="auto"/>
                      <w:kern w:val="2"/>
                      <w:sz w:val="21"/>
                      <w:szCs w:val="21"/>
                      <w:lang w:val="en-US"/>
                    </w:rPr>
                    <w:t>≤</w:t>
                  </w:r>
                  <w:r>
                    <w:rPr>
                      <w:rFonts w:hint="default" w:ascii="Times New Roman" w:hAnsi="Times New Roman" w:eastAsia="宋体" w:cs="Times New Roman"/>
                      <w:color w:val="auto"/>
                      <w:sz w:val="21"/>
                      <w:szCs w:val="21"/>
                      <w:highlight w:val="none"/>
                      <w:lang w:eastAsia="zh-CN"/>
                    </w:rPr>
                    <w:t>1.0×10</w:t>
                  </w:r>
                  <w:r>
                    <w:rPr>
                      <w:rFonts w:hint="default" w:ascii="Times New Roman" w:hAnsi="Times New Roman" w:eastAsia="宋体" w:cs="Times New Roman"/>
                      <w:color w:val="auto"/>
                      <w:sz w:val="21"/>
                      <w:szCs w:val="21"/>
                      <w:highlight w:val="none"/>
                      <w:vertAlign w:val="superscript"/>
                      <w:lang w:eastAsia="zh-CN"/>
                    </w:rPr>
                    <w:t>-10</w:t>
                  </w:r>
                  <w:r>
                    <w:rPr>
                      <w:rFonts w:hint="eastAsia" w:ascii="Times New Roman" w:hAnsi="Times New Roman" w:eastAsia="宋体" w:cs="Times New Roman"/>
                      <w:color w:val="auto"/>
                      <w:sz w:val="21"/>
                      <w:szCs w:val="21"/>
                      <w:highlight w:val="none"/>
                      <w:vertAlign w:val="superscript"/>
                      <w:lang w:val="en-US" w:eastAsia="zh-CN"/>
                    </w:rPr>
                    <w:t xml:space="preserve"> </w:t>
                  </w:r>
                  <w:r>
                    <w:rPr>
                      <w:rFonts w:hint="default" w:ascii="Times New Roman" w:hAnsi="Times New Roman" w:eastAsia="宋体" w:cs="Times New Roman"/>
                      <w:color w:val="auto"/>
                      <w:sz w:val="21"/>
                      <w:szCs w:val="21"/>
                      <w:highlight w:val="none"/>
                      <w:lang w:eastAsia="zh-CN"/>
                    </w:rPr>
                    <w:t>cm/s。可满足危险废物贮存防渗要求</w:t>
                  </w:r>
                  <w:r>
                    <w:rPr>
                      <w:rFonts w:hint="default" w:ascii="Times New Roman" w:hAnsi="Times New Roman" w:eastAsia="宋体" w:cs="Times New Roman"/>
                      <w:color w:val="auto"/>
                      <w:sz w:val="21"/>
                      <w:szCs w:val="21"/>
                      <w:highlight w:val="none"/>
                    </w:rPr>
                    <w:t>。</w:t>
                  </w:r>
                </w:p>
              </w:tc>
              <w:tc>
                <w:tcPr>
                  <w:tcW w:w="441" w:type="dxa"/>
                  <w:tcBorders>
                    <w:tl2br w:val="nil"/>
                    <w:tr2bl w:val="nil"/>
                  </w:tcBorders>
                  <w:noWrap w:val="0"/>
                  <w:tcMar>
                    <w:top w:w="0" w:type="dxa"/>
                    <w:left w:w="0" w:type="dxa"/>
                    <w:bottom w:w="0" w:type="dxa"/>
                    <w:right w:w="0" w:type="dxa"/>
                  </w:tcMar>
                  <w:vAlign w:val="center"/>
                </w:tcPr>
                <w:p w14:paraId="103FFF9A">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符合</w:t>
                  </w:r>
                </w:p>
              </w:tc>
            </w:tr>
          </w:tbl>
          <w:p w14:paraId="34A75A46">
            <w:pPr>
              <w:spacing w:line="520" w:lineRule="exact"/>
              <w:ind w:firstLine="482" w:firstLineChars="200"/>
              <w:jc w:val="both"/>
              <w:rPr>
                <w:rFonts w:hint="default" w:ascii="Times New Roman" w:hAnsi="Times New Roman" w:cs="Times New Roman"/>
                <w:color w:val="auto"/>
                <w:sz w:val="24"/>
                <w:szCs w:val="24"/>
                <w:lang w:val="en-US"/>
              </w:rPr>
            </w:pPr>
            <w:r>
              <w:rPr>
                <w:rFonts w:hint="eastAsia" w:ascii="Times New Roman" w:hAnsi="Times New Roman" w:cs="Times New Roman"/>
                <w:b/>
                <w:bCs/>
                <w:color w:val="auto"/>
                <w:sz w:val="24"/>
                <w:szCs w:val="24"/>
                <w:lang w:val="en-US" w:eastAsia="zh-CN"/>
              </w:rPr>
              <w:t>4</w:t>
            </w:r>
            <w:r>
              <w:rPr>
                <w:rFonts w:hint="default" w:ascii="Times New Roman" w:hAnsi="Times New Roman" w:cs="Times New Roman"/>
                <w:b/>
                <w:bCs/>
                <w:color w:val="auto"/>
                <w:sz w:val="24"/>
                <w:szCs w:val="24"/>
                <w:lang w:val="en-US"/>
              </w:rPr>
              <w:t>、选址可行性分析</w:t>
            </w:r>
            <w:r>
              <w:rPr>
                <w:rFonts w:hint="default" w:ascii="Times New Roman" w:hAnsi="Times New Roman" w:cs="Times New Roman"/>
                <w:color w:val="auto"/>
                <w:sz w:val="24"/>
                <w:szCs w:val="24"/>
                <w:lang w:val="en-US"/>
              </w:rPr>
              <w:t xml:space="preserve"> </w:t>
            </w:r>
          </w:p>
          <w:p w14:paraId="5089C533">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rPr>
              <w:t>本项目</w:t>
            </w:r>
            <w:r>
              <w:rPr>
                <w:rFonts w:hint="eastAsia" w:ascii="Times New Roman" w:hAnsi="Times New Roman" w:cs="Times New Roman"/>
                <w:color w:val="auto"/>
                <w:sz w:val="24"/>
                <w:szCs w:val="24"/>
                <w:lang w:val="en-US" w:eastAsia="zh-CN"/>
              </w:rPr>
              <w:t>位于鄂尔多斯市东胜区伊化南路11号鄂尔多斯广厦医院院内，属于城市建成区，周边无自然保护区、风景名胜区、世界文化自然遗产、国家森林公园和地质公园、集中式饮用水水源地等禁止开发区域，本项目选址合理。</w:t>
            </w:r>
          </w:p>
          <w:p w14:paraId="29B1E06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危废暂存库选址满足生态环境保护法律法规、规划和生态环境分区管控的要求，项目选址不在生态红线区域、永久基本农田和其他需要特别保护的区域内，不在溶洞区或易遭受洪水、滑坡、泥石流、潮汐等严重自然灾害影响的地区。项目的选址不位于江河、湖泊、运河、渠道、水库及其最高水位线以下的滩地和岸坡。本项目危废暂存库的选址符合《危险废物贮存污染控制标准》（GB 18597—2023）中的相关规定，符合性分析见下表。</w:t>
            </w:r>
          </w:p>
          <w:p w14:paraId="6860EBB0">
            <w:pPr>
              <w:pStyle w:val="45"/>
              <w:kinsoku w:val="0"/>
              <w:spacing w:line="520" w:lineRule="exact"/>
              <w:ind w:firstLine="482" w:firstLineChars="200"/>
              <w:jc w:val="center"/>
              <w:rPr>
                <w:rFonts w:hint="eastAsia" w:ascii="Times New Roman" w:hAnsi="Times New Roman" w:cs="Times New Roman"/>
                <w:b/>
                <w:bCs/>
                <w:color w:val="auto"/>
                <w:sz w:val="24"/>
                <w:szCs w:val="24"/>
                <w:lang w:val="en-US"/>
              </w:rPr>
            </w:pPr>
            <w:r>
              <w:rPr>
                <w:rFonts w:ascii="Times New Roman" w:hAnsi="Times New Roman" w:cs="Times New Roman"/>
                <w:b/>
                <w:bCs/>
                <w:color w:val="auto"/>
                <w:sz w:val="24"/>
                <w:szCs w:val="24"/>
              </w:rPr>
              <w:t>表1</w:t>
            </w:r>
            <w:r>
              <w:rPr>
                <w:rFonts w:hint="eastAsia" w:ascii="Times New Roman" w:hAnsi="Times New Roman" w:cs="Times New Roman"/>
                <w:b/>
                <w:bCs/>
                <w:color w:val="auto"/>
                <w:sz w:val="24"/>
                <w:szCs w:val="24"/>
                <w:lang w:val="en-US"/>
              </w:rPr>
              <w:t>-</w:t>
            </w:r>
            <w:r>
              <w:rPr>
                <w:rFonts w:hint="eastAsia" w:ascii="Times New Roman" w:hAnsi="Times New Roman" w:cs="Times New Roman"/>
                <w:b/>
                <w:bCs/>
                <w:color w:val="auto"/>
                <w:sz w:val="24"/>
                <w:szCs w:val="24"/>
                <w:lang w:val="en-US" w:eastAsia="zh-CN"/>
              </w:rPr>
              <w:t>4</w:t>
            </w:r>
            <w:r>
              <w:rPr>
                <w:rFonts w:ascii="Times New Roman" w:hAnsi="Times New Roman" w:cs="Times New Roman"/>
                <w:b/>
                <w:bCs/>
                <w:color w:val="auto"/>
                <w:sz w:val="24"/>
                <w:szCs w:val="24"/>
              </w:rPr>
              <w:t xml:space="preserve"> </w:t>
            </w:r>
            <w:r>
              <w:rPr>
                <w:rFonts w:hint="eastAsia" w:ascii="Times New Roman" w:hAnsi="Times New Roman" w:cs="Times New Roman"/>
                <w:b/>
                <w:bCs/>
                <w:color w:val="auto"/>
                <w:sz w:val="24"/>
                <w:szCs w:val="24"/>
                <w:lang w:val="en-US" w:eastAsia="zh-CN"/>
              </w:rPr>
              <w:t xml:space="preserve">  </w:t>
            </w:r>
            <w:r>
              <w:rPr>
                <w:rFonts w:hint="eastAsia" w:ascii="Times New Roman" w:hAnsi="Times New Roman" w:cs="Times New Roman"/>
                <w:b/>
                <w:bCs/>
                <w:color w:val="auto"/>
                <w:sz w:val="24"/>
                <w:szCs w:val="24"/>
                <w:lang w:val="en-US"/>
              </w:rPr>
              <w:t>与《危险废物贮存污染控制标准》中选址要求</w:t>
            </w:r>
          </w:p>
          <w:p w14:paraId="54067B79">
            <w:pPr>
              <w:pStyle w:val="45"/>
              <w:kinsoku w:val="0"/>
              <w:spacing w:line="520" w:lineRule="exact"/>
              <w:ind w:firstLine="482" w:firstLineChars="200"/>
              <w:jc w:val="center"/>
              <w:rPr>
                <w:rFonts w:hint="eastAsia" w:ascii="Times New Roman" w:hAnsi="Times New Roman" w:eastAsia="宋体" w:cs="Times New Roman"/>
                <w:b/>
                <w:bCs/>
                <w:color w:val="auto"/>
                <w:sz w:val="24"/>
                <w:szCs w:val="24"/>
                <w:lang w:eastAsia="zh-CN"/>
              </w:rPr>
            </w:pPr>
            <w:r>
              <w:rPr>
                <w:rFonts w:hint="eastAsia" w:ascii="Times New Roman" w:hAnsi="Times New Roman" w:cs="Times New Roman"/>
                <w:b/>
                <w:bCs/>
                <w:color w:val="auto"/>
                <w:sz w:val="24"/>
                <w:szCs w:val="24"/>
                <w:lang w:val="en-US"/>
              </w:rPr>
              <w:t>符合性</w:t>
            </w:r>
            <w:r>
              <w:rPr>
                <w:rFonts w:hint="eastAsia" w:ascii="Times New Roman" w:hAnsi="Times New Roman" w:cs="Times New Roman"/>
                <w:b/>
                <w:bCs/>
                <w:color w:val="auto"/>
                <w:sz w:val="24"/>
                <w:szCs w:val="24"/>
                <w:lang w:val="en-US" w:eastAsia="zh-CN"/>
              </w:rPr>
              <w:t>分析</w:t>
            </w:r>
          </w:p>
          <w:tbl>
            <w:tblPr>
              <w:tblStyle w:val="2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93"/>
              <w:gridCol w:w="2871"/>
              <w:gridCol w:w="3155"/>
              <w:gridCol w:w="459"/>
            </w:tblGrid>
            <w:tr w14:paraId="5FE2FC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3" w:type="dxa"/>
                  <w:tcBorders>
                    <w:tl2br w:val="nil"/>
                    <w:tr2bl w:val="nil"/>
                  </w:tcBorders>
                  <w:noWrap w:val="0"/>
                  <w:tcMar>
                    <w:top w:w="0" w:type="dxa"/>
                    <w:left w:w="6" w:type="dxa"/>
                    <w:bottom w:w="0" w:type="dxa"/>
                    <w:right w:w="6" w:type="dxa"/>
                  </w:tcMar>
                  <w:vAlign w:val="center"/>
                </w:tcPr>
                <w:p w14:paraId="2BACFEFC">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2871" w:type="dxa"/>
                  <w:tcBorders>
                    <w:tl2br w:val="nil"/>
                    <w:tr2bl w:val="nil"/>
                  </w:tcBorders>
                  <w:noWrap w:val="0"/>
                  <w:tcMar>
                    <w:top w:w="0" w:type="dxa"/>
                    <w:left w:w="6" w:type="dxa"/>
                    <w:bottom w:w="0" w:type="dxa"/>
                    <w:right w:w="6" w:type="dxa"/>
                  </w:tcMar>
                  <w:vAlign w:val="center"/>
                </w:tcPr>
                <w:p w14:paraId="2DB5DAF6">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标准要求</w:t>
                  </w:r>
                </w:p>
              </w:tc>
              <w:tc>
                <w:tcPr>
                  <w:tcW w:w="3155" w:type="dxa"/>
                  <w:tcBorders>
                    <w:tl2br w:val="nil"/>
                    <w:tr2bl w:val="nil"/>
                  </w:tcBorders>
                  <w:noWrap w:val="0"/>
                  <w:tcMar>
                    <w:top w:w="0" w:type="dxa"/>
                    <w:left w:w="6" w:type="dxa"/>
                    <w:bottom w:w="0" w:type="dxa"/>
                    <w:right w:w="6" w:type="dxa"/>
                  </w:tcMar>
                  <w:vAlign w:val="center"/>
                </w:tcPr>
                <w:p w14:paraId="2CD61E88">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项目情况</w:t>
                  </w:r>
                </w:p>
              </w:tc>
              <w:tc>
                <w:tcPr>
                  <w:tcW w:w="459" w:type="dxa"/>
                  <w:tcBorders>
                    <w:tl2br w:val="nil"/>
                    <w:tr2bl w:val="nil"/>
                  </w:tcBorders>
                  <w:noWrap w:val="0"/>
                  <w:tcMar>
                    <w:top w:w="0" w:type="dxa"/>
                    <w:left w:w="6" w:type="dxa"/>
                    <w:bottom w:w="0" w:type="dxa"/>
                    <w:right w:w="6" w:type="dxa"/>
                  </w:tcMar>
                  <w:vAlign w:val="center"/>
                </w:tcPr>
                <w:p w14:paraId="12BE2CB0">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是否</w:t>
                  </w:r>
                </w:p>
                <w:p w14:paraId="3FC73513">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4A6005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3" w:type="dxa"/>
                  <w:tcBorders>
                    <w:tl2br w:val="nil"/>
                    <w:tr2bl w:val="nil"/>
                  </w:tcBorders>
                  <w:noWrap w:val="0"/>
                  <w:tcMar>
                    <w:top w:w="0" w:type="dxa"/>
                    <w:left w:w="6" w:type="dxa"/>
                    <w:bottom w:w="0" w:type="dxa"/>
                    <w:right w:w="6" w:type="dxa"/>
                  </w:tcMar>
                  <w:vAlign w:val="center"/>
                </w:tcPr>
                <w:p w14:paraId="0430CD77">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2871" w:type="dxa"/>
                  <w:tcBorders>
                    <w:tl2br w:val="nil"/>
                    <w:tr2bl w:val="nil"/>
                  </w:tcBorders>
                  <w:noWrap w:val="0"/>
                  <w:tcMar>
                    <w:top w:w="0" w:type="dxa"/>
                    <w:left w:w="6" w:type="dxa"/>
                    <w:bottom w:w="0" w:type="dxa"/>
                    <w:right w:w="6" w:type="dxa"/>
                  </w:tcMar>
                  <w:vAlign w:val="center"/>
                </w:tcPr>
                <w:p w14:paraId="357E21EE">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lang w:val="zh-CN" w:eastAsia="zh-CN" w:bidi="zh-CN"/>
                    </w:rPr>
                  </w:pPr>
                  <w:r>
                    <w:rPr>
                      <w:rFonts w:hint="default" w:ascii="Times New Roman" w:hAnsi="Times New Roman" w:eastAsia="宋体" w:cs="Times New Roman"/>
                      <w:color w:val="auto"/>
                      <w:sz w:val="21"/>
                      <w:szCs w:val="21"/>
                      <w:highlight w:val="none"/>
                    </w:rPr>
                    <w:t>贮存设施选址应满足生态环境保护法律法规、规划和“三线一单”生态环境分区管控的要求，建设项目应依法进行环境影响评价。</w:t>
                  </w:r>
                </w:p>
              </w:tc>
              <w:tc>
                <w:tcPr>
                  <w:tcW w:w="3155" w:type="dxa"/>
                  <w:tcBorders>
                    <w:tl2br w:val="nil"/>
                    <w:tr2bl w:val="nil"/>
                  </w:tcBorders>
                  <w:noWrap w:val="0"/>
                  <w:tcMar>
                    <w:top w:w="0" w:type="dxa"/>
                    <w:left w:w="6" w:type="dxa"/>
                    <w:bottom w:w="0" w:type="dxa"/>
                    <w:right w:w="6" w:type="dxa"/>
                  </w:tcMar>
                  <w:vAlign w:val="center"/>
                </w:tcPr>
                <w:p w14:paraId="2890E521">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lang w:val="en-US" w:eastAsia="zh-CN" w:bidi="zh-CN"/>
                    </w:rPr>
                  </w:pPr>
                  <w:r>
                    <w:rPr>
                      <w:rFonts w:hint="default" w:ascii="Times New Roman" w:hAnsi="Times New Roman" w:eastAsia="宋体" w:cs="Times New Roman"/>
                      <w:color w:val="auto"/>
                      <w:sz w:val="21"/>
                      <w:szCs w:val="21"/>
                      <w:highlight w:val="none"/>
                      <w:lang w:val="en-US" w:eastAsia="zh-CN"/>
                    </w:rPr>
                    <w:t>本项目设施选址满足</w:t>
                  </w:r>
                  <w:r>
                    <w:rPr>
                      <w:rFonts w:hint="default" w:ascii="Times New Roman" w:hAnsi="Times New Roman" w:eastAsia="宋体" w:cs="Times New Roman"/>
                      <w:color w:val="auto"/>
                      <w:sz w:val="21"/>
                      <w:szCs w:val="21"/>
                      <w:highlight w:val="none"/>
                      <w:lang w:eastAsia="zh-CN"/>
                    </w:rPr>
                    <w:t>生态环境保护法律法规、规划和“三线一单”生态环境分区管控的要求，建设项目正在办理环境影响评价手续。</w:t>
                  </w:r>
                </w:p>
              </w:tc>
              <w:tc>
                <w:tcPr>
                  <w:tcW w:w="459" w:type="dxa"/>
                  <w:tcBorders>
                    <w:tl2br w:val="nil"/>
                    <w:tr2bl w:val="nil"/>
                  </w:tcBorders>
                  <w:noWrap w:val="0"/>
                  <w:tcMar>
                    <w:top w:w="0" w:type="dxa"/>
                    <w:left w:w="6" w:type="dxa"/>
                    <w:bottom w:w="0" w:type="dxa"/>
                    <w:right w:w="6" w:type="dxa"/>
                  </w:tcMar>
                  <w:vAlign w:val="center"/>
                </w:tcPr>
                <w:p w14:paraId="6F6A4ABD">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286660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3" w:type="dxa"/>
                  <w:tcBorders>
                    <w:tl2br w:val="nil"/>
                    <w:tr2bl w:val="nil"/>
                  </w:tcBorders>
                  <w:noWrap w:val="0"/>
                  <w:tcMar>
                    <w:top w:w="0" w:type="dxa"/>
                    <w:left w:w="6" w:type="dxa"/>
                    <w:bottom w:w="0" w:type="dxa"/>
                    <w:right w:w="6" w:type="dxa"/>
                  </w:tcMar>
                  <w:vAlign w:val="center"/>
                </w:tcPr>
                <w:p w14:paraId="37340AE4">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2871" w:type="dxa"/>
                  <w:tcBorders>
                    <w:tl2br w:val="nil"/>
                    <w:tr2bl w:val="nil"/>
                  </w:tcBorders>
                  <w:noWrap w:val="0"/>
                  <w:tcMar>
                    <w:top w:w="0" w:type="dxa"/>
                    <w:left w:w="6" w:type="dxa"/>
                    <w:bottom w:w="0" w:type="dxa"/>
                    <w:right w:w="6" w:type="dxa"/>
                  </w:tcMar>
                  <w:vAlign w:val="center"/>
                </w:tcPr>
                <w:p w14:paraId="1CE69DDB">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集中贮存设施不应选在生态保护红线区域、永久基本农田和其他需要特别保护的区域内，不应建在溶洞区或易遭受洪水、滑坡、泥石流、潮汐等严重自然灾害影响的地区。</w:t>
                  </w:r>
                </w:p>
              </w:tc>
              <w:tc>
                <w:tcPr>
                  <w:tcW w:w="3155" w:type="dxa"/>
                  <w:tcBorders>
                    <w:tl2br w:val="nil"/>
                    <w:tr2bl w:val="nil"/>
                  </w:tcBorders>
                  <w:noWrap w:val="0"/>
                  <w:tcMar>
                    <w:top w:w="0" w:type="dxa"/>
                    <w:left w:w="6" w:type="dxa"/>
                    <w:bottom w:w="0" w:type="dxa"/>
                    <w:right w:w="6" w:type="dxa"/>
                  </w:tcMar>
                  <w:vAlign w:val="center"/>
                </w:tcPr>
                <w:p w14:paraId="0D7A5FEE">
                  <w:pPr>
                    <w:pStyle w:val="55"/>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本项目危废暂存库未设置于生态保护红线区域、永久基本农田和其他需要特别保护的区域内，不属于溶洞区或易遭受洪水、滑坡、泥石流、潮汐等严重自然灾害影响的地区。</w:t>
                  </w:r>
                </w:p>
              </w:tc>
              <w:tc>
                <w:tcPr>
                  <w:tcW w:w="459" w:type="dxa"/>
                  <w:tcBorders>
                    <w:tl2br w:val="nil"/>
                    <w:tr2bl w:val="nil"/>
                  </w:tcBorders>
                  <w:noWrap w:val="0"/>
                  <w:tcMar>
                    <w:top w:w="0" w:type="dxa"/>
                    <w:left w:w="6" w:type="dxa"/>
                    <w:bottom w:w="0" w:type="dxa"/>
                    <w:right w:w="6" w:type="dxa"/>
                  </w:tcMar>
                  <w:vAlign w:val="center"/>
                </w:tcPr>
                <w:p w14:paraId="597EACB9">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59E23B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3" w:type="dxa"/>
                  <w:tcBorders>
                    <w:tl2br w:val="nil"/>
                    <w:tr2bl w:val="nil"/>
                  </w:tcBorders>
                  <w:noWrap w:val="0"/>
                  <w:tcMar>
                    <w:top w:w="0" w:type="dxa"/>
                    <w:left w:w="6" w:type="dxa"/>
                    <w:bottom w:w="0" w:type="dxa"/>
                    <w:right w:w="6" w:type="dxa"/>
                  </w:tcMar>
                  <w:vAlign w:val="center"/>
                </w:tcPr>
                <w:p w14:paraId="45216501">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2871" w:type="dxa"/>
                  <w:tcBorders>
                    <w:tl2br w:val="nil"/>
                    <w:tr2bl w:val="nil"/>
                  </w:tcBorders>
                  <w:noWrap w:val="0"/>
                  <w:tcMar>
                    <w:top w:w="0" w:type="dxa"/>
                    <w:left w:w="6" w:type="dxa"/>
                    <w:bottom w:w="0" w:type="dxa"/>
                    <w:right w:w="6" w:type="dxa"/>
                  </w:tcMar>
                  <w:vAlign w:val="center"/>
                </w:tcPr>
                <w:p w14:paraId="0C3F63C7">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贮存设施不应选在江河、湖泊、运河、渠道、水库及其最高水位线以下的滩地和岸坡，以及法律法规规定禁止贮存危险废物的其他地点。</w:t>
                  </w:r>
                </w:p>
              </w:tc>
              <w:tc>
                <w:tcPr>
                  <w:tcW w:w="3155" w:type="dxa"/>
                  <w:tcBorders>
                    <w:tl2br w:val="nil"/>
                    <w:tr2bl w:val="nil"/>
                  </w:tcBorders>
                  <w:noWrap w:val="0"/>
                  <w:tcMar>
                    <w:top w:w="0" w:type="dxa"/>
                    <w:left w:w="6" w:type="dxa"/>
                    <w:bottom w:w="0" w:type="dxa"/>
                    <w:right w:w="6" w:type="dxa"/>
                  </w:tcMar>
                  <w:vAlign w:val="center"/>
                </w:tcPr>
                <w:p w14:paraId="2FC1CE58">
                  <w:pPr>
                    <w:pStyle w:val="55"/>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本项目危废暂存库不位于江河、湖泊、运河、渠道、水库及其最高水位线以下的滩地和岸坡，以及法律法规规定禁止贮存危险废物的其他地点。</w:t>
                  </w:r>
                </w:p>
              </w:tc>
              <w:tc>
                <w:tcPr>
                  <w:tcW w:w="459" w:type="dxa"/>
                  <w:tcBorders>
                    <w:tl2br w:val="nil"/>
                    <w:tr2bl w:val="nil"/>
                  </w:tcBorders>
                  <w:noWrap w:val="0"/>
                  <w:tcMar>
                    <w:top w:w="0" w:type="dxa"/>
                    <w:left w:w="6" w:type="dxa"/>
                    <w:bottom w:w="0" w:type="dxa"/>
                    <w:right w:w="6" w:type="dxa"/>
                  </w:tcMar>
                  <w:vAlign w:val="center"/>
                </w:tcPr>
                <w:p w14:paraId="753E2A6B">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符合</w:t>
                  </w:r>
                </w:p>
              </w:tc>
            </w:tr>
            <w:tr w14:paraId="70BACB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3" w:type="dxa"/>
                  <w:tcBorders>
                    <w:tl2br w:val="nil"/>
                    <w:tr2bl w:val="nil"/>
                  </w:tcBorders>
                  <w:noWrap w:val="0"/>
                  <w:tcMar>
                    <w:top w:w="0" w:type="dxa"/>
                    <w:left w:w="6" w:type="dxa"/>
                    <w:bottom w:w="0" w:type="dxa"/>
                    <w:right w:w="6" w:type="dxa"/>
                  </w:tcMar>
                  <w:vAlign w:val="center"/>
                </w:tcPr>
                <w:p w14:paraId="4F79FF85">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2871" w:type="dxa"/>
                  <w:tcBorders>
                    <w:tl2br w:val="nil"/>
                    <w:tr2bl w:val="nil"/>
                  </w:tcBorders>
                  <w:noWrap w:val="0"/>
                  <w:tcMar>
                    <w:top w:w="0" w:type="dxa"/>
                    <w:left w:w="6" w:type="dxa"/>
                    <w:bottom w:w="0" w:type="dxa"/>
                    <w:right w:w="6" w:type="dxa"/>
                  </w:tcMar>
                  <w:vAlign w:val="center"/>
                </w:tcPr>
                <w:p w14:paraId="032BA07D">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贮存设施场址的位置以及其与周围环境敏感目标的距离应依据环境影响评价文件确定。</w:t>
                  </w:r>
                </w:p>
              </w:tc>
              <w:tc>
                <w:tcPr>
                  <w:tcW w:w="3155" w:type="dxa"/>
                  <w:tcBorders>
                    <w:tl2br w:val="nil"/>
                    <w:tr2bl w:val="nil"/>
                  </w:tcBorders>
                  <w:noWrap w:val="0"/>
                  <w:tcMar>
                    <w:top w:w="0" w:type="dxa"/>
                    <w:left w:w="6" w:type="dxa"/>
                    <w:bottom w:w="0" w:type="dxa"/>
                    <w:right w:w="6" w:type="dxa"/>
                  </w:tcMar>
                  <w:vAlign w:val="center"/>
                </w:tcPr>
                <w:p w14:paraId="00E9002D">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本项目位于鄂尔多斯广厦医院院内，在做好污染防治措施及日常管理的情况下，对周围环境影响较小。</w:t>
                  </w:r>
                </w:p>
              </w:tc>
              <w:tc>
                <w:tcPr>
                  <w:tcW w:w="459" w:type="dxa"/>
                  <w:tcBorders>
                    <w:tl2br w:val="nil"/>
                    <w:tr2bl w:val="nil"/>
                  </w:tcBorders>
                  <w:noWrap w:val="0"/>
                  <w:tcMar>
                    <w:top w:w="0" w:type="dxa"/>
                    <w:left w:w="6" w:type="dxa"/>
                    <w:bottom w:w="0" w:type="dxa"/>
                    <w:right w:w="6" w:type="dxa"/>
                  </w:tcMar>
                  <w:vAlign w:val="center"/>
                </w:tcPr>
                <w:p w14:paraId="22684363">
                  <w:pPr>
                    <w:pStyle w:val="55"/>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符合</w:t>
                  </w:r>
                </w:p>
              </w:tc>
            </w:tr>
          </w:tbl>
          <w:p w14:paraId="5FA3FAAB">
            <w:pPr>
              <w:spacing w:line="520" w:lineRule="exact"/>
              <w:jc w:val="both"/>
              <w:rPr>
                <w:rFonts w:hint="default" w:ascii="Times New Roman" w:hAnsi="Times New Roman" w:cs="Times New Roman"/>
                <w:color w:val="auto"/>
                <w:sz w:val="24"/>
                <w:szCs w:val="24"/>
                <w:lang w:val="en-US"/>
              </w:rPr>
            </w:pPr>
          </w:p>
        </w:tc>
      </w:tr>
    </w:tbl>
    <w:p w14:paraId="0C780A28">
      <w:pPr>
        <w:rPr>
          <w:rFonts w:ascii="Times New Roman"/>
          <w:color w:val="auto"/>
          <w:sz w:val="20"/>
        </w:rPr>
        <w:sectPr>
          <w:footerReference r:id="rId5" w:type="default"/>
          <w:footerReference r:id="rId6" w:type="even"/>
          <w:pgSz w:w="11910" w:h="16840"/>
          <w:pgMar w:top="1701" w:right="1531" w:bottom="1701" w:left="1531" w:header="720" w:footer="1531" w:gutter="0"/>
          <w:pgBorders>
            <w:top w:val="none" w:sz="0" w:space="0"/>
            <w:left w:val="none" w:sz="0" w:space="0"/>
            <w:bottom w:val="none" w:sz="0" w:space="0"/>
            <w:right w:val="none" w:sz="0" w:space="0"/>
          </w:pgBorders>
          <w:pgNumType w:fmt="decimal" w:start="1"/>
          <w:cols w:space="720" w:num="1"/>
        </w:sectPr>
      </w:pPr>
    </w:p>
    <w:p w14:paraId="26DE4FE7">
      <w:pPr>
        <w:jc w:val="center"/>
        <w:rPr>
          <w:color w:val="auto"/>
          <w:sz w:val="24"/>
        </w:rPr>
      </w:pPr>
      <w:r>
        <w:rPr>
          <w:color w:val="auto"/>
          <w:sz w:val="24"/>
        </w:rPr>
        <mc:AlternateContent>
          <mc:Choice Requires="wps">
            <w:drawing>
              <wp:anchor distT="0" distB="0" distL="114300" distR="114300" simplePos="0" relativeHeight="251699200" behindDoc="0" locked="0" layoutInCell="1" allowOverlap="1">
                <wp:simplePos x="0" y="0"/>
                <wp:positionH relativeFrom="column">
                  <wp:posOffset>4565015</wp:posOffset>
                </wp:positionH>
                <wp:positionV relativeFrom="paragraph">
                  <wp:posOffset>1172845</wp:posOffset>
                </wp:positionV>
                <wp:extent cx="984885" cy="301625"/>
                <wp:effectExtent l="4445" t="4445" r="20320" b="455930"/>
                <wp:wrapNone/>
                <wp:docPr id="6" name="自选图形 16"/>
                <wp:cNvGraphicFramePr/>
                <a:graphic xmlns:a="http://schemas.openxmlformats.org/drawingml/2006/main">
                  <a:graphicData uri="http://schemas.microsoft.com/office/word/2010/wordprocessingShape">
                    <wps:wsp>
                      <wps:cNvSpPr/>
                      <wps:spPr>
                        <a:xfrm rot="10800000">
                          <a:off x="0" y="0"/>
                          <a:ext cx="984885" cy="301625"/>
                        </a:xfrm>
                        <a:prstGeom prst="wedgeRoundRectCallout">
                          <a:avLst>
                            <a:gd name="adj1" fmla="val -42917"/>
                            <a:gd name="adj2" fmla="val -192935"/>
                            <a:gd name="adj3" fmla="val 16667"/>
                          </a:avLst>
                        </a:prstGeom>
                        <a:solidFill>
                          <a:srgbClr val="FFFF00">
                            <a:alpha val="89999"/>
                          </a:srgbClr>
                        </a:solidFill>
                        <a:ln w="9525" cap="flat" cmpd="sng">
                          <a:solidFill>
                            <a:srgbClr val="000000"/>
                          </a:solidFill>
                          <a:prstDash val="solid"/>
                          <a:miter/>
                          <a:headEnd type="none" w="med" len="med"/>
                          <a:tailEnd type="none" w="med" len="med"/>
                        </a:ln>
                      </wps:spPr>
                      <wps:txbx>
                        <w:txbxContent>
                          <w:p w14:paraId="04D81197">
                            <w:pPr>
                              <w:jc w:val="center"/>
                              <w:rPr>
                                <w:rFonts w:hint="eastAsia" w:eastAsia="宋体"/>
                                <w:b/>
                                <w:color w:val="FF0000"/>
                                <w:sz w:val="21"/>
                                <w:szCs w:val="21"/>
                                <w:lang w:eastAsia="zh-CN"/>
                              </w:rPr>
                            </w:pPr>
                            <w:r>
                              <w:rPr>
                                <w:rFonts w:hint="eastAsia"/>
                                <w:b/>
                                <w:color w:val="FF0000"/>
                                <w:sz w:val="21"/>
                                <w:szCs w:val="21"/>
                                <w:lang w:val="en-US" w:eastAsia="zh-CN"/>
                              </w:rPr>
                              <w:t>本</w:t>
                            </w:r>
                            <w:r>
                              <w:rPr>
                                <w:rFonts w:hint="eastAsia"/>
                                <w:b/>
                                <w:color w:val="FF0000"/>
                                <w:sz w:val="21"/>
                                <w:szCs w:val="21"/>
                                <w:lang w:eastAsia="zh-CN"/>
                              </w:rPr>
                              <w:t>项目</w:t>
                            </w:r>
                            <w:r>
                              <w:rPr>
                                <w:rFonts w:hint="eastAsia"/>
                                <w:b/>
                                <w:color w:val="FF0000"/>
                                <w:sz w:val="21"/>
                                <w:szCs w:val="21"/>
                                <w:lang w:val="en-US" w:eastAsia="zh-CN"/>
                              </w:rPr>
                              <w:t>位置</w:t>
                            </w:r>
                          </w:p>
                          <w:p w14:paraId="1899791A">
                            <w:pPr>
                              <w:jc w:val="center"/>
                              <w:rPr>
                                <w:rFonts w:hint="eastAsia"/>
                                <w:b/>
                                <w:color w:val="FF0000"/>
                                <w:sz w:val="21"/>
                                <w:szCs w:val="21"/>
                              </w:rPr>
                            </w:pPr>
                            <w:r>
                              <w:rPr>
                                <w:rFonts w:hint="eastAsia"/>
                                <w:b/>
                                <w:color w:val="FF0000"/>
                                <w:sz w:val="21"/>
                                <w:szCs w:val="21"/>
                              </w:rPr>
                              <w:t>本项目所在地</w:t>
                            </w:r>
                          </w:p>
                        </w:txbxContent>
                      </wps:txbx>
                      <wps:bodyPr vert="horz" wrap="square" anchor="t" anchorCtr="0" upright="1"/>
                    </wps:wsp>
                  </a:graphicData>
                </a:graphic>
              </wp:anchor>
            </w:drawing>
          </mc:Choice>
          <mc:Fallback>
            <w:pict>
              <v:shape id="自选图形 16" o:spid="_x0000_s1026" o:spt="62" type="#_x0000_t62" style="position:absolute;left:0pt;margin-left:359.45pt;margin-top:92.35pt;height:23.75pt;width:77.55pt;rotation:11796480f;z-index:251699200;mso-width-relative:page;mso-height-relative:page;" fillcolor="#FFFF00" filled="t" stroked="t" coordsize="21600,21600" o:gfxdata="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Eq88hfZAAAACwEAAA8AAAAA&#10;AAAAAQAgAAAAIgAAAGRycy9kb3ducmV2LnhtbFBLAQIUABQAAAAIAIdO4kDGwpAkhQIAABsFAAAO&#10;AAAAAAAAAAEAIAAAACgBAABkcnMvZTJvRG9jLnhtbFBLBQYAAAAABgAGAFkBAAAfBgAAAAA=&#10;" adj="1530,-30874,14400">
                <v:fill on="t" opacity="58981f" focussize="0,0"/>
                <v:stroke color="#000000" joinstyle="miter"/>
                <v:imagedata o:title=""/>
                <o:lock v:ext="edit" aspectratio="f"/>
                <v:textbox>
                  <w:txbxContent>
                    <w:p w14:paraId="04D81197">
                      <w:pPr>
                        <w:jc w:val="center"/>
                        <w:rPr>
                          <w:rFonts w:hint="eastAsia" w:eastAsia="宋体"/>
                          <w:b/>
                          <w:color w:val="FF0000"/>
                          <w:sz w:val="21"/>
                          <w:szCs w:val="21"/>
                          <w:lang w:eastAsia="zh-CN"/>
                        </w:rPr>
                      </w:pPr>
                      <w:r>
                        <w:rPr>
                          <w:rFonts w:hint="eastAsia"/>
                          <w:b/>
                          <w:color w:val="FF0000"/>
                          <w:sz w:val="21"/>
                          <w:szCs w:val="21"/>
                          <w:lang w:val="en-US" w:eastAsia="zh-CN"/>
                        </w:rPr>
                        <w:t>本</w:t>
                      </w:r>
                      <w:r>
                        <w:rPr>
                          <w:rFonts w:hint="eastAsia"/>
                          <w:b/>
                          <w:color w:val="FF0000"/>
                          <w:sz w:val="21"/>
                          <w:szCs w:val="21"/>
                          <w:lang w:eastAsia="zh-CN"/>
                        </w:rPr>
                        <w:t>项目</w:t>
                      </w:r>
                      <w:r>
                        <w:rPr>
                          <w:rFonts w:hint="eastAsia"/>
                          <w:b/>
                          <w:color w:val="FF0000"/>
                          <w:sz w:val="21"/>
                          <w:szCs w:val="21"/>
                          <w:lang w:val="en-US" w:eastAsia="zh-CN"/>
                        </w:rPr>
                        <w:t>位置</w:t>
                      </w:r>
                    </w:p>
                    <w:p w14:paraId="1899791A">
                      <w:pPr>
                        <w:jc w:val="center"/>
                        <w:rPr>
                          <w:rFonts w:hint="eastAsia"/>
                          <w:b/>
                          <w:color w:val="FF0000"/>
                          <w:sz w:val="21"/>
                          <w:szCs w:val="21"/>
                        </w:rPr>
                      </w:pPr>
                      <w:r>
                        <w:rPr>
                          <w:rFonts w:hint="eastAsia"/>
                          <w:b/>
                          <w:color w:val="FF0000"/>
                          <w:sz w:val="21"/>
                          <w:szCs w:val="21"/>
                        </w:rPr>
                        <w:t>本项目所在地</w:t>
                      </w:r>
                    </w:p>
                  </w:txbxContent>
                </v:textbox>
              </v:shape>
            </w:pict>
          </mc:Fallback>
        </mc:AlternateContent>
      </w:r>
      <w:r>
        <w:rPr>
          <w:color w:val="auto"/>
          <w:sz w:val="24"/>
        </w:rPr>
        <mc:AlternateContent>
          <mc:Choice Requires="wps">
            <w:drawing>
              <wp:anchor distT="0" distB="0" distL="114300" distR="114300" simplePos="0" relativeHeight="251700224" behindDoc="0" locked="0" layoutInCell="1" allowOverlap="1">
                <wp:simplePos x="0" y="0"/>
                <wp:positionH relativeFrom="column">
                  <wp:posOffset>5467350</wp:posOffset>
                </wp:positionH>
                <wp:positionV relativeFrom="paragraph">
                  <wp:posOffset>1870075</wp:posOffset>
                </wp:positionV>
                <wp:extent cx="116840" cy="112395"/>
                <wp:effectExtent l="4445" t="4445" r="12065" b="16510"/>
                <wp:wrapNone/>
                <wp:docPr id="114" name="五角星 114"/>
                <wp:cNvGraphicFramePr/>
                <a:graphic xmlns:a="http://schemas.openxmlformats.org/drawingml/2006/main">
                  <a:graphicData uri="http://schemas.microsoft.com/office/word/2010/wordprocessingShape">
                    <wps:wsp>
                      <wps:cNvSpPr/>
                      <wps:spPr>
                        <a:xfrm>
                          <a:off x="5382260" y="3895725"/>
                          <a:ext cx="116840" cy="112395"/>
                        </a:xfrm>
                        <a:prstGeom prst="star5">
                          <a:avLst/>
                        </a:prstGeom>
                        <a:solidFill>
                          <a:srgbClr val="FFFF00"/>
                        </a:solidFill>
                        <a:ln w="317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30.5pt;margin-top:147.25pt;height:8.85pt;width:9.2pt;z-index:251700224;v-text-anchor:middle;mso-width-relative:page;mso-height-relative:page;" fillcolor="#FFFF00" filled="t" stroked="t" coordsize="116840,112395" o:gfxdata="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PDMu9oAAAALAQAADwAAAAAAAAABACAAAAAi&#10;AAAAZHJzL2Rvd25yZXYueG1sUEsBAhQAFAAAAAgAh07iQIkp3aJ6AgAA7wQAAA4AAAAAAAAAAQAg&#10;AAAAKQEAAGRycy9lMm9Eb2MueG1sUEsFBgAAAAAGAAYAWQEAABUGAAAAAA==&#10;" path="m0,42930l44629,42931,58420,0,72210,42931,116839,42930,80734,69463,94525,112394,58420,85861,22314,112394,36105,69463xe">
                <v:path o:connectlocs="58420,0;0,42930;22314,112394;94525,112394;116839,42930" o:connectangles="247,164,82,82,0"/>
                <v:fill on="t" focussize="0,0"/>
                <v:stroke weight="0.25pt" color="#FF0000 [2404]" joinstyle="round"/>
                <v:imagedata o:title=""/>
                <o:lock v:ext="edit" aspectratio="f"/>
              </v:shape>
            </w:pict>
          </mc:Fallback>
        </mc:AlternateContent>
      </w:r>
      <w:r>
        <w:rPr>
          <w:color w:val="auto"/>
          <w:sz w:val="24"/>
        </w:rPr>
        <w:drawing>
          <wp:inline distT="0" distB="0" distL="114300" distR="114300">
            <wp:extent cx="7156450" cy="5342255"/>
            <wp:effectExtent l="0" t="0" r="6350" b="10795"/>
            <wp:docPr id="5" name="图片 199" descr="D:\三线一单项目\鄂尔多斯\综合\集成.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9" descr="D:\三线一单项目\鄂尔多斯\综合\集成.jpg"/>
                    <pic:cNvPicPr>
                      <a:picLocks noChangeAspect="1"/>
                    </pic:cNvPicPr>
                  </pic:nvPicPr>
                  <pic:blipFill>
                    <a:blip r:embed="rId16"/>
                    <a:stretch>
                      <a:fillRect/>
                    </a:stretch>
                  </pic:blipFill>
                  <pic:spPr>
                    <a:xfrm>
                      <a:off x="0" y="0"/>
                      <a:ext cx="7156450" cy="5342255"/>
                    </a:xfrm>
                    <a:prstGeom prst="rect">
                      <a:avLst/>
                    </a:prstGeom>
                    <a:noFill/>
                    <a:ln>
                      <a:noFill/>
                    </a:ln>
                  </pic:spPr>
                </pic:pic>
              </a:graphicData>
            </a:graphic>
          </wp:inline>
        </w:drawing>
      </w:r>
      <w:r>
        <w:rPr>
          <w:color w:val="auto"/>
          <w:sz w:val="24"/>
        </w:rPr>
        <mc:AlternateContent>
          <mc:Choice Requires="wps">
            <w:drawing>
              <wp:anchor distT="0" distB="0" distL="114300" distR="114300" simplePos="0" relativeHeight="251701248" behindDoc="0" locked="0" layoutInCell="1" allowOverlap="1">
                <wp:simplePos x="0" y="0"/>
                <wp:positionH relativeFrom="column">
                  <wp:posOffset>6039485</wp:posOffset>
                </wp:positionH>
                <wp:positionV relativeFrom="paragraph">
                  <wp:posOffset>3152775</wp:posOffset>
                </wp:positionV>
                <wp:extent cx="76200" cy="76200"/>
                <wp:effectExtent l="13970" t="15875" r="24130" b="22225"/>
                <wp:wrapNone/>
                <wp:docPr id="113" name="任意多边形 1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0" cy="76200"/>
                        </a:xfrm>
                        <a:custGeom>
                          <a:avLst/>
                          <a:gdLst>
                            <a:gd name="txL" fmla="*/ 0 w 173355"/>
                            <a:gd name="txT" fmla="*/ 0 h 180975"/>
                            <a:gd name="txR" fmla="*/ 173355 w 173355"/>
                            <a:gd name="txB" fmla="*/ 180975 h 180975"/>
                          </a:gdLst>
                          <a:ahLst/>
                          <a:cxnLst>
                            <a:cxn ang="0">
                              <a:pos x="0" y="69126"/>
                            </a:cxn>
                            <a:cxn ang="0">
                              <a:pos x="66216" y="69127"/>
                            </a:cxn>
                            <a:cxn ang="0">
                              <a:pos x="86678" y="0"/>
                            </a:cxn>
                            <a:cxn ang="0">
                              <a:pos x="107139" y="69127"/>
                            </a:cxn>
                            <a:cxn ang="0">
                              <a:pos x="173355" y="69126"/>
                            </a:cxn>
                            <a:cxn ang="0">
                              <a:pos x="119785" y="111848"/>
                            </a:cxn>
                            <a:cxn ang="0">
                              <a:pos x="140247" y="180975"/>
                            </a:cxn>
                            <a:cxn ang="0">
                              <a:pos x="86678" y="138252"/>
                            </a:cxn>
                            <a:cxn ang="0">
                              <a:pos x="33108" y="180975"/>
                            </a:cxn>
                            <a:cxn ang="0">
                              <a:pos x="53570" y="111848"/>
                            </a:cxn>
                            <a:cxn ang="0">
                              <a:pos x="0" y="69126"/>
                            </a:cxn>
                          </a:cxnLst>
                          <a:rect l="txL" t="txT" r="txR" b="txB"/>
                          <a:pathLst>
                            <a:path w="173355" h="180975">
                              <a:moveTo>
                                <a:pt x="0" y="69126"/>
                              </a:moveTo>
                              <a:lnTo>
                                <a:pt x="66216" y="69127"/>
                              </a:lnTo>
                              <a:lnTo>
                                <a:pt x="86678" y="0"/>
                              </a:lnTo>
                              <a:lnTo>
                                <a:pt x="107139" y="69127"/>
                              </a:lnTo>
                              <a:lnTo>
                                <a:pt x="173355" y="69126"/>
                              </a:lnTo>
                              <a:lnTo>
                                <a:pt x="119785" y="111848"/>
                              </a:lnTo>
                              <a:lnTo>
                                <a:pt x="140247" y="180975"/>
                              </a:lnTo>
                              <a:lnTo>
                                <a:pt x="86678" y="138252"/>
                              </a:lnTo>
                              <a:lnTo>
                                <a:pt x="33108" y="180975"/>
                              </a:lnTo>
                              <a:lnTo>
                                <a:pt x="53570" y="111848"/>
                              </a:lnTo>
                              <a:lnTo>
                                <a:pt x="0" y="69126"/>
                              </a:lnTo>
                              <a:close/>
                            </a:path>
                          </a:pathLst>
                        </a:custGeom>
                        <a:solidFill>
                          <a:srgbClr val="FF0000"/>
                        </a:solidFill>
                        <a:ln w="6350" cap="flat" cmpd="sng">
                          <a:solidFill>
                            <a:srgbClr val="000000"/>
                          </a:solidFill>
                          <a:prstDash val="solid"/>
                          <a:miter/>
                          <a:headEnd type="none" w="med" len="med"/>
                          <a:tailEnd type="none" w="med" len="med"/>
                        </a:ln>
                      </wps:spPr>
                      <wps:txbx>
                        <w:txbxContent>
                          <w:p w14:paraId="15500EC6"/>
                        </w:txbxContent>
                      </wps:txbx>
                      <wps:bodyPr upright="1"/>
                    </wps:wsp>
                  </a:graphicData>
                </a:graphic>
              </wp:anchor>
            </w:drawing>
          </mc:Choice>
          <mc:Fallback>
            <w:pict>
              <v:shape id="_x0000_s1026" o:spid="_x0000_s1026" o:spt="100" style="position:absolute;left:0pt;margin-left:475.55pt;margin-top:248.25pt;height:6pt;width:6pt;z-index:251701248;mso-width-relative:page;mso-height-relative:page;" fillcolor="#FF0000" filled="t" stroked="t" coordsize="173355,180975" o:gfxdata="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" path="m0,69126l66216,69127,86678,0,107139,69127,173355,69126,119785,111848,140247,180975,86678,138252,33108,180975,53570,111848,0,69126xe">
                <v:path textboxrect="0,0,173355,180975" o:connectlocs="0,69126;66216,69127;86678,0;107139,69127;173355,69126;119785,111848;140247,180975;86678,138252;33108,180975;53570,111848;0,69126" o:connectangles="0,0,0,0,0,0,0,0,0,0,0"/>
                <v:fill on="t" focussize="0,0"/>
                <v:stroke weight="0.5pt" color="#000000" joinstyle="miter"/>
                <v:imagedata o:title=""/>
                <o:lock v:ext="edit" aspectratio="t"/>
                <v:textbox>
                  <w:txbxContent>
                    <w:p w14:paraId="15500EC6"/>
                  </w:txbxContent>
                </v:textbox>
              </v:shape>
            </w:pict>
          </mc:Fallback>
        </mc:AlternateContent>
      </w:r>
    </w:p>
    <w:p w14:paraId="568F49A8">
      <w:pPr>
        <w:jc w:val="center"/>
        <w:rPr>
          <w:color w:val="auto"/>
          <w:sz w:val="24"/>
        </w:rPr>
        <w:sectPr>
          <w:pgSz w:w="16840" w:h="11910" w:orient="landscape"/>
          <w:pgMar w:top="1531" w:right="1701" w:bottom="1531" w:left="1701" w:header="720" w:footer="1043" w:gutter="0"/>
          <w:pgBorders>
            <w:top w:val="none" w:sz="0" w:space="0"/>
            <w:left w:val="none" w:sz="0" w:space="0"/>
            <w:bottom w:val="none" w:sz="0" w:space="0"/>
            <w:right w:val="none" w:sz="0" w:space="0"/>
          </w:pgBorders>
          <w:pgNumType w:fmt="decimal"/>
          <w:cols w:space="720" w:num="1"/>
        </w:sectPr>
      </w:pPr>
      <w:r>
        <w:rPr>
          <w:rFonts w:hint="default" w:ascii="Times New Roman" w:hAnsi="Times New Roman" w:cs="Times New Roman"/>
          <w:b/>
          <w:bCs/>
          <w:color w:val="auto"/>
          <w:sz w:val="24"/>
          <w:szCs w:val="24"/>
          <w:lang w:val="en-US"/>
        </w:rPr>
        <w:t>图1-1    本项目在鄂尔多斯市“三线一单”环境管控单元中位置示意图</w:t>
      </w:r>
    </w:p>
    <w:p w14:paraId="4DCE260E">
      <w:pPr>
        <w:jc w:val="center"/>
        <w:rPr>
          <w:rFonts w:ascii="Times New Roman"/>
          <w:color w:val="auto"/>
          <w:sz w:val="20"/>
        </w:rPr>
        <w:sectPr>
          <w:pgSz w:w="16840" w:h="11910" w:orient="landscape"/>
          <w:pgMar w:top="1701" w:right="1417" w:bottom="1701" w:left="1247" w:header="720" w:footer="1043" w:gutter="0"/>
          <w:pgBorders>
            <w:top w:val="none" w:sz="0" w:space="0"/>
            <w:left w:val="none" w:sz="0" w:space="0"/>
            <w:bottom w:val="none" w:sz="0" w:space="0"/>
            <w:right w:val="none" w:sz="0" w:space="0"/>
          </w:pgBorders>
          <w:pgNumType w:fmt="decimal"/>
          <w:cols w:space="720" w:num="1"/>
        </w:sectPr>
      </w:pPr>
      <w:r>
        <w:rPr>
          <w:color w:val="auto"/>
          <w:sz w:val="24"/>
        </w:rPr>
        <mc:AlternateContent>
          <mc:Choice Requires="wps">
            <w:drawing>
              <wp:anchor distT="0" distB="0" distL="114300" distR="114300" simplePos="0" relativeHeight="251702272" behindDoc="0" locked="0" layoutInCell="1" allowOverlap="1">
                <wp:simplePos x="0" y="0"/>
                <wp:positionH relativeFrom="column">
                  <wp:posOffset>3224530</wp:posOffset>
                </wp:positionH>
                <wp:positionV relativeFrom="paragraph">
                  <wp:posOffset>1703070</wp:posOffset>
                </wp:positionV>
                <wp:extent cx="984885" cy="301625"/>
                <wp:effectExtent l="4445" t="4445" r="20320" b="455930"/>
                <wp:wrapNone/>
                <wp:docPr id="115" name="自选图形 16"/>
                <wp:cNvGraphicFramePr/>
                <a:graphic xmlns:a="http://schemas.openxmlformats.org/drawingml/2006/main">
                  <a:graphicData uri="http://schemas.microsoft.com/office/word/2010/wordprocessingShape">
                    <wps:wsp>
                      <wps:cNvSpPr/>
                      <wps:spPr>
                        <a:xfrm rot="10800000">
                          <a:off x="0" y="0"/>
                          <a:ext cx="984885" cy="301625"/>
                        </a:xfrm>
                        <a:prstGeom prst="wedgeRoundRectCallout">
                          <a:avLst>
                            <a:gd name="adj1" fmla="val -42917"/>
                            <a:gd name="adj2" fmla="val -192935"/>
                            <a:gd name="adj3" fmla="val 16667"/>
                          </a:avLst>
                        </a:prstGeom>
                        <a:solidFill>
                          <a:srgbClr val="FFFF00">
                            <a:alpha val="89999"/>
                          </a:srgbClr>
                        </a:solidFill>
                        <a:ln w="9525" cap="flat" cmpd="sng">
                          <a:solidFill>
                            <a:srgbClr val="000000"/>
                          </a:solidFill>
                          <a:prstDash val="solid"/>
                          <a:miter/>
                          <a:headEnd type="none" w="med" len="med"/>
                          <a:tailEnd type="none" w="med" len="med"/>
                        </a:ln>
                      </wps:spPr>
                      <wps:txbx>
                        <w:txbxContent>
                          <w:p w14:paraId="35D1CAA3">
                            <w:pPr>
                              <w:jc w:val="center"/>
                              <w:rPr>
                                <w:rFonts w:hint="eastAsia" w:eastAsia="宋体"/>
                                <w:b/>
                                <w:color w:val="FF0000"/>
                                <w:sz w:val="21"/>
                                <w:szCs w:val="21"/>
                                <w:lang w:eastAsia="zh-CN"/>
                              </w:rPr>
                            </w:pPr>
                            <w:r>
                              <w:rPr>
                                <w:rFonts w:hint="eastAsia"/>
                                <w:b/>
                                <w:color w:val="FF0000"/>
                                <w:sz w:val="21"/>
                                <w:szCs w:val="21"/>
                                <w:lang w:val="en-US" w:eastAsia="zh-CN"/>
                              </w:rPr>
                              <w:t>本</w:t>
                            </w:r>
                            <w:r>
                              <w:rPr>
                                <w:rFonts w:hint="eastAsia"/>
                                <w:b/>
                                <w:color w:val="FF0000"/>
                                <w:sz w:val="21"/>
                                <w:szCs w:val="21"/>
                                <w:lang w:eastAsia="zh-CN"/>
                              </w:rPr>
                              <w:t>项目</w:t>
                            </w:r>
                            <w:r>
                              <w:rPr>
                                <w:rFonts w:hint="eastAsia"/>
                                <w:b/>
                                <w:color w:val="FF0000"/>
                                <w:sz w:val="21"/>
                                <w:szCs w:val="21"/>
                                <w:lang w:val="en-US" w:eastAsia="zh-CN"/>
                              </w:rPr>
                              <w:t>位置</w:t>
                            </w:r>
                          </w:p>
                          <w:p w14:paraId="542C61C2">
                            <w:pPr>
                              <w:jc w:val="center"/>
                              <w:rPr>
                                <w:rFonts w:hint="eastAsia"/>
                                <w:b/>
                                <w:color w:val="FF0000"/>
                                <w:sz w:val="21"/>
                                <w:szCs w:val="21"/>
                              </w:rPr>
                            </w:pPr>
                            <w:r>
                              <w:rPr>
                                <w:rFonts w:hint="eastAsia"/>
                                <w:b/>
                                <w:color w:val="FF0000"/>
                                <w:sz w:val="21"/>
                                <w:szCs w:val="21"/>
                              </w:rPr>
                              <w:t>本项目所在地</w:t>
                            </w:r>
                          </w:p>
                        </w:txbxContent>
                      </wps:txbx>
                      <wps:bodyPr vert="horz" wrap="square" anchor="t" anchorCtr="0" upright="1"/>
                    </wps:wsp>
                  </a:graphicData>
                </a:graphic>
              </wp:anchor>
            </w:drawing>
          </mc:Choice>
          <mc:Fallback>
            <w:pict>
              <v:shape id="自选图形 16" o:spid="_x0000_s1026" o:spt="62" type="#_x0000_t62" style="position:absolute;left:0pt;margin-left:253.9pt;margin-top:134.1pt;height:23.75pt;width:77.55pt;rotation:11796480f;z-index:251702272;mso-width-relative:page;mso-height-relative:page;" fillcolor="#FFFF00" filled="t" stroked="t" coordsize="21600,21600" o:gfxdata="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5TB7OdoAAAALAQAADwAA&#10;AAAAAAABACAAAAAiAAAAZHJzL2Rvd25yZXYueG1sUEsBAhQAFAAAAAgAh07iQPZqYQKGAgAAHQUA&#10;AA4AAAAAAAAAAQAgAAAAKQEAAGRycy9lMm9Eb2MueG1sUEsFBgAAAAAGAAYAWQEAACEGAAAAAA==&#10;" adj="1530,-30874,14400">
                <v:fill on="t" opacity="58981f" focussize="0,0"/>
                <v:stroke color="#000000" joinstyle="miter"/>
                <v:imagedata o:title=""/>
                <o:lock v:ext="edit" aspectratio="f"/>
                <v:textbox>
                  <w:txbxContent>
                    <w:p w14:paraId="35D1CAA3">
                      <w:pPr>
                        <w:jc w:val="center"/>
                        <w:rPr>
                          <w:rFonts w:hint="eastAsia" w:eastAsia="宋体"/>
                          <w:b/>
                          <w:color w:val="FF0000"/>
                          <w:sz w:val="21"/>
                          <w:szCs w:val="21"/>
                          <w:lang w:eastAsia="zh-CN"/>
                        </w:rPr>
                      </w:pPr>
                      <w:r>
                        <w:rPr>
                          <w:rFonts w:hint="eastAsia"/>
                          <w:b/>
                          <w:color w:val="FF0000"/>
                          <w:sz w:val="21"/>
                          <w:szCs w:val="21"/>
                          <w:lang w:val="en-US" w:eastAsia="zh-CN"/>
                        </w:rPr>
                        <w:t>本</w:t>
                      </w:r>
                      <w:r>
                        <w:rPr>
                          <w:rFonts w:hint="eastAsia"/>
                          <w:b/>
                          <w:color w:val="FF0000"/>
                          <w:sz w:val="21"/>
                          <w:szCs w:val="21"/>
                          <w:lang w:eastAsia="zh-CN"/>
                        </w:rPr>
                        <w:t>项目</w:t>
                      </w:r>
                      <w:r>
                        <w:rPr>
                          <w:rFonts w:hint="eastAsia"/>
                          <w:b/>
                          <w:color w:val="FF0000"/>
                          <w:sz w:val="21"/>
                          <w:szCs w:val="21"/>
                          <w:lang w:val="en-US" w:eastAsia="zh-CN"/>
                        </w:rPr>
                        <w:t>位置</w:t>
                      </w:r>
                    </w:p>
                    <w:p w14:paraId="542C61C2">
                      <w:pPr>
                        <w:jc w:val="center"/>
                        <w:rPr>
                          <w:rFonts w:hint="eastAsia"/>
                          <w:b/>
                          <w:color w:val="FF0000"/>
                          <w:sz w:val="21"/>
                          <w:szCs w:val="21"/>
                        </w:rPr>
                      </w:pPr>
                      <w:r>
                        <w:rPr>
                          <w:rFonts w:hint="eastAsia"/>
                          <w:b/>
                          <w:color w:val="FF0000"/>
                          <w:sz w:val="21"/>
                          <w:szCs w:val="21"/>
                        </w:rPr>
                        <w:t>本项目所在地</w:t>
                      </w:r>
                    </w:p>
                  </w:txbxContent>
                </v:textbox>
              </v:shape>
            </w:pict>
          </mc:Fallback>
        </mc:AlternateContent>
      </w:r>
      <w:r>
        <w:rPr>
          <w:color w:val="auto"/>
        </w:rPr>
        <w:drawing>
          <wp:anchor distT="0" distB="0" distL="114300" distR="114300" simplePos="0" relativeHeight="251698176" behindDoc="0" locked="0" layoutInCell="1" allowOverlap="1">
            <wp:simplePos x="0" y="0"/>
            <wp:positionH relativeFrom="column">
              <wp:posOffset>5968365</wp:posOffset>
            </wp:positionH>
            <wp:positionV relativeFrom="paragraph">
              <wp:posOffset>3857625</wp:posOffset>
            </wp:positionV>
            <wp:extent cx="3046730" cy="1189990"/>
            <wp:effectExtent l="0" t="0" r="1270" b="10160"/>
            <wp:wrapNone/>
            <wp:docPr id="1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3"/>
                    <pic:cNvPicPr>
                      <a:picLocks noChangeAspect="1"/>
                    </pic:cNvPicPr>
                  </pic:nvPicPr>
                  <pic:blipFill>
                    <a:blip r:embed="rId17"/>
                    <a:stretch>
                      <a:fillRect/>
                    </a:stretch>
                  </pic:blipFill>
                  <pic:spPr>
                    <a:xfrm>
                      <a:off x="0" y="0"/>
                      <a:ext cx="3046730" cy="1189990"/>
                    </a:xfrm>
                    <a:prstGeom prst="rect">
                      <a:avLst/>
                    </a:prstGeom>
                    <a:noFill/>
                    <a:ln>
                      <a:noFill/>
                    </a:ln>
                  </pic:spPr>
                </pic:pic>
              </a:graphicData>
            </a:graphic>
          </wp:anchor>
        </w:drawing>
      </w:r>
      <w:r>
        <w:rPr>
          <w:color w:val="auto"/>
        </w:rPr>
        <w:drawing>
          <wp:anchor distT="0" distB="0" distL="114300" distR="114300" simplePos="0" relativeHeight="251697152" behindDoc="0" locked="0" layoutInCell="1" allowOverlap="1">
            <wp:simplePos x="0" y="0"/>
            <wp:positionH relativeFrom="column">
              <wp:posOffset>5958840</wp:posOffset>
            </wp:positionH>
            <wp:positionV relativeFrom="paragraph">
              <wp:posOffset>1692910</wp:posOffset>
            </wp:positionV>
            <wp:extent cx="3054985" cy="2152015"/>
            <wp:effectExtent l="0" t="0" r="12065" b="635"/>
            <wp:wrapNone/>
            <wp:docPr id="1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2"/>
                    <pic:cNvPicPr>
                      <a:picLocks noChangeAspect="1"/>
                    </pic:cNvPicPr>
                  </pic:nvPicPr>
                  <pic:blipFill>
                    <a:blip r:embed="rId18"/>
                    <a:srcRect b="1830"/>
                    <a:stretch>
                      <a:fillRect/>
                    </a:stretch>
                  </pic:blipFill>
                  <pic:spPr>
                    <a:xfrm>
                      <a:off x="0" y="0"/>
                      <a:ext cx="3054985" cy="2152015"/>
                    </a:xfrm>
                    <a:prstGeom prst="rect">
                      <a:avLst/>
                    </a:prstGeom>
                    <a:noFill/>
                    <a:ln>
                      <a:noFill/>
                    </a:ln>
                  </pic:spPr>
                </pic:pic>
              </a:graphicData>
            </a:graphic>
          </wp:anchor>
        </w:drawing>
      </w:r>
      <w:r>
        <w:rPr>
          <w:color w:val="auto"/>
        </w:rPr>
        <w:drawing>
          <wp:inline distT="0" distB="0" distL="114300" distR="114300">
            <wp:extent cx="8991600" cy="5052060"/>
            <wp:effectExtent l="9525" t="9525" r="9525" b="24765"/>
            <wp:docPr id="1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
                    <pic:cNvPicPr>
                      <a:picLocks noChangeAspect="1"/>
                    </pic:cNvPicPr>
                  </pic:nvPicPr>
                  <pic:blipFill>
                    <a:blip r:embed="rId19"/>
                    <a:stretch>
                      <a:fillRect/>
                    </a:stretch>
                  </pic:blipFill>
                  <pic:spPr>
                    <a:xfrm>
                      <a:off x="0" y="0"/>
                      <a:ext cx="8991600" cy="5052060"/>
                    </a:xfrm>
                    <a:prstGeom prst="rect">
                      <a:avLst/>
                    </a:prstGeom>
                    <a:noFill/>
                    <a:ln>
                      <a:solidFill>
                        <a:schemeClr val="tx1"/>
                      </a:solidFill>
                    </a:ln>
                  </pic:spPr>
                </pic:pic>
              </a:graphicData>
            </a:graphic>
          </wp:inline>
        </w:drawing>
      </w:r>
      <w:r>
        <w:rPr>
          <w:rFonts w:hint="default" w:ascii="Times New Roman" w:hAnsi="Times New Roman" w:eastAsia="宋体" w:cs="Times New Roman"/>
          <w:b/>
          <w:bCs/>
          <w:color w:val="auto"/>
          <w:sz w:val="24"/>
          <w:szCs w:val="24"/>
          <w:lang w:val="en-US"/>
        </w:rPr>
        <w:t>图</w:t>
      </w:r>
      <w:r>
        <w:rPr>
          <w:rFonts w:hint="eastAsia" w:ascii="Times New Roman" w:hAnsi="Times New Roman" w:eastAsia="宋体" w:cs="Times New Roman"/>
          <w:b/>
          <w:bCs/>
          <w:color w:val="auto"/>
          <w:sz w:val="24"/>
          <w:szCs w:val="24"/>
          <w:lang w:val="en-US" w:eastAsia="zh-CN"/>
        </w:rPr>
        <w:t>1-2</w:t>
      </w:r>
      <w:r>
        <w:rPr>
          <w:rFonts w:hint="default" w:ascii="Times New Roman" w:hAnsi="Times New Roman" w:eastAsia="宋体" w:cs="Times New Roman"/>
          <w:b/>
          <w:bCs/>
          <w:color w:val="auto"/>
          <w:sz w:val="24"/>
          <w:szCs w:val="24"/>
          <w:lang w:val="en-US"/>
        </w:rPr>
        <w:t xml:space="preserve">    </w:t>
      </w:r>
      <w:r>
        <w:rPr>
          <w:rFonts w:hint="eastAsia" w:ascii="Times New Roman" w:hAnsi="Times New Roman" w:eastAsia="宋体" w:cs="Times New Roman"/>
          <w:b/>
          <w:bCs/>
          <w:color w:val="auto"/>
          <w:sz w:val="24"/>
          <w:szCs w:val="24"/>
          <w:lang w:val="en-US" w:eastAsia="zh-CN"/>
        </w:rPr>
        <w:t>内蒙古自治区“三线一单”应用平台项目研判智能分析结果图</w:t>
      </w:r>
    </w:p>
    <w:p w14:paraId="3FAD1FC2">
      <w:pPr>
        <w:pStyle w:val="17"/>
        <w:jc w:val="center"/>
        <w:outlineLvl w:val="0"/>
        <w:rPr>
          <w:rFonts w:ascii="黑体"/>
          <w:color w:val="auto"/>
          <w:sz w:val="21"/>
        </w:rPr>
      </w:pPr>
      <w:bookmarkStart w:id="2" w:name="二、建设项目工程分析"/>
      <w:bookmarkEnd w:id="2"/>
      <w:r>
        <w:rPr>
          <w:rFonts w:hint="eastAsia" w:ascii="黑体" w:hAnsi="黑体" w:eastAsia="黑体"/>
          <w:snapToGrid w:val="0"/>
          <w:color w:val="auto"/>
          <w:sz w:val="30"/>
          <w:szCs w:val="30"/>
        </w:rPr>
        <w:t>二、建设项目工程分析</w:t>
      </w:r>
    </w:p>
    <w:tbl>
      <w:tblPr>
        <w:tblStyle w:val="20"/>
        <w:tblW w:w="9075" w:type="dxa"/>
        <w:tblInd w:w="-11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20"/>
        <w:gridCol w:w="8255"/>
      </w:tblGrid>
      <w:tr w14:paraId="69FC2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67" w:hRule="atLeast"/>
        </w:trPr>
        <w:tc>
          <w:tcPr>
            <w:tcW w:w="811" w:type="dxa"/>
            <w:tcBorders>
              <w:right w:val="single" w:color="000000" w:sz="4" w:space="0"/>
            </w:tcBorders>
            <w:noWrap w:val="0"/>
            <w:vAlign w:val="top"/>
          </w:tcPr>
          <w:p w14:paraId="079B8955">
            <w:pPr>
              <w:pStyle w:val="45"/>
              <w:spacing w:line="520" w:lineRule="exact"/>
              <w:rPr>
                <w:rFonts w:ascii="Times New Roman" w:hAnsi="Times New Roman" w:cs="Times New Roman"/>
                <w:color w:val="auto"/>
                <w:sz w:val="20"/>
              </w:rPr>
            </w:pPr>
          </w:p>
          <w:p w14:paraId="4A9B250D">
            <w:pPr>
              <w:pStyle w:val="45"/>
              <w:spacing w:line="520" w:lineRule="exact"/>
              <w:rPr>
                <w:rFonts w:ascii="Times New Roman" w:hAnsi="Times New Roman" w:cs="Times New Roman"/>
                <w:color w:val="auto"/>
                <w:sz w:val="20"/>
              </w:rPr>
            </w:pPr>
          </w:p>
          <w:p w14:paraId="75D5CF3E">
            <w:pPr>
              <w:pStyle w:val="45"/>
              <w:spacing w:line="520" w:lineRule="exact"/>
              <w:rPr>
                <w:rFonts w:ascii="Times New Roman" w:hAnsi="Times New Roman" w:cs="Times New Roman"/>
                <w:color w:val="auto"/>
                <w:sz w:val="20"/>
              </w:rPr>
            </w:pPr>
          </w:p>
          <w:p w14:paraId="33B85ECA">
            <w:pPr>
              <w:pStyle w:val="45"/>
              <w:spacing w:line="520" w:lineRule="exact"/>
              <w:rPr>
                <w:rFonts w:ascii="Times New Roman" w:hAnsi="Times New Roman" w:cs="Times New Roman"/>
                <w:color w:val="auto"/>
                <w:sz w:val="20"/>
              </w:rPr>
            </w:pPr>
          </w:p>
          <w:p w14:paraId="48190B88">
            <w:pPr>
              <w:pStyle w:val="45"/>
              <w:spacing w:line="520" w:lineRule="exact"/>
              <w:rPr>
                <w:rFonts w:ascii="Times New Roman" w:hAnsi="Times New Roman" w:cs="Times New Roman"/>
                <w:color w:val="auto"/>
                <w:sz w:val="20"/>
              </w:rPr>
            </w:pPr>
          </w:p>
          <w:p w14:paraId="0D130EA4">
            <w:pPr>
              <w:pStyle w:val="45"/>
              <w:spacing w:line="520" w:lineRule="exact"/>
              <w:rPr>
                <w:rFonts w:ascii="Times New Roman" w:hAnsi="Times New Roman" w:cs="Times New Roman"/>
                <w:color w:val="auto"/>
                <w:sz w:val="20"/>
              </w:rPr>
            </w:pPr>
          </w:p>
          <w:p w14:paraId="7EF1FF2A">
            <w:pPr>
              <w:pStyle w:val="45"/>
              <w:spacing w:line="520" w:lineRule="exact"/>
              <w:rPr>
                <w:rFonts w:ascii="Times New Roman" w:hAnsi="Times New Roman" w:cs="Times New Roman"/>
                <w:color w:val="auto"/>
                <w:sz w:val="20"/>
              </w:rPr>
            </w:pPr>
          </w:p>
          <w:p w14:paraId="4E8FEEE3">
            <w:pPr>
              <w:pStyle w:val="45"/>
              <w:spacing w:line="520" w:lineRule="exact"/>
              <w:jc w:val="center"/>
              <w:rPr>
                <w:rFonts w:ascii="Times New Roman" w:hAnsi="Times New Roman" w:cs="Times New Roman"/>
                <w:color w:val="auto"/>
                <w:spacing w:val="-2"/>
                <w:sz w:val="24"/>
                <w:szCs w:val="24"/>
                <w:lang w:val="en-US"/>
              </w:rPr>
            </w:pPr>
          </w:p>
          <w:p w14:paraId="669DB586">
            <w:pPr>
              <w:pStyle w:val="45"/>
              <w:spacing w:line="520" w:lineRule="exact"/>
              <w:jc w:val="center"/>
              <w:rPr>
                <w:rFonts w:ascii="Times New Roman" w:hAnsi="Times New Roman" w:cs="Times New Roman"/>
                <w:color w:val="auto"/>
                <w:spacing w:val="-2"/>
                <w:sz w:val="24"/>
                <w:szCs w:val="24"/>
                <w:lang w:val="en-US"/>
              </w:rPr>
            </w:pPr>
            <w:r>
              <w:rPr>
                <w:rFonts w:ascii="Times New Roman" w:hAnsi="Times New Roman" w:cs="Times New Roman"/>
                <w:color w:val="auto"/>
                <w:spacing w:val="-2"/>
                <w:sz w:val="24"/>
                <w:szCs w:val="24"/>
                <w:lang w:val="en-US"/>
              </w:rPr>
              <w:t>建设</w:t>
            </w:r>
          </w:p>
          <w:p w14:paraId="1C0176E4">
            <w:pPr>
              <w:pStyle w:val="45"/>
              <w:spacing w:line="520" w:lineRule="exact"/>
              <w:jc w:val="center"/>
              <w:rPr>
                <w:rFonts w:ascii="Times New Roman" w:hAnsi="Times New Roman" w:cs="Times New Roman"/>
                <w:color w:val="auto"/>
                <w:sz w:val="21"/>
              </w:rPr>
            </w:pPr>
            <w:r>
              <w:rPr>
                <w:rFonts w:ascii="Times New Roman" w:hAnsi="Times New Roman" w:cs="Times New Roman"/>
                <w:color w:val="auto"/>
                <w:spacing w:val="-2"/>
                <w:sz w:val="24"/>
                <w:szCs w:val="24"/>
                <w:lang w:val="en-US"/>
              </w:rPr>
              <w:t>内容</w:t>
            </w:r>
          </w:p>
        </w:tc>
        <w:tc>
          <w:tcPr>
            <w:tcW w:w="8164" w:type="dxa"/>
            <w:tcBorders>
              <w:left w:val="single" w:color="000000" w:sz="4" w:space="0"/>
            </w:tcBorders>
            <w:noWrap w:val="0"/>
            <w:vAlign w:val="top"/>
          </w:tcPr>
          <w:p w14:paraId="60CD916A">
            <w:pPr>
              <w:pStyle w:val="45"/>
              <w:autoSpaceDE/>
              <w:autoSpaceDN/>
              <w:spacing w:line="520" w:lineRule="exact"/>
              <w:ind w:firstLine="482" w:firstLineChars="200"/>
              <w:jc w:val="both"/>
              <w:rPr>
                <w:rFonts w:hint="eastAsia" w:ascii="Times New Roman" w:hAnsi="Times New Roman" w:eastAsia="宋体" w:cs="Times New Roman"/>
                <w:b/>
                <w:color w:val="auto"/>
                <w:sz w:val="24"/>
                <w:lang w:val="en-US" w:eastAsia="zh-CN"/>
              </w:rPr>
            </w:pPr>
            <w:r>
              <w:rPr>
                <w:rFonts w:hint="eastAsia" w:ascii="Times New Roman" w:hAnsi="Times New Roman" w:cs="Times New Roman"/>
                <w:b/>
                <w:color w:val="auto"/>
                <w:sz w:val="24"/>
                <w:lang w:val="en-US" w:eastAsia="zh-CN"/>
              </w:rPr>
              <w:t>1、项目由来</w:t>
            </w:r>
          </w:p>
          <w:p w14:paraId="20FDF608">
            <w:pPr>
              <w:pStyle w:val="45"/>
              <w:autoSpaceDE/>
              <w:autoSpaceDN/>
              <w:spacing w:line="520" w:lineRule="exact"/>
              <w:ind w:firstLine="480" w:firstLineChars="200"/>
              <w:jc w:val="both"/>
              <w:rPr>
                <w:rFonts w:hint="eastAsia" w:ascii="Times New Roman" w:hAnsi="Times New Roman" w:cs="Times New Roman"/>
                <w:b w:val="0"/>
                <w:bCs/>
                <w:color w:val="auto"/>
                <w:sz w:val="24"/>
                <w:lang w:val="en-US" w:eastAsia="zh-CN"/>
              </w:rPr>
            </w:pPr>
            <w:r>
              <w:rPr>
                <w:rFonts w:hint="eastAsia" w:ascii="Times New Roman" w:hAnsi="Times New Roman" w:cs="Times New Roman"/>
                <w:b w:val="0"/>
                <w:bCs/>
                <w:color w:val="auto"/>
                <w:sz w:val="24"/>
                <w:lang w:val="en-US"/>
              </w:rPr>
              <w:t>鄂尔多斯广厦医院是鄂尔多斯市辖区内规模较大的一所综合医院，于2001年投资建设，2003年正式运行。</w:t>
            </w:r>
            <w:r>
              <w:rPr>
                <w:rFonts w:hint="eastAsia" w:ascii="Times New Roman" w:hAnsi="Times New Roman" w:cs="Times New Roman"/>
                <w:b w:val="0"/>
                <w:bCs/>
                <w:color w:val="auto"/>
                <w:sz w:val="24"/>
                <w:lang w:val="en-US" w:eastAsia="zh-CN"/>
              </w:rPr>
              <w:t>2002年，鄂尔多斯广厦医院委托鄂尔多斯市东胜区环境监测站完成《鄂尔多斯市广厦肿瘤医院建设项目环境影响报告表》并通过审查。2009年8月委托鄂尔多斯市东胜区环境监测站完成《鄂尔多斯市广厦医院建设项目环境保护专项验收》通过验收。鄂尔多斯广厦医院于2021年6月29日取得排污许可证。</w:t>
            </w:r>
          </w:p>
          <w:p w14:paraId="346769AF">
            <w:pPr>
              <w:pStyle w:val="45"/>
              <w:autoSpaceDE/>
              <w:autoSpaceDN/>
              <w:spacing w:line="520" w:lineRule="exact"/>
              <w:ind w:firstLine="480" w:firstLineChars="200"/>
              <w:jc w:val="both"/>
              <w:rPr>
                <w:rFonts w:hint="eastAsia" w:ascii="Times New Roman" w:hAnsi="Times New Roman" w:cs="Times New Roman"/>
                <w:b w:val="0"/>
                <w:bCs/>
                <w:color w:val="auto"/>
                <w:sz w:val="24"/>
                <w:lang w:val="en-US" w:eastAsia="zh-CN"/>
              </w:rPr>
            </w:pPr>
            <w:r>
              <w:rPr>
                <w:rFonts w:hint="eastAsia" w:ascii="Times New Roman" w:hAnsi="Times New Roman" w:cs="Times New Roman"/>
                <w:b w:val="0"/>
                <w:bCs/>
                <w:color w:val="auto"/>
                <w:sz w:val="24"/>
                <w:lang w:val="en-US" w:eastAsia="zh-CN"/>
              </w:rPr>
              <w:t>鄂尔多斯广厦医院现有工程主要包括1栋门诊楼、1栋综合楼、1座污水处理站及其他附属设施。现有污水处理站处理规模50m</w:t>
            </w:r>
            <w:r>
              <w:rPr>
                <w:rFonts w:hint="eastAsia" w:ascii="Times New Roman" w:hAnsi="Times New Roman" w:cs="Times New Roman"/>
                <w:b w:val="0"/>
                <w:bCs/>
                <w:color w:val="auto"/>
                <w:sz w:val="24"/>
                <w:vertAlign w:val="superscript"/>
                <w:lang w:val="en-US" w:eastAsia="zh-CN"/>
              </w:rPr>
              <w:t>3</w:t>
            </w:r>
            <w:r>
              <w:rPr>
                <w:rFonts w:hint="eastAsia" w:ascii="Times New Roman" w:hAnsi="Times New Roman" w:cs="Times New Roman"/>
                <w:b w:val="0"/>
                <w:bCs/>
                <w:color w:val="auto"/>
                <w:sz w:val="24"/>
                <w:lang w:val="en-US" w:eastAsia="zh-CN"/>
              </w:rPr>
              <w:t>/d，采用沉淀+消毒工艺，废水经处理后达到《医疗机构水污染物排放标准》（GB 18466-2005）表2 综合医疗机构和其他医疗机构水污染物排放限值（日均值）预处理标准要求后排入市政排水管道。由于运行年久，污水处理设施设备老化，危废暂存设施不规范，病区收纳能力不满足现有床位需求，</w:t>
            </w:r>
            <w:r>
              <w:rPr>
                <w:rFonts w:hint="eastAsia" w:ascii="Times New Roman" w:hAnsi="Times New Roman" w:cs="Times New Roman"/>
                <w:b w:val="0"/>
                <w:bCs/>
                <w:color w:val="auto"/>
                <w:sz w:val="24"/>
                <w:lang w:val="en-US"/>
              </w:rPr>
              <w:t>鄂尔多斯广厦医院</w:t>
            </w:r>
            <w:r>
              <w:rPr>
                <w:rFonts w:hint="eastAsia" w:ascii="Times New Roman" w:hAnsi="Times New Roman" w:cs="Times New Roman"/>
                <w:b w:val="0"/>
                <w:bCs/>
                <w:color w:val="auto"/>
                <w:sz w:val="24"/>
                <w:lang w:val="en-US" w:eastAsia="zh-CN"/>
              </w:rPr>
              <w:t>拟进行扩建工程，主要包括新增开放床位数100张，新建1间危废暂存库，</w:t>
            </w:r>
            <w:r>
              <w:rPr>
                <w:rFonts w:hint="eastAsia" w:ascii="Times New Roman" w:hAnsi="Times New Roman" w:cs="Times New Roman"/>
                <w:color w:val="auto"/>
                <w:sz w:val="24"/>
                <w:szCs w:val="24"/>
                <w:lang w:val="en-US" w:eastAsia="zh-CN"/>
              </w:rPr>
              <w:t>利用原洗衣房改</w:t>
            </w:r>
            <w:r>
              <w:rPr>
                <w:rFonts w:hint="default" w:ascii="Times New Roman" w:hAnsi="Times New Roman" w:eastAsia="宋体" w:cs="Times New Roman"/>
                <w:color w:val="auto"/>
                <w:sz w:val="24"/>
                <w:szCs w:val="24"/>
                <w:lang w:val="en-US" w:eastAsia="zh-CN"/>
              </w:rPr>
              <w:t>建1座处理规模</w:t>
            </w:r>
            <w:r>
              <w:rPr>
                <w:rFonts w:hint="eastAsia" w:ascii="Times New Roman" w:hAnsi="Times New Roman" w:cs="Times New Roman"/>
                <w:color w:val="auto"/>
                <w:sz w:val="24"/>
                <w:szCs w:val="24"/>
                <w:lang w:val="en-US" w:eastAsia="zh-CN"/>
              </w:rPr>
              <w:t>为8</w:t>
            </w:r>
            <w:r>
              <w:rPr>
                <w:rFonts w:hint="default" w:ascii="Times New Roman" w:hAnsi="Times New Roman" w:eastAsia="宋体" w:cs="Times New Roman"/>
                <w:color w:val="auto"/>
                <w:sz w:val="24"/>
                <w:szCs w:val="24"/>
                <w:lang w:val="en-US" w:eastAsia="zh-CN"/>
              </w:rPr>
              <w:t>0m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/d的</w:t>
            </w:r>
            <w:r>
              <w:rPr>
                <w:rFonts w:hint="eastAsia" w:ascii="Times New Roman" w:hAnsi="Times New Roman" w:cs="Times New Roman"/>
                <w:color w:val="auto"/>
                <w:sz w:val="24"/>
                <w:szCs w:val="24"/>
                <w:lang w:val="en-US" w:eastAsia="zh-CN"/>
              </w:rPr>
              <w:t>污水处理站，建成后</w:t>
            </w:r>
            <w:r>
              <w:rPr>
                <w:rFonts w:hint="eastAsia" w:ascii="Times New Roman" w:hAnsi="Times New Roman" w:eastAsia="宋体" w:cs="Times New Roman"/>
                <w:color w:val="auto"/>
                <w:sz w:val="24"/>
                <w:szCs w:val="24"/>
                <w:lang w:val="en-US" w:eastAsia="zh-CN"/>
              </w:rPr>
              <w:t>拆除现有污水处理设施设备</w:t>
            </w:r>
            <w:r>
              <w:rPr>
                <w:rFonts w:hint="eastAsia" w:ascii="Times New Roman" w:hAnsi="Times New Roman" w:cs="Times New Roman"/>
                <w:b w:val="0"/>
                <w:bCs/>
                <w:color w:val="auto"/>
                <w:sz w:val="24"/>
                <w:lang w:val="en-US" w:eastAsia="zh-CN"/>
              </w:rPr>
              <w:t>。</w:t>
            </w:r>
          </w:p>
          <w:p w14:paraId="43C4E1CA">
            <w:pPr>
              <w:pStyle w:val="45"/>
              <w:autoSpaceDE/>
              <w:autoSpaceDN/>
              <w:spacing w:line="520" w:lineRule="exact"/>
              <w:ind w:firstLine="480" w:firstLineChars="200"/>
              <w:jc w:val="both"/>
              <w:rPr>
                <w:rFonts w:hint="eastAsia" w:ascii="Times New Roman" w:hAnsi="Times New Roman" w:cs="Times New Roman"/>
                <w:b w:val="0"/>
                <w:bCs/>
                <w:color w:val="auto"/>
                <w:sz w:val="24"/>
                <w:lang w:val="en-US" w:eastAsia="zh-CN"/>
              </w:rPr>
            </w:pPr>
            <w:r>
              <w:rPr>
                <w:rFonts w:hint="eastAsia" w:ascii="Times New Roman" w:hAnsi="Times New Roman" w:cs="Times New Roman"/>
                <w:b w:val="0"/>
                <w:bCs/>
                <w:color w:val="auto"/>
                <w:sz w:val="24"/>
                <w:lang w:val="en-US" w:eastAsia="zh-CN"/>
              </w:rPr>
              <w:t>根据《中华人民共和国环境影响评价法》和国务院第682 号令《建设项目环境保护管理条例》等法律法规的要求，本项目属于《建设项目环境影响评价分类管理名录》（2021年版）中“四十九、卫生；医院；其他（住院床位20张以下的除外）”，需编制环境影响报告表。</w:t>
            </w:r>
          </w:p>
          <w:p w14:paraId="21884ECB">
            <w:pPr>
              <w:pStyle w:val="45"/>
              <w:autoSpaceDE/>
              <w:autoSpaceDN/>
              <w:spacing w:line="520" w:lineRule="exact"/>
              <w:ind w:firstLine="480" w:firstLineChars="200"/>
              <w:jc w:val="both"/>
              <w:rPr>
                <w:rFonts w:hint="eastAsia" w:ascii="Times New Roman" w:hAnsi="Times New Roman" w:cs="Times New Roman"/>
                <w:b w:val="0"/>
                <w:bCs/>
                <w:color w:val="auto"/>
                <w:sz w:val="24"/>
                <w:lang w:val="en-US" w:eastAsia="zh-CN"/>
              </w:rPr>
            </w:pPr>
            <w:r>
              <w:rPr>
                <w:rFonts w:hint="eastAsia" w:ascii="Times New Roman" w:hAnsi="Times New Roman" w:cs="Times New Roman"/>
                <w:b w:val="0"/>
                <w:bCs/>
                <w:color w:val="auto"/>
                <w:sz w:val="24"/>
                <w:lang w:val="en-US" w:eastAsia="zh-CN"/>
              </w:rPr>
              <w:t>鄂尔多斯广厦医院委托内蒙古碧蓝环境科技有限公司完成该项目的环境影响评价工作。我公司接受委托后，结合该工程的性质、特点以及该区域环境功能特征，通过现场勘察、调研和查阅，并依据有关资料和在同类工程分析、类比的基础上，按照环评技术导则的要求，编制了该建设项目的环境影响报告表，呈报环境保护行政主管部门审批。</w:t>
            </w:r>
            <w:r>
              <w:rPr>
                <w:rFonts w:hint="default" w:ascii="Times New Roman" w:hAnsi="Times New Roman" w:eastAsia="宋体" w:cs="Times New Roman"/>
                <w:color w:val="auto"/>
                <w:sz w:val="24"/>
                <w:szCs w:val="24"/>
                <w:lang w:val="en-US" w:eastAsia="zh-CN"/>
              </w:rPr>
              <w:t>项目影像科辐射设备及放射性设备评价由建设单位另行委托相应有资质单位</w:t>
            </w:r>
            <w:r>
              <w:rPr>
                <w:rFonts w:hint="eastAsia" w:ascii="Times New Roman" w:hAnsi="Times New Roman" w:cs="Times New Roman"/>
                <w:color w:val="auto"/>
                <w:sz w:val="24"/>
                <w:szCs w:val="24"/>
                <w:lang w:val="en-US" w:eastAsia="zh-CN"/>
              </w:rPr>
              <w:t>进行</w:t>
            </w:r>
            <w:r>
              <w:rPr>
                <w:rFonts w:hint="default" w:ascii="Times New Roman" w:hAnsi="Times New Roman" w:eastAsia="宋体" w:cs="Times New Roman"/>
                <w:color w:val="auto"/>
                <w:sz w:val="24"/>
                <w:szCs w:val="24"/>
                <w:lang w:val="en-US" w:eastAsia="zh-CN"/>
              </w:rPr>
              <w:t>评价。</w:t>
            </w:r>
          </w:p>
          <w:p w14:paraId="7C07F1EF">
            <w:pPr>
              <w:pStyle w:val="45"/>
              <w:keepLines/>
              <w:kinsoku w:val="0"/>
              <w:autoSpaceDE/>
              <w:autoSpaceDN/>
              <w:spacing w:line="520" w:lineRule="exact"/>
              <w:ind w:firstLine="482" w:firstLineChars="200"/>
              <w:jc w:val="both"/>
              <w:rPr>
                <w:rFonts w:hint="eastAsia" w:ascii="Times New Roman" w:hAnsi="Times New Roman" w:eastAsia="宋体" w:cs="Times New Roman"/>
                <w:b/>
                <w:bCs/>
                <w:color w:val="auto"/>
                <w:sz w:val="24"/>
                <w:lang w:val="en-US" w:eastAsia="zh-CN"/>
              </w:rPr>
            </w:pPr>
            <w:r>
              <w:rPr>
                <w:rFonts w:hint="eastAsia" w:ascii="Times New Roman" w:hAnsi="Times New Roman" w:cs="Times New Roman"/>
                <w:b/>
                <w:bCs/>
                <w:color w:val="auto"/>
                <w:sz w:val="24"/>
                <w:lang w:val="en-US" w:eastAsia="zh-CN"/>
              </w:rPr>
              <w:t>2、工程概况</w:t>
            </w:r>
          </w:p>
          <w:p w14:paraId="2684CDEE">
            <w:pPr>
              <w:pStyle w:val="45"/>
              <w:keepLines/>
              <w:kinsoku w:val="0"/>
              <w:autoSpaceDE/>
              <w:autoSpaceDN/>
              <w:spacing w:line="520" w:lineRule="exact"/>
              <w:ind w:firstLine="480" w:firstLineChars="200"/>
              <w:jc w:val="both"/>
              <w:rPr>
                <w:rFonts w:hint="eastAsia" w:ascii="Times New Roman" w:hAnsi="Times New Roman" w:eastAsia="宋体" w:cs="Times New Roman"/>
                <w:color w:val="auto"/>
                <w:sz w:val="24"/>
                <w:lang w:eastAsia="zh-CN"/>
              </w:rPr>
            </w:pPr>
            <w:r>
              <w:rPr>
                <w:rFonts w:ascii="Times New Roman" w:hAnsi="Times New Roman" w:cs="Times New Roman"/>
                <w:color w:val="auto"/>
                <w:sz w:val="24"/>
              </w:rPr>
              <w:t>项目名称：</w:t>
            </w:r>
            <w:r>
              <w:rPr>
                <w:rFonts w:hint="eastAsia" w:ascii="Times New Roman" w:hAnsi="Times New Roman" w:cs="Times New Roman"/>
                <w:color w:val="auto"/>
                <w:sz w:val="24"/>
                <w:szCs w:val="24"/>
                <w:lang w:eastAsia="zh-CN"/>
              </w:rPr>
              <w:t>鄂尔多斯广厦医院改扩建项目</w:t>
            </w:r>
          </w:p>
          <w:p w14:paraId="23CD4681">
            <w:pPr>
              <w:pStyle w:val="45"/>
              <w:keepLines/>
              <w:kinsoku w:val="0"/>
              <w:autoSpaceDE/>
              <w:autoSpaceDN/>
              <w:spacing w:line="520" w:lineRule="exact"/>
              <w:ind w:firstLine="480" w:firstLineChars="200"/>
              <w:jc w:val="both"/>
              <w:rPr>
                <w:rFonts w:hint="eastAsia" w:ascii="Times New Roman" w:hAnsi="Times New Roman" w:eastAsia="宋体" w:cs="Times New Roman"/>
                <w:color w:val="auto"/>
                <w:sz w:val="24"/>
                <w:lang w:eastAsia="zh-CN"/>
              </w:rPr>
            </w:pPr>
            <w:r>
              <w:rPr>
                <w:rFonts w:ascii="Times New Roman" w:hAnsi="Times New Roman" w:cs="Times New Roman"/>
                <w:color w:val="auto"/>
                <w:sz w:val="24"/>
              </w:rPr>
              <w:t>建设单位：</w:t>
            </w:r>
            <w:r>
              <w:rPr>
                <w:rFonts w:hint="eastAsia" w:ascii="Times New Roman" w:hAnsi="Times New Roman" w:cs="Times New Roman"/>
                <w:color w:val="auto"/>
                <w:sz w:val="24"/>
                <w:szCs w:val="24"/>
                <w:lang w:eastAsia="zh-CN"/>
              </w:rPr>
              <w:t>鄂尔多斯广厦医院</w:t>
            </w:r>
          </w:p>
          <w:p w14:paraId="3F98EC12">
            <w:pPr>
              <w:pStyle w:val="45"/>
              <w:keepLines/>
              <w:kinsoku w:val="0"/>
              <w:autoSpaceDE/>
              <w:autoSpaceDN/>
              <w:spacing w:line="520" w:lineRule="exact"/>
              <w:ind w:firstLine="480" w:firstLineChars="200"/>
              <w:jc w:val="both"/>
              <w:rPr>
                <w:rFonts w:hint="eastAsia" w:ascii="Times New Roman" w:hAnsi="Times New Roman" w:eastAsia="宋体" w:cs="Times New Roman"/>
                <w:color w:val="auto"/>
                <w:sz w:val="24"/>
                <w:lang w:eastAsia="zh-CN"/>
              </w:rPr>
            </w:pPr>
            <w:r>
              <w:rPr>
                <w:rFonts w:ascii="Times New Roman" w:hAnsi="Times New Roman" w:eastAsia="宋体" w:cs="Times New Roman"/>
                <w:color w:val="auto"/>
                <w:sz w:val="24"/>
              </w:rPr>
              <w:t>项目性质：</w:t>
            </w:r>
            <w:r>
              <w:rPr>
                <w:rFonts w:hint="eastAsia" w:ascii="Times New Roman" w:hAnsi="Times New Roman" w:cs="Times New Roman"/>
                <w:color w:val="auto"/>
                <w:sz w:val="24"/>
                <w:lang w:val="en-US" w:eastAsia="zh-CN"/>
              </w:rPr>
              <w:t>改</w:t>
            </w:r>
            <w:r>
              <w:rPr>
                <w:rFonts w:hint="eastAsia" w:ascii="Times New Roman" w:hAnsi="Times New Roman" w:eastAsia="宋体" w:cs="Times New Roman"/>
                <w:color w:val="auto"/>
                <w:sz w:val="24"/>
                <w:lang w:eastAsia="zh-CN"/>
              </w:rPr>
              <w:t>扩建</w:t>
            </w:r>
          </w:p>
          <w:p w14:paraId="5350E312">
            <w:pPr>
              <w:pStyle w:val="45"/>
              <w:keepLines/>
              <w:kinsoku w:val="0"/>
              <w:autoSpaceDE/>
              <w:autoSpaceDN/>
              <w:spacing w:line="520" w:lineRule="exact"/>
              <w:ind w:firstLine="480" w:firstLineChars="200"/>
              <w:jc w:val="both"/>
              <w:rPr>
                <w:rFonts w:hint="eastAsia" w:ascii="Times New Roman" w:hAnsi="Times New Roman" w:eastAsia="宋体" w:cs="Times New Roman"/>
                <w:color w:val="auto"/>
                <w:sz w:val="24"/>
                <w:lang w:val="en-US" w:eastAsia="zh-CN"/>
              </w:rPr>
            </w:pPr>
            <w:r>
              <w:rPr>
                <w:rFonts w:ascii="Times New Roman" w:hAnsi="Times New Roman" w:eastAsia="宋体" w:cs="Times New Roman"/>
                <w:color w:val="auto"/>
                <w:sz w:val="24"/>
              </w:rPr>
              <w:t>建设地点：</w:t>
            </w:r>
            <w:r>
              <w:rPr>
                <w:rFonts w:hint="eastAsia" w:ascii="Times New Roman" w:hAnsi="Times New Roman" w:eastAsia="宋体" w:cs="Times New Roman"/>
                <w:color w:val="auto"/>
                <w:sz w:val="24"/>
                <w:lang w:val="en-US" w:eastAsia="zh-CN"/>
              </w:rPr>
              <w:t>鄂尔多斯市东胜区伊化南路11号鄂尔多斯广厦医院院内</w:t>
            </w:r>
          </w:p>
          <w:p w14:paraId="59255147">
            <w:pPr>
              <w:pStyle w:val="45"/>
              <w:keepLines/>
              <w:kinsoku w:val="0"/>
              <w:autoSpaceDE/>
              <w:autoSpaceDN/>
              <w:spacing w:line="520" w:lineRule="exact"/>
              <w:ind w:firstLine="480" w:firstLineChars="200"/>
              <w:jc w:val="both"/>
              <w:rPr>
                <w:rFonts w:ascii="Times New Roman" w:hAnsi="Times New Roman" w:eastAsia="宋体" w:cs="Times New Roman"/>
                <w:color w:val="auto"/>
                <w:sz w:val="24"/>
              </w:rPr>
            </w:pPr>
            <w:r>
              <w:rPr>
                <w:rFonts w:ascii="Times New Roman" w:hAnsi="Times New Roman" w:eastAsia="宋体" w:cs="Times New Roman"/>
                <w:color w:val="auto"/>
                <w:sz w:val="24"/>
              </w:rPr>
              <w:t>投资总额：本工程总投资为</w:t>
            </w:r>
            <w:r>
              <w:rPr>
                <w:rFonts w:hint="eastAsia" w:ascii="Times New Roman" w:hAnsi="Times New Roman" w:cs="Times New Roman"/>
                <w:color w:val="auto"/>
                <w:sz w:val="24"/>
                <w:lang w:val="en-US" w:eastAsia="zh-CN"/>
              </w:rPr>
              <w:t>5</w:t>
            </w:r>
            <w:r>
              <w:rPr>
                <w:rFonts w:hint="eastAsia" w:ascii="Times New Roman" w:hAnsi="Times New Roman" w:eastAsia="宋体" w:cs="Times New Roman"/>
                <w:color w:val="auto"/>
                <w:sz w:val="24"/>
                <w:lang w:val="en-US" w:eastAsia="zh-CN"/>
              </w:rPr>
              <w:t>00</w:t>
            </w:r>
            <w:r>
              <w:rPr>
                <w:rFonts w:ascii="Times New Roman" w:hAnsi="Times New Roman" w:eastAsia="宋体" w:cs="Times New Roman"/>
                <w:color w:val="auto"/>
                <w:sz w:val="24"/>
              </w:rPr>
              <w:t>万元，其中环保投资</w:t>
            </w:r>
            <w:r>
              <w:rPr>
                <w:rFonts w:hint="eastAsia" w:ascii="Times New Roman" w:hAnsi="Times New Roman" w:cs="Times New Roman"/>
                <w:color w:val="auto"/>
                <w:sz w:val="24"/>
                <w:lang w:val="en-US" w:eastAsia="zh-CN"/>
              </w:rPr>
              <w:t>90</w:t>
            </w:r>
            <w:r>
              <w:rPr>
                <w:rFonts w:hint="eastAsia" w:ascii="Times New Roman" w:hAnsi="Times New Roman" w:eastAsia="宋体" w:cs="Times New Roman"/>
                <w:color w:val="auto"/>
                <w:sz w:val="24"/>
                <w:lang w:val="en-US" w:eastAsia="zh-CN"/>
              </w:rPr>
              <w:t>.65</w:t>
            </w:r>
            <w:r>
              <w:rPr>
                <w:rFonts w:ascii="Times New Roman" w:hAnsi="Times New Roman" w:eastAsia="宋体" w:cs="Times New Roman"/>
                <w:color w:val="auto"/>
                <w:sz w:val="24"/>
              </w:rPr>
              <w:t>万元，占总投资的</w:t>
            </w:r>
            <w:r>
              <w:rPr>
                <w:rFonts w:hint="eastAsia" w:ascii="Times New Roman" w:hAnsi="Times New Roman" w:cs="Times New Roman"/>
                <w:color w:val="auto"/>
                <w:sz w:val="24"/>
                <w:lang w:val="en-US" w:eastAsia="zh-CN"/>
              </w:rPr>
              <w:t>18.1</w:t>
            </w:r>
            <w:r>
              <w:rPr>
                <w:rFonts w:hint="eastAsia" w:ascii="Times New Roman" w:hAnsi="Times New Roman" w:eastAsia="宋体" w:cs="Times New Roman"/>
                <w:color w:val="auto"/>
                <w:sz w:val="24"/>
                <w:lang w:val="en-US" w:eastAsia="zh-CN"/>
              </w:rPr>
              <w:t>3</w:t>
            </w:r>
            <w:r>
              <w:rPr>
                <w:rFonts w:ascii="Times New Roman" w:hAnsi="Times New Roman" w:eastAsia="宋体" w:cs="Times New Roman"/>
                <w:color w:val="auto"/>
                <w:sz w:val="24"/>
              </w:rPr>
              <w:t>%</w:t>
            </w:r>
          </w:p>
          <w:p w14:paraId="2F86EA3F">
            <w:pPr>
              <w:pStyle w:val="45"/>
              <w:keepLines/>
              <w:kinsoku w:val="0"/>
              <w:autoSpaceDE/>
              <w:autoSpaceDN/>
              <w:spacing w:line="520" w:lineRule="exact"/>
              <w:ind w:firstLine="480" w:firstLineChars="200"/>
              <w:jc w:val="both"/>
              <w:rPr>
                <w:rFonts w:hint="eastAsia" w:ascii="Times New Roman" w:hAnsi="Times New Roman" w:eastAsia="宋体" w:cs="Times New Roman"/>
                <w:color w:val="auto"/>
                <w:sz w:val="24"/>
                <w:lang w:val="en-US"/>
              </w:rPr>
            </w:pPr>
            <w:r>
              <w:rPr>
                <w:rFonts w:ascii="Times New Roman" w:hAnsi="Times New Roman" w:eastAsia="宋体" w:cs="Times New Roman"/>
                <w:color w:val="auto"/>
                <w:sz w:val="24"/>
                <w:lang w:val="en-US"/>
              </w:rPr>
              <w:t>项目占地：</w:t>
            </w:r>
            <w:r>
              <w:rPr>
                <w:rFonts w:hint="eastAsia" w:ascii="Times New Roman" w:hAnsi="Times New Roman" w:eastAsia="宋体" w:cs="Times New Roman"/>
                <w:color w:val="auto"/>
                <w:sz w:val="24"/>
                <w:lang w:val="en-US" w:eastAsia="zh-CN"/>
              </w:rPr>
              <w:t>不新增占地</w:t>
            </w:r>
          </w:p>
          <w:p w14:paraId="086647C6">
            <w:pPr>
              <w:pStyle w:val="45"/>
              <w:keepLines/>
              <w:kinsoku w:val="0"/>
              <w:autoSpaceDE/>
              <w:autoSpaceDN/>
              <w:spacing w:line="520" w:lineRule="exact"/>
              <w:ind w:firstLine="480" w:firstLineChars="200"/>
              <w:jc w:val="both"/>
              <w:rPr>
                <w:rFonts w:hint="eastAsia" w:ascii="Times New Roman" w:hAnsi="Times New Roman" w:eastAsia="宋体" w:cs="Times New Roman"/>
                <w:color w:val="auto"/>
                <w:sz w:val="24"/>
                <w:lang w:val="en-US"/>
              </w:rPr>
            </w:pPr>
            <w:r>
              <w:rPr>
                <w:rFonts w:ascii="Times New Roman" w:hAnsi="Times New Roman" w:eastAsia="宋体" w:cs="Times New Roman"/>
                <w:color w:val="auto"/>
                <w:sz w:val="24"/>
                <w:lang w:val="en-US"/>
              </w:rPr>
              <w:t>项目规模：</w:t>
            </w:r>
            <w:r>
              <w:rPr>
                <w:rFonts w:hint="eastAsia" w:ascii="Times New Roman" w:hAnsi="Times New Roman" w:eastAsia="宋体" w:cs="Times New Roman"/>
                <w:color w:val="auto"/>
                <w:sz w:val="24"/>
                <w:lang w:val="en-US" w:eastAsia="zh-CN"/>
              </w:rPr>
              <w:t>项目建成后开放床位数250张</w:t>
            </w:r>
            <w:r>
              <w:rPr>
                <w:rFonts w:hint="eastAsia" w:ascii="Times New Roman" w:hAnsi="Times New Roman" w:cs="Times New Roman"/>
                <w:color w:val="auto"/>
                <w:sz w:val="24"/>
                <w:lang w:val="en-US" w:eastAsia="zh-CN"/>
              </w:rPr>
              <w:t>，</w:t>
            </w:r>
            <w:r>
              <w:rPr>
                <w:rFonts w:hint="eastAsia" w:ascii="Times New Roman" w:hAnsi="Times New Roman" w:cs="Times New Roman"/>
                <w:color w:val="auto"/>
                <w:sz w:val="24"/>
                <w:szCs w:val="24"/>
                <w:lang w:val="en-US" w:eastAsia="zh-CN"/>
              </w:rPr>
              <w:t>污水处理站</w:t>
            </w:r>
            <w:r>
              <w:rPr>
                <w:rFonts w:hint="default" w:ascii="Times New Roman" w:hAnsi="Times New Roman" w:eastAsia="宋体" w:cs="Times New Roman"/>
                <w:color w:val="auto"/>
                <w:sz w:val="24"/>
                <w:szCs w:val="24"/>
                <w:lang w:val="en-US" w:eastAsia="zh-CN"/>
              </w:rPr>
              <w:t>处理规模</w:t>
            </w:r>
            <w:r>
              <w:rPr>
                <w:rFonts w:hint="eastAsia" w:ascii="Times New Roman" w:hAnsi="Times New Roman" w:cs="Times New Roman"/>
                <w:color w:val="auto"/>
                <w:sz w:val="24"/>
                <w:szCs w:val="24"/>
                <w:lang w:val="en-US" w:eastAsia="zh-CN"/>
              </w:rPr>
              <w:t>8</w:t>
            </w:r>
            <w:r>
              <w:rPr>
                <w:rFonts w:hint="default" w:ascii="Times New Roman" w:hAnsi="Times New Roman" w:eastAsia="宋体" w:cs="Times New Roman"/>
                <w:color w:val="auto"/>
                <w:sz w:val="24"/>
                <w:szCs w:val="24"/>
                <w:lang w:val="en-US" w:eastAsia="zh-CN"/>
              </w:rPr>
              <w:t>0m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eastAsia" w:ascii="Times New Roman" w:hAnsi="Times New Roman" w:eastAsia="宋体" w:cs="Times New Roman"/>
                <w:color w:val="auto"/>
                <w:sz w:val="24"/>
                <w:lang w:val="en-US"/>
              </w:rPr>
              <w:t>。</w:t>
            </w:r>
          </w:p>
          <w:p w14:paraId="698D6E3F">
            <w:pPr>
              <w:pStyle w:val="45"/>
              <w:keepLines/>
              <w:kinsoku w:val="0"/>
              <w:autoSpaceDE/>
              <w:autoSpaceDN/>
              <w:spacing w:line="520" w:lineRule="exact"/>
              <w:ind w:firstLine="482" w:firstLineChars="200"/>
              <w:jc w:val="both"/>
              <w:rPr>
                <w:rFonts w:ascii="Times New Roman" w:hAnsi="Times New Roman" w:eastAsia="宋体" w:cs="Times New Roman"/>
                <w:color w:val="auto"/>
                <w:sz w:val="24"/>
                <w:lang w:val="en-US"/>
              </w:rPr>
            </w:pPr>
            <w:r>
              <w:rPr>
                <w:rFonts w:hint="eastAsia" w:ascii="Times New Roman" w:hAnsi="Times New Roman" w:eastAsia="宋体" w:cs="Times New Roman"/>
                <w:b/>
                <w:bCs/>
                <w:color w:val="auto"/>
                <w:sz w:val="24"/>
                <w:lang w:val="en-US" w:eastAsia="zh-CN"/>
              </w:rPr>
              <w:t>3、</w:t>
            </w:r>
            <w:r>
              <w:rPr>
                <w:rFonts w:ascii="Times New Roman" w:hAnsi="Times New Roman" w:eastAsia="宋体" w:cs="Times New Roman"/>
                <w:b/>
                <w:bCs/>
                <w:color w:val="auto"/>
                <w:sz w:val="24"/>
                <w:lang w:val="en-US"/>
              </w:rPr>
              <w:t>建设内容</w:t>
            </w:r>
          </w:p>
          <w:p w14:paraId="52BCE646">
            <w:pPr>
              <w:pStyle w:val="45"/>
              <w:topLinePunct/>
              <w:autoSpaceDN/>
              <w:spacing w:line="520" w:lineRule="exact"/>
              <w:ind w:firstLine="480" w:firstLineChars="200"/>
              <w:jc w:val="both"/>
              <w:rPr>
                <w:rFonts w:ascii="Times New Roman" w:hAnsi="Times New Roman" w:cs="Times New Roman"/>
                <w:b/>
                <w:color w:val="auto"/>
                <w:sz w:val="24"/>
              </w:rPr>
            </w:pPr>
            <w:r>
              <w:rPr>
                <w:rFonts w:hint="eastAsia" w:ascii="Times New Roman" w:hAnsi="Times New Roman" w:eastAsia="宋体" w:cs="Times New Roman"/>
                <w:color w:val="auto"/>
                <w:sz w:val="24"/>
                <w:lang w:val="en-US" w:eastAsia="zh-CN"/>
              </w:rPr>
              <w:t>本项目建设内容主要包括新增开放床位数100张，新建1间危废暂存库</w:t>
            </w:r>
            <w:r>
              <w:rPr>
                <w:rFonts w:hint="eastAsia" w:ascii="Times New Roman" w:hAnsi="Times New Roman" w:eastAsia="宋体" w:cs="Times New Roman"/>
                <w:color w:val="auto"/>
                <w:sz w:val="24"/>
                <w:szCs w:val="24"/>
                <w:lang w:val="en-US" w:eastAsia="zh-CN"/>
              </w:rPr>
              <w:t>，</w:t>
            </w:r>
            <w:r>
              <w:rPr>
                <w:rFonts w:hint="eastAsia" w:ascii="Times New Roman" w:hAnsi="Times New Roman" w:cs="Times New Roman"/>
                <w:color w:val="auto"/>
                <w:sz w:val="24"/>
                <w:szCs w:val="24"/>
                <w:lang w:val="en-US" w:eastAsia="zh-CN"/>
              </w:rPr>
              <w:t>利用原洗衣房改</w:t>
            </w:r>
            <w:r>
              <w:rPr>
                <w:rFonts w:hint="default" w:ascii="Times New Roman" w:hAnsi="Times New Roman" w:eastAsia="宋体" w:cs="Times New Roman"/>
                <w:color w:val="auto"/>
                <w:sz w:val="24"/>
                <w:szCs w:val="24"/>
                <w:lang w:val="en-US" w:eastAsia="zh-CN"/>
              </w:rPr>
              <w:t>建1座处理规模</w:t>
            </w:r>
            <w:r>
              <w:rPr>
                <w:rFonts w:hint="eastAsia" w:ascii="Times New Roman" w:hAnsi="Times New Roman" w:cs="Times New Roman"/>
                <w:color w:val="auto"/>
                <w:sz w:val="24"/>
                <w:szCs w:val="24"/>
                <w:lang w:val="en-US" w:eastAsia="zh-CN"/>
              </w:rPr>
              <w:t>为8</w:t>
            </w:r>
            <w:r>
              <w:rPr>
                <w:rFonts w:hint="default" w:ascii="Times New Roman" w:hAnsi="Times New Roman" w:eastAsia="宋体" w:cs="Times New Roman"/>
                <w:color w:val="auto"/>
                <w:sz w:val="24"/>
                <w:szCs w:val="24"/>
                <w:lang w:val="en-US" w:eastAsia="zh-CN"/>
              </w:rPr>
              <w:t>0m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/d的</w:t>
            </w:r>
            <w:r>
              <w:rPr>
                <w:rFonts w:hint="eastAsia" w:ascii="Times New Roman" w:hAnsi="Times New Roman" w:cs="Times New Roman"/>
                <w:color w:val="auto"/>
                <w:sz w:val="24"/>
                <w:szCs w:val="24"/>
                <w:lang w:val="en-US" w:eastAsia="zh-CN"/>
              </w:rPr>
              <w:t>污水处理站后</w:t>
            </w:r>
            <w:r>
              <w:rPr>
                <w:rFonts w:hint="eastAsia" w:ascii="Times New Roman" w:hAnsi="Times New Roman" w:eastAsia="宋体" w:cs="Times New Roman"/>
                <w:color w:val="auto"/>
                <w:sz w:val="24"/>
                <w:szCs w:val="24"/>
                <w:lang w:val="en-US" w:eastAsia="zh-CN"/>
              </w:rPr>
              <w:t>拆除现有污水处理设施设备</w:t>
            </w:r>
            <w:r>
              <w:rPr>
                <w:rFonts w:hint="eastAsia" w:ascii="Times New Roman" w:hAnsi="Times New Roman" w:cs="Times New Roman"/>
                <w:color w:val="auto"/>
                <w:sz w:val="24"/>
                <w:szCs w:val="24"/>
                <w:lang w:val="en-US" w:eastAsia="zh-CN"/>
              </w:rPr>
              <w:t>，医院内不设食堂</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本项目</w:t>
            </w:r>
            <w:r>
              <w:rPr>
                <w:rFonts w:hint="eastAsia" w:ascii="Times New Roman" w:hAnsi="Times New Roman" w:cs="Times New Roman"/>
                <w:color w:val="auto"/>
                <w:sz w:val="24"/>
                <w:szCs w:val="24"/>
                <w:lang w:val="en-US" w:eastAsia="zh-CN"/>
              </w:rPr>
              <w:t>改</w:t>
            </w:r>
            <w:r>
              <w:rPr>
                <w:rFonts w:hint="eastAsia" w:ascii="Times New Roman" w:hAnsi="Times New Roman" w:eastAsia="宋体" w:cs="Times New Roman"/>
                <w:color w:val="auto"/>
                <w:sz w:val="24"/>
                <w:szCs w:val="24"/>
                <w:lang w:val="en-US" w:eastAsia="zh-CN"/>
              </w:rPr>
              <w:t>扩建工程</w:t>
            </w:r>
            <w:r>
              <w:rPr>
                <w:rFonts w:ascii="Times New Roman" w:hAnsi="Times New Roman" w:cs="Times New Roman"/>
                <w:color w:val="auto"/>
                <w:sz w:val="24"/>
                <w:szCs w:val="24"/>
                <w:lang w:val="en-US"/>
              </w:rPr>
              <w:t xml:space="preserve">内容见表2-1。 </w:t>
            </w:r>
          </w:p>
          <w:p w14:paraId="313D10FB">
            <w:pPr>
              <w:pStyle w:val="45"/>
              <w:keepNext w:val="0"/>
              <w:keepLines w:val="0"/>
              <w:pageBreakBefore w:val="0"/>
              <w:widowControl w:val="0"/>
              <w:tabs>
                <w:tab w:val="left" w:pos="895"/>
              </w:tabs>
              <w:kinsoku/>
              <w:wordWrap/>
              <w:overflowPunct/>
              <w:topLinePunct w:val="0"/>
              <w:autoSpaceDE w:val="0"/>
              <w:autoSpaceDN w:val="0"/>
              <w:bidi w:val="0"/>
              <w:adjustRightInd/>
              <w:snapToGrid/>
              <w:spacing w:line="520" w:lineRule="exact"/>
              <w:ind w:firstLine="0" w:firstLineChars="0"/>
              <w:jc w:val="center"/>
              <w:textAlignment w:val="auto"/>
              <w:rPr>
                <w:rFonts w:ascii="Times New Roman" w:hAnsi="Times New Roman" w:cs="Times New Roman"/>
                <w:b/>
                <w:color w:val="auto"/>
                <w:sz w:val="24"/>
                <w:lang w:val="en-US"/>
              </w:rPr>
            </w:pPr>
            <w:r>
              <w:rPr>
                <w:rFonts w:ascii="Times New Roman" w:hAnsi="Times New Roman" w:cs="Times New Roman"/>
                <w:b/>
                <w:color w:val="auto"/>
                <w:sz w:val="24"/>
              </w:rPr>
              <w:t>表</w:t>
            </w:r>
            <w:r>
              <w:rPr>
                <w:rFonts w:ascii="Times New Roman" w:hAnsi="Times New Roman" w:cs="Times New Roman"/>
                <w:b/>
                <w:color w:val="auto"/>
                <w:spacing w:val="-61"/>
                <w:sz w:val="24"/>
              </w:rPr>
              <w:t xml:space="preserve"> </w:t>
            </w:r>
            <w:r>
              <w:rPr>
                <w:rFonts w:ascii="Times New Roman" w:hAnsi="Times New Roman" w:eastAsia="Times New Roman" w:cs="Times New Roman"/>
                <w:b/>
                <w:color w:val="auto"/>
                <w:sz w:val="24"/>
              </w:rPr>
              <w:t>2-</w:t>
            </w:r>
            <w:r>
              <w:rPr>
                <w:rFonts w:hint="eastAsia" w:ascii="Times New Roman" w:hAnsi="Times New Roman" w:cs="Times New Roman"/>
                <w:b/>
                <w:color w:val="auto"/>
                <w:sz w:val="24"/>
                <w:lang w:val="en-US" w:eastAsia="zh-CN"/>
              </w:rPr>
              <w:t xml:space="preserve">1    </w:t>
            </w:r>
            <w:r>
              <w:rPr>
                <w:rFonts w:ascii="Times New Roman" w:hAnsi="Times New Roman" w:cs="Times New Roman"/>
                <w:b/>
                <w:color w:val="auto"/>
                <w:sz w:val="24"/>
              </w:rPr>
              <w:t>项目</w:t>
            </w:r>
            <w:r>
              <w:rPr>
                <w:rFonts w:hint="eastAsia" w:ascii="Times New Roman" w:hAnsi="Times New Roman" w:cs="Times New Roman"/>
                <w:b/>
                <w:color w:val="auto"/>
                <w:sz w:val="24"/>
                <w:lang w:val="en-US" w:eastAsia="zh-CN"/>
              </w:rPr>
              <w:t>改扩建</w:t>
            </w:r>
            <w:r>
              <w:rPr>
                <w:rFonts w:ascii="Times New Roman" w:hAnsi="Times New Roman" w:cs="Times New Roman"/>
                <w:b/>
                <w:color w:val="auto"/>
                <w:sz w:val="24"/>
              </w:rPr>
              <w:t>内容</w:t>
            </w:r>
            <w:r>
              <w:rPr>
                <w:rFonts w:ascii="Times New Roman" w:hAnsi="Times New Roman" w:cs="Times New Roman"/>
                <w:b/>
                <w:color w:val="auto"/>
                <w:sz w:val="24"/>
                <w:lang w:val="en-US"/>
              </w:rPr>
              <w:t>一览表</w:t>
            </w:r>
          </w:p>
          <w:tbl>
            <w:tblPr>
              <w:tblStyle w:val="20"/>
              <w:tblW w:w="488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17"/>
              <w:gridCol w:w="499"/>
              <w:gridCol w:w="824"/>
              <w:gridCol w:w="2541"/>
              <w:gridCol w:w="3085"/>
              <w:gridCol w:w="584"/>
            </w:tblGrid>
            <w:tr w14:paraId="4982D5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noWrap w:val="0"/>
                  <w:tcMar>
                    <w:top w:w="0" w:type="dxa"/>
                    <w:left w:w="17" w:type="dxa"/>
                    <w:bottom w:w="0" w:type="dxa"/>
                    <w:right w:w="17" w:type="dxa"/>
                  </w:tcMar>
                  <w:vAlign w:val="center"/>
                </w:tcPr>
                <w:p w14:paraId="61F4718B">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rPr>
                    <w:t>项目</w:t>
                  </w:r>
                </w:p>
              </w:tc>
              <w:tc>
                <w:tcPr>
                  <w:tcW w:w="564" w:type="dxa"/>
                  <w:noWrap w:val="0"/>
                  <w:tcMar>
                    <w:top w:w="0" w:type="dxa"/>
                    <w:left w:w="17" w:type="dxa"/>
                    <w:bottom w:w="0" w:type="dxa"/>
                    <w:right w:w="17" w:type="dxa"/>
                  </w:tcMar>
                  <w:vAlign w:val="center"/>
                </w:tcPr>
                <w:p w14:paraId="6D69713B">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rPr>
                    <w:t>组成</w:t>
                  </w:r>
                </w:p>
              </w:tc>
              <w:tc>
                <w:tcPr>
                  <w:tcW w:w="3840" w:type="dxa"/>
                  <w:gridSpan w:val="2"/>
                  <w:noWrap w:val="0"/>
                  <w:tcMar>
                    <w:top w:w="0" w:type="dxa"/>
                    <w:left w:w="17" w:type="dxa"/>
                    <w:bottom w:w="0" w:type="dxa"/>
                    <w:right w:w="17" w:type="dxa"/>
                  </w:tcMar>
                  <w:vAlign w:val="center"/>
                </w:tcPr>
                <w:p w14:paraId="6BC2304F">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lang w:eastAsia="zh-CN"/>
                    </w:rPr>
                    <w:t>现有</w:t>
                  </w:r>
                  <w:r>
                    <w:rPr>
                      <w:rFonts w:hint="default" w:ascii="Times New Roman" w:hAnsi="Times New Roman" w:eastAsia="宋体" w:cs="Times New Roman"/>
                      <w:color w:val="auto"/>
                      <w:spacing w:val="0"/>
                      <w:w w:val="100"/>
                      <w:kern w:val="2"/>
                      <w:sz w:val="21"/>
                      <w:szCs w:val="21"/>
                    </w:rPr>
                    <w:t>建设内容</w:t>
                  </w:r>
                </w:p>
              </w:tc>
              <w:tc>
                <w:tcPr>
                  <w:tcW w:w="3528" w:type="dxa"/>
                  <w:noWrap w:val="0"/>
                  <w:tcMar>
                    <w:top w:w="0" w:type="dxa"/>
                    <w:left w:w="17" w:type="dxa"/>
                    <w:bottom w:w="0" w:type="dxa"/>
                    <w:right w:w="17" w:type="dxa"/>
                  </w:tcMar>
                  <w:vAlign w:val="center"/>
                </w:tcPr>
                <w:p w14:paraId="2ABC425F">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eastAsia="zh-CN"/>
                    </w:rPr>
                  </w:pPr>
                  <w:r>
                    <w:rPr>
                      <w:rFonts w:hint="eastAsia" w:ascii="Times New Roman" w:hAnsi="Times New Roman" w:cs="Times New Roman"/>
                      <w:color w:val="auto"/>
                      <w:spacing w:val="0"/>
                      <w:w w:val="100"/>
                      <w:kern w:val="2"/>
                      <w:sz w:val="21"/>
                      <w:szCs w:val="21"/>
                      <w:lang w:val="en-US" w:eastAsia="zh-CN"/>
                    </w:rPr>
                    <w:t>改</w:t>
                  </w:r>
                  <w:r>
                    <w:rPr>
                      <w:rFonts w:hint="default" w:ascii="Times New Roman" w:hAnsi="Times New Roman" w:eastAsia="宋体" w:cs="Times New Roman"/>
                      <w:color w:val="auto"/>
                      <w:spacing w:val="0"/>
                      <w:w w:val="100"/>
                      <w:kern w:val="2"/>
                      <w:sz w:val="21"/>
                      <w:szCs w:val="21"/>
                      <w:lang w:eastAsia="zh-CN"/>
                    </w:rPr>
                    <w:t>扩建工程</w:t>
                  </w:r>
                </w:p>
              </w:tc>
              <w:tc>
                <w:tcPr>
                  <w:tcW w:w="662" w:type="dxa"/>
                  <w:noWrap w:val="0"/>
                  <w:tcMar>
                    <w:top w:w="0" w:type="dxa"/>
                    <w:left w:w="17" w:type="dxa"/>
                    <w:bottom w:w="0" w:type="dxa"/>
                    <w:right w:w="17" w:type="dxa"/>
                  </w:tcMar>
                  <w:vAlign w:val="center"/>
                </w:tcPr>
                <w:p w14:paraId="05F33235">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rPr>
                    <w:t>备注</w:t>
                  </w:r>
                </w:p>
              </w:tc>
            </w:tr>
            <w:tr w14:paraId="10E0FE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restart"/>
                  <w:noWrap w:val="0"/>
                  <w:tcMar>
                    <w:top w:w="0" w:type="dxa"/>
                    <w:left w:w="17" w:type="dxa"/>
                    <w:bottom w:w="0" w:type="dxa"/>
                    <w:right w:w="17" w:type="dxa"/>
                  </w:tcMar>
                  <w:vAlign w:val="center"/>
                </w:tcPr>
                <w:p w14:paraId="432FDBA4">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rPr>
                    <w:t>主体</w:t>
                  </w:r>
                </w:p>
                <w:p w14:paraId="5543E38E">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rPr>
                    <w:t>工程</w:t>
                  </w:r>
                </w:p>
              </w:tc>
              <w:tc>
                <w:tcPr>
                  <w:tcW w:w="564" w:type="dxa"/>
                  <w:vMerge w:val="restart"/>
                  <w:noWrap w:val="0"/>
                  <w:tcMar>
                    <w:top w:w="0" w:type="dxa"/>
                    <w:left w:w="17" w:type="dxa"/>
                    <w:bottom w:w="0" w:type="dxa"/>
                    <w:right w:w="17" w:type="dxa"/>
                  </w:tcMar>
                  <w:vAlign w:val="center"/>
                </w:tcPr>
                <w:p w14:paraId="25F63A2A">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w w:val="100"/>
                      <w:sz w:val="21"/>
                      <w:szCs w:val="21"/>
                      <w:lang w:eastAsia="zh-CN"/>
                    </w:rPr>
                  </w:pPr>
                  <w:r>
                    <w:rPr>
                      <w:rFonts w:hint="default" w:ascii="Times New Roman" w:hAnsi="Times New Roman" w:eastAsia="宋体" w:cs="Times New Roman"/>
                      <w:color w:val="auto"/>
                      <w:spacing w:val="0"/>
                      <w:w w:val="100"/>
                      <w:sz w:val="21"/>
                      <w:szCs w:val="21"/>
                      <w:lang w:eastAsia="zh-CN"/>
                    </w:rPr>
                    <w:t>门</w:t>
                  </w:r>
                </w:p>
                <w:p w14:paraId="5A9A408B">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w w:val="100"/>
                      <w:sz w:val="21"/>
                      <w:szCs w:val="21"/>
                      <w:lang w:eastAsia="zh-CN"/>
                    </w:rPr>
                  </w:pPr>
                  <w:r>
                    <w:rPr>
                      <w:rFonts w:hint="default" w:ascii="Times New Roman" w:hAnsi="Times New Roman" w:eastAsia="宋体" w:cs="Times New Roman"/>
                      <w:color w:val="auto"/>
                      <w:spacing w:val="0"/>
                      <w:w w:val="100"/>
                      <w:sz w:val="21"/>
                      <w:szCs w:val="21"/>
                      <w:lang w:eastAsia="zh-CN"/>
                    </w:rPr>
                    <w:t>诊</w:t>
                  </w:r>
                </w:p>
                <w:p w14:paraId="116014D0">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w w:val="100"/>
                      <w:sz w:val="21"/>
                      <w:szCs w:val="21"/>
                      <w:lang w:val="en-US" w:eastAsia="zh-CN" w:bidi="ar-SA"/>
                    </w:rPr>
                  </w:pPr>
                  <w:r>
                    <w:rPr>
                      <w:rFonts w:hint="default" w:ascii="Times New Roman" w:hAnsi="Times New Roman" w:eastAsia="宋体" w:cs="Times New Roman"/>
                      <w:color w:val="auto"/>
                      <w:spacing w:val="0"/>
                      <w:w w:val="100"/>
                      <w:sz w:val="21"/>
                      <w:szCs w:val="21"/>
                      <w:lang w:eastAsia="zh-CN"/>
                    </w:rPr>
                    <w:t>楼</w:t>
                  </w:r>
                </w:p>
              </w:tc>
              <w:tc>
                <w:tcPr>
                  <w:tcW w:w="936" w:type="dxa"/>
                  <w:vMerge w:val="restart"/>
                  <w:noWrap w:val="0"/>
                  <w:tcMar>
                    <w:top w:w="0" w:type="dxa"/>
                    <w:left w:w="17" w:type="dxa"/>
                    <w:bottom w:w="0" w:type="dxa"/>
                    <w:right w:w="17" w:type="dxa"/>
                  </w:tcMar>
                  <w:vAlign w:val="center"/>
                </w:tcPr>
                <w:p w14:paraId="6D985D52">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sz w:val="21"/>
                      <w:szCs w:val="21"/>
                      <w:lang w:val="en-US" w:eastAsia="zh-CN"/>
                    </w:rPr>
                  </w:pPr>
                  <w:r>
                    <w:rPr>
                      <w:rFonts w:hint="default" w:ascii="Times New Roman" w:hAnsi="Times New Roman" w:eastAsia="宋体" w:cs="Times New Roman"/>
                      <w:color w:val="auto"/>
                      <w:spacing w:val="0"/>
                      <w:w w:val="100"/>
                      <w:sz w:val="21"/>
                      <w:szCs w:val="21"/>
                      <w:lang w:val="en-US" w:eastAsia="zh-CN"/>
                    </w:rPr>
                    <w:t>占地面积720m</w:t>
                  </w:r>
                  <w:r>
                    <w:rPr>
                      <w:rFonts w:hint="default" w:ascii="Times New Roman" w:hAnsi="Times New Roman" w:eastAsia="宋体" w:cs="Times New Roman"/>
                      <w:color w:val="auto"/>
                      <w:spacing w:val="0"/>
                      <w:w w:val="100"/>
                      <w:sz w:val="21"/>
                      <w:szCs w:val="21"/>
                      <w:vertAlign w:val="superscript"/>
                      <w:lang w:val="en-US" w:eastAsia="zh-CN"/>
                    </w:rPr>
                    <w:t>2</w:t>
                  </w:r>
                  <w:r>
                    <w:rPr>
                      <w:rFonts w:hint="default" w:ascii="Times New Roman" w:hAnsi="Times New Roman" w:eastAsia="宋体" w:cs="Times New Roman"/>
                      <w:color w:val="auto"/>
                      <w:spacing w:val="0"/>
                      <w:w w:val="100"/>
                      <w:sz w:val="21"/>
                      <w:szCs w:val="21"/>
                      <w:lang w:val="en-US" w:eastAsia="zh-CN"/>
                    </w:rPr>
                    <w:t>，共九层，用于开展疾病诊治和综合性治疗</w:t>
                  </w:r>
                </w:p>
              </w:tc>
              <w:tc>
                <w:tcPr>
                  <w:tcW w:w="2904" w:type="dxa"/>
                  <w:noWrap w:val="0"/>
                  <w:tcMar>
                    <w:top w:w="0" w:type="dxa"/>
                    <w:left w:w="17" w:type="dxa"/>
                    <w:bottom w:w="0" w:type="dxa"/>
                    <w:right w:w="17" w:type="dxa"/>
                  </w:tcMar>
                  <w:vAlign w:val="center"/>
                </w:tcPr>
                <w:p w14:paraId="3493B50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bidi="zh-CN"/>
                    </w:rPr>
                  </w:pPr>
                  <w:r>
                    <w:rPr>
                      <w:rFonts w:hint="eastAsia" w:ascii="Times New Roman" w:hAnsi="Times New Roman" w:cs="Times New Roman"/>
                      <w:color w:val="auto"/>
                      <w:spacing w:val="0"/>
                      <w:w w:val="100"/>
                      <w:sz w:val="21"/>
                      <w:szCs w:val="21"/>
                      <w:lang w:val="en-US" w:eastAsia="zh-CN"/>
                    </w:rPr>
                    <w:t>1</w:t>
                  </w:r>
                  <w:r>
                    <w:rPr>
                      <w:rFonts w:hint="default" w:ascii="Times New Roman" w:hAnsi="Times New Roman" w:eastAsia="宋体" w:cs="Times New Roman"/>
                      <w:color w:val="auto"/>
                      <w:spacing w:val="0"/>
                      <w:w w:val="100"/>
                      <w:sz w:val="21"/>
                      <w:szCs w:val="21"/>
                      <w:lang w:val="en-US" w:eastAsia="zh-CN"/>
                    </w:rPr>
                    <w:t>F：急诊科、影像科、药房、收费处</w:t>
                  </w:r>
                </w:p>
              </w:tc>
              <w:tc>
                <w:tcPr>
                  <w:tcW w:w="3528" w:type="dxa"/>
                  <w:vMerge w:val="restart"/>
                  <w:noWrap w:val="0"/>
                  <w:tcMar>
                    <w:top w:w="0" w:type="dxa"/>
                    <w:left w:w="17" w:type="dxa"/>
                    <w:bottom w:w="0" w:type="dxa"/>
                    <w:right w:w="17" w:type="dxa"/>
                  </w:tcMar>
                  <w:vAlign w:val="center"/>
                </w:tcPr>
                <w:p w14:paraId="28295533">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r>
                    <w:rPr>
                      <w:rFonts w:hint="default" w:ascii="Times New Roman" w:hAnsi="Times New Roman" w:eastAsia="宋体" w:cs="Times New Roman"/>
                      <w:color w:val="auto"/>
                      <w:spacing w:val="0"/>
                      <w:w w:val="100"/>
                      <w:sz w:val="21"/>
                      <w:szCs w:val="21"/>
                      <w:lang w:val="en-US" w:eastAsia="zh-CN"/>
                    </w:rPr>
                    <w:t>总占地面积720m</w:t>
                  </w:r>
                  <w:r>
                    <w:rPr>
                      <w:rFonts w:hint="default" w:ascii="Times New Roman" w:hAnsi="Times New Roman" w:eastAsia="宋体" w:cs="Times New Roman"/>
                      <w:color w:val="auto"/>
                      <w:spacing w:val="0"/>
                      <w:w w:val="100"/>
                      <w:sz w:val="21"/>
                      <w:szCs w:val="21"/>
                      <w:vertAlign w:val="superscript"/>
                      <w:lang w:val="en-US" w:eastAsia="zh-CN"/>
                    </w:rPr>
                    <w:t>2</w:t>
                  </w:r>
                  <w:r>
                    <w:rPr>
                      <w:rFonts w:hint="default" w:ascii="Times New Roman" w:hAnsi="Times New Roman" w:eastAsia="宋体" w:cs="Times New Roman"/>
                      <w:color w:val="auto"/>
                      <w:spacing w:val="0"/>
                      <w:w w:val="100"/>
                      <w:sz w:val="21"/>
                      <w:szCs w:val="21"/>
                      <w:lang w:val="en-US" w:eastAsia="zh-CN"/>
                    </w:rPr>
                    <w:t>，共九层，在3-</w:t>
                  </w:r>
                  <w:r>
                    <w:rPr>
                      <w:rFonts w:hint="eastAsia" w:ascii="Times New Roman" w:hAnsi="Times New Roman" w:eastAsia="宋体" w:cs="Times New Roman"/>
                      <w:color w:val="auto"/>
                      <w:spacing w:val="0"/>
                      <w:w w:val="100"/>
                      <w:sz w:val="21"/>
                      <w:szCs w:val="21"/>
                      <w:lang w:val="en-US" w:eastAsia="zh-CN"/>
                    </w:rPr>
                    <w:t>8</w:t>
                  </w:r>
                  <w:r>
                    <w:rPr>
                      <w:rFonts w:hint="default" w:ascii="Times New Roman" w:hAnsi="Times New Roman" w:eastAsia="宋体" w:cs="Times New Roman"/>
                      <w:color w:val="auto"/>
                      <w:spacing w:val="0"/>
                      <w:w w:val="100"/>
                      <w:sz w:val="21"/>
                      <w:szCs w:val="21"/>
                      <w:lang w:val="en-US" w:eastAsia="zh-CN"/>
                    </w:rPr>
                    <w:t>楼各科室病区增加开放床位数总计100张，用于患者的治疗。扩建后总开放床位250张</w:t>
                  </w:r>
                  <w:r>
                    <w:rPr>
                      <w:rFonts w:hint="eastAsia" w:ascii="Times New Roman" w:hAnsi="Times New Roman" w:eastAsia="宋体" w:cs="Times New Roman"/>
                      <w:color w:val="auto"/>
                      <w:spacing w:val="0"/>
                      <w:w w:val="100"/>
                      <w:sz w:val="21"/>
                      <w:szCs w:val="21"/>
                      <w:lang w:val="en-US" w:eastAsia="zh-CN"/>
                    </w:rPr>
                    <w:t>。</w:t>
                  </w:r>
                </w:p>
              </w:tc>
              <w:tc>
                <w:tcPr>
                  <w:tcW w:w="662" w:type="dxa"/>
                  <w:vMerge w:val="restart"/>
                  <w:noWrap w:val="0"/>
                  <w:tcMar>
                    <w:top w:w="0" w:type="dxa"/>
                    <w:left w:w="17" w:type="dxa"/>
                    <w:bottom w:w="0" w:type="dxa"/>
                    <w:right w:w="17" w:type="dxa"/>
                  </w:tcMar>
                  <w:vAlign w:val="center"/>
                </w:tcPr>
                <w:p w14:paraId="7E4B8CE5">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sz w:val="21"/>
                      <w:szCs w:val="21"/>
                      <w:lang w:eastAsia="zh-CN"/>
                    </w:rPr>
                  </w:pPr>
                  <w:r>
                    <w:rPr>
                      <w:rFonts w:hint="default" w:ascii="Times New Roman" w:hAnsi="Times New Roman" w:eastAsia="宋体" w:cs="Times New Roman"/>
                      <w:color w:val="auto"/>
                      <w:spacing w:val="0"/>
                      <w:w w:val="100"/>
                      <w:sz w:val="21"/>
                      <w:szCs w:val="21"/>
                      <w:lang w:eastAsia="zh-CN"/>
                    </w:rPr>
                    <w:t>利用现有</w:t>
                  </w:r>
                  <w:r>
                    <w:rPr>
                      <w:rFonts w:hint="default" w:ascii="Times New Roman" w:hAnsi="Times New Roman" w:eastAsia="宋体" w:cs="Times New Roman"/>
                      <w:color w:val="auto"/>
                      <w:spacing w:val="0"/>
                      <w:w w:val="100"/>
                      <w:sz w:val="21"/>
                      <w:szCs w:val="21"/>
                      <w:lang w:val="en-US" w:eastAsia="zh-CN"/>
                    </w:rPr>
                    <w:t>+</w:t>
                  </w:r>
                  <w:r>
                    <w:rPr>
                      <w:rFonts w:hint="default" w:ascii="Times New Roman" w:hAnsi="Times New Roman" w:eastAsia="宋体" w:cs="Times New Roman"/>
                      <w:color w:val="auto"/>
                      <w:spacing w:val="0"/>
                      <w:w w:val="100"/>
                      <w:sz w:val="21"/>
                      <w:szCs w:val="21"/>
                      <w:lang w:eastAsia="zh-CN"/>
                    </w:rPr>
                    <w:t>新建</w:t>
                  </w:r>
                </w:p>
              </w:tc>
            </w:tr>
            <w:tr w14:paraId="03ADAC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2894D707">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rPr>
                  </w:pPr>
                </w:p>
              </w:tc>
              <w:tc>
                <w:tcPr>
                  <w:tcW w:w="564" w:type="dxa"/>
                  <w:vMerge w:val="continue"/>
                  <w:noWrap w:val="0"/>
                  <w:tcMar>
                    <w:top w:w="0" w:type="dxa"/>
                    <w:left w:w="17" w:type="dxa"/>
                    <w:bottom w:w="0" w:type="dxa"/>
                    <w:right w:w="17" w:type="dxa"/>
                  </w:tcMar>
                  <w:vAlign w:val="center"/>
                </w:tcPr>
                <w:p w14:paraId="4ACC83D4">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rPr>
                  </w:pPr>
                </w:p>
              </w:tc>
              <w:tc>
                <w:tcPr>
                  <w:tcW w:w="936" w:type="dxa"/>
                  <w:vMerge w:val="continue"/>
                  <w:noWrap w:val="0"/>
                  <w:tcMar>
                    <w:top w:w="0" w:type="dxa"/>
                    <w:left w:w="17" w:type="dxa"/>
                    <w:bottom w:w="0" w:type="dxa"/>
                    <w:right w:w="17" w:type="dxa"/>
                  </w:tcMar>
                  <w:vAlign w:val="center"/>
                </w:tcPr>
                <w:p w14:paraId="5B314070">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rPr>
                  </w:pPr>
                </w:p>
              </w:tc>
              <w:tc>
                <w:tcPr>
                  <w:tcW w:w="2904" w:type="dxa"/>
                  <w:noWrap w:val="0"/>
                  <w:tcMar>
                    <w:top w:w="0" w:type="dxa"/>
                    <w:left w:w="17" w:type="dxa"/>
                    <w:bottom w:w="0" w:type="dxa"/>
                    <w:right w:w="17" w:type="dxa"/>
                  </w:tcMar>
                  <w:vAlign w:val="center"/>
                </w:tcPr>
                <w:p w14:paraId="58AFBD3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r>
                    <w:rPr>
                      <w:rFonts w:hint="default" w:ascii="Times New Roman" w:hAnsi="Times New Roman" w:eastAsia="宋体" w:cs="Times New Roman"/>
                      <w:color w:val="auto"/>
                      <w:spacing w:val="0"/>
                      <w:w w:val="100"/>
                      <w:sz w:val="21"/>
                      <w:szCs w:val="21"/>
                      <w:lang w:val="en-US" w:eastAsia="zh-CN"/>
                    </w:rPr>
                    <w:t>2F南：外科门诊、骨科门诊、脑系科门诊、呼吸内科门诊、胃肠镜室、检验科、病理科、消化内科门诊、泌尿外科；</w:t>
                  </w:r>
                </w:p>
                <w:p w14:paraId="6E32BDC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bidi="zh-CN"/>
                    </w:rPr>
                  </w:pPr>
                  <w:r>
                    <w:rPr>
                      <w:rFonts w:hint="default" w:ascii="Times New Roman" w:hAnsi="Times New Roman" w:eastAsia="宋体" w:cs="Times New Roman"/>
                      <w:color w:val="auto"/>
                      <w:spacing w:val="0"/>
                      <w:w w:val="100"/>
                      <w:sz w:val="21"/>
                      <w:szCs w:val="21"/>
                      <w:lang w:val="en-US" w:eastAsia="zh-CN"/>
                    </w:rPr>
                    <w:t>2F北：中医科门诊、妇产科门诊、儿科门诊、心电图室、康复医学科、医学美容科、眼科、耳鼻喉科、肾脏风湿免疫科、内科门诊、口腔科、彩超室、病案室、院办、医务科、护理部、采供科、会议室、母婴室</w:t>
                  </w:r>
                </w:p>
              </w:tc>
              <w:tc>
                <w:tcPr>
                  <w:tcW w:w="3528" w:type="dxa"/>
                  <w:vMerge w:val="continue"/>
                  <w:noWrap w:val="0"/>
                  <w:tcMar>
                    <w:top w:w="0" w:type="dxa"/>
                    <w:left w:w="17" w:type="dxa"/>
                    <w:bottom w:w="0" w:type="dxa"/>
                    <w:right w:w="17" w:type="dxa"/>
                  </w:tcMar>
                  <w:vAlign w:val="center"/>
                </w:tcPr>
                <w:p w14:paraId="4AF63513">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662" w:type="dxa"/>
                  <w:vMerge w:val="continue"/>
                  <w:noWrap w:val="0"/>
                  <w:tcMar>
                    <w:top w:w="0" w:type="dxa"/>
                    <w:left w:w="17" w:type="dxa"/>
                    <w:bottom w:w="0" w:type="dxa"/>
                    <w:right w:w="17" w:type="dxa"/>
                  </w:tcMar>
                  <w:vAlign w:val="center"/>
                </w:tcPr>
                <w:p w14:paraId="424A3B27">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sz w:val="21"/>
                      <w:szCs w:val="21"/>
                      <w:lang w:val="en-US" w:eastAsia="zh-CN"/>
                    </w:rPr>
                  </w:pPr>
                </w:p>
              </w:tc>
            </w:tr>
            <w:tr w14:paraId="74ABDF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7926EA8F">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564" w:type="dxa"/>
                  <w:vMerge w:val="continue"/>
                  <w:noWrap w:val="0"/>
                  <w:tcMar>
                    <w:top w:w="0" w:type="dxa"/>
                    <w:left w:w="17" w:type="dxa"/>
                    <w:bottom w:w="0" w:type="dxa"/>
                    <w:right w:w="17" w:type="dxa"/>
                  </w:tcMar>
                  <w:vAlign w:val="center"/>
                </w:tcPr>
                <w:p w14:paraId="27A8365B">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936" w:type="dxa"/>
                  <w:vMerge w:val="continue"/>
                  <w:noWrap w:val="0"/>
                  <w:tcMar>
                    <w:top w:w="0" w:type="dxa"/>
                    <w:left w:w="17" w:type="dxa"/>
                    <w:bottom w:w="0" w:type="dxa"/>
                    <w:right w:w="17" w:type="dxa"/>
                  </w:tcMar>
                  <w:vAlign w:val="center"/>
                </w:tcPr>
                <w:p w14:paraId="092C0AD6">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2904" w:type="dxa"/>
                  <w:noWrap w:val="0"/>
                  <w:tcMar>
                    <w:top w:w="0" w:type="dxa"/>
                    <w:left w:w="17" w:type="dxa"/>
                    <w:bottom w:w="0" w:type="dxa"/>
                    <w:right w:w="17" w:type="dxa"/>
                  </w:tcMar>
                  <w:vAlign w:val="center"/>
                </w:tcPr>
                <w:p w14:paraId="6647CF2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bidi="zh-CN"/>
                    </w:rPr>
                  </w:pPr>
                  <w:r>
                    <w:rPr>
                      <w:rFonts w:hint="default" w:ascii="Times New Roman" w:hAnsi="Times New Roman" w:eastAsia="宋体" w:cs="Times New Roman"/>
                      <w:color w:val="auto"/>
                      <w:spacing w:val="0"/>
                      <w:w w:val="100"/>
                      <w:sz w:val="21"/>
                      <w:szCs w:val="21"/>
                      <w:lang w:val="en-US" w:eastAsia="zh-CN"/>
                    </w:rPr>
                    <w:t>3F：内科病区、血液透析室</w:t>
                  </w:r>
                </w:p>
              </w:tc>
              <w:tc>
                <w:tcPr>
                  <w:tcW w:w="3528" w:type="dxa"/>
                  <w:vMerge w:val="continue"/>
                  <w:noWrap w:val="0"/>
                  <w:tcMar>
                    <w:top w:w="0" w:type="dxa"/>
                    <w:left w:w="17" w:type="dxa"/>
                    <w:bottom w:w="0" w:type="dxa"/>
                    <w:right w:w="17" w:type="dxa"/>
                  </w:tcMar>
                  <w:vAlign w:val="center"/>
                </w:tcPr>
                <w:p w14:paraId="76BC8F01">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662" w:type="dxa"/>
                  <w:vMerge w:val="continue"/>
                  <w:noWrap w:val="0"/>
                  <w:tcMar>
                    <w:top w:w="0" w:type="dxa"/>
                    <w:left w:w="17" w:type="dxa"/>
                    <w:bottom w:w="0" w:type="dxa"/>
                    <w:right w:w="17" w:type="dxa"/>
                  </w:tcMar>
                  <w:vAlign w:val="center"/>
                </w:tcPr>
                <w:p w14:paraId="6D27A53D">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sz w:val="21"/>
                      <w:szCs w:val="21"/>
                      <w:lang w:val="en-US" w:eastAsia="zh-CN"/>
                    </w:rPr>
                  </w:pPr>
                </w:p>
              </w:tc>
            </w:tr>
            <w:tr w14:paraId="556F83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76523E2C">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564" w:type="dxa"/>
                  <w:vMerge w:val="continue"/>
                  <w:noWrap w:val="0"/>
                  <w:tcMar>
                    <w:top w:w="0" w:type="dxa"/>
                    <w:left w:w="17" w:type="dxa"/>
                    <w:bottom w:w="0" w:type="dxa"/>
                    <w:right w:w="17" w:type="dxa"/>
                  </w:tcMar>
                  <w:vAlign w:val="center"/>
                </w:tcPr>
                <w:p w14:paraId="7E57CA1E">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936" w:type="dxa"/>
                  <w:vMerge w:val="continue"/>
                  <w:noWrap w:val="0"/>
                  <w:tcMar>
                    <w:top w:w="0" w:type="dxa"/>
                    <w:left w:w="17" w:type="dxa"/>
                    <w:bottom w:w="0" w:type="dxa"/>
                    <w:right w:w="17" w:type="dxa"/>
                  </w:tcMar>
                  <w:vAlign w:val="center"/>
                </w:tcPr>
                <w:p w14:paraId="0027A75F">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2904" w:type="dxa"/>
                  <w:noWrap w:val="0"/>
                  <w:tcMar>
                    <w:top w:w="0" w:type="dxa"/>
                    <w:left w:w="17" w:type="dxa"/>
                    <w:bottom w:w="0" w:type="dxa"/>
                    <w:right w:w="17" w:type="dxa"/>
                  </w:tcMar>
                  <w:vAlign w:val="center"/>
                </w:tcPr>
                <w:p w14:paraId="25B3457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bidi="zh-CN"/>
                    </w:rPr>
                  </w:pPr>
                  <w:r>
                    <w:rPr>
                      <w:rFonts w:hint="default" w:ascii="Times New Roman" w:hAnsi="Times New Roman" w:eastAsia="宋体" w:cs="Times New Roman"/>
                      <w:color w:val="auto"/>
                      <w:spacing w:val="0"/>
                      <w:w w:val="100"/>
                      <w:sz w:val="21"/>
                      <w:szCs w:val="21"/>
                      <w:lang w:val="en-US" w:eastAsia="zh-CN"/>
                    </w:rPr>
                    <w:t>4F：妇产科病区、手术麻醉科</w:t>
                  </w:r>
                </w:p>
              </w:tc>
              <w:tc>
                <w:tcPr>
                  <w:tcW w:w="3528" w:type="dxa"/>
                  <w:vMerge w:val="continue"/>
                  <w:noWrap w:val="0"/>
                  <w:tcMar>
                    <w:top w:w="0" w:type="dxa"/>
                    <w:left w:w="17" w:type="dxa"/>
                    <w:bottom w:w="0" w:type="dxa"/>
                    <w:right w:w="17" w:type="dxa"/>
                  </w:tcMar>
                  <w:vAlign w:val="center"/>
                </w:tcPr>
                <w:p w14:paraId="221AB4E2">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662" w:type="dxa"/>
                  <w:vMerge w:val="continue"/>
                  <w:noWrap w:val="0"/>
                  <w:tcMar>
                    <w:top w:w="0" w:type="dxa"/>
                    <w:left w:w="17" w:type="dxa"/>
                    <w:bottom w:w="0" w:type="dxa"/>
                    <w:right w:w="17" w:type="dxa"/>
                  </w:tcMar>
                  <w:vAlign w:val="center"/>
                </w:tcPr>
                <w:p w14:paraId="2D2B3D17">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sz w:val="21"/>
                      <w:szCs w:val="21"/>
                      <w:lang w:val="en-US" w:eastAsia="zh-CN"/>
                    </w:rPr>
                  </w:pPr>
                </w:p>
              </w:tc>
            </w:tr>
            <w:tr w14:paraId="02A0E6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0A42C8B7">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564" w:type="dxa"/>
                  <w:vMerge w:val="continue"/>
                  <w:noWrap w:val="0"/>
                  <w:tcMar>
                    <w:top w:w="0" w:type="dxa"/>
                    <w:left w:w="17" w:type="dxa"/>
                    <w:bottom w:w="0" w:type="dxa"/>
                    <w:right w:w="17" w:type="dxa"/>
                  </w:tcMar>
                  <w:vAlign w:val="center"/>
                </w:tcPr>
                <w:p w14:paraId="57215469">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936" w:type="dxa"/>
                  <w:vMerge w:val="continue"/>
                  <w:noWrap w:val="0"/>
                  <w:tcMar>
                    <w:top w:w="0" w:type="dxa"/>
                    <w:left w:w="17" w:type="dxa"/>
                    <w:bottom w:w="0" w:type="dxa"/>
                    <w:right w:w="17" w:type="dxa"/>
                  </w:tcMar>
                  <w:vAlign w:val="center"/>
                </w:tcPr>
                <w:p w14:paraId="0FB3EA93">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2904" w:type="dxa"/>
                  <w:noWrap w:val="0"/>
                  <w:tcMar>
                    <w:top w:w="0" w:type="dxa"/>
                    <w:left w:w="17" w:type="dxa"/>
                    <w:bottom w:w="0" w:type="dxa"/>
                    <w:right w:w="17" w:type="dxa"/>
                  </w:tcMar>
                  <w:vAlign w:val="center"/>
                </w:tcPr>
                <w:p w14:paraId="33E5751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bidi="zh-CN"/>
                    </w:rPr>
                  </w:pPr>
                  <w:r>
                    <w:rPr>
                      <w:rFonts w:hint="default" w:ascii="Times New Roman" w:hAnsi="Times New Roman" w:eastAsia="宋体" w:cs="Times New Roman"/>
                      <w:color w:val="auto"/>
                      <w:spacing w:val="0"/>
                      <w:w w:val="100"/>
                      <w:sz w:val="21"/>
                      <w:szCs w:val="21"/>
                      <w:lang w:val="en-US" w:eastAsia="zh-CN"/>
                    </w:rPr>
                    <w:t>5F：骨科病区、儿科门诊输液区</w:t>
                  </w:r>
                </w:p>
              </w:tc>
              <w:tc>
                <w:tcPr>
                  <w:tcW w:w="3528" w:type="dxa"/>
                  <w:vMerge w:val="continue"/>
                  <w:noWrap w:val="0"/>
                  <w:tcMar>
                    <w:top w:w="0" w:type="dxa"/>
                    <w:left w:w="17" w:type="dxa"/>
                    <w:bottom w:w="0" w:type="dxa"/>
                    <w:right w:w="17" w:type="dxa"/>
                  </w:tcMar>
                  <w:vAlign w:val="center"/>
                </w:tcPr>
                <w:p w14:paraId="4542E903">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662" w:type="dxa"/>
                  <w:vMerge w:val="continue"/>
                  <w:noWrap w:val="0"/>
                  <w:tcMar>
                    <w:top w:w="0" w:type="dxa"/>
                    <w:left w:w="17" w:type="dxa"/>
                    <w:bottom w:w="0" w:type="dxa"/>
                    <w:right w:w="17" w:type="dxa"/>
                  </w:tcMar>
                  <w:vAlign w:val="center"/>
                </w:tcPr>
                <w:p w14:paraId="7876A511">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sz w:val="21"/>
                      <w:szCs w:val="21"/>
                      <w:lang w:val="en-US" w:eastAsia="zh-CN"/>
                    </w:rPr>
                  </w:pPr>
                </w:p>
              </w:tc>
            </w:tr>
            <w:tr w14:paraId="6558A5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7DC30FEA">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564" w:type="dxa"/>
                  <w:vMerge w:val="continue"/>
                  <w:noWrap w:val="0"/>
                  <w:tcMar>
                    <w:top w:w="0" w:type="dxa"/>
                    <w:left w:w="17" w:type="dxa"/>
                    <w:bottom w:w="0" w:type="dxa"/>
                    <w:right w:w="17" w:type="dxa"/>
                  </w:tcMar>
                  <w:vAlign w:val="center"/>
                </w:tcPr>
                <w:p w14:paraId="3C5319DD">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936" w:type="dxa"/>
                  <w:vMerge w:val="continue"/>
                  <w:noWrap w:val="0"/>
                  <w:tcMar>
                    <w:top w:w="0" w:type="dxa"/>
                    <w:left w:w="17" w:type="dxa"/>
                    <w:bottom w:w="0" w:type="dxa"/>
                    <w:right w:w="17" w:type="dxa"/>
                  </w:tcMar>
                  <w:vAlign w:val="center"/>
                </w:tcPr>
                <w:p w14:paraId="6E68E766">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2904" w:type="dxa"/>
                  <w:noWrap w:val="0"/>
                  <w:tcMar>
                    <w:top w:w="0" w:type="dxa"/>
                    <w:left w:w="17" w:type="dxa"/>
                    <w:bottom w:w="0" w:type="dxa"/>
                    <w:right w:w="17" w:type="dxa"/>
                  </w:tcMar>
                  <w:vAlign w:val="center"/>
                </w:tcPr>
                <w:p w14:paraId="50DAA1E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bidi="zh-CN"/>
                    </w:rPr>
                  </w:pPr>
                  <w:r>
                    <w:rPr>
                      <w:rFonts w:hint="default" w:ascii="Times New Roman" w:hAnsi="Times New Roman" w:eastAsia="宋体" w:cs="Times New Roman"/>
                      <w:color w:val="auto"/>
                      <w:spacing w:val="0"/>
                      <w:w w:val="100"/>
                      <w:sz w:val="21"/>
                      <w:szCs w:val="21"/>
                      <w:lang w:val="en-US" w:eastAsia="zh-CN"/>
                    </w:rPr>
                    <w:t>6F：脑系科病区</w:t>
                  </w:r>
                </w:p>
              </w:tc>
              <w:tc>
                <w:tcPr>
                  <w:tcW w:w="3528" w:type="dxa"/>
                  <w:vMerge w:val="continue"/>
                  <w:noWrap w:val="0"/>
                  <w:tcMar>
                    <w:top w:w="0" w:type="dxa"/>
                    <w:left w:w="17" w:type="dxa"/>
                    <w:bottom w:w="0" w:type="dxa"/>
                    <w:right w:w="17" w:type="dxa"/>
                  </w:tcMar>
                  <w:vAlign w:val="center"/>
                </w:tcPr>
                <w:p w14:paraId="520D5AF0">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662" w:type="dxa"/>
                  <w:vMerge w:val="continue"/>
                  <w:noWrap w:val="0"/>
                  <w:tcMar>
                    <w:top w:w="0" w:type="dxa"/>
                    <w:left w:w="17" w:type="dxa"/>
                    <w:bottom w:w="0" w:type="dxa"/>
                    <w:right w:w="17" w:type="dxa"/>
                  </w:tcMar>
                  <w:vAlign w:val="center"/>
                </w:tcPr>
                <w:p w14:paraId="1C1303A8">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sz w:val="21"/>
                      <w:szCs w:val="21"/>
                      <w:lang w:val="en-US" w:eastAsia="zh-CN"/>
                    </w:rPr>
                  </w:pPr>
                </w:p>
              </w:tc>
            </w:tr>
            <w:tr w14:paraId="61EDD5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74613E34">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564" w:type="dxa"/>
                  <w:vMerge w:val="continue"/>
                  <w:noWrap w:val="0"/>
                  <w:tcMar>
                    <w:top w:w="0" w:type="dxa"/>
                    <w:left w:w="17" w:type="dxa"/>
                    <w:bottom w:w="0" w:type="dxa"/>
                    <w:right w:w="17" w:type="dxa"/>
                  </w:tcMar>
                  <w:vAlign w:val="center"/>
                </w:tcPr>
                <w:p w14:paraId="2BEC5DD3">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936" w:type="dxa"/>
                  <w:vMerge w:val="continue"/>
                  <w:noWrap w:val="0"/>
                  <w:tcMar>
                    <w:top w:w="0" w:type="dxa"/>
                    <w:left w:w="17" w:type="dxa"/>
                    <w:bottom w:w="0" w:type="dxa"/>
                    <w:right w:w="17" w:type="dxa"/>
                  </w:tcMar>
                  <w:vAlign w:val="center"/>
                </w:tcPr>
                <w:p w14:paraId="1DC9FD90">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2904" w:type="dxa"/>
                  <w:noWrap w:val="0"/>
                  <w:tcMar>
                    <w:top w:w="0" w:type="dxa"/>
                    <w:left w:w="17" w:type="dxa"/>
                    <w:bottom w:w="0" w:type="dxa"/>
                    <w:right w:w="17" w:type="dxa"/>
                  </w:tcMar>
                  <w:vAlign w:val="center"/>
                </w:tcPr>
                <w:p w14:paraId="2A15CD3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bidi="zh-CN"/>
                    </w:rPr>
                  </w:pPr>
                  <w:r>
                    <w:rPr>
                      <w:rFonts w:hint="default" w:ascii="Times New Roman" w:hAnsi="Times New Roman" w:eastAsia="宋体" w:cs="Times New Roman"/>
                      <w:color w:val="auto"/>
                      <w:spacing w:val="0"/>
                      <w:w w:val="100"/>
                      <w:sz w:val="21"/>
                      <w:szCs w:val="21"/>
                      <w:lang w:val="en-US" w:eastAsia="zh-CN"/>
                    </w:rPr>
                    <w:t>7F：综合外二科病区</w:t>
                  </w:r>
                </w:p>
              </w:tc>
              <w:tc>
                <w:tcPr>
                  <w:tcW w:w="3528" w:type="dxa"/>
                  <w:vMerge w:val="continue"/>
                  <w:noWrap w:val="0"/>
                  <w:tcMar>
                    <w:top w:w="0" w:type="dxa"/>
                    <w:left w:w="17" w:type="dxa"/>
                    <w:bottom w:w="0" w:type="dxa"/>
                    <w:right w:w="17" w:type="dxa"/>
                  </w:tcMar>
                  <w:vAlign w:val="center"/>
                </w:tcPr>
                <w:p w14:paraId="1287C752">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662" w:type="dxa"/>
                  <w:vMerge w:val="continue"/>
                  <w:noWrap w:val="0"/>
                  <w:tcMar>
                    <w:top w:w="0" w:type="dxa"/>
                    <w:left w:w="17" w:type="dxa"/>
                    <w:bottom w:w="0" w:type="dxa"/>
                    <w:right w:w="17" w:type="dxa"/>
                  </w:tcMar>
                  <w:vAlign w:val="center"/>
                </w:tcPr>
                <w:p w14:paraId="3F33D8AF">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sz w:val="21"/>
                      <w:szCs w:val="21"/>
                      <w:lang w:val="en-US" w:eastAsia="zh-CN"/>
                    </w:rPr>
                  </w:pPr>
                </w:p>
              </w:tc>
            </w:tr>
            <w:tr w14:paraId="4A741B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46D8374E">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564" w:type="dxa"/>
                  <w:vMerge w:val="continue"/>
                  <w:noWrap w:val="0"/>
                  <w:tcMar>
                    <w:top w:w="0" w:type="dxa"/>
                    <w:left w:w="17" w:type="dxa"/>
                    <w:bottom w:w="0" w:type="dxa"/>
                    <w:right w:w="17" w:type="dxa"/>
                  </w:tcMar>
                  <w:vAlign w:val="center"/>
                </w:tcPr>
                <w:p w14:paraId="7139CF52">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936" w:type="dxa"/>
                  <w:vMerge w:val="continue"/>
                  <w:noWrap w:val="0"/>
                  <w:tcMar>
                    <w:top w:w="0" w:type="dxa"/>
                    <w:left w:w="17" w:type="dxa"/>
                    <w:bottom w:w="0" w:type="dxa"/>
                    <w:right w:w="17" w:type="dxa"/>
                  </w:tcMar>
                  <w:vAlign w:val="center"/>
                </w:tcPr>
                <w:p w14:paraId="1DB279F4">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2904" w:type="dxa"/>
                  <w:noWrap w:val="0"/>
                  <w:tcMar>
                    <w:top w:w="0" w:type="dxa"/>
                    <w:left w:w="17" w:type="dxa"/>
                    <w:bottom w:w="0" w:type="dxa"/>
                    <w:right w:w="17" w:type="dxa"/>
                  </w:tcMar>
                  <w:vAlign w:val="center"/>
                </w:tcPr>
                <w:p w14:paraId="27E6FF4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bidi="zh-CN"/>
                    </w:rPr>
                  </w:pPr>
                  <w:r>
                    <w:rPr>
                      <w:rFonts w:hint="default" w:ascii="Times New Roman" w:hAnsi="Times New Roman" w:eastAsia="宋体" w:cs="Times New Roman"/>
                      <w:color w:val="auto"/>
                      <w:spacing w:val="0"/>
                      <w:w w:val="100"/>
                      <w:sz w:val="21"/>
                      <w:szCs w:val="21"/>
                      <w:lang w:val="en-US" w:eastAsia="zh-CN"/>
                    </w:rPr>
                    <w:t>8F：综合外一科病区</w:t>
                  </w:r>
                </w:p>
              </w:tc>
              <w:tc>
                <w:tcPr>
                  <w:tcW w:w="3528" w:type="dxa"/>
                  <w:vMerge w:val="continue"/>
                  <w:noWrap w:val="0"/>
                  <w:tcMar>
                    <w:top w:w="0" w:type="dxa"/>
                    <w:left w:w="17" w:type="dxa"/>
                    <w:bottom w:w="0" w:type="dxa"/>
                    <w:right w:w="17" w:type="dxa"/>
                  </w:tcMar>
                  <w:vAlign w:val="center"/>
                </w:tcPr>
                <w:p w14:paraId="50DFA6BF">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662" w:type="dxa"/>
                  <w:vMerge w:val="continue"/>
                  <w:noWrap w:val="0"/>
                  <w:tcMar>
                    <w:top w:w="0" w:type="dxa"/>
                    <w:left w:w="17" w:type="dxa"/>
                    <w:bottom w:w="0" w:type="dxa"/>
                    <w:right w:w="17" w:type="dxa"/>
                  </w:tcMar>
                  <w:vAlign w:val="center"/>
                </w:tcPr>
                <w:p w14:paraId="0E5F440B">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sz w:val="21"/>
                      <w:szCs w:val="21"/>
                      <w:lang w:val="en-US" w:eastAsia="zh-CN"/>
                    </w:rPr>
                  </w:pPr>
                </w:p>
              </w:tc>
            </w:tr>
            <w:tr w14:paraId="08A0F5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2A9AA819">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564" w:type="dxa"/>
                  <w:vMerge w:val="continue"/>
                  <w:noWrap w:val="0"/>
                  <w:tcMar>
                    <w:top w:w="0" w:type="dxa"/>
                    <w:left w:w="17" w:type="dxa"/>
                    <w:bottom w:w="0" w:type="dxa"/>
                    <w:right w:w="17" w:type="dxa"/>
                  </w:tcMar>
                  <w:vAlign w:val="center"/>
                </w:tcPr>
                <w:p w14:paraId="2CF149B4">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936" w:type="dxa"/>
                  <w:vMerge w:val="continue"/>
                  <w:noWrap w:val="0"/>
                  <w:tcMar>
                    <w:top w:w="0" w:type="dxa"/>
                    <w:left w:w="17" w:type="dxa"/>
                    <w:bottom w:w="0" w:type="dxa"/>
                    <w:right w:w="17" w:type="dxa"/>
                  </w:tcMar>
                  <w:vAlign w:val="center"/>
                </w:tcPr>
                <w:p w14:paraId="23B300F3">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2904" w:type="dxa"/>
                  <w:noWrap w:val="0"/>
                  <w:tcMar>
                    <w:top w:w="0" w:type="dxa"/>
                    <w:left w:w="17" w:type="dxa"/>
                    <w:bottom w:w="0" w:type="dxa"/>
                    <w:right w:w="17" w:type="dxa"/>
                  </w:tcMar>
                  <w:vAlign w:val="center"/>
                </w:tcPr>
                <w:p w14:paraId="63178AE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bidi="zh-CN"/>
                    </w:rPr>
                  </w:pPr>
                  <w:r>
                    <w:rPr>
                      <w:rFonts w:hint="default" w:ascii="Times New Roman" w:hAnsi="Times New Roman" w:eastAsia="宋体" w:cs="Times New Roman"/>
                      <w:color w:val="auto"/>
                      <w:spacing w:val="0"/>
                      <w:w w:val="100"/>
                      <w:sz w:val="21"/>
                      <w:szCs w:val="21"/>
                      <w:lang w:val="en-US" w:eastAsia="zh-CN"/>
                    </w:rPr>
                    <w:t>9F：医保、信息科</w:t>
                  </w:r>
                </w:p>
              </w:tc>
              <w:tc>
                <w:tcPr>
                  <w:tcW w:w="3528" w:type="dxa"/>
                  <w:vMerge w:val="continue"/>
                  <w:noWrap w:val="0"/>
                  <w:tcMar>
                    <w:top w:w="0" w:type="dxa"/>
                    <w:left w:w="17" w:type="dxa"/>
                    <w:bottom w:w="0" w:type="dxa"/>
                    <w:right w:w="17" w:type="dxa"/>
                  </w:tcMar>
                  <w:vAlign w:val="center"/>
                </w:tcPr>
                <w:p w14:paraId="6B5746B4">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宋体" w:cs="Times New Roman"/>
                      <w:color w:val="auto"/>
                      <w:spacing w:val="0"/>
                      <w:w w:val="100"/>
                      <w:sz w:val="21"/>
                      <w:szCs w:val="21"/>
                      <w:lang w:val="en-US" w:eastAsia="zh-CN"/>
                    </w:rPr>
                  </w:pPr>
                </w:p>
              </w:tc>
              <w:tc>
                <w:tcPr>
                  <w:tcW w:w="662" w:type="dxa"/>
                  <w:vMerge w:val="continue"/>
                  <w:noWrap w:val="0"/>
                  <w:tcMar>
                    <w:top w:w="0" w:type="dxa"/>
                    <w:left w:w="17" w:type="dxa"/>
                    <w:bottom w:w="0" w:type="dxa"/>
                    <w:right w:w="17" w:type="dxa"/>
                  </w:tcMar>
                  <w:vAlign w:val="center"/>
                </w:tcPr>
                <w:p w14:paraId="0FAA76F5">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sz w:val="21"/>
                      <w:szCs w:val="21"/>
                      <w:lang w:val="en-US" w:eastAsia="zh-CN"/>
                    </w:rPr>
                  </w:pPr>
                </w:p>
              </w:tc>
            </w:tr>
            <w:tr w14:paraId="4890E3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restart"/>
                  <w:noWrap w:val="0"/>
                  <w:tcMar>
                    <w:top w:w="0" w:type="dxa"/>
                    <w:left w:w="17" w:type="dxa"/>
                    <w:bottom w:w="0" w:type="dxa"/>
                    <w:right w:w="17" w:type="dxa"/>
                  </w:tcMar>
                  <w:vAlign w:val="center"/>
                </w:tcPr>
                <w:p w14:paraId="072E77F6">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eastAsia="zh-CN"/>
                    </w:rPr>
                  </w:pPr>
                  <w:r>
                    <w:rPr>
                      <w:rFonts w:hint="default" w:ascii="Times New Roman" w:hAnsi="Times New Roman" w:eastAsia="宋体" w:cs="Times New Roman"/>
                      <w:color w:val="auto"/>
                      <w:spacing w:val="0"/>
                      <w:w w:val="100"/>
                      <w:kern w:val="2"/>
                      <w:sz w:val="21"/>
                      <w:szCs w:val="21"/>
                      <w:lang w:eastAsia="zh-CN"/>
                    </w:rPr>
                    <w:t>辅助工程</w:t>
                  </w:r>
                </w:p>
              </w:tc>
              <w:tc>
                <w:tcPr>
                  <w:tcW w:w="564" w:type="dxa"/>
                  <w:noWrap w:val="0"/>
                  <w:tcMar>
                    <w:top w:w="0" w:type="dxa"/>
                    <w:left w:w="17" w:type="dxa"/>
                    <w:bottom w:w="0" w:type="dxa"/>
                    <w:right w:w="17" w:type="dxa"/>
                  </w:tcMar>
                  <w:vAlign w:val="center"/>
                </w:tcPr>
                <w:p w14:paraId="687109DE">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kern w:val="2"/>
                      <w:sz w:val="21"/>
                      <w:szCs w:val="21"/>
                      <w:lang w:eastAsia="zh-CN"/>
                    </w:rPr>
                    <w:t>综合楼</w:t>
                  </w:r>
                </w:p>
              </w:tc>
              <w:tc>
                <w:tcPr>
                  <w:tcW w:w="3840" w:type="dxa"/>
                  <w:gridSpan w:val="2"/>
                  <w:noWrap w:val="0"/>
                  <w:tcMar>
                    <w:top w:w="0" w:type="dxa"/>
                    <w:left w:w="17" w:type="dxa"/>
                    <w:bottom w:w="0" w:type="dxa"/>
                    <w:right w:w="17" w:type="dxa"/>
                  </w:tcMar>
                  <w:vAlign w:val="center"/>
                </w:tcPr>
                <w:p w14:paraId="38B4A25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lang w:val="en-US" w:eastAsia="zh-CN"/>
                    </w:rPr>
                    <w:t>占地面积200m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，主要为档案的保存及行政办公</w:t>
                  </w:r>
                </w:p>
              </w:tc>
              <w:tc>
                <w:tcPr>
                  <w:tcW w:w="3528" w:type="dxa"/>
                  <w:noWrap w:val="0"/>
                  <w:tcMar>
                    <w:top w:w="0" w:type="dxa"/>
                    <w:left w:w="17" w:type="dxa"/>
                    <w:bottom w:w="0" w:type="dxa"/>
                    <w:right w:w="17" w:type="dxa"/>
                  </w:tcMar>
                  <w:vAlign w:val="center"/>
                </w:tcPr>
                <w:p w14:paraId="1069EE53">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lang w:val="en-US" w:eastAsia="zh-CN" w:bidi="zh-CN"/>
                    </w:rPr>
                    <w:t>依托现有</w:t>
                  </w:r>
                </w:p>
              </w:tc>
              <w:tc>
                <w:tcPr>
                  <w:tcW w:w="662" w:type="dxa"/>
                  <w:noWrap w:val="0"/>
                  <w:tcMar>
                    <w:top w:w="0" w:type="dxa"/>
                    <w:left w:w="17" w:type="dxa"/>
                    <w:bottom w:w="0" w:type="dxa"/>
                    <w:right w:w="17" w:type="dxa"/>
                  </w:tcMar>
                  <w:vAlign w:val="center"/>
                </w:tcPr>
                <w:p w14:paraId="20278F21">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sz w:val="21"/>
                      <w:szCs w:val="21"/>
                      <w:lang w:eastAsia="zh-CN"/>
                    </w:rPr>
                  </w:pPr>
                  <w:r>
                    <w:rPr>
                      <w:rFonts w:hint="default" w:ascii="Times New Roman" w:hAnsi="Times New Roman" w:eastAsia="宋体" w:cs="Times New Roman"/>
                      <w:color w:val="auto"/>
                      <w:sz w:val="21"/>
                      <w:szCs w:val="21"/>
                      <w:lang w:val="en-US" w:eastAsia="zh-CN"/>
                    </w:rPr>
                    <w:t>依托现有</w:t>
                  </w:r>
                </w:p>
              </w:tc>
            </w:tr>
            <w:tr w14:paraId="7DEA1C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728C9CA9">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eastAsia="zh-CN"/>
                    </w:rPr>
                  </w:pPr>
                </w:p>
              </w:tc>
              <w:tc>
                <w:tcPr>
                  <w:tcW w:w="564" w:type="dxa"/>
                  <w:noWrap w:val="0"/>
                  <w:tcMar>
                    <w:top w:w="0" w:type="dxa"/>
                    <w:left w:w="17" w:type="dxa"/>
                    <w:bottom w:w="0" w:type="dxa"/>
                    <w:right w:w="17" w:type="dxa"/>
                  </w:tcMar>
                  <w:vAlign w:val="center"/>
                </w:tcPr>
                <w:p w14:paraId="5BE7BB59">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eastAsia="zh-CN"/>
                    </w:rPr>
                  </w:pPr>
                  <w:r>
                    <w:rPr>
                      <w:rFonts w:hint="default" w:ascii="Times New Roman" w:hAnsi="Times New Roman" w:eastAsia="宋体" w:cs="Times New Roman"/>
                      <w:color w:val="auto"/>
                      <w:spacing w:val="0"/>
                      <w:w w:val="100"/>
                      <w:sz w:val="21"/>
                      <w:szCs w:val="21"/>
                      <w:lang w:val="en-US" w:eastAsia="zh-CN"/>
                    </w:rPr>
                    <w:t>危废暂存库</w:t>
                  </w:r>
                </w:p>
              </w:tc>
              <w:tc>
                <w:tcPr>
                  <w:tcW w:w="3840" w:type="dxa"/>
                  <w:gridSpan w:val="2"/>
                  <w:noWrap w:val="0"/>
                  <w:tcMar>
                    <w:top w:w="0" w:type="dxa"/>
                    <w:left w:w="17" w:type="dxa"/>
                    <w:bottom w:w="0" w:type="dxa"/>
                    <w:right w:w="17" w:type="dxa"/>
                  </w:tcMar>
                  <w:vAlign w:val="center"/>
                </w:tcPr>
                <w:p w14:paraId="3B5F6EB9">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sz w:val="21"/>
                      <w:szCs w:val="21"/>
                      <w:lang w:val="en-US" w:eastAsia="zh-CN"/>
                    </w:rPr>
                  </w:pPr>
                  <w:r>
                    <w:rPr>
                      <w:rFonts w:hint="default" w:ascii="Times New Roman" w:hAnsi="Times New Roman" w:eastAsia="宋体" w:cs="Times New Roman"/>
                      <w:color w:val="auto"/>
                      <w:spacing w:val="0"/>
                      <w:w w:val="100"/>
                      <w:sz w:val="21"/>
                      <w:szCs w:val="21"/>
                      <w:lang w:val="en-US" w:eastAsia="zh-CN"/>
                    </w:rPr>
                    <w:t>/</w:t>
                  </w:r>
                </w:p>
              </w:tc>
              <w:tc>
                <w:tcPr>
                  <w:tcW w:w="3528" w:type="dxa"/>
                  <w:noWrap w:val="0"/>
                  <w:tcMar>
                    <w:top w:w="0" w:type="dxa"/>
                    <w:left w:w="17" w:type="dxa"/>
                    <w:bottom w:w="0" w:type="dxa"/>
                    <w:right w:w="17" w:type="dxa"/>
                  </w:tcMar>
                  <w:vAlign w:val="center"/>
                </w:tcPr>
                <w:p w14:paraId="400FD4C4">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sz w:val="21"/>
                      <w:szCs w:val="21"/>
                      <w:lang w:val="en-US" w:eastAsia="zh-CN"/>
                    </w:rPr>
                  </w:pPr>
                  <w:r>
                    <w:rPr>
                      <w:rFonts w:hint="default" w:ascii="Times New Roman" w:hAnsi="Times New Roman" w:eastAsia="宋体" w:cs="Times New Roman"/>
                      <w:color w:val="auto"/>
                      <w:spacing w:val="0"/>
                      <w:w w:val="100"/>
                      <w:sz w:val="21"/>
                      <w:szCs w:val="21"/>
                      <w:lang w:eastAsia="zh-CN"/>
                    </w:rPr>
                    <w:t>新建</w:t>
                  </w:r>
                  <w:r>
                    <w:rPr>
                      <w:rFonts w:hint="default" w:ascii="Times New Roman" w:hAnsi="Times New Roman" w:eastAsia="宋体" w:cs="Times New Roman"/>
                      <w:color w:val="auto"/>
                      <w:spacing w:val="0"/>
                      <w:w w:val="100"/>
                      <w:sz w:val="21"/>
                      <w:szCs w:val="21"/>
                      <w:lang w:val="en-US" w:eastAsia="zh-CN"/>
                    </w:rPr>
                    <w:t>1座危废暂存库，</w:t>
                  </w:r>
                  <w:r>
                    <w:rPr>
                      <w:rFonts w:hint="default" w:ascii="Times New Roman" w:hAnsi="Times New Roman" w:eastAsia="宋体" w:cs="Times New Roman"/>
                      <w:color w:val="auto"/>
                      <w:spacing w:val="0"/>
                      <w:w w:val="100"/>
                      <w:sz w:val="21"/>
                      <w:szCs w:val="21"/>
                      <w:lang w:eastAsia="zh-CN"/>
                    </w:rPr>
                    <w:t>由原车库改造，占地面积</w:t>
                  </w:r>
                  <w:r>
                    <w:rPr>
                      <w:rFonts w:hint="default" w:ascii="Times New Roman" w:hAnsi="Times New Roman" w:eastAsia="宋体" w:cs="Times New Roman"/>
                      <w:color w:val="auto"/>
                      <w:spacing w:val="0"/>
                      <w:w w:val="100"/>
                      <w:sz w:val="21"/>
                      <w:szCs w:val="21"/>
                      <w:lang w:val="en-US" w:eastAsia="zh-CN"/>
                    </w:rPr>
                    <w:t>21m</w:t>
                  </w:r>
                  <w:r>
                    <w:rPr>
                      <w:rFonts w:hint="default" w:ascii="Times New Roman" w:hAnsi="Times New Roman" w:eastAsia="宋体" w:cs="Times New Roman"/>
                      <w:color w:val="auto"/>
                      <w:spacing w:val="0"/>
                      <w:w w:val="100"/>
                      <w:sz w:val="21"/>
                      <w:szCs w:val="21"/>
                      <w:vertAlign w:val="superscript"/>
                      <w:lang w:val="en-US" w:eastAsia="zh-CN"/>
                    </w:rPr>
                    <w:t>2</w:t>
                  </w:r>
                  <w:r>
                    <w:rPr>
                      <w:rFonts w:hint="default" w:ascii="Times New Roman" w:hAnsi="Times New Roman" w:eastAsia="宋体" w:cs="Times New Roman"/>
                      <w:color w:val="auto"/>
                      <w:spacing w:val="0"/>
                      <w:w w:val="100"/>
                      <w:sz w:val="21"/>
                      <w:szCs w:val="21"/>
                      <w:lang w:val="en-US" w:eastAsia="zh-CN"/>
                    </w:rPr>
                    <w:t>，配备导流槽宽0.2m、深0.2m，1m</w:t>
                  </w:r>
                  <w:r>
                    <w:rPr>
                      <w:rFonts w:hint="default" w:ascii="Times New Roman" w:hAnsi="Times New Roman" w:eastAsia="宋体" w:cs="Times New Roman"/>
                      <w:color w:val="auto"/>
                      <w:spacing w:val="0"/>
                      <w:w w:val="100"/>
                      <w:sz w:val="21"/>
                      <w:szCs w:val="21"/>
                      <w:vertAlign w:val="superscript"/>
                      <w:lang w:val="en-US" w:eastAsia="zh-CN"/>
                    </w:rPr>
                    <w:t>3</w:t>
                  </w:r>
                  <w:r>
                    <w:rPr>
                      <w:rFonts w:hint="default" w:ascii="Times New Roman" w:hAnsi="Times New Roman" w:eastAsia="宋体" w:cs="Times New Roman"/>
                      <w:color w:val="auto"/>
                      <w:spacing w:val="0"/>
                      <w:w w:val="100"/>
                      <w:sz w:val="21"/>
                      <w:szCs w:val="21"/>
                      <w:lang w:val="en-US" w:eastAsia="zh-CN"/>
                    </w:rPr>
                    <w:t>集液池</w:t>
                  </w:r>
                </w:p>
              </w:tc>
              <w:tc>
                <w:tcPr>
                  <w:tcW w:w="662" w:type="dxa"/>
                  <w:noWrap w:val="0"/>
                  <w:tcMar>
                    <w:top w:w="0" w:type="dxa"/>
                    <w:left w:w="17" w:type="dxa"/>
                    <w:bottom w:w="0" w:type="dxa"/>
                    <w:right w:w="17" w:type="dxa"/>
                  </w:tcMar>
                  <w:vAlign w:val="center"/>
                </w:tcPr>
                <w:p w14:paraId="0EEB7A85">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sz w:val="21"/>
                      <w:szCs w:val="21"/>
                      <w:lang w:val="en-US" w:eastAsia="zh-CN"/>
                    </w:rPr>
                  </w:pPr>
                  <w:r>
                    <w:rPr>
                      <w:rFonts w:hint="default" w:ascii="Times New Roman" w:hAnsi="Times New Roman" w:eastAsia="宋体" w:cs="Times New Roman"/>
                      <w:color w:val="auto"/>
                      <w:spacing w:val="0"/>
                      <w:w w:val="100"/>
                      <w:sz w:val="21"/>
                      <w:szCs w:val="21"/>
                      <w:lang w:val="en-US" w:eastAsia="zh-CN"/>
                    </w:rPr>
                    <w:t>新建</w:t>
                  </w:r>
                </w:p>
              </w:tc>
            </w:tr>
            <w:tr w14:paraId="175DFE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0654A685">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p>
              </w:tc>
              <w:tc>
                <w:tcPr>
                  <w:tcW w:w="564" w:type="dxa"/>
                  <w:noWrap w:val="0"/>
                  <w:tcMar>
                    <w:top w:w="0" w:type="dxa"/>
                    <w:left w:w="17" w:type="dxa"/>
                    <w:bottom w:w="0" w:type="dxa"/>
                    <w:right w:w="17" w:type="dxa"/>
                  </w:tcMar>
                  <w:vAlign w:val="center"/>
                </w:tcPr>
                <w:p w14:paraId="7EEBB3C6">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eastAsia="zh-CN"/>
                    </w:rPr>
                  </w:pPr>
                  <w:r>
                    <w:rPr>
                      <w:rFonts w:hint="default" w:ascii="Times New Roman" w:hAnsi="Times New Roman" w:eastAsia="宋体" w:cs="Times New Roman"/>
                      <w:color w:val="auto"/>
                      <w:spacing w:val="0"/>
                      <w:w w:val="100"/>
                      <w:kern w:val="2"/>
                      <w:sz w:val="21"/>
                      <w:szCs w:val="21"/>
                      <w:lang w:eastAsia="zh-CN"/>
                    </w:rPr>
                    <w:t>污水</w:t>
                  </w:r>
                </w:p>
                <w:p w14:paraId="29D23CC6">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eastAsia="zh-CN"/>
                    </w:rPr>
                  </w:pPr>
                  <w:r>
                    <w:rPr>
                      <w:rFonts w:hint="default" w:ascii="Times New Roman" w:hAnsi="Times New Roman" w:eastAsia="宋体" w:cs="Times New Roman"/>
                      <w:color w:val="auto"/>
                      <w:spacing w:val="0"/>
                      <w:w w:val="100"/>
                      <w:kern w:val="2"/>
                      <w:sz w:val="21"/>
                      <w:szCs w:val="21"/>
                      <w:lang w:eastAsia="zh-CN"/>
                    </w:rPr>
                    <w:t>处理站</w:t>
                  </w:r>
                </w:p>
              </w:tc>
              <w:tc>
                <w:tcPr>
                  <w:tcW w:w="3840" w:type="dxa"/>
                  <w:gridSpan w:val="2"/>
                  <w:noWrap w:val="0"/>
                  <w:tcMar>
                    <w:top w:w="0" w:type="dxa"/>
                    <w:left w:w="17" w:type="dxa"/>
                    <w:bottom w:w="0" w:type="dxa"/>
                    <w:right w:w="17" w:type="dxa"/>
                  </w:tcMar>
                  <w:vAlign w:val="center"/>
                </w:tcPr>
                <w:p w14:paraId="1AD05AC1">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sz w:val="21"/>
                      <w:szCs w:val="21"/>
                    </w:rPr>
                  </w:pPr>
                  <w:r>
                    <w:rPr>
                      <w:rFonts w:hint="default" w:ascii="Times New Roman" w:hAnsi="Times New Roman" w:eastAsia="宋体" w:cs="Times New Roman"/>
                      <w:color w:val="auto"/>
                      <w:spacing w:val="0"/>
                      <w:w w:val="100"/>
                      <w:kern w:val="2"/>
                      <w:sz w:val="21"/>
                      <w:szCs w:val="21"/>
                      <w:lang w:val="en-US" w:eastAsia="zh-CN"/>
                    </w:rPr>
                    <w:t>占地面积50m</w:t>
                  </w:r>
                  <w:r>
                    <w:rPr>
                      <w:rFonts w:hint="default" w:ascii="Times New Roman" w:hAnsi="Times New Roman" w:eastAsia="宋体" w:cs="Times New Roman"/>
                      <w:color w:val="auto"/>
                      <w:spacing w:val="0"/>
                      <w:w w:val="100"/>
                      <w:kern w:val="2"/>
                      <w:sz w:val="21"/>
                      <w:szCs w:val="21"/>
                      <w:vertAlign w:val="superscript"/>
                      <w:lang w:val="en-US" w:eastAsia="zh-CN"/>
                    </w:rPr>
                    <w:t>2</w:t>
                  </w:r>
                  <w:r>
                    <w:rPr>
                      <w:rFonts w:hint="default" w:ascii="Times New Roman" w:hAnsi="Times New Roman" w:eastAsia="宋体" w:cs="Times New Roman"/>
                      <w:color w:val="auto"/>
                      <w:spacing w:val="0"/>
                      <w:w w:val="100"/>
                      <w:kern w:val="2"/>
                      <w:sz w:val="21"/>
                      <w:szCs w:val="21"/>
                      <w:lang w:val="en-US" w:eastAsia="zh-CN"/>
                    </w:rPr>
                    <w:t>，处理规模50m</w:t>
                  </w:r>
                  <w:r>
                    <w:rPr>
                      <w:rFonts w:hint="default" w:ascii="Times New Roman" w:hAnsi="Times New Roman" w:eastAsia="宋体" w:cs="Times New Roman"/>
                      <w:color w:val="auto"/>
                      <w:spacing w:val="0"/>
                      <w:w w:val="100"/>
                      <w:kern w:val="2"/>
                      <w:sz w:val="21"/>
                      <w:szCs w:val="21"/>
                      <w:vertAlign w:val="superscript"/>
                      <w:lang w:val="en-US" w:eastAsia="zh-CN"/>
                    </w:rPr>
                    <w:t>3</w:t>
                  </w:r>
                  <w:r>
                    <w:rPr>
                      <w:rFonts w:hint="default" w:ascii="Times New Roman" w:hAnsi="Times New Roman" w:eastAsia="宋体" w:cs="Times New Roman"/>
                      <w:color w:val="auto"/>
                      <w:spacing w:val="0"/>
                      <w:w w:val="100"/>
                      <w:kern w:val="2"/>
                      <w:sz w:val="21"/>
                      <w:szCs w:val="21"/>
                      <w:lang w:val="en-US" w:eastAsia="zh-CN"/>
                    </w:rPr>
                    <w:t>/d</w:t>
                  </w:r>
                  <w:r>
                    <w:rPr>
                      <w:rFonts w:hint="eastAsia" w:ascii="Times New Roman" w:hAnsi="Times New Roman" w:eastAsia="宋体" w:cs="Times New Roman"/>
                      <w:color w:val="auto"/>
                      <w:spacing w:val="0"/>
                      <w:w w:val="100"/>
                      <w:kern w:val="2"/>
                      <w:sz w:val="21"/>
                      <w:szCs w:val="21"/>
                      <w:lang w:val="en-US" w:eastAsia="zh-CN"/>
                    </w:rPr>
                    <w:t>，</w:t>
                  </w:r>
                  <w:r>
                    <w:rPr>
                      <w:rFonts w:hint="default" w:ascii="Times New Roman" w:hAnsi="Times New Roman" w:eastAsia="宋体" w:cs="Times New Roman"/>
                      <w:color w:val="auto"/>
                      <w:spacing w:val="0"/>
                      <w:w w:val="100"/>
                      <w:kern w:val="2"/>
                      <w:sz w:val="21"/>
                      <w:szCs w:val="21"/>
                      <w:lang w:val="en-US" w:eastAsia="zh-CN"/>
                    </w:rPr>
                    <w:t>采用“沉淀+消毒”工艺</w:t>
                  </w:r>
                </w:p>
              </w:tc>
              <w:tc>
                <w:tcPr>
                  <w:tcW w:w="3528" w:type="dxa"/>
                  <w:noWrap w:val="0"/>
                  <w:tcMar>
                    <w:top w:w="0" w:type="dxa"/>
                    <w:left w:w="17" w:type="dxa"/>
                    <w:bottom w:w="0" w:type="dxa"/>
                    <w:right w:w="17" w:type="dxa"/>
                  </w:tcMar>
                  <w:vAlign w:val="center"/>
                </w:tcPr>
                <w:p w14:paraId="07850270">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val="en-US" w:eastAsia="zh-CN"/>
                    </w:rPr>
                  </w:pPr>
                  <w:r>
                    <w:rPr>
                      <w:rFonts w:hint="default" w:ascii="Times New Roman" w:hAnsi="Times New Roman" w:eastAsia="宋体" w:cs="Times New Roman"/>
                      <w:color w:val="auto"/>
                      <w:spacing w:val="0"/>
                      <w:w w:val="100"/>
                      <w:kern w:val="2"/>
                      <w:sz w:val="21"/>
                      <w:szCs w:val="21"/>
                      <w:lang w:val="en-US" w:eastAsia="zh-CN"/>
                    </w:rPr>
                    <w:t>利用原</w:t>
                  </w:r>
                  <w:r>
                    <w:rPr>
                      <w:rFonts w:hint="eastAsia" w:ascii="Times New Roman" w:hAnsi="Times New Roman" w:eastAsia="宋体" w:cs="Times New Roman"/>
                      <w:color w:val="auto"/>
                      <w:spacing w:val="0"/>
                      <w:w w:val="100"/>
                      <w:kern w:val="2"/>
                      <w:sz w:val="21"/>
                      <w:szCs w:val="21"/>
                      <w:lang w:val="en-US" w:eastAsia="zh-CN"/>
                    </w:rPr>
                    <w:t>洗衣房</w:t>
                  </w:r>
                  <w:r>
                    <w:rPr>
                      <w:rFonts w:hint="default" w:ascii="Times New Roman" w:hAnsi="Times New Roman" w:eastAsia="宋体" w:cs="Times New Roman"/>
                      <w:color w:val="auto"/>
                      <w:spacing w:val="0"/>
                      <w:w w:val="100"/>
                      <w:kern w:val="2"/>
                      <w:sz w:val="21"/>
                      <w:szCs w:val="21"/>
                      <w:lang w:val="en-US" w:eastAsia="zh-CN"/>
                    </w:rPr>
                    <w:t>建</w:t>
                  </w:r>
                  <w:r>
                    <w:rPr>
                      <w:rFonts w:hint="eastAsia" w:ascii="Times New Roman" w:hAnsi="Times New Roman" w:eastAsia="宋体" w:cs="Times New Roman"/>
                      <w:color w:val="auto"/>
                      <w:spacing w:val="0"/>
                      <w:w w:val="100"/>
                      <w:kern w:val="2"/>
                      <w:sz w:val="21"/>
                      <w:szCs w:val="21"/>
                      <w:lang w:val="en-US" w:eastAsia="zh-CN"/>
                    </w:rPr>
                    <w:t>设</w:t>
                  </w:r>
                  <w:r>
                    <w:rPr>
                      <w:rFonts w:hint="default" w:ascii="Times New Roman" w:hAnsi="Times New Roman" w:eastAsia="宋体" w:cs="Times New Roman"/>
                      <w:color w:val="auto"/>
                      <w:spacing w:val="0"/>
                      <w:w w:val="100"/>
                      <w:kern w:val="2"/>
                      <w:sz w:val="21"/>
                      <w:szCs w:val="21"/>
                      <w:lang w:val="en-US" w:eastAsia="zh-CN"/>
                    </w:rPr>
                    <w:t>1座处理规模为</w:t>
                  </w:r>
                  <w:r>
                    <w:rPr>
                      <w:rFonts w:hint="default" w:ascii="Times New Roman" w:hAnsi="Times New Roman" w:eastAsia="宋体" w:cs="Times New Roman"/>
                      <w:color w:val="auto"/>
                      <w:spacing w:val="0"/>
                      <w:w w:val="100"/>
                      <w:sz w:val="21"/>
                      <w:szCs w:val="21"/>
                      <w:lang w:val="en-US" w:eastAsia="zh-CN"/>
                    </w:rPr>
                    <w:t>80m</w:t>
                  </w:r>
                  <w:r>
                    <w:rPr>
                      <w:rFonts w:hint="default" w:ascii="Times New Roman" w:hAnsi="Times New Roman" w:eastAsia="宋体" w:cs="Times New Roman"/>
                      <w:color w:val="auto"/>
                      <w:spacing w:val="0"/>
                      <w:w w:val="100"/>
                      <w:sz w:val="21"/>
                      <w:szCs w:val="21"/>
                      <w:vertAlign w:val="superscript"/>
                      <w:lang w:val="en-US" w:eastAsia="zh-CN"/>
                    </w:rPr>
                    <w:t>3</w:t>
                  </w:r>
                  <w:r>
                    <w:rPr>
                      <w:rFonts w:hint="default" w:ascii="Times New Roman" w:hAnsi="Times New Roman" w:eastAsia="宋体" w:cs="Times New Roman"/>
                      <w:color w:val="auto"/>
                      <w:spacing w:val="0"/>
                      <w:w w:val="100"/>
                      <w:sz w:val="21"/>
                      <w:szCs w:val="21"/>
                      <w:lang w:val="en-US" w:eastAsia="zh-CN"/>
                    </w:rPr>
                    <w:t>/d的</w:t>
                  </w:r>
                  <w:r>
                    <w:rPr>
                      <w:rFonts w:hint="default" w:ascii="Times New Roman" w:hAnsi="Times New Roman" w:eastAsia="宋体" w:cs="Times New Roman"/>
                      <w:color w:val="auto"/>
                      <w:spacing w:val="0"/>
                      <w:w w:val="100"/>
                      <w:kern w:val="2"/>
                      <w:sz w:val="21"/>
                      <w:szCs w:val="21"/>
                      <w:lang w:val="en-US" w:eastAsia="zh-CN"/>
                    </w:rPr>
                    <w:t>污水处理站（采用“一级处理+消毒”工艺），半埋式池体，总占地面积50m</w:t>
                  </w:r>
                  <w:r>
                    <w:rPr>
                      <w:rFonts w:hint="default" w:ascii="Times New Roman" w:hAnsi="Times New Roman" w:eastAsia="宋体" w:cs="Times New Roman"/>
                      <w:color w:val="auto"/>
                      <w:spacing w:val="0"/>
                      <w:w w:val="100"/>
                      <w:kern w:val="2"/>
                      <w:sz w:val="21"/>
                      <w:szCs w:val="21"/>
                      <w:vertAlign w:val="superscript"/>
                      <w:lang w:val="en-US" w:eastAsia="zh-CN"/>
                    </w:rPr>
                    <w:t>2</w:t>
                  </w:r>
                  <w:r>
                    <w:rPr>
                      <w:rFonts w:hint="eastAsia" w:ascii="Times New Roman" w:hAnsi="Times New Roman" w:eastAsia="宋体" w:cs="Times New Roman"/>
                      <w:color w:val="auto"/>
                      <w:spacing w:val="0"/>
                      <w:w w:val="100"/>
                      <w:kern w:val="2"/>
                      <w:sz w:val="21"/>
                      <w:szCs w:val="21"/>
                      <w:vertAlign w:val="baseline"/>
                      <w:lang w:val="en-US" w:eastAsia="zh-CN"/>
                    </w:rPr>
                    <w:t>，建成后</w:t>
                  </w:r>
                  <w:r>
                    <w:rPr>
                      <w:rFonts w:hint="default" w:ascii="Times New Roman" w:hAnsi="Times New Roman" w:eastAsia="宋体" w:cs="Times New Roman"/>
                      <w:color w:val="auto"/>
                      <w:spacing w:val="0"/>
                      <w:w w:val="100"/>
                      <w:kern w:val="2"/>
                      <w:sz w:val="21"/>
                      <w:szCs w:val="21"/>
                      <w:lang w:val="en-US" w:eastAsia="zh-CN"/>
                    </w:rPr>
                    <w:t>拆除现有污水处理设施</w:t>
                  </w:r>
                </w:p>
              </w:tc>
              <w:tc>
                <w:tcPr>
                  <w:tcW w:w="662" w:type="dxa"/>
                  <w:noWrap w:val="0"/>
                  <w:tcMar>
                    <w:top w:w="0" w:type="dxa"/>
                    <w:left w:w="17" w:type="dxa"/>
                    <w:bottom w:w="0" w:type="dxa"/>
                    <w:right w:w="17" w:type="dxa"/>
                  </w:tcMar>
                  <w:vAlign w:val="center"/>
                </w:tcPr>
                <w:p w14:paraId="1D9DC4A6">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sz w:val="21"/>
                      <w:szCs w:val="21"/>
                      <w:lang w:eastAsia="zh-CN"/>
                    </w:rPr>
                  </w:pPr>
                  <w:r>
                    <w:rPr>
                      <w:rFonts w:hint="default" w:ascii="Times New Roman" w:hAnsi="Times New Roman" w:eastAsia="宋体" w:cs="Times New Roman"/>
                      <w:color w:val="auto"/>
                      <w:spacing w:val="0"/>
                      <w:w w:val="100"/>
                      <w:sz w:val="21"/>
                      <w:szCs w:val="21"/>
                      <w:lang w:eastAsia="zh-CN"/>
                    </w:rPr>
                    <w:t>拆除现有</w:t>
                  </w:r>
                  <w:r>
                    <w:rPr>
                      <w:rFonts w:hint="default" w:ascii="Times New Roman" w:hAnsi="Times New Roman" w:eastAsia="宋体" w:cs="Times New Roman"/>
                      <w:color w:val="auto"/>
                      <w:spacing w:val="0"/>
                      <w:w w:val="100"/>
                      <w:sz w:val="21"/>
                      <w:szCs w:val="21"/>
                      <w:lang w:val="en-US" w:eastAsia="zh-CN"/>
                    </w:rPr>
                    <w:t>+</w:t>
                  </w:r>
                  <w:r>
                    <w:rPr>
                      <w:rFonts w:hint="eastAsia" w:ascii="Times New Roman" w:hAnsi="Times New Roman" w:cs="Times New Roman"/>
                      <w:color w:val="auto"/>
                      <w:spacing w:val="0"/>
                      <w:w w:val="100"/>
                      <w:sz w:val="21"/>
                      <w:szCs w:val="21"/>
                      <w:lang w:val="en-US" w:eastAsia="zh-CN"/>
                    </w:rPr>
                    <w:t>改</w:t>
                  </w:r>
                  <w:r>
                    <w:rPr>
                      <w:rFonts w:hint="default" w:ascii="Times New Roman" w:hAnsi="Times New Roman" w:eastAsia="宋体" w:cs="Times New Roman"/>
                      <w:color w:val="auto"/>
                      <w:spacing w:val="0"/>
                      <w:w w:val="100"/>
                      <w:sz w:val="21"/>
                      <w:szCs w:val="21"/>
                      <w:lang w:eastAsia="zh-CN"/>
                    </w:rPr>
                    <w:t>建</w:t>
                  </w:r>
                </w:p>
              </w:tc>
            </w:tr>
            <w:tr w14:paraId="3A3C76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restart"/>
                  <w:noWrap w:val="0"/>
                  <w:tcMar>
                    <w:top w:w="0" w:type="dxa"/>
                    <w:left w:w="17" w:type="dxa"/>
                    <w:bottom w:w="0" w:type="dxa"/>
                    <w:right w:w="17" w:type="dxa"/>
                  </w:tcMar>
                  <w:vAlign w:val="center"/>
                </w:tcPr>
                <w:p w14:paraId="76F276CA">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rPr>
                    <w:t>公用</w:t>
                  </w:r>
                </w:p>
                <w:p w14:paraId="23373AF7">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rPr>
                    <w:t>工程</w:t>
                  </w:r>
                </w:p>
              </w:tc>
              <w:tc>
                <w:tcPr>
                  <w:tcW w:w="564" w:type="dxa"/>
                  <w:noWrap w:val="0"/>
                  <w:tcMar>
                    <w:top w:w="0" w:type="dxa"/>
                    <w:left w:w="17" w:type="dxa"/>
                    <w:bottom w:w="0" w:type="dxa"/>
                    <w:right w:w="17" w:type="dxa"/>
                  </w:tcMar>
                  <w:vAlign w:val="center"/>
                </w:tcPr>
                <w:p w14:paraId="3A41298C">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rPr>
                    <w:t>供水</w:t>
                  </w:r>
                </w:p>
              </w:tc>
              <w:tc>
                <w:tcPr>
                  <w:tcW w:w="3840" w:type="dxa"/>
                  <w:gridSpan w:val="2"/>
                  <w:noWrap w:val="0"/>
                  <w:tcMar>
                    <w:top w:w="0" w:type="dxa"/>
                    <w:left w:w="17" w:type="dxa"/>
                    <w:bottom w:w="0" w:type="dxa"/>
                    <w:right w:w="17" w:type="dxa"/>
                  </w:tcMar>
                  <w:vAlign w:val="center"/>
                </w:tcPr>
                <w:p w14:paraId="2FD458D7">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sz w:val="21"/>
                      <w:szCs w:val="21"/>
                    </w:rPr>
                  </w:pPr>
                  <w:r>
                    <w:rPr>
                      <w:rFonts w:hint="default" w:ascii="Times New Roman" w:hAnsi="Times New Roman" w:eastAsia="宋体" w:cs="Times New Roman"/>
                      <w:color w:val="auto"/>
                      <w:spacing w:val="0"/>
                      <w:w w:val="100"/>
                      <w:sz w:val="21"/>
                      <w:szCs w:val="21"/>
                    </w:rPr>
                    <w:t>项目用水由市政供水管网供给</w:t>
                  </w:r>
                </w:p>
              </w:tc>
              <w:tc>
                <w:tcPr>
                  <w:tcW w:w="3528" w:type="dxa"/>
                  <w:noWrap w:val="0"/>
                  <w:tcMar>
                    <w:top w:w="0" w:type="dxa"/>
                    <w:left w:w="17" w:type="dxa"/>
                    <w:bottom w:w="0" w:type="dxa"/>
                    <w:right w:w="17" w:type="dxa"/>
                  </w:tcMar>
                  <w:vAlign w:val="center"/>
                </w:tcPr>
                <w:p w14:paraId="74B0EDC0">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sz w:val="21"/>
                      <w:szCs w:val="21"/>
                      <w:lang w:val="en-US" w:eastAsia="zh-CN"/>
                    </w:rPr>
                  </w:pPr>
                  <w:r>
                    <w:rPr>
                      <w:rFonts w:hint="default" w:ascii="Times New Roman" w:hAnsi="Times New Roman" w:eastAsia="宋体" w:cs="Times New Roman"/>
                      <w:color w:val="auto"/>
                      <w:spacing w:val="0"/>
                      <w:w w:val="100"/>
                      <w:sz w:val="21"/>
                      <w:szCs w:val="21"/>
                      <w:lang w:val="en-US" w:eastAsia="zh-CN"/>
                    </w:rPr>
                    <w:t>依托现有</w:t>
                  </w:r>
                </w:p>
              </w:tc>
              <w:tc>
                <w:tcPr>
                  <w:tcW w:w="662" w:type="dxa"/>
                  <w:noWrap w:val="0"/>
                  <w:tcMar>
                    <w:top w:w="0" w:type="dxa"/>
                    <w:left w:w="17" w:type="dxa"/>
                    <w:bottom w:w="0" w:type="dxa"/>
                    <w:right w:w="17" w:type="dxa"/>
                  </w:tcMar>
                  <w:vAlign w:val="center"/>
                </w:tcPr>
                <w:p w14:paraId="60A2813A">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sz w:val="21"/>
                      <w:szCs w:val="21"/>
                      <w:lang w:val="en-US" w:eastAsia="zh-CN"/>
                    </w:rPr>
                  </w:pPr>
                  <w:r>
                    <w:rPr>
                      <w:rFonts w:hint="default" w:ascii="Times New Roman" w:hAnsi="Times New Roman" w:eastAsia="宋体" w:cs="Times New Roman"/>
                      <w:color w:val="auto"/>
                      <w:spacing w:val="0"/>
                      <w:w w:val="100"/>
                      <w:sz w:val="21"/>
                      <w:szCs w:val="21"/>
                      <w:lang w:val="en-US" w:eastAsia="zh-CN"/>
                    </w:rPr>
                    <w:t>依托现有</w:t>
                  </w:r>
                </w:p>
              </w:tc>
            </w:tr>
            <w:tr w14:paraId="0C9DCD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78DF8D17">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p>
              </w:tc>
              <w:tc>
                <w:tcPr>
                  <w:tcW w:w="564" w:type="dxa"/>
                  <w:noWrap w:val="0"/>
                  <w:tcMar>
                    <w:top w:w="0" w:type="dxa"/>
                    <w:left w:w="17" w:type="dxa"/>
                    <w:bottom w:w="0" w:type="dxa"/>
                    <w:right w:w="17" w:type="dxa"/>
                  </w:tcMar>
                  <w:vAlign w:val="center"/>
                </w:tcPr>
                <w:p w14:paraId="58DC21D8">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rPr>
                    <w:t>供电</w:t>
                  </w:r>
                </w:p>
              </w:tc>
              <w:tc>
                <w:tcPr>
                  <w:tcW w:w="3840" w:type="dxa"/>
                  <w:gridSpan w:val="2"/>
                  <w:noWrap w:val="0"/>
                  <w:tcMar>
                    <w:top w:w="0" w:type="dxa"/>
                    <w:left w:w="17" w:type="dxa"/>
                    <w:bottom w:w="0" w:type="dxa"/>
                    <w:right w:w="17" w:type="dxa"/>
                  </w:tcMar>
                  <w:vAlign w:val="center"/>
                </w:tcPr>
                <w:p w14:paraId="033BAE7E">
                  <w:pPr>
                    <w:keepNext w:val="0"/>
                    <w:keepLines w:val="0"/>
                    <w:pageBreakBefore w:val="0"/>
                    <w:widowControl w:val="0"/>
                    <w:tabs>
                      <w:tab w:val="left" w:pos="426"/>
                    </w:tabs>
                    <w:kinsoku/>
                    <w:wordWrap/>
                    <w:overflowPunct/>
                    <w:topLinePunct w:val="0"/>
                    <w:autoSpaceDE/>
                    <w:autoSpaceDN/>
                    <w:bidi w:val="0"/>
                    <w:spacing w:line="360" w:lineRule="exact"/>
                    <w:jc w:val="center"/>
                    <w:textAlignment w:val="auto"/>
                    <w:rPr>
                      <w:rFonts w:hint="default" w:ascii="Times New Roman" w:hAnsi="Times New Roman" w:eastAsia="宋体" w:cs="Times New Roman"/>
                      <w:bCs/>
                      <w:color w:val="auto"/>
                      <w:spacing w:val="0"/>
                      <w:w w:val="100"/>
                      <w:sz w:val="21"/>
                      <w:szCs w:val="21"/>
                    </w:rPr>
                  </w:pPr>
                  <w:r>
                    <w:rPr>
                      <w:rFonts w:hint="default" w:ascii="Times New Roman" w:hAnsi="Times New Roman" w:eastAsia="宋体" w:cs="Times New Roman"/>
                      <w:bCs/>
                      <w:color w:val="auto"/>
                      <w:spacing w:val="0"/>
                      <w:w w:val="100"/>
                      <w:sz w:val="21"/>
                      <w:szCs w:val="21"/>
                    </w:rPr>
                    <w:t>项目由市政供电网统一供给</w:t>
                  </w:r>
                </w:p>
              </w:tc>
              <w:tc>
                <w:tcPr>
                  <w:tcW w:w="3528" w:type="dxa"/>
                  <w:noWrap w:val="0"/>
                  <w:tcMar>
                    <w:top w:w="0" w:type="dxa"/>
                    <w:left w:w="17" w:type="dxa"/>
                    <w:bottom w:w="0" w:type="dxa"/>
                    <w:right w:w="17" w:type="dxa"/>
                  </w:tcMar>
                  <w:vAlign w:val="center"/>
                </w:tcPr>
                <w:p w14:paraId="40107D5B">
                  <w:pPr>
                    <w:keepNext w:val="0"/>
                    <w:keepLines w:val="0"/>
                    <w:pageBreakBefore w:val="0"/>
                    <w:widowControl w:val="0"/>
                    <w:tabs>
                      <w:tab w:val="left" w:pos="426"/>
                    </w:tabs>
                    <w:kinsoku/>
                    <w:wordWrap/>
                    <w:overflowPunct/>
                    <w:topLinePunct w:val="0"/>
                    <w:autoSpaceDE/>
                    <w:autoSpaceDN/>
                    <w:bidi w:val="0"/>
                    <w:spacing w:line="360" w:lineRule="exact"/>
                    <w:jc w:val="center"/>
                    <w:textAlignment w:val="auto"/>
                    <w:rPr>
                      <w:rFonts w:hint="default" w:ascii="Times New Roman" w:hAnsi="Times New Roman" w:eastAsia="宋体" w:cs="Times New Roman"/>
                      <w:bCs/>
                      <w:color w:val="auto"/>
                      <w:spacing w:val="0"/>
                      <w:w w:val="100"/>
                      <w:sz w:val="21"/>
                      <w:szCs w:val="21"/>
                      <w:lang w:val="en-US" w:eastAsia="zh-CN"/>
                    </w:rPr>
                  </w:pPr>
                  <w:r>
                    <w:rPr>
                      <w:rFonts w:hint="default" w:ascii="Times New Roman" w:hAnsi="Times New Roman" w:eastAsia="宋体" w:cs="Times New Roman"/>
                      <w:bCs/>
                      <w:color w:val="auto"/>
                      <w:spacing w:val="0"/>
                      <w:w w:val="100"/>
                      <w:sz w:val="21"/>
                      <w:szCs w:val="21"/>
                      <w:lang w:val="en-US" w:eastAsia="zh-CN"/>
                    </w:rPr>
                    <w:t>依托现有</w:t>
                  </w:r>
                </w:p>
              </w:tc>
              <w:tc>
                <w:tcPr>
                  <w:tcW w:w="662" w:type="dxa"/>
                  <w:noWrap w:val="0"/>
                  <w:tcMar>
                    <w:top w:w="0" w:type="dxa"/>
                    <w:left w:w="17" w:type="dxa"/>
                    <w:bottom w:w="0" w:type="dxa"/>
                    <w:right w:w="17" w:type="dxa"/>
                  </w:tcMar>
                  <w:vAlign w:val="center"/>
                </w:tcPr>
                <w:p w14:paraId="42304A24">
                  <w:pPr>
                    <w:keepNext w:val="0"/>
                    <w:keepLines w:val="0"/>
                    <w:pageBreakBefore w:val="0"/>
                    <w:widowControl w:val="0"/>
                    <w:tabs>
                      <w:tab w:val="left" w:pos="426"/>
                    </w:tabs>
                    <w:kinsoku/>
                    <w:wordWrap/>
                    <w:overflowPunct/>
                    <w:topLinePunct w:val="0"/>
                    <w:autoSpaceDE/>
                    <w:autoSpaceDN/>
                    <w:bidi w:val="0"/>
                    <w:spacing w:line="360" w:lineRule="exact"/>
                    <w:jc w:val="center"/>
                    <w:textAlignment w:val="auto"/>
                    <w:rPr>
                      <w:rFonts w:hint="default" w:ascii="Times New Roman" w:hAnsi="Times New Roman" w:eastAsia="宋体" w:cs="Times New Roman"/>
                      <w:bCs/>
                      <w:color w:val="auto"/>
                      <w:spacing w:val="0"/>
                      <w:w w:val="100"/>
                      <w:sz w:val="21"/>
                      <w:szCs w:val="21"/>
                      <w:lang w:val="en-US" w:eastAsia="zh-CN"/>
                    </w:rPr>
                  </w:pPr>
                  <w:r>
                    <w:rPr>
                      <w:rFonts w:hint="default" w:ascii="Times New Roman" w:hAnsi="Times New Roman" w:eastAsia="宋体" w:cs="Times New Roman"/>
                      <w:bCs/>
                      <w:color w:val="auto"/>
                      <w:spacing w:val="0"/>
                      <w:w w:val="100"/>
                      <w:sz w:val="21"/>
                      <w:szCs w:val="21"/>
                      <w:lang w:val="en-US" w:eastAsia="zh-CN"/>
                    </w:rPr>
                    <w:t>依托现有</w:t>
                  </w:r>
                </w:p>
              </w:tc>
            </w:tr>
            <w:tr w14:paraId="6E5AC2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403AD5FE">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p>
              </w:tc>
              <w:tc>
                <w:tcPr>
                  <w:tcW w:w="564" w:type="dxa"/>
                  <w:noWrap w:val="0"/>
                  <w:tcMar>
                    <w:top w:w="0" w:type="dxa"/>
                    <w:left w:w="17" w:type="dxa"/>
                    <w:bottom w:w="0" w:type="dxa"/>
                    <w:right w:w="17" w:type="dxa"/>
                  </w:tcMar>
                  <w:vAlign w:val="center"/>
                </w:tcPr>
                <w:p w14:paraId="2D207776">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rPr>
                    <w:t>供热</w:t>
                  </w:r>
                </w:p>
              </w:tc>
              <w:tc>
                <w:tcPr>
                  <w:tcW w:w="3840" w:type="dxa"/>
                  <w:gridSpan w:val="2"/>
                  <w:noWrap w:val="0"/>
                  <w:tcMar>
                    <w:top w:w="0" w:type="dxa"/>
                    <w:left w:w="17" w:type="dxa"/>
                    <w:bottom w:w="0" w:type="dxa"/>
                    <w:right w:w="17" w:type="dxa"/>
                  </w:tcMar>
                  <w:vAlign w:val="center"/>
                </w:tcPr>
                <w:p w14:paraId="4A570564">
                  <w:pPr>
                    <w:keepNext w:val="0"/>
                    <w:keepLines w:val="0"/>
                    <w:pageBreakBefore w:val="0"/>
                    <w:widowControl w:val="0"/>
                    <w:tabs>
                      <w:tab w:val="left" w:pos="426"/>
                    </w:tabs>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sz w:val="21"/>
                      <w:szCs w:val="21"/>
                      <w:lang w:eastAsia="zh-CN"/>
                    </w:rPr>
                  </w:pPr>
                  <w:r>
                    <w:rPr>
                      <w:rFonts w:hint="default" w:ascii="Times New Roman" w:hAnsi="Times New Roman" w:eastAsia="宋体" w:cs="Times New Roman"/>
                      <w:color w:val="auto"/>
                      <w:spacing w:val="0"/>
                      <w:w w:val="100"/>
                      <w:sz w:val="21"/>
                      <w:szCs w:val="21"/>
                      <w:lang w:eastAsia="zh-CN"/>
                    </w:rPr>
                    <w:t>采用集中供热方式供热</w:t>
                  </w:r>
                </w:p>
              </w:tc>
              <w:tc>
                <w:tcPr>
                  <w:tcW w:w="3528" w:type="dxa"/>
                  <w:noWrap w:val="0"/>
                  <w:tcMar>
                    <w:top w:w="0" w:type="dxa"/>
                    <w:left w:w="17" w:type="dxa"/>
                    <w:bottom w:w="0" w:type="dxa"/>
                    <w:right w:w="17" w:type="dxa"/>
                  </w:tcMar>
                  <w:vAlign w:val="center"/>
                </w:tcPr>
                <w:p w14:paraId="599E38C8">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val="en-US" w:eastAsia="zh-CN"/>
                    </w:rPr>
                  </w:pPr>
                  <w:r>
                    <w:rPr>
                      <w:rFonts w:hint="default" w:ascii="Times New Roman" w:hAnsi="Times New Roman" w:eastAsia="宋体" w:cs="Times New Roman"/>
                      <w:color w:val="auto"/>
                      <w:spacing w:val="0"/>
                      <w:w w:val="100"/>
                      <w:kern w:val="2"/>
                      <w:sz w:val="21"/>
                      <w:szCs w:val="21"/>
                      <w:lang w:val="en-US" w:eastAsia="zh-CN"/>
                    </w:rPr>
                    <w:t>依托现有</w:t>
                  </w:r>
                </w:p>
              </w:tc>
              <w:tc>
                <w:tcPr>
                  <w:tcW w:w="662" w:type="dxa"/>
                  <w:noWrap w:val="0"/>
                  <w:tcMar>
                    <w:top w:w="0" w:type="dxa"/>
                    <w:left w:w="17" w:type="dxa"/>
                    <w:bottom w:w="0" w:type="dxa"/>
                    <w:right w:w="17" w:type="dxa"/>
                  </w:tcMar>
                  <w:vAlign w:val="center"/>
                </w:tcPr>
                <w:p w14:paraId="7DD8E00D">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val="en-US" w:eastAsia="zh-CN"/>
                    </w:rPr>
                  </w:pPr>
                  <w:r>
                    <w:rPr>
                      <w:rFonts w:hint="default" w:ascii="Times New Roman" w:hAnsi="Times New Roman" w:eastAsia="宋体" w:cs="Times New Roman"/>
                      <w:color w:val="auto"/>
                      <w:spacing w:val="0"/>
                      <w:w w:val="100"/>
                      <w:kern w:val="2"/>
                      <w:sz w:val="21"/>
                      <w:szCs w:val="21"/>
                      <w:lang w:val="en-US" w:eastAsia="zh-CN"/>
                    </w:rPr>
                    <w:t>依托现有</w:t>
                  </w:r>
                </w:p>
              </w:tc>
            </w:tr>
            <w:tr w14:paraId="2B26CF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restart"/>
                  <w:noWrap w:val="0"/>
                  <w:tcMar>
                    <w:top w:w="0" w:type="dxa"/>
                    <w:left w:w="17" w:type="dxa"/>
                    <w:bottom w:w="0" w:type="dxa"/>
                    <w:right w:w="17" w:type="dxa"/>
                  </w:tcMar>
                  <w:vAlign w:val="center"/>
                </w:tcPr>
                <w:p w14:paraId="222E06C2">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rPr>
                    <w:t>环保</w:t>
                  </w:r>
                </w:p>
                <w:p w14:paraId="63A0DE94">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rPr>
                    <w:t>工程</w:t>
                  </w:r>
                </w:p>
              </w:tc>
              <w:tc>
                <w:tcPr>
                  <w:tcW w:w="564" w:type="dxa"/>
                  <w:vMerge w:val="restart"/>
                  <w:noWrap w:val="0"/>
                  <w:tcMar>
                    <w:top w:w="0" w:type="dxa"/>
                    <w:left w:w="17" w:type="dxa"/>
                    <w:bottom w:w="0" w:type="dxa"/>
                    <w:right w:w="17" w:type="dxa"/>
                  </w:tcMar>
                  <w:vAlign w:val="center"/>
                </w:tcPr>
                <w:p w14:paraId="305263D2">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rPr>
                    <w:t>废气</w:t>
                  </w:r>
                </w:p>
              </w:tc>
              <w:tc>
                <w:tcPr>
                  <w:tcW w:w="936" w:type="dxa"/>
                  <w:noWrap w:val="0"/>
                  <w:tcMar>
                    <w:top w:w="0" w:type="dxa"/>
                    <w:left w:w="17" w:type="dxa"/>
                    <w:bottom w:w="0" w:type="dxa"/>
                    <w:right w:w="17" w:type="dxa"/>
                  </w:tcMar>
                  <w:vAlign w:val="center"/>
                </w:tcPr>
                <w:p w14:paraId="20ED810B">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val="zh-CN" w:eastAsia="zh-CN" w:bidi="zh-CN"/>
                    </w:rPr>
                  </w:pPr>
                  <w:r>
                    <w:rPr>
                      <w:rFonts w:hint="default" w:ascii="Times New Roman" w:hAnsi="Times New Roman" w:eastAsia="宋体" w:cs="Times New Roman"/>
                      <w:color w:val="auto"/>
                      <w:spacing w:val="0"/>
                      <w:w w:val="100"/>
                      <w:kern w:val="2"/>
                      <w:sz w:val="21"/>
                      <w:szCs w:val="21"/>
                      <w:lang w:eastAsia="zh-CN"/>
                    </w:rPr>
                    <w:t>污水处理站废气</w:t>
                  </w:r>
                </w:p>
              </w:tc>
              <w:tc>
                <w:tcPr>
                  <w:tcW w:w="2904" w:type="dxa"/>
                  <w:noWrap w:val="0"/>
                  <w:tcMar>
                    <w:top w:w="0" w:type="dxa"/>
                    <w:left w:w="17" w:type="dxa"/>
                    <w:bottom w:w="0" w:type="dxa"/>
                    <w:right w:w="17" w:type="dxa"/>
                  </w:tcMar>
                  <w:vAlign w:val="center"/>
                </w:tcPr>
                <w:p w14:paraId="286A98EB">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val="zh-CN" w:eastAsia="zh-CN" w:bidi="zh-CN"/>
                    </w:rPr>
                  </w:pPr>
                  <w:r>
                    <w:rPr>
                      <w:rFonts w:hint="default" w:ascii="Times New Roman" w:hAnsi="Times New Roman" w:eastAsia="宋体" w:cs="Times New Roman"/>
                      <w:color w:val="auto"/>
                      <w:spacing w:val="0"/>
                      <w:w w:val="100"/>
                      <w:kern w:val="2"/>
                      <w:sz w:val="21"/>
                      <w:szCs w:val="21"/>
                      <w:lang w:val="en-US" w:eastAsia="zh-CN"/>
                    </w:rPr>
                    <w:t>污水处理设施为地埋式，各构筑物</w:t>
                  </w:r>
                  <w:r>
                    <w:rPr>
                      <w:rFonts w:hint="eastAsia" w:ascii="Times New Roman" w:hAnsi="Times New Roman" w:cs="Times New Roman"/>
                      <w:color w:val="auto"/>
                      <w:spacing w:val="0"/>
                      <w:w w:val="100"/>
                      <w:kern w:val="2"/>
                      <w:sz w:val="21"/>
                      <w:szCs w:val="21"/>
                      <w:lang w:val="en-US" w:eastAsia="zh-CN"/>
                    </w:rPr>
                    <w:t>密封</w:t>
                  </w:r>
                  <w:r>
                    <w:rPr>
                      <w:rFonts w:hint="default" w:ascii="Times New Roman" w:hAnsi="Times New Roman" w:eastAsia="宋体" w:cs="Times New Roman"/>
                      <w:color w:val="auto"/>
                      <w:spacing w:val="0"/>
                      <w:w w:val="100"/>
                      <w:kern w:val="2"/>
                      <w:sz w:val="21"/>
                      <w:szCs w:val="21"/>
                      <w:lang w:val="en-US" w:eastAsia="zh-CN"/>
                    </w:rPr>
                    <w:t>加盖，定期喷洒除臭剂</w:t>
                  </w:r>
                </w:p>
              </w:tc>
              <w:tc>
                <w:tcPr>
                  <w:tcW w:w="3528" w:type="dxa"/>
                  <w:noWrap w:val="0"/>
                  <w:tcMar>
                    <w:top w:w="0" w:type="dxa"/>
                    <w:left w:w="17" w:type="dxa"/>
                    <w:bottom w:w="0" w:type="dxa"/>
                    <w:right w:w="17" w:type="dxa"/>
                  </w:tcMar>
                  <w:vAlign w:val="center"/>
                </w:tcPr>
                <w:p w14:paraId="34CA91A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sz w:val="21"/>
                      <w:szCs w:val="21"/>
                      <w:lang w:val="en-US" w:eastAsia="zh-CN"/>
                    </w:rPr>
                  </w:pPr>
                  <w:r>
                    <w:rPr>
                      <w:rFonts w:hint="default" w:ascii="Times New Roman" w:hAnsi="Times New Roman" w:eastAsia="宋体" w:cs="Times New Roman"/>
                      <w:color w:val="auto"/>
                      <w:spacing w:val="0"/>
                      <w:w w:val="100"/>
                      <w:kern w:val="2"/>
                      <w:sz w:val="21"/>
                      <w:szCs w:val="21"/>
                      <w:lang w:val="en-US" w:eastAsia="zh-CN"/>
                    </w:rPr>
                    <w:t>污水处理设施为地埋式，各构筑物</w:t>
                  </w:r>
                  <w:r>
                    <w:rPr>
                      <w:rFonts w:hint="eastAsia" w:ascii="Times New Roman" w:hAnsi="Times New Roman" w:cs="Times New Roman"/>
                      <w:color w:val="auto"/>
                      <w:spacing w:val="0"/>
                      <w:w w:val="100"/>
                      <w:kern w:val="2"/>
                      <w:sz w:val="21"/>
                      <w:szCs w:val="21"/>
                      <w:lang w:val="en-US" w:eastAsia="zh-CN"/>
                    </w:rPr>
                    <w:t>密封</w:t>
                  </w:r>
                  <w:r>
                    <w:rPr>
                      <w:rFonts w:hint="default" w:ascii="Times New Roman" w:hAnsi="Times New Roman" w:eastAsia="宋体" w:cs="Times New Roman"/>
                      <w:color w:val="auto"/>
                      <w:spacing w:val="0"/>
                      <w:w w:val="100"/>
                      <w:kern w:val="2"/>
                      <w:sz w:val="21"/>
                      <w:szCs w:val="21"/>
                      <w:lang w:val="en-US" w:eastAsia="zh-CN"/>
                    </w:rPr>
                    <w:t>加盖，定期喷洒除臭剂</w:t>
                  </w:r>
                </w:p>
              </w:tc>
              <w:tc>
                <w:tcPr>
                  <w:tcW w:w="662" w:type="dxa"/>
                  <w:noWrap w:val="0"/>
                  <w:tcMar>
                    <w:top w:w="0" w:type="dxa"/>
                    <w:left w:w="17" w:type="dxa"/>
                    <w:bottom w:w="0" w:type="dxa"/>
                    <w:right w:w="17" w:type="dxa"/>
                  </w:tcMar>
                  <w:vAlign w:val="center"/>
                </w:tcPr>
                <w:p w14:paraId="524176E2">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rPr>
                    <w:t>新建</w:t>
                  </w:r>
                </w:p>
              </w:tc>
            </w:tr>
            <w:tr w14:paraId="7441FB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7BC9FCED">
                  <w:pPr>
                    <w:pStyle w:val="36"/>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eastAsia="宋体" w:cs="Times New Roman"/>
                      <w:color w:val="auto"/>
                      <w:spacing w:val="0"/>
                      <w:w w:val="100"/>
                      <w:kern w:val="2"/>
                      <w:sz w:val="21"/>
                      <w:szCs w:val="21"/>
                    </w:rPr>
                  </w:pPr>
                </w:p>
              </w:tc>
              <w:tc>
                <w:tcPr>
                  <w:tcW w:w="564" w:type="dxa"/>
                  <w:vMerge w:val="continue"/>
                  <w:noWrap w:val="0"/>
                  <w:tcMar>
                    <w:top w:w="0" w:type="dxa"/>
                    <w:left w:w="17" w:type="dxa"/>
                    <w:bottom w:w="0" w:type="dxa"/>
                    <w:right w:w="17" w:type="dxa"/>
                  </w:tcMar>
                  <w:vAlign w:val="center"/>
                </w:tcPr>
                <w:p w14:paraId="54D191A6">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p>
              </w:tc>
              <w:tc>
                <w:tcPr>
                  <w:tcW w:w="936" w:type="dxa"/>
                  <w:noWrap w:val="0"/>
                  <w:tcMar>
                    <w:top w:w="0" w:type="dxa"/>
                    <w:left w:w="17" w:type="dxa"/>
                    <w:bottom w:w="0" w:type="dxa"/>
                    <w:right w:w="17" w:type="dxa"/>
                  </w:tcMar>
                  <w:vAlign w:val="center"/>
                </w:tcPr>
                <w:p w14:paraId="6CB98B6B">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eastAsia="zh-CN"/>
                    </w:rPr>
                  </w:pPr>
                  <w:r>
                    <w:rPr>
                      <w:rFonts w:hint="default" w:ascii="Times New Roman" w:hAnsi="Times New Roman" w:eastAsia="宋体" w:cs="Times New Roman"/>
                      <w:color w:val="auto"/>
                      <w:spacing w:val="0"/>
                      <w:w w:val="100"/>
                      <w:kern w:val="2"/>
                      <w:sz w:val="21"/>
                      <w:szCs w:val="21"/>
                      <w:lang w:eastAsia="zh-CN"/>
                    </w:rPr>
                    <w:t>停车场</w:t>
                  </w:r>
                </w:p>
                <w:p w14:paraId="3AA2972D">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eastAsia="zh-CN"/>
                    </w:rPr>
                  </w:pPr>
                  <w:r>
                    <w:rPr>
                      <w:rFonts w:hint="default" w:ascii="Times New Roman" w:hAnsi="Times New Roman" w:eastAsia="宋体" w:cs="Times New Roman"/>
                      <w:color w:val="auto"/>
                      <w:spacing w:val="0"/>
                      <w:w w:val="100"/>
                      <w:kern w:val="2"/>
                      <w:sz w:val="21"/>
                      <w:szCs w:val="21"/>
                      <w:lang w:eastAsia="zh-CN"/>
                    </w:rPr>
                    <w:t>尾气</w:t>
                  </w:r>
                </w:p>
              </w:tc>
              <w:tc>
                <w:tcPr>
                  <w:tcW w:w="2904" w:type="dxa"/>
                  <w:noWrap w:val="0"/>
                  <w:tcMar>
                    <w:top w:w="0" w:type="dxa"/>
                    <w:left w:w="17" w:type="dxa"/>
                    <w:bottom w:w="0" w:type="dxa"/>
                    <w:right w:w="17" w:type="dxa"/>
                  </w:tcMar>
                  <w:vAlign w:val="center"/>
                </w:tcPr>
                <w:p w14:paraId="27B1E446">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val="en-US" w:eastAsia="zh-CN"/>
                    </w:rPr>
                  </w:pPr>
                  <w:r>
                    <w:rPr>
                      <w:rFonts w:hint="default" w:ascii="Times New Roman" w:hAnsi="Times New Roman" w:eastAsia="宋体" w:cs="Times New Roman"/>
                      <w:color w:val="auto"/>
                      <w:spacing w:val="0"/>
                      <w:w w:val="100"/>
                      <w:kern w:val="2"/>
                      <w:sz w:val="21"/>
                      <w:szCs w:val="21"/>
                      <w:lang w:val="en-US" w:eastAsia="zh-CN"/>
                    </w:rPr>
                    <w:t>地下车库设置竖井，将机动车尾气通过排气扇抽至周围绿化带排放，排气口远离人群活动场所</w:t>
                  </w:r>
                </w:p>
              </w:tc>
              <w:tc>
                <w:tcPr>
                  <w:tcW w:w="3528" w:type="dxa"/>
                  <w:noWrap w:val="0"/>
                  <w:tcMar>
                    <w:top w:w="0" w:type="dxa"/>
                    <w:left w:w="17" w:type="dxa"/>
                    <w:bottom w:w="0" w:type="dxa"/>
                    <w:right w:w="17" w:type="dxa"/>
                  </w:tcMar>
                  <w:vAlign w:val="center"/>
                </w:tcPr>
                <w:p w14:paraId="4933F10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sz w:val="21"/>
                      <w:szCs w:val="21"/>
                      <w:lang w:val="en-US" w:eastAsia="zh-CN"/>
                    </w:rPr>
                  </w:pPr>
                  <w:r>
                    <w:rPr>
                      <w:rFonts w:hint="default" w:ascii="Times New Roman" w:hAnsi="Times New Roman" w:eastAsia="宋体" w:cs="Times New Roman"/>
                      <w:color w:val="auto"/>
                      <w:spacing w:val="0"/>
                      <w:w w:val="100"/>
                      <w:kern w:val="2"/>
                      <w:sz w:val="21"/>
                      <w:szCs w:val="21"/>
                      <w:lang w:val="en-US" w:eastAsia="zh-CN"/>
                    </w:rPr>
                    <w:t>地下车库设置竖井，将机动车尾气通过排气扇抽至周围绿化带排放，排气口远离人群活动场所</w:t>
                  </w:r>
                </w:p>
              </w:tc>
              <w:tc>
                <w:tcPr>
                  <w:tcW w:w="662" w:type="dxa"/>
                  <w:noWrap w:val="0"/>
                  <w:tcMar>
                    <w:top w:w="0" w:type="dxa"/>
                    <w:left w:w="17" w:type="dxa"/>
                    <w:bottom w:w="0" w:type="dxa"/>
                    <w:right w:w="17" w:type="dxa"/>
                  </w:tcMar>
                  <w:vAlign w:val="center"/>
                </w:tcPr>
                <w:p w14:paraId="67F17875">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eastAsia="zh-CN"/>
                    </w:rPr>
                  </w:pPr>
                  <w:r>
                    <w:rPr>
                      <w:rFonts w:hint="default" w:ascii="Times New Roman" w:hAnsi="Times New Roman" w:eastAsia="宋体" w:cs="Times New Roman"/>
                      <w:color w:val="auto"/>
                      <w:spacing w:val="0"/>
                      <w:w w:val="100"/>
                      <w:kern w:val="2"/>
                      <w:sz w:val="21"/>
                      <w:szCs w:val="21"/>
                      <w:lang w:eastAsia="zh-CN"/>
                    </w:rPr>
                    <w:t>依托现有</w:t>
                  </w:r>
                </w:p>
              </w:tc>
            </w:tr>
            <w:tr w14:paraId="6BAED5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67C05407">
                  <w:pPr>
                    <w:pStyle w:val="36"/>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eastAsia="宋体" w:cs="Times New Roman"/>
                      <w:color w:val="auto"/>
                      <w:spacing w:val="0"/>
                      <w:w w:val="100"/>
                      <w:kern w:val="2"/>
                      <w:sz w:val="21"/>
                      <w:szCs w:val="21"/>
                    </w:rPr>
                  </w:pPr>
                </w:p>
              </w:tc>
              <w:tc>
                <w:tcPr>
                  <w:tcW w:w="564" w:type="dxa"/>
                  <w:vMerge w:val="restart"/>
                  <w:noWrap w:val="0"/>
                  <w:tcMar>
                    <w:top w:w="0" w:type="dxa"/>
                    <w:left w:w="17" w:type="dxa"/>
                    <w:bottom w:w="0" w:type="dxa"/>
                    <w:right w:w="17" w:type="dxa"/>
                  </w:tcMar>
                  <w:vAlign w:val="center"/>
                </w:tcPr>
                <w:p w14:paraId="05C415E3">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rPr>
                    <w:t>废水</w:t>
                  </w:r>
                </w:p>
              </w:tc>
              <w:tc>
                <w:tcPr>
                  <w:tcW w:w="936" w:type="dxa"/>
                  <w:noWrap w:val="0"/>
                  <w:tcMar>
                    <w:top w:w="0" w:type="dxa"/>
                    <w:left w:w="17" w:type="dxa"/>
                    <w:bottom w:w="0" w:type="dxa"/>
                    <w:right w:w="17" w:type="dxa"/>
                  </w:tcMar>
                  <w:vAlign w:val="center"/>
                </w:tcPr>
                <w:p w14:paraId="4D704BC1">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eastAsia="zh-CN"/>
                    </w:rPr>
                  </w:pPr>
                  <w:r>
                    <w:rPr>
                      <w:rFonts w:hint="default" w:ascii="Times New Roman" w:hAnsi="Times New Roman" w:eastAsia="宋体" w:cs="Times New Roman"/>
                      <w:color w:val="auto"/>
                      <w:spacing w:val="0"/>
                      <w:w w:val="100"/>
                      <w:kern w:val="2"/>
                      <w:sz w:val="21"/>
                      <w:szCs w:val="21"/>
                      <w:lang w:eastAsia="zh-CN"/>
                    </w:rPr>
                    <w:t>特殊性质污水</w:t>
                  </w:r>
                </w:p>
              </w:tc>
              <w:tc>
                <w:tcPr>
                  <w:tcW w:w="2904" w:type="dxa"/>
                  <w:noWrap w:val="0"/>
                  <w:tcMar>
                    <w:top w:w="0" w:type="dxa"/>
                    <w:left w:w="17" w:type="dxa"/>
                    <w:bottom w:w="0" w:type="dxa"/>
                    <w:right w:w="17" w:type="dxa"/>
                  </w:tcMar>
                  <w:vAlign w:val="center"/>
                </w:tcPr>
                <w:p w14:paraId="04DF159E">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val="en-US" w:eastAsia="zh-CN"/>
                    </w:rPr>
                  </w:pPr>
                  <w:r>
                    <w:rPr>
                      <w:rFonts w:hint="default" w:ascii="Times New Roman" w:hAnsi="Times New Roman" w:eastAsia="宋体" w:cs="Times New Roman"/>
                      <w:color w:val="auto"/>
                      <w:spacing w:val="0"/>
                      <w:w w:val="100"/>
                      <w:kern w:val="2"/>
                      <w:sz w:val="21"/>
                      <w:szCs w:val="21"/>
                      <w:lang w:val="en-US" w:eastAsia="zh-CN"/>
                    </w:rPr>
                    <w:t>检验科设专用桶收集酸性废水，采用石灰中和法中和pH至7~8后排入医院污水处理系统</w:t>
                  </w:r>
                </w:p>
              </w:tc>
              <w:tc>
                <w:tcPr>
                  <w:tcW w:w="3528" w:type="dxa"/>
                  <w:noWrap w:val="0"/>
                  <w:tcMar>
                    <w:top w:w="0" w:type="dxa"/>
                    <w:left w:w="17" w:type="dxa"/>
                    <w:bottom w:w="0" w:type="dxa"/>
                    <w:right w:w="17" w:type="dxa"/>
                  </w:tcMar>
                  <w:vAlign w:val="center"/>
                </w:tcPr>
                <w:p w14:paraId="63999C56">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pacing w:val="0"/>
                      <w:w w:val="100"/>
                      <w:kern w:val="2"/>
                      <w:sz w:val="21"/>
                      <w:szCs w:val="21"/>
                      <w:lang w:val="en-US" w:eastAsia="zh-CN"/>
                    </w:rPr>
                    <w:t>检验科设小型实验室污水废水综合处理设备，废水经预处理后排入医院污水处理系统</w:t>
                  </w:r>
                </w:p>
              </w:tc>
              <w:tc>
                <w:tcPr>
                  <w:tcW w:w="662" w:type="dxa"/>
                  <w:noWrap w:val="0"/>
                  <w:tcMar>
                    <w:top w:w="0" w:type="dxa"/>
                    <w:left w:w="17" w:type="dxa"/>
                    <w:bottom w:w="0" w:type="dxa"/>
                    <w:right w:w="17" w:type="dxa"/>
                  </w:tcMar>
                  <w:vAlign w:val="center"/>
                </w:tcPr>
                <w:p w14:paraId="648D164D">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val="en-US" w:eastAsia="zh-CN"/>
                    </w:rPr>
                  </w:pPr>
                  <w:r>
                    <w:rPr>
                      <w:rFonts w:hint="default" w:ascii="Times New Roman" w:hAnsi="Times New Roman" w:eastAsia="宋体" w:cs="Times New Roman"/>
                      <w:color w:val="auto"/>
                      <w:spacing w:val="0"/>
                      <w:w w:val="100"/>
                      <w:kern w:val="2"/>
                      <w:sz w:val="21"/>
                      <w:szCs w:val="21"/>
                      <w:lang w:val="en-US" w:eastAsia="zh-CN"/>
                    </w:rPr>
                    <w:t>新建</w:t>
                  </w:r>
                </w:p>
              </w:tc>
            </w:tr>
            <w:tr w14:paraId="00FFF6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08C31D8A">
                  <w:pPr>
                    <w:pStyle w:val="36"/>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eastAsia="宋体" w:cs="Times New Roman"/>
                      <w:color w:val="auto"/>
                      <w:spacing w:val="0"/>
                      <w:w w:val="100"/>
                      <w:kern w:val="2"/>
                      <w:sz w:val="21"/>
                      <w:szCs w:val="21"/>
                    </w:rPr>
                  </w:pPr>
                </w:p>
              </w:tc>
              <w:tc>
                <w:tcPr>
                  <w:tcW w:w="564" w:type="dxa"/>
                  <w:vMerge w:val="continue"/>
                  <w:noWrap w:val="0"/>
                  <w:tcMar>
                    <w:top w:w="0" w:type="dxa"/>
                    <w:left w:w="17" w:type="dxa"/>
                    <w:bottom w:w="0" w:type="dxa"/>
                    <w:right w:w="17" w:type="dxa"/>
                  </w:tcMar>
                  <w:vAlign w:val="center"/>
                </w:tcPr>
                <w:p w14:paraId="4AFB7BFD">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p>
              </w:tc>
              <w:tc>
                <w:tcPr>
                  <w:tcW w:w="936" w:type="dxa"/>
                  <w:noWrap w:val="0"/>
                  <w:tcMar>
                    <w:top w:w="0" w:type="dxa"/>
                    <w:left w:w="17" w:type="dxa"/>
                    <w:bottom w:w="0" w:type="dxa"/>
                    <w:right w:w="17" w:type="dxa"/>
                  </w:tcMar>
                  <w:vAlign w:val="center"/>
                </w:tcPr>
                <w:p w14:paraId="0A455929">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eastAsia="zh-CN"/>
                    </w:rPr>
                  </w:pPr>
                  <w:r>
                    <w:rPr>
                      <w:rFonts w:hint="default" w:ascii="Times New Roman" w:hAnsi="Times New Roman" w:eastAsia="宋体" w:cs="Times New Roman"/>
                      <w:color w:val="auto"/>
                      <w:spacing w:val="0"/>
                      <w:w w:val="100"/>
                      <w:kern w:val="2"/>
                      <w:sz w:val="21"/>
                      <w:szCs w:val="21"/>
                      <w:lang w:eastAsia="zh-CN"/>
                    </w:rPr>
                    <w:t>医疗废水</w:t>
                  </w:r>
                </w:p>
              </w:tc>
              <w:tc>
                <w:tcPr>
                  <w:tcW w:w="2904" w:type="dxa"/>
                  <w:noWrap w:val="0"/>
                  <w:tcMar>
                    <w:top w:w="0" w:type="dxa"/>
                    <w:left w:w="17" w:type="dxa"/>
                    <w:bottom w:w="0" w:type="dxa"/>
                    <w:right w:w="17" w:type="dxa"/>
                  </w:tcMar>
                  <w:vAlign w:val="center"/>
                </w:tcPr>
                <w:p w14:paraId="4B61EFF0">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val="en-US" w:eastAsia="zh-CN" w:bidi="zh-CN"/>
                    </w:rPr>
                  </w:pPr>
                  <w:r>
                    <w:rPr>
                      <w:rFonts w:hint="default" w:ascii="Times New Roman" w:hAnsi="Times New Roman" w:eastAsia="宋体" w:cs="Times New Roman"/>
                      <w:color w:val="auto"/>
                      <w:spacing w:val="0"/>
                      <w:w w:val="100"/>
                      <w:kern w:val="2"/>
                      <w:sz w:val="21"/>
                      <w:szCs w:val="21"/>
                      <w:lang w:val="en-US" w:eastAsia="zh-CN"/>
                    </w:rPr>
                    <w:t>排入污水处理站处理，达到《医疗机构水污染物排放标准》（GB 18466-2005）表2 综合医疗机构和其他医疗机构水污染物排放限值（日均值）预处理标准要求后排入市政污水管网</w:t>
                  </w:r>
                  <w:r>
                    <w:rPr>
                      <w:rFonts w:hint="default" w:ascii="Times New Roman" w:hAnsi="Times New Roman" w:eastAsia="宋体" w:cs="Times New Roman"/>
                      <w:color w:val="auto"/>
                      <w:sz w:val="21"/>
                      <w:szCs w:val="21"/>
                      <w:lang w:eastAsia="zh-CN"/>
                    </w:rPr>
                    <w:t>，最终进入东胜区北郊水质净化厂统一处理</w:t>
                  </w:r>
                </w:p>
              </w:tc>
              <w:tc>
                <w:tcPr>
                  <w:tcW w:w="3528" w:type="dxa"/>
                  <w:noWrap w:val="0"/>
                  <w:tcMar>
                    <w:top w:w="0" w:type="dxa"/>
                    <w:left w:w="17" w:type="dxa"/>
                    <w:bottom w:w="0" w:type="dxa"/>
                    <w:right w:w="17" w:type="dxa"/>
                  </w:tcMar>
                  <w:vAlign w:val="center"/>
                </w:tcPr>
                <w:p w14:paraId="098DE665">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val="en-US" w:eastAsia="zh-CN"/>
                    </w:rPr>
                  </w:pPr>
                  <w:r>
                    <w:rPr>
                      <w:rFonts w:hint="default" w:ascii="Times New Roman" w:hAnsi="Times New Roman" w:eastAsia="宋体" w:cs="Times New Roman"/>
                      <w:color w:val="auto"/>
                      <w:spacing w:val="0"/>
                      <w:w w:val="100"/>
                      <w:kern w:val="2"/>
                      <w:sz w:val="21"/>
                      <w:szCs w:val="21"/>
                      <w:lang w:val="en-US" w:eastAsia="zh-CN" w:bidi="zh-CN"/>
                    </w:rPr>
                    <w:t>办公、门诊、病房、手术室等医疗污水及检验科预处理后的污水经化粪池收集后排入污水处理站处理，</w:t>
                  </w:r>
                  <w:r>
                    <w:rPr>
                      <w:rFonts w:hint="eastAsia" w:ascii="Times New Roman" w:hAnsi="Times New Roman" w:eastAsia="宋体" w:cs="Times New Roman"/>
                      <w:color w:val="auto"/>
                      <w:spacing w:val="0"/>
                      <w:w w:val="100"/>
                      <w:kern w:val="2"/>
                      <w:sz w:val="21"/>
                      <w:szCs w:val="21"/>
                      <w:lang w:val="en-US" w:eastAsia="zh-CN" w:bidi="zh-CN"/>
                    </w:rPr>
                    <w:t>经</w:t>
                  </w:r>
                  <w:r>
                    <w:rPr>
                      <w:rFonts w:hint="default" w:ascii="Times New Roman" w:hAnsi="Times New Roman" w:eastAsia="宋体" w:cs="Times New Roman"/>
                      <w:color w:val="auto"/>
                      <w:spacing w:val="0"/>
                      <w:w w:val="100"/>
                      <w:kern w:val="2"/>
                      <w:sz w:val="21"/>
                      <w:szCs w:val="21"/>
                      <w:lang w:val="en-US" w:eastAsia="zh-CN" w:bidi="zh-CN"/>
                    </w:rPr>
                    <w:t>“一级处理+消毒”工艺</w:t>
                  </w:r>
                  <w:r>
                    <w:rPr>
                      <w:rFonts w:hint="eastAsia" w:ascii="Times New Roman" w:hAnsi="Times New Roman" w:eastAsia="宋体" w:cs="Times New Roman"/>
                      <w:color w:val="auto"/>
                      <w:spacing w:val="0"/>
                      <w:w w:val="100"/>
                      <w:kern w:val="2"/>
                      <w:sz w:val="21"/>
                      <w:szCs w:val="21"/>
                      <w:lang w:val="en-US" w:eastAsia="zh-CN" w:bidi="zh-CN"/>
                    </w:rPr>
                    <w:t>处理后</w:t>
                  </w:r>
                  <w:r>
                    <w:rPr>
                      <w:rFonts w:hint="default" w:ascii="Times New Roman" w:hAnsi="Times New Roman" w:eastAsia="宋体" w:cs="Times New Roman"/>
                      <w:color w:val="auto"/>
                      <w:spacing w:val="0"/>
                      <w:w w:val="100"/>
                      <w:kern w:val="2"/>
                      <w:sz w:val="21"/>
                      <w:szCs w:val="21"/>
                      <w:lang w:val="en-US" w:eastAsia="zh-CN" w:bidi="zh-CN"/>
                    </w:rPr>
                    <w:t>出水水质达到《医疗机构水污染物排放标准》（GB 18466-2005）表2 综合医疗机构和其他医疗机构水污染物排放限值（日均值）预处理标准要求后排入市政污水管网</w:t>
                  </w:r>
                  <w:r>
                    <w:rPr>
                      <w:rFonts w:hint="default" w:ascii="Times New Roman" w:hAnsi="Times New Roman" w:eastAsia="宋体" w:cs="Times New Roman"/>
                      <w:color w:val="auto"/>
                      <w:sz w:val="21"/>
                      <w:szCs w:val="21"/>
                      <w:lang w:eastAsia="zh-CN"/>
                    </w:rPr>
                    <w:t>，最终进入东胜区北郊水质净化厂统一处理</w:t>
                  </w:r>
                </w:p>
              </w:tc>
              <w:tc>
                <w:tcPr>
                  <w:tcW w:w="662" w:type="dxa"/>
                  <w:noWrap w:val="0"/>
                  <w:tcMar>
                    <w:top w:w="0" w:type="dxa"/>
                    <w:left w:w="17" w:type="dxa"/>
                    <w:bottom w:w="0" w:type="dxa"/>
                    <w:right w:w="17" w:type="dxa"/>
                  </w:tcMar>
                  <w:vAlign w:val="center"/>
                </w:tcPr>
                <w:p w14:paraId="10A3DA00">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val="en-US" w:eastAsia="zh-CN"/>
                    </w:rPr>
                  </w:pPr>
                  <w:r>
                    <w:rPr>
                      <w:rFonts w:hint="default" w:ascii="Times New Roman" w:hAnsi="Times New Roman" w:eastAsia="宋体" w:cs="Times New Roman"/>
                      <w:color w:val="auto"/>
                      <w:spacing w:val="0"/>
                      <w:w w:val="100"/>
                      <w:kern w:val="2"/>
                      <w:sz w:val="21"/>
                      <w:szCs w:val="21"/>
                      <w:lang w:val="en-US" w:eastAsia="zh-CN"/>
                    </w:rPr>
                    <w:t>新建</w:t>
                  </w:r>
                </w:p>
              </w:tc>
            </w:tr>
            <w:tr w14:paraId="661857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7E22B465">
                  <w:pPr>
                    <w:pStyle w:val="36"/>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eastAsia="宋体" w:cs="Times New Roman"/>
                      <w:color w:val="auto"/>
                      <w:spacing w:val="0"/>
                      <w:w w:val="100"/>
                      <w:kern w:val="2"/>
                      <w:sz w:val="21"/>
                      <w:szCs w:val="21"/>
                    </w:rPr>
                  </w:pPr>
                </w:p>
              </w:tc>
              <w:tc>
                <w:tcPr>
                  <w:tcW w:w="1500" w:type="dxa"/>
                  <w:gridSpan w:val="2"/>
                  <w:noWrap w:val="0"/>
                  <w:tcMar>
                    <w:top w:w="0" w:type="dxa"/>
                    <w:left w:w="17" w:type="dxa"/>
                    <w:bottom w:w="0" w:type="dxa"/>
                    <w:right w:w="17" w:type="dxa"/>
                  </w:tcMar>
                  <w:vAlign w:val="center"/>
                </w:tcPr>
                <w:p w14:paraId="560D7740">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rPr>
                    <w:t>噪声</w:t>
                  </w:r>
                </w:p>
              </w:tc>
              <w:tc>
                <w:tcPr>
                  <w:tcW w:w="2904" w:type="dxa"/>
                  <w:noWrap w:val="0"/>
                  <w:tcMar>
                    <w:top w:w="0" w:type="dxa"/>
                    <w:left w:w="17" w:type="dxa"/>
                    <w:bottom w:w="0" w:type="dxa"/>
                    <w:right w:w="17" w:type="dxa"/>
                  </w:tcMar>
                  <w:vAlign w:val="center"/>
                </w:tcPr>
                <w:p w14:paraId="3EB8CA91">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val="en-US" w:eastAsia="zh-CN"/>
                    </w:rPr>
                  </w:pPr>
                  <w:r>
                    <w:rPr>
                      <w:rFonts w:hint="default" w:ascii="Times New Roman" w:hAnsi="Times New Roman" w:eastAsia="宋体" w:cs="Times New Roman"/>
                      <w:color w:val="auto"/>
                      <w:spacing w:val="0"/>
                      <w:w w:val="100"/>
                      <w:kern w:val="2"/>
                      <w:sz w:val="21"/>
                      <w:szCs w:val="21"/>
                      <w:lang w:val="en-US" w:eastAsia="zh-CN"/>
                    </w:rPr>
                    <w:t>高噪声医疗仪器诊室采用隔声门窗措施，污水处理站提升泵采取基础减振、消声、隔声等措施</w:t>
                  </w:r>
                </w:p>
              </w:tc>
              <w:tc>
                <w:tcPr>
                  <w:tcW w:w="3528" w:type="dxa"/>
                  <w:noWrap w:val="0"/>
                  <w:tcMar>
                    <w:top w:w="0" w:type="dxa"/>
                    <w:left w:w="17" w:type="dxa"/>
                    <w:bottom w:w="0" w:type="dxa"/>
                    <w:right w:w="17" w:type="dxa"/>
                  </w:tcMar>
                  <w:vAlign w:val="center"/>
                </w:tcPr>
                <w:p w14:paraId="1DD010CF">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val="en-US" w:eastAsia="zh-CN"/>
                    </w:rPr>
                  </w:pPr>
                  <w:r>
                    <w:rPr>
                      <w:rFonts w:hint="default" w:ascii="Times New Roman" w:hAnsi="Times New Roman" w:eastAsia="宋体" w:cs="Times New Roman"/>
                      <w:color w:val="auto"/>
                      <w:spacing w:val="0"/>
                      <w:w w:val="100"/>
                      <w:kern w:val="2"/>
                      <w:sz w:val="21"/>
                      <w:szCs w:val="21"/>
                      <w:lang w:val="en-US" w:eastAsia="zh-CN"/>
                    </w:rPr>
                    <w:t>高噪声医疗仪器诊室采用隔声门窗措施，污水处理站提升泵等采取基础减振、消声、隔声等措施</w:t>
                  </w:r>
                </w:p>
              </w:tc>
              <w:tc>
                <w:tcPr>
                  <w:tcW w:w="662" w:type="dxa"/>
                  <w:noWrap w:val="0"/>
                  <w:tcMar>
                    <w:top w:w="0" w:type="dxa"/>
                    <w:left w:w="17" w:type="dxa"/>
                    <w:bottom w:w="0" w:type="dxa"/>
                    <w:right w:w="17" w:type="dxa"/>
                  </w:tcMar>
                  <w:vAlign w:val="center"/>
                </w:tcPr>
                <w:p w14:paraId="169C0BCC">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val="en-US" w:eastAsia="zh-CN"/>
                    </w:rPr>
                  </w:pPr>
                  <w:r>
                    <w:rPr>
                      <w:rFonts w:hint="default" w:ascii="Times New Roman" w:hAnsi="Times New Roman" w:eastAsia="宋体" w:cs="Times New Roman"/>
                      <w:color w:val="auto"/>
                      <w:spacing w:val="0"/>
                      <w:w w:val="100"/>
                      <w:kern w:val="2"/>
                      <w:sz w:val="21"/>
                      <w:szCs w:val="21"/>
                      <w:lang w:val="en-US" w:eastAsia="zh-CN"/>
                    </w:rPr>
                    <w:t>依托现有+新建</w:t>
                  </w:r>
                </w:p>
              </w:tc>
            </w:tr>
            <w:tr w14:paraId="4B1E4C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145FCE32">
                  <w:pPr>
                    <w:pStyle w:val="36"/>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eastAsia="宋体" w:cs="Times New Roman"/>
                      <w:color w:val="auto"/>
                      <w:spacing w:val="0"/>
                      <w:w w:val="100"/>
                      <w:kern w:val="2"/>
                      <w:sz w:val="21"/>
                      <w:szCs w:val="21"/>
                    </w:rPr>
                  </w:pPr>
                </w:p>
              </w:tc>
              <w:tc>
                <w:tcPr>
                  <w:tcW w:w="564" w:type="dxa"/>
                  <w:vMerge w:val="restart"/>
                  <w:noWrap w:val="0"/>
                  <w:tcMar>
                    <w:top w:w="0" w:type="dxa"/>
                    <w:left w:w="17" w:type="dxa"/>
                    <w:bottom w:w="0" w:type="dxa"/>
                    <w:right w:w="17" w:type="dxa"/>
                  </w:tcMar>
                  <w:vAlign w:val="center"/>
                </w:tcPr>
                <w:p w14:paraId="1CD98E39">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rPr>
                    <w:t>固废</w:t>
                  </w:r>
                </w:p>
              </w:tc>
              <w:tc>
                <w:tcPr>
                  <w:tcW w:w="936" w:type="dxa"/>
                  <w:noWrap w:val="0"/>
                  <w:tcMar>
                    <w:top w:w="0" w:type="dxa"/>
                    <w:left w:w="17" w:type="dxa"/>
                    <w:bottom w:w="0" w:type="dxa"/>
                    <w:right w:w="17" w:type="dxa"/>
                  </w:tcMar>
                  <w:vAlign w:val="center"/>
                </w:tcPr>
                <w:p w14:paraId="6CF7A087">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val="zh-CN" w:eastAsia="zh-CN" w:bidi="zh-CN"/>
                    </w:rPr>
                  </w:pPr>
                  <w:r>
                    <w:rPr>
                      <w:rFonts w:hint="default" w:ascii="Times New Roman" w:hAnsi="Times New Roman" w:eastAsia="宋体" w:cs="Times New Roman"/>
                      <w:color w:val="auto"/>
                      <w:spacing w:val="0"/>
                      <w:w w:val="100"/>
                      <w:kern w:val="2"/>
                      <w:sz w:val="21"/>
                      <w:szCs w:val="21"/>
                      <w:lang w:eastAsia="zh-CN"/>
                    </w:rPr>
                    <w:t>生活垃圾</w:t>
                  </w:r>
                </w:p>
              </w:tc>
              <w:tc>
                <w:tcPr>
                  <w:tcW w:w="2904" w:type="dxa"/>
                  <w:noWrap w:val="0"/>
                  <w:tcMar>
                    <w:top w:w="0" w:type="dxa"/>
                    <w:left w:w="17" w:type="dxa"/>
                    <w:bottom w:w="0" w:type="dxa"/>
                    <w:right w:w="17" w:type="dxa"/>
                  </w:tcMar>
                  <w:vAlign w:val="center"/>
                </w:tcPr>
                <w:p w14:paraId="3E8A1662">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val="zh-CN" w:eastAsia="zh-CN" w:bidi="zh-CN"/>
                    </w:rPr>
                  </w:pPr>
                  <w:r>
                    <w:rPr>
                      <w:rFonts w:hint="default" w:ascii="Times New Roman" w:hAnsi="Times New Roman" w:eastAsia="宋体" w:cs="Times New Roman"/>
                      <w:color w:val="auto"/>
                      <w:spacing w:val="0"/>
                      <w:w w:val="100"/>
                      <w:kern w:val="2"/>
                      <w:sz w:val="21"/>
                      <w:szCs w:val="21"/>
                      <w:lang w:eastAsia="zh-CN"/>
                    </w:rPr>
                    <w:t>集中收集至垃圾桶后由环卫部门拉运处理</w:t>
                  </w:r>
                </w:p>
              </w:tc>
              <w:tc>
                <w:tcPr>
                  <w:tcW w:w="3528" w:type="dxa"/>
                  <w:noWrap w:val="0"/>
                  <w:tcMar>
                    <w:top w:w="0" w:type="dxa"/>
                    <w:left w:w="17" w:type="dxa"/>
                    <w:bottom w:w="0" w:type="dxa"/>
                    <w:right w:w="17" w:type="dxa"/>
                  </w:tcMar>
                  <w:vAlign w:val="center"/>
                </w:tcPr>
                <w:p w14:paraId="4084236C">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eastAsia="zh-CN"/>
                    </w:rPr>
                  </w:pPr>
                  <w:r>
                    <w:rPr>
                      <w:rFonts w:hint="default" w:ascii="Times New Roman" w:hAnsi="Times New Roman" w:eastAsia="宋体" w:cs="Times New Roman"/>
                      <w:color w:val="auto"/>
                      <w:spacing w:val="0"/>
                      <w:w w:val="100"/>
                      <w:kern w:val="2"/>
                      <w:sz w:val="21"/>
                      <w:szCs w:val="21"/>
                      <w:lang w:eastAsia="zh-CN"/>
                    </w:rPr>
                    <w:t>集中收集至垃圾桶后由环卫部门拉运处理</w:t>
                  </w:r>
                </w:p>
              </w:tc>
              <w:tc>
                <w:tcPr>
                  <w:tcW w:w="662" w:type="dxa"/>
                  <w:noWrap w:val="0"/>
                  <w:tcMar>
                    <w:top w:w="0" w:type="dxa"/>
                    <w:left w:w="17" w:type="dxa"/>
                    <w:bottom w:w="0" w:type="dxa"/>
                    <w:right w:w="17" w:type="dxa"/>
                  </w:tcMar>
                  <w:vAlign w:val="center"/>
                </w:tcPr>
                <w:p w14:paraId="769CFF29">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val="en-US" w:eastAsia="zh-CN"/>
                    </w:rPr>
                  </w:pPr>
                  <w:r>
                    <w:rPr>
                      <w:rFonts w:hint="default" w:ascii="Times New Roman" w:hAnsi="Times New Roman" w:eastAsia="宋体" w:cs="Times New Roman"/>
                      <w:color w:val="auto"/>
                      <w:spacing w:val="0"/>
                      <w:w w:val="100"/>
                      <w:kern w:val="2"/>
                      <w:sz w:val="21"/>
                      <w:szCs w:val="21"/>
                      <w:lang w:val="en-US" w:eastAsia="zh-CN"/>
                    </w:rPr>
                    <w:t>依托现有</w:t>
                  </w:r>
                </w:p>
              </w:tc>
            </w:tr>
            <w:tr w14:paraId="2A5D4F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67897381">
                  <w:pPr>
                    <w:pStyle w:val="36"/>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eastAsia="宋体" w:cs="Times New Roman"/>
                      <w:color w:val="auto"/>
                      <w:spacing w:val="0"/>
                      <w:w w:val="100"/>
                      <w:kern w:val="2"/>
                      <w:sz w:val="21"/>
                      <w:szCs w:val="21"/>
                    </w:rPr>
                  </w:pPr>
                </w:p>
              </w:tc>
              <w:tc>
                <w:tcPr>
                  <w:tcW w:w="564" w:type="dxa"/>
                  <w:vMerge w:val="continue"/>
                  <w:noWrap w:val="0"/>
                  <w:tcMar>
                    <w:top w:w="0" w:type="dxa"/>
                    <w:left w:w="17" w:type="dxa"/>
                    <w:bottom w:w="0" w:type="dxa"/>
                    <w:right w:w="17" w:type="dxa"/>
                  </w:tcMar>
                  <w:vAlign w:val="center"/>
                </w:tcPr>
                <w:p w14:paraId="47C4D8FB">
                  <w:pPr>
                    <w:pStyle w:val="36"/>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eastAsia="宋体" w:cs="Times New Roman"/>
                      <w:color w:val="auto"/>
                      <w:spacing w:val="0"/>
                      <w:w w:val="100"/>
                      <w:kern w:val="2"/>
                      <w:sz w:val="21"/>
                      <w:szCs w:val="21"/>
                    </w:rPr>
                  </w:pPr>
                </w:p>
              </w:tc>
              <w:tc>
                <w:tcPr>
                  <w:tcW w:w="936" w:type="dxa"/>
                  <w:noWrap w:val="0"/>
                  <w:tcMar>
                    <w:top w:w="0" w:type="dxa"/>
                    <w:left w:w="17" w:type="dxa"/>
                    <w:bottom w:w="0" w:type="dxa"/>
                    <w:right w:w="17" w:type="dxa"/>
                  </w:tcMar>
                  <w:vAlign w:val="center"/>
                </w:tcPr>
                <w:p w14:paraId="3B8F8A15">
                  <w:pPr>
                    <w:pStyle w:val="41"/>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spacing w:val="0"/>
                      <w:w w:val="100"/>
                      <w:kern w:val="2"/>
                      <w:sz w:val="21"/>
                      <w:szCs w:val="21"/>
                      <w:lang w:val="zh-CN" w:eastAsia="zh-CN" w:bidi="zh-CN"/>
                    </w:rPr>
                  </w:pPr>
                  <w:r>
                    <w:rPr>
                      <w:rFonts w:hint="default" w:ascii="Times New Roman" w:hAnsi="Times New Roman" w:eastAsia="宋体" w:cs="Times New Roman"/>
                      <w:color w:val="auto"/>
                      <w:spacing w:val="0"/>
                      <w:w w:val="100"/>
                      <w:sz w:val="21"/>
                      <w:szCs w:val="21"/>
                      <w:lang w:eastAsia="zh-CN"/>
                    </w:rPr>
                    <w:t>医疗废物</w:t>
                  </w:r>
                </w:p>
              </w:tc>
              <w:tc>
                <w:tcPr>
                  <w:tcW w:w="2904" w:type="dxa"/>
                  <w:noWrap w:val="0"/>
                  <w:tcMar>
                    <w:top w:w="0" w:type="dxa"/>
                    <w:left w:w="17" w:type="dxa"/>
                    <w:bottom w:w="0" w:type="dxa"/>
                    <w:right w:w="17" w:type="dxa"/>
                  </w:tcMar>
                  <w:vAlign w:val="center"/>
                </w:tcPr>
                <w:p w14:paraId="5291421E">
                  <w:pPr>
                    <w:pStyle w:val="41"/>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spacing w:val="0"/>
                      <w:w w:val="100"/>
                      <w:sz w:val="21"/>
                      <w:szCs w:val="21"/>
                      <w:lang w:eastAsia="zh-CN"/>
                    </w:rPr>
                  </w:pPr>
                  <w:r>
                    <w:rPr>
                      <w:rFonts w:hint="default" w:ascii="Times New Roman" w:hAnsi="Times New Roman" w:eastAsia="宋体" w:cs="Times New Roman"/>
                      <w:color w:val="auto"/>
                      <w:spacing w:val="0"/>
                      <w:w w:val="100"/>
                      <w:sz w:val="21"/>
                      <w:szCs w:val="21"/>
                      <w:lang w:eastAsia="zh-CN"/>
                    </w:rPr>
                    <w:t>定期</w:t>
                  </w:r>
                  <w:r>
                    <w:rPr>
                      <w:rFonts w:hint="default" w:ascii="Times New Roman" w:hAnsi="Times New Roman" w:eastAsia="宋体" w:cs="Times New Roman"/>
                      <w:color w:val="auto"/>
                      <w:spacing w:val="0"/>
                      <w:w w:val="100"/>
                      <w:sz w:val="21"/>
                      <w:szCs w:val="21"/>
                    </w:rPr>
                    <w:t>由</w:t>
                  </w:r>
                  <w:r>
                    <w:rPr>
                      <w:rFonts w:hint="default" w:ascii="Times New Roman" w:hAnsi="Times New Roman" w:eastAsia="宋体" w:cs="Times New Roman"/>
                      <w:color w:val="auto"/>
                      <w:spacing w:val="0"/>
                      <w:w w:val="100"/>
                      <w:sz w:val="21"/>
                      <w:szCs w:val="21"/>
                      <w:lang w:eastAsia="zh-CN"/>
                    </w:rPr>
                    <w:t>鄂尔多斯市仲安医疗废物集中处置有限公司拉运处置</w:t>
                  </w:r>
                </w:p>
              </w:tc>
              <w:tc>
                <w:tcPr>
                  <w:tcW w:w="3528" w:type="dxa"/>
                  <w:noWrap w:val="0"/>
                  <w:tcMar>
                    <w:top w:w="0" w:type="dxa"/>
                    <w:left w:w="17" w:type="dxa"/>
                    <w:bottom w:w="0" w:type="dxa"/>
                    <w:right w:w="17" w:type="dxa"/>
                  </w:tcMar>
                  <w:vAlign w:val="center"/>
                </w:tcPr>
                <w:p w14:paraId="3F10CD54">
                  <w:pPr>
                    <w:pStyle w:val="35"/>
                    <w:keepNext w:val="0"/>
                    <w:keepLines w:val="0"/>
                    <w:pageBreakBefore w:val="0"/>
                    <w:widowControl w:val="0"/>
                    <w:kinsoku/>
                    <w:wordWrap/>
                    <w:overflowPunct/>
                    <w:topLinePunct w:val="0"/>
                    <w:autoSpaceDE/>
                    <w:autoSpaceDN/>
                    <w:bidi w:val="0"/>
                    <w:spacing w:line="360" w:lineRule="exact"/>
                    <w:ind w:firstLine="0" w:firstLineChars="0"/>
                    <w:jc w:val="center"/>
                    <w:textAlignment w:val="auto"/>
                    <w:rPr>
                      <w:rFonts w:hint="default" w:ascii="Times New Roman" w:hAnsi="Times New Roman" w:eastAsia="宋体" w:cs="Times New Roman"/>
                      <w:color w:val="auto"/>
                      <w:spacing w:val="0"/>
                      <w:w w:val="100"/>
                      <w:sz w:val="21"/>
                      <w:szCs w:val="21"/>
                    </w:rPr>
                  </w:pPr>
                  <w:r>
                    <w:rPr>
                      <w:rFonts w:hint="default" w:ascii="Times New Roman" w:hAnsi="Times New Roman" w:eastAsia="宋体" w:cs="Times New Roman"/>
                      <w:color w:val="auto"/>
                      <w:spacing w:val="0"/>
                      <w:w w:val="100"/>
                      <w:sz w:val="21"/>
                      <w:szCs w:val="21"/>
                    </w:rPr>
                    <w:t>按规定分类收集至相应容器后暂存于危废暂存库，</w:t>
                  </w:r>
                  <w:r>
                    <w:rPr>
                      <w:rFonts w:hint="default" w:ascii="Times New Roman" w:hAnsi="Times New Roman" w:eastAsia="宋体" w:cs="Times New Roman"/>
                      <w:color w:val="auto"/>
                      <w:spacing w:val="0"/>
                      <w:w w:val="100"/>
                      <w:sz w:val="21"/>
                      <w:szCs w:val="21"/>
                      <w:lang w:eastAsia="zh-CN"/>
                    </w:rPr>
                    <w:t>定期</w:t>
                  </w:r>
                  <w:r>
                    <w:rPr>
                      <w:rFonts w:hint="default" w:ascii="Times New Roman" w:hAnsi="Times New Roman" w:eastAsia="宋体" w:cs="Times New Roman"/>
                      <w:color w:val="auto"/>
                      <w:spacing w:val="0"/>
                      <w:w w:val="100"/>
                      <w:sz w:val="21"/>
                      <w:szCs w:val="21"/>
                    </w:rPr>
                    <w:t>由</w:t>
                  </w:r>
                  <w:r>
                    <w:rPr>
                      <w:rFonts w:hint="default" w:ascii="Times New Roman" w:hAnsi="Times New Roman" w:eastAsia="宋体" w:cs="Times New Roman"/>
                      <w:color w:val="auto"/>
                      <w:spacing w:val="0"/>
                      <w:w w:val="100"/>
                      <w:sz w:val="21"/>
                      <w:szCs w:val="21"/>
                      <w:lang w:eastAsia="zh-CN"/>
                    </w:rPr>
                    <w:t>鄂尔多斯市仲安医疗废物集中处置有限公司处置</w:t>
                  </w:r>
                </w:p>
              </w:tc>
              <w:tc>
                <w:tcPr>
                  <w:tcW w:w="662" w:type="dxa"/>
                  <w:noWrap w:val="0"/>
                  <w:tcMar>
                    <w:top w:w="0" w:type="dxa"/>
                    <w:left w:w="17" w:type="dxa"/>
                    <w:bottom w:w="0" w:type="dxa"/>
                    <w:right w:w="17" w:type="dxa"/>
                  </w:tcMar>
                  <w:vAlign w:val="center"/>
                </w:tcPr>
                <w:p w14:paraId="2B462FA2">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lang w:val="en-US" w:eastAsia="zh-CN"/>
                    </w:rPr>
                  </w:pPr>
                  <w:r>
                    <w:rPr>
                      <w:rFonts w:hint="default" w:ascii="Times New Roman" w:hAnsi="Times New Roman" w:eastAsia="宋体" w:cs="Times New Roman"/>
                      <w:color w:val="auto"/>
                      <w:spacing w:val="0"/>
                      <w:w w:val="100"/>
                      <w:kern w:val="2"/>
                      <w:sz w:val="21"/>
                      <w:szCs w:val="21"/>
                      <w:lang w:val="en-US" w:eastAsia="zh-CN"/>
                    </w:rPr>
                    <w:t>新建</w:t>
                  </w:r>
                </w:p>
              </w:tc>
            </w:tr>
            <w:tr w14:paraId="059A2A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112A5D0F">
                  <w:pPr>
                    <w:pStyle w:val="36"/>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eastAsia="宋体" w:cs="Times New Roman"/>
                      <w:color w:val="auto"/>
                      <w:spacing w:val="0"/>
                      <w:w w:val="100"/>
                      <w:kern w:val="2"/>
                      <w:sz w:val="21"/>
                      <w:szCs w:val="21"/>
                    </w:rPr>
                  </w:pPr>
                </w:p>
              </w:tc>
              <w:tc>
                <w:tcPr>
                  <w:tcW w:w="564" w:type="dxa"/>
                  <w:vMerge w:val="continue"/>
                  <w:noWrap w:val="0"/>
                  <w:tcMar>
                    <w:top w:w="0" w:type="dxa"/>
                    <w:left w:w="17" w:type="dxa"/>
                    <w:bottom w:w="0" w:type="dxa"/>
                    <w:right w:w="17" w:type="dxa"/>
                  </w:tcMar>
                  <w:vAlign w:val="center"/>
                </w:tcPr>
                <w:p w14:paraId="3B2AB6C7">
                  <w:pPr>
                    <w:pStyle w:val="36"/>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eastAsia="宋体" w:cs="Times New Roman"/>
                      <w:color w:val="auto"/>
                      <w:spacing w:val="0"/>
                      <w:w w:val="100"/>
                      <w:kern w:val="2"/>
                      <w:sz w:val="21"/>
                      <w:szCs w:val="21"/>
                    </w:rPr>
                  </w:pPr>
                </w:p>
              </w:tc>
              <w:tc>
                <w:tcPr>
                  <w:tcW w:w="936" w:type="dxa"/>
                  <w:noWrap w:val="0"/>
                  <w:tcMar>
                    <w:top w:w="0" w:type="dxa"/>
                    <w:left w:w="17" w:type="dxa"/>
                    <w:bottom w:w="0" w:type="dxa"/>
                    <w:right w:w="17" w:type="dxa"/>
                  </w:tcMar>
                  <w:vAlign w:val="center"/>
                </w:tcPr>
                <w:p w14:paraId="36C3E1AD">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0"/>
                      <w:sz w:val="21"/>
                      <w:szCs w:val="21"/>
                      <w:lang w:val="zh-CN" w:eastAsia="zh-CN" w:bidi="zh-CN"/>
                    </w:rPr>
                  </w:pPr>
                  <w:r>
                    <w:rPr>
                      <w:rFonts w:hint="default" w:ascii="Times New Roman" w:hAnsi="Times New Roman" w:eastAsia="宋体" w:cs="Times New Roman"/>
                      <w:color w:val="auto"/>
                      <w:spacing w:val="0"/>
                      <w:w w:val="100"/>
                      <w:sz w:val="21"/>
                      <w:szCs w:val="21"/>
                      <w:lang w:eastAsia="zh-CN"/>
                    </w:rPr>
                    <w:t>栅渣、化粪池和污水处理站污泥</w:t>
                  </w:r>
                </w:p>
              </w:tc>
              <w:tc>
                <w:tcPr>
                  <w:tcW w:w="2904" w:type="dxa"/>
                  <w:noWrap w:val="0"/>
                  <w:tcMar>
                    <w:top w:w="0" w:type="dxa"/>
                    <w:left w:w="17" w:type="dxa"/>
                    <w:bottom w:w="0" w:type="dxa"/>
                    <w:right w:w="17" w:type="dxa"/>
                  </w:tcMar>
                  <w:vAlign w:val="center"/>
                </w:tcPr>
                <w:p w14:paraId="2B3A2130">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sz w:val="21"/>
                      <w:szCs w:val="21"/>
                      <w:lang w:eastAsia="zh-CN"/>
                    </w:rPr>
                  </w:pPr>
                  <w:r>
                    <w:rPr>
                      <w:rFonts w:hint="default" w:ascii="Times New Roman" w:hAnsi="Times New Roman" w:eastAsia="宋体" w:cs="Times New Roman"/>
                      <w:color w:val="auto"/>
                      <w:spacing w:val="0"/>
                      <w:w w:val="100"/>
                      <w:sz w:val="21"/>
                      <w:szCs w:val="21"/>
                      <w:lang w:eastAsia="zh-CN"/>
                    </w:rPr>
                    <w:t>定期</w:t>
                  </w:r>
                  <w:r>
                    <w:rPr>
                      <w:rFonts w:hint="default" w:ascii="Times New Roman" w:hAnsi="Times New Roman" w:eastAsia="宋体" w:cs="Times New Roman"/>
                      <w:color w:val="auto"/>
                      <w:spacing w:val="0"/>
                      <w:w w:val="100"/>
                      <w:sz w:val="21"/>
                      <w:szCs w:val="21"/>
                    </w:rPr>
                    <w:t>由</w:t>
                  </w:r>
                  <w:r>
                    <w:rPr>
                      <w:rFonts w:hint="default" w:ascii="Times New Roman" w:hAnsi="Times New Roman" w:eastAsia="宋体" w:cs="Times New Roman"/>
                      <w:color w:val="auto"/>
                      <w:spacing w:val="0"/>
                      <w:w w:val="100"/>
                      <w:sz w:val="21"/>
                      <w:szCs w:val="21"/>
                      <w:lang w:eastAsia="zh-CN"/>
                    </w:rPr>
                    <w:t>鄂尔多斯市</w:t>
                  </w:r>
                  <w:r>
                    <w:rPr>
                      <w:rFonts w:hint="eastAsia" w:ascii="Times New Roman" w:hAnsi="Times New Roman" w:eastAsia="宋体" w:cs="Times New Roman"/>
                      <w:color w:val="auto"/>
                      <w:spacing w:val="0"/>
                      <w:w w:val="100"/>
                      <w:sz w:val="21"/>
                      <w:szCs w:val="21"/>
                      <w:lang w:val="en-US" w:eastAsia="zh-CN"/>
                    </w:rPr>
                    <w:t>馨蕊</w:t>
                  </w:r>
                  <w:r>
                    <w:rPr>
                      <w:rFonts w:hint="default" w:ascii="Times New Roman" w:hAnsi="Times New Roman" w:eastAsia="宋体" w:cs="Times New Roman"/>
                      <w:color w:val="auto"/>
                      <w:spacing w:val="0"/>
                      <w:w w:val="100"/>
                      <w:sz w:val="21"/>
                      <w:szCs w:val="21"/>
                      <w:lang w:eastAsia="zh-CN"/>
                    </w:rPr>
                    <w:t>医疗废物处置有限</w:t>
                  </w:r>
                  <w:r>
                    <w:rPr>
                      <w:rFonts w:hint="eastAsia" w:ascii="Times New Roman" w:hAnsi="Times New Roman" w:eastAsia="宋体" w:cs="Times New Roman"/>
                      <w:color w:val="auto"/>
                      <w:spacing w:val="0"/>
                      <w:w w:val="100"/>
                      <w:sz w:val="21"/>
                      <w:szCs w:val="21"/>
                      <w:lang w:val="en-US" w:eastAsia="zh-CN"/>
                    </w:rPr>
                    <w:t>责任</w:t>
                  </w:r>
                  <w:r>
                    <w:rPr>
                      <w:rFonts w:hint="default" w:ascii="Times New Roman" w:hAnsi="Times New Roman" w:eastAsia="宋体" w:cs="Times New Roman"/>
                      <w:color w:val="auto"/>
                      <w:spacing w:val="0"/>
                      <w:w w:val="100"/>
                      <w:sz w:val="21"/>
                      <w:szCs w:val="21"/>
                      <w:lang w:eastAsia="zh-CN"/>
                    </w:rPr>
                    <w:t>公司处置</w:t>
                  </w:r>
                </w:p>
              </w:tc>
              <w:tc>
                <w:tcPr>
                  <w:tcW w:w="3528" w:type="dxa"/>
                  <w:noWrap w:val="0"/>
                  <w:tcMar>
                    <w:top w:w="0" w:type="dxa"/>
                    <w:left w:w="17" w:type="dxa"/>
                    <w:bottom w:w="0" w:type="dxa"/>
                    <w:right w:w="17" w:type="dxa"/>
                  </w:tcMar>
                  <w:vAlign w:val="center"/>
                </w:tcPr>
                <w:p w14:paraId="35B6F345">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sz w:val="21"/>
                      <w:szCs w:val="21"/>
                      <w:lang w:eastAsia="zh-CN"/>
                    </w:rPr>
                  </w:pPr>
                  <w:r>
                    <w:rPr>
                      <w:rFonts w:hint="default" w:ascii="Times New Roman" w:hAnsi="Times New Roman" w:eastAsia="宋体" w:cs="Times New Roman"/>
                      <w:color w:val="auto"/>
                      <w:spacing w:val="0"/>
                      <w:w w:val="100"/>
                      <w:sz w:val="21"/>
                      <w:szCs w:val="21"/>
                      <w:lang w:eastAsia="zh-CN"/>
                    </w:rPr>
                    <w:t>收集后</w:t>
                  </w:r>
                  <w:r>
                    <w:rPr>
                      <w:rFonts w:hint="default" w:ascii="Times New Roman" w:hAnsi="Times New Roman" w:eastAsia="宋体" w:cs="Times New Roman"/>
                      <w:color w:val="auto"/>
                      <w:spacing w:val="0"/>
                      <w:w w:val="100"/>
                      <w:sz w:val="21"/>
                      <w:szCs w:val="21"/>
                    </w:rPr>
                    <w:t>暂存于</w:t>
                  </w:r>
                  <w:r>
                    <w:rPr>
                      <w:rFonts w:hint="default" w:ascii="Times New Roman" w:hAnsi="Times New Roman" w:eastAsia="宋体" w:cs="Times New Roman"/>
                      <w:color w:val="auto"/>
                      <w:spacing w:val="0"/>
                      <w:w w:val="100"/>
                      <w:sz w:val="21"/>
                      <w:szCs w:val="21"/>
                      <w:lang w:eastAsia="zh-CN"/>
                    </w:rPr>
                    <w:t>危废暂存库</w:t>
                  </w:r>
                  <w:r>
                    <w:rPr>
                      <w:rFonts w:hint="default" w:ascii="Times New Roman" w:hAnsi="Times New Roman" w:eastAsia="宋体" w:cs="Times New Roman"/>
                      <w:color w:val="auto"/>
                      <w:spacing w:val="0"/>
                      <w:w w:val="100"/>
                      <w:sz w:val="21"/>
                      <w:szCs w:val="21"/>
                    </w:rPr>
                    <w:t>，</w:t>
                  </w:r>
                  <w:r>
                    <w:rPr>
                      <w:rFonts w:hint="default" w:ascii="Times New Roman" w:hAnsi="Times New Roman" w:eastAsia="宋体" w:cs="Times New Roman"/>
                      <w:color w:val="auto"/>
                      <w:spacing w:val="0"/>
                      <w:w w:val="100"/>
                      <w:sz w:val="21"/>
                      <w:szCs w:val="21"/>
                      <w:lang w:eastAsia="zh-CN"/>
                    </w:rPr>
                    <w:t>定期</w:t>
                  </w:r>
                  <w:r>
                    <w:rPr>
                      <w:rFonts w:hint="default" w:ascii="Times New Roman" w:hAnsi="Times New Roman" w:eastAsia="宋体" w:cs="Times New Roman"/>
                      <w:color w:val="auto"/>
                      <w:spacing w:val="0"/>
                      <w:w w:val="100"/>
                      <w:sz w:val="21"/>
                      <w:szCs w:val="21"/>
                    </w:rPr>
                    <w:t>由</w:t>
                  </w:r>
                  <w:r>
                    <w:rPr>
                      <w:rFonts w:hint="default" w:ascii="Times New Roman" w:hAnsi="Times New Roman" w:eastAsia="宋体" w:cs="Times New Roman"/>
                      <w:color w:val="auto"/>
                      <w:spacing w:val="0"/>
                      <w:w w:val="100"/>
                      <w:sz w:val="21"/>
                      <w:szCs w:val="21"/>
                      <w:lang w:eastAsia="zh-CN"/>
                    </w:rPr>
                    <w:t>鄂尔多斯市</w:t>
                  </w:r>
                  <w:r>
                    <w:rPr>
                      <w:rFonts w:hint="eastAsia" w:ascii="Times New Roman" w:hAnsi="Times New Roman" w:eastAsia="宋体" w:cs="Times New Roman"/>
                      <w:color w:val="auto"/>
                      <w:spacing w:val="0"/>
                      <w:w w:val="100"/>
                      <w:sz w:val="21"/>
                      <w:szCs w:val="21"/>
                      <w:lang w:val="en-US" w:eastAsia="zh-CN"/>
                    </w:rPr>
                    <w:t>馨蕊</w:t>
                  </w:r>
                  <w:r>
                    <w:rPr>
                      <w:rFonts w:hint="default" w:ascii="Times New Roman" w:hAnsi="Times New Roman" w:eastAsia="宋体" w:cs="Times New Roman"/>
                      <w:color w:val="auto"/>
                      <w:spacing w:val="0"/>
                      <w:w w:val="100"/>
                      <w:sz w:val="21"/>
                      <w:szCs w:val="21"/>
                      <w:lang w:eastAsia="zh-CN"/>
                    </w:rPr>
                    <w:t>医疗废物处置有限</w:t>
                  </w:r>
                  <w:r>
                    <w:rPr>
                      <w:rFonts w:hint="eastAsia" w:ascii="Times New Roman" w:hAnsi="Times New Roman" w:eastAsia="宋体" w:cs="Times New Roman"/>
                      <w:color w:val="auto"/>
                      <w:spacing w:val="0"/>
                      <w:w w:val="100"/>
                      <w:sz w:val="21"/>
                      <w:szCs w:val="21"/>
                      <w:lang w:val="en-US" w:eastAsia="zh-CN"/>
                    </w:rPr>
                    <w:t>责任</w:t>
                  </w:r>
                  <w:r>
                    <w:rPr>
                      <w:rFonts w:hint="default" w:ascii="Times New Roman" w:hAnsi="Times New Roman" w:eastAsia="宋体" w:cs="Times New Roman"/>
                      <w:color w:val="auto"/>
                      <w:spacing w:val="0"/>
                      <w:w w:val="100"/>
                      <w:sz w:val="21"/>
                      <w:szCs w:val="21"/>
                      <w:lang w:eastAsia="zh-CN"/>
                    </w:rPr>
                    <w:t>公司处置</w:t>
                  </w:r>
                </w:p>
              </w:tc>
              <w:tc>
                <w:tcPr>
                  <w:tcW w:w="662" w:type="dxa"/>
                  <w:noWrap w:val="0"/>
                  <w:tcMar>
                    <w:top w:w="0" w:type="dxa"/>
                    <w:left w:w="17" w:type="dxa"/>
                    <w:bottom w:w="0" w:type="dxa"/>
                    <w:right w:w="17" w:type="dxa"/>
                  </w:tcMar>
                  <w:vAlign w:val="center"/>
                </w:tcPr>
                <w:p w14:paraId="110F50FD">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sz w:val="21"/>
                      <w:szCs w:val="21"/>
                      <w:lang w:eastAsia="zh-CN"/>
                    </w:rPr>
                  </w:pPr>
                  <w:r>
                    <w:rPr>
                      <w:rFonts w:hint="default" w:ascii="Times New Roman" w:hAnsi="Times New Roman" w:eastAsia="宋体" w:cs="Times New Roman"/>
                      <w:color w:val="auto"/>
                      <w:spacing w:val="0"/>
                      <w:w w:val="100"/>
                      <w:sz w:val="21"/>
                      <w:szCs w:val="21"/>
                      <w:lang w:eastAsia="zh-CN"/>
                    </w:rPr>
                    <w:t>新建</w:t>
                  </w:r>
                </w:p>
              </w:tc>
            </w:tr>
            <w:tr w14:paraId="2F040A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5" w:type="dxa"/>
                  <w:vMerge w:val="continue"/>
                  <w:noWrap w:val="0"/>
                  <w:tcMar>
                    <w:top w:w="0" w:type="dxa"/>
                    <w:left w:w="17" w:type="dxa"/>
                    <w:bottom w:w="0" w:type="dxa"/>
                    <w:right w:w="17" w:type="dxa"/>
                  </w:tcMar>
                  <w:vAlign w:val="center"/>
                </w:tcPr>
                <w:p w14:paraId="7DBC5B53">
                  <w:pPr>
                    <w:pStyle w:val="36"/>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eastAsia="宋体" w:cs="Times New Roman"/>
                      <w:color w:val="auto"/>
                      <w:spacing w:val="0"/>
                      <w:w w:val="100"/>
                      <w:kern w:val="2"/>
                      <w:sz w:val="21"/>
                      <w:szCs w:val="21"/>
                    </w:rPr>
                  </w:pPr>
                </w:p>
              </w:tc>
              <w:tc>
                <w:tcPr>
                  <w:tcW w:w="1500" w:type="dxa"/>
                  <w:gridSpan w:val="2"/>
                  <w:noWrap w:val="0"/>
                  <w:tcMar>
                    <w:top w:w="0" w:type="dxa"/>
                    <w:left w:w="17" w:type="dxa"/>
                    <w:bottom w:w="0" w:type="dxa"/>
                    <w:right w:w="17" w:type="dxa"/>
                  </w:tcMar>
                  <w:vAlign w:val="center"/>
                </w:tcPr>
                <w:p w14:paraId="52A2EF8B">
                  <w:pPr>
                    <w:pStyle w:val="3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kern w:val="2"/>
                      <w:sz w:val="21"/>
                      <w:szCs w:val="21"/>
                    </w:rPr>
                  </w:pPr>
                  <w:r>
                    <w:rPr>
                      <w:rFonts w:hint="default" w:ascii="Times New Roman" w:hAnsi="Times New Roman" w:eastAsia="宋体" w:cs="Times New Roman"/>
                      <w:color w:val="auto"/>
                      <w:spacing w:val="0"/>
                      <w:w w:val="100"/>
                      <w:kern w:val="2"/>
                      <w:sz w:val="21"/>
                      <w:szCs w:val="21"/>
                    </w:rPr>
                    <w:t>防渗</w:t>
                  </w:r>
                </w:p>
              </w:tc>
              <w:tc>
                <w:tcPr>
                  <w:tcW w:w="2904" w:type="dxa"/>
                  <w:noWrap w:val="0"/>
                  <w:tcMar>
                    <w:top w:w="0" w:type="dxa"/>
                    <w:left w:w="17" w:type="dxa"/>
                    <w:bottom w:w="0" w:type="dxa"/>
                    <w:right w:w="17" w:type="dxa"/>
                  </w:tcMar>
                  <w:vAlign w:val="center"/>
                </w:tcPr>
                <w:p w14:paraId="4F57C3D1">
                  <w:pPr>
                    <w:keepNext w:val="0"/>
                    <w:keepLines w:val="0"/>
                    <w:pageBreakBefore w:val="0"/>
                    <w:widowControl w:val="0"/>
                    <w:kinsoku/>
                    <w:wordWrap/>
                    <w:overflowPunct/>
                    <w:topLinePunct w:val="0"/>
                    <w:autoSpaceDE/>
                    <w:autoSpaceDN/>
                    <w:bidi w:val="0"/>
                    <w:snapToGrid w:val="0"/>
                    <w:spacing w:line="360" w:lineRule="exact"/>
                    <w:jc w:val="both"/>
                    <w:textAlignment w:val="auto"/>
                    <w:rPr>
                      <w:rFonts w:hint="default" w:ascii="Times New Roman" w:hAnsi="Times New Roman" w:eastAsia="宋体" w:cs="Times New Roman"/>
                      <w:color w:val="auto"/>
                      <w:spacing w:val="0"/>
                      <w:w w:val="100"/>
                      <w:sz w:val="21"/>
                      <w:szCs w:val="21"/>
                      <w:lang w:eastAsia="zh-CN"/>
                    </w:rPr>
                  </w:pPr>
                  <w:r>
                    <w:rPr>
                      <w:rFonts w:hint="default" w:ascii="Times New Roman" w:hAnsi="Times New Roman" w:eastAsia="宋体" w:cs="Times New Roman"/>
                      <w:color w:val="auto"/>
                      <w:spacing w:val="0"/>
                      <w:w w:val="100"/>
                      <w:sz w:val="21"/>
                      <w:szCs w:val="21"/>
                      <w:lang w:eastAsia="zh-CN"/>
                    </w:rPr>
                    <w:t>院区地面硬化；</w:t>
                  </w:r>
                </w:p>
                <w:p w14:paraId="1538A3FC">
                  <w:pPr>
                    <w:pStyle w:val="4"/>
                    <w:keepNext w:val="0"/>
                    <w:keepLines w:val="0"/>
                    <w:pageBreakBefore w:val="0"/>
                    <w:widowControl w:val="0"/>
                    <w:kinsoku/>
                    <w:wordWrap/>
                    <w:overflowPunct/>
                    <w:topLinePunct w:val="0"/>
                    <w:autoSpaceDE/>
                    <w:autoSpaceDN/>
                    <w:bidi w:val="0"/>
                    <w:spacing w:line="360" w:lineRule="exact"/>
                    <w:ind w:left="0" w:leftChars="0" w:firstLine="0" w:firstLineChars="0"/>
                    <w:jc w:val="both"/>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pacing w:val="0"/>
                      <w:w w:val="100"/>
                      <w:sz w:val="21"/>
                      <w:szCs w:val="21"/>
                      <w:lang w:eastAsia="zh-CN"/>
                    </w:rPr>
                    <w:t>车库、化粪池、污水处理站：地面</w:t>
                  </w:r>
                  <w:r>
                    <w:rPr>
                      <w:rFonts w:hint="default" w:ascii="Times New Roman" w:hAnsi="Times New Roman" w:eastAsia="宋体" w:cs="Times New Roman"/>
                      <w:color w:val="auto"/>
                      <w:spacing w:val="0"/>
                      <w:w w:val="100"/>
                      <w:sz w:val="21"/>
                      <w:szCs w:val="21"/>
                      <w:lang w:val="en-US" w:eastAsia="zh-CN"/>
                    </w:rPr>
                    <w:t>20cm</w:t>
                  </w:r>
                  <w:r>
                    <w:rPr>
                      <w:rFonts w:hint="default" w:ascii="Times New Roman" w:hAnsi="Times New Roman" w:eastAsia="宋体" w:cs="Times New Roman"/>
                      <w:color w:val="auto"/>
                      <w:spacing w:val="0"/>
                      <w:w w:val="100"/>
                      <w:sz w:val="21"/>
                      <w:szCs w:val="21"/>
                      <w:lang w:eastAsia="zh-CN"/>
                    </w:rPr>
                    <w:t>混凝土硬化，池体四周混凝土硬化</w:t>
                  </w:r>
                </w:p>
              </w:tc>
              <w:tc>
                <w:tcPr>
                  <w:tcW w:w="3528" w:type="dxa"/>
                  <w:noWrap w:val="0"/>
                  <w:tcMar>
                    <w:top w:w="0" w:type="dxa"/>
                    <w:left w:w="17" w:type="dxa"/>
                    <w:bottom w:w="0" w:type="dxa"/>
                    <w:right w:w="17" w:type="dxa"/>
                  </w:tcMar>
                  <w:vAlign w:val="center"/>
                </w:tcPr>
                <w:p w14:paraId="72250E6C">
                  <w:pPr>
                    <w:keepNext w:val="0"/>
                    <w:keepLines w:val="0"/>
                    <w:pageBreakBefore w:val="0"/>
                    <w:widowControl w:val="0"/>
                    <w:kinsoku/>
                    <w:wordWrap/>
                    <w:overflowPunct/>
                    <w:topLinePunct w:val="0"/>
                    <w:autoSpaceDE/>
                    <w:autoSpaceDN/>
                    <w:bidi w:val="0"/>
                    <w:snapToGrid w:val="0"/>
                    <w:spacing w:line="360" w:lineRule="exact"/>
                    <w:jc w:val="both"/>
                    <w:textAlignment w:val="auto"/>
                    <w:rPr>
                      <w:rFonts w:hint="default" w:ascii="Times New Roman" w:hAnsi="Times New Roman" w:eastAsia="宋体" w:cs="Times New Roman"/>
                      <w:color w:val="auto"/>
                      <w:spacing w:val="0"/>
                      <w:w w:val="100"/>
                      <w:kern w:val="2"/>
                      <w:sz w:val="21"/>
                      <w:szCs w:val="21"/>
                      <w:lang w:val="en-US" w:eastAsia="zh-CN"/>
                    </w:rPr>
                  </w:pPr>
                  <w:r>
                    <w:rPr>
                      <w:rFonts w:hint="default" w:ascii="Times New Roman" w:hAnsi="Times New Roman" w:eastAsia="宋体" w:cs="Times New Roman"/>
                      <w:color w:val="auto"/>
                      <w:spacing w:val="0"/>
                      <w:w w:val="100"/>
                      <w:sz w:val="21"/>
                      <w:szCs w:val="21"/>
                      <w:lang w:eastAsia="zh-CN"/>
                    </w:rPr>
                    <w:t>危废暂存库：</w:t>
                  </w:r>
                  <w:r>
                    <w:rPr>
                      <w:rFonts w:hint="default" w:ascii="Times New Roman" w:hAnsi="Times New Roman" w:eastAsia="宋体" w:cs="Times New Roman"/>
                      <w:color w:val="auto"/>
                      <w:spacing w:val="0"/>
                      <w:w w:val="100"/>
                      <w:sz w:val="21"/>
                      <w:szCs w:val="21"/>
                    </w:rPr>
                    <w:t>按照《危险废物贮存污染控制标准》（GB 18597—2023）要求进行防渗，地面要求硬化、耐腐蚀、防渗漏，且表面无裂隙，地面及裙脚</w:t>
                  </w:r>
                  <w:r>
                    <w:rPr>
                      <w:rFonts w:hint="default" w:ascii="Times New Roman" w:hAnsi="Times New Roman" w:eastAsia="宋体" w:cs="Times New Roman"/>
                      <w:color w:val="auto"/>
                      <w:spacing w:val="0"/>
                      <w:w w:val="100"/>
                      <w:kern w:val="2"/>
                      <w:sz w:val="21"/>
                      <w:szCs w:val="21"/>
                      <w:lang w:val="en-US"/>
                    </w:rPr>
                    <w:t>基础垫层+2mmHDPE膜+环氧砂浆涂层，墙壁防渗防腐衬层高度为50cm，保证构筑物渗透系数不大于1.0×10</w:t>
                  </w:r>
                  <w:r>
                    <w:rPr>
                      <w:rFonts w:hint="default" w:ascii="Times New Roman" w:hAnsi="Times New Roman" w:eastAsia="宋体" w:cs="Times New Roman"/>
                      <w:color w:val="auto"/>
                      <w:spacing w:val="0"/>
                      <w:w w:val="100"/>
                      <w:kern w:val="2"/>
                      <w:sz w:val="21"/>
                      <w:szCs w:val="21"/>
                      <w:vertAlign w:val="superscript"/>
                      <w:lang w:val="en-US"/>
                    </w:rPr>
                    <w:t>-10</w:t>
                  </w:r>
                  <w:r>
                    <w:rPr>
                      <w:rFonts w:hint="default" w:ascii="Times New Roman" w:hAnsi="Times New Roman" w:eastAsia="宋体" w:cs="Times New Roman"/>
                      <w:color w:val="auto"/>
                      <w:spacing w:val="0"/>
                      <w:w w:val="100"/>
                      <w:kern w:val="2"/>
                      <w:sz w:val="21"/>
                      <w:szCs w:val="21"/>
                      <w:lang w:val="en-US"/>
                    </w:rPr>
                    <w:t>cm/s</w:t>
                  </w:r>
                  <w:r>
                    <w:rPr>
                      <w:rFonts w:hint="default" w:ascii="Times New Roman" w:hAnsi="Times New Roman" w:eastAsia="宋体" w:cs="Times New Roman"/>
                      <w:color w:val="auto"/>
                      <w:spacing w:val="0"/>
                      <w:w w:val="100"/>
                      <w:kern w:val="2"/>
                      <w:sz w:val="21"/>
                      <w:szCs w:val="21"/>
                      <w:lang w:val="en-US" w:eastAsia="zh-CN"/>
                    </w:rPr>
                    <w:t>；</w:t>
                  </w:r>
                </w:p>
                <w:p w14:paraId="7CD413EA">
                  <w:pPr>
                    <w:keepNext w:val="0"/>
                    <w:keepLines w:val="0"/>
                    <w:pageBreakBefore w:val="0"/>
                    <w:widowControl w:val="0"/>
                    <w:kinsoku/>
                    <w:wordWrap/>
                    <w:overflowPunct/>
                    <w:topLinePunct w:val="0"/>
                    <w:autoSpaceDE/>
                    <w:autoSpaceDN/>
                    <w:bidi w:val="0"/>
                    <w:snapToGrid w:val="0"/>
                    <w:spacing w:line="360" w:lineRule="exact"/>
                    <w:jc w:val="both"/>
                    <w:textAlignment w:val="auto"/>
                    <w:rPr>
                      <w:rFonts w:hint="eastAsia" w:ascii="Times New Roman" w:hAnsi="Times New Roman" w:eastAsia="宋体" w:cs="Times New Roman"/>
                      <w:color w:val="auto"/>
                      <w:spacing w:val="0"/>
                      <w:w w:val="100"/>
                      <w:sz w:val="21"/>
                      <w:szCs w:val="21"/>
                      <w:lang w:eastAsia="zh-CN"/>
                    </w:rPr>
                  </w:pPr>
                  <w:r>
                    <w:rPr>
                      <w:rFonts w:hint="default" w:ascii="Times New Roman" w:hAnsi="Times New Roman" w:eastAsia="宋体" w:cs="Times New Roman"/>
                      <w:color w:val="auto"/>
                      <w:spacing w:val="0"/>
                      <w:w w:val="100"/>
                      <w:kern w:val="2"/>
                      <w:sz w:val="21"/>
                      <w:szCs w:val="21"/>
                      <w:lang w:val="en-US" w:eastAsia="zh-CN"/>
                    </w:rPr>
                    <w:t>污水处理站：地面、池体底部及池体四周采用20cm混凝土防渗；墙壁防渗防腐衬层高度为50cm，</w:t>
                  </w:r>
                  <w:r>
                    <w:rPr>
                      <w:rFonts w:hint="default" w:ascii="Times New Roman" w:hAnsi="Times New Roman" w:eastAsia="宋体" w:cs="Times New Roman"/>
                      <w:color w:val="auto"/>
                      <w:spacing w:val="0"/>
                      <w:w w:val="100"/>
                      <w:kern w:val="2"/>
                      <w:sz w:val="21"/>
                      <w:szCs w:val="21"/>
                      <w:lang w:val="en-US"/>
                    </w:rPr>
                    <w:t>保证构筑物渗透系数不大于1.0×10</w:t>
                  </w:r>
                  <w:r>
                    <w:rPr>
                      <w:rFonts w:hint="default" w:ascii="Times New Roman" w:hAnsi="Times New Roman" w:eastAsia="宋体" w:cs="Times New Roman"/>
                      <w:color w:val="auto"/>
                      <w:spacing w:val="0"/>
                      <w:w w:val="100"/>
                      <w:kern w:val="2"/>
                      <w:sz w:val="21"/>
                      <w:szCs w:val="21"/>
                      <w:vertAlign w:val="superscript"/>
                      <w:lang w:val="en-US"/>
                    </w:rPr>
                    <w:t>-</w:t>
                  </w:r>
                  <w:r>
                    <w:rPr>
                      <w:rFonts w:hint="default" w:ascii="Times New Roman" w:hAnsi="Times New Roman" w:eastAsia="宋体" w:cs="Times New Roman"/>
                      <w:color w:val="auto"/>
                      <w:spacing w:val="0"/>
                      <w:w w:val="100"/>
                      <w:kern w:val="2"/>
                      <w:sz w:val="21"/>
                      <w:szCs w:val="21"/>
                      <w:vertAlign w:val="superscript"/>
                      <w:lang w:val="en-US" w:eastAsia="zh-CN"/>
                    </w:rPr>
                    <w:t>7</w:t>
                  </w:r>
                  <w:r>
                    <w:rPr>
                      <w:rFonts w:hint="default" w:ascii="Times New Roman" w:hAnsi="Times New Roman" w:eastAsia="宋体" w:cs="Times New Roman"/>
                      <w:color w:val="auto"/>
                      <w:spacing w:val="0"/>
                      <w:w w:val="100"/>
                      <w:kern w:val="2"/>
                      <w:sz w:val="21"/>
                      <w:szCs w:val="21"/>
                      <w:lang w:val="en-US"/>
                    </w:rPr>
                    <w:t>cm/s</w:t>
                  </w:r>
                  <w:r>
                    <w:rPr>
                      <w:rFonts w:hint="eastAsia" w:ascii="Times New Roman" w:hAnsi="Times New Roman" w:cs="Times New Roman"/>
                      <w:color w:val="auto"/>
                      <w:spacing w:val="0"/>
                      <w:w w:val="100"/>
                      <w:kern w:val="2"/>
                      <w:sz w:val="21"/>
                      <w:szCs w:val="21"/>
                      <w:lang w:val="en-US" w:eastAsia="zh-CN"/>
                    </w:rPr>
                    <w:t>。</w:t>
                  </w:r>
                </w:p>
              </w:tc>
              <w:tc>
                <w:tcPr>
                  <w:tcW w:w="662" w:type="dxa"/>
                  <w:noWrap w:val="0"/>
                  <w:tcMar>
                    <w:top w:w="0" w:type="dxa"/>
                    <w:left w:w="17" w:type="dxa"/>
                    <w:bottom w:w="0" w:type="dxa"/>
                    <w:right w:w="17" w:type="dxa"/>
                  </w:tcMar>
                  <w:vAlign w:val="center"/>
                </w:tcPr>
                <w:p w14:paraId="49AA5144">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auto"/>
                      <w:spacing w:val="0"/>
                      <w:w w:val="100"/>
                      <w:sz w:val="21"/>
                      <w:szCs w:val="21"/>
                      <w:lang w:eastAsia="zh-CN"/>
                    </w:rPr>
                  </w:pPr>
                  <w:r>
                    <w:rPr>
                      <w:rFonts w:hint="default" w:ascii="Times New Roman" w:hAnsi="Times New Roman" w:eastAsia="宋体" w:cs="Times New Roman"/>
                      <w:color w:val="auto"/>
                      <w:spacing w:val="0"/>
                      <w:w w:val="100"/>
                      <w:sz w:val="21"/>
                      <w:szCs w:val="21"/>
                      <w:lang w:eastAsia="zh-CN"/>
                    </w:rPr>
                    <w:t>新建</w:t>
                  </w:r>
                </w:p>
              </w:tc>
            </w:tr>
          </w:tbl>
          <w:p w14:paraId="58CCD60C">
            <w:pPr>
              <w:keepNext w:val="0"/>
              <w:keepLines w:val="0"/>
              <w:pageBreakBefore w:val="0"/>
              <w:widowControl w:val="0"/>
              <w:kinsoku/>
              <w:wordWrap/>
              <w:overflowPunct/>
              <w:topLinePunct w:val="0"/>
              <w:autoSpaceDE w:val="0"/>
              <w:autoSpaceDN w:val="0"/>
              <w:bidi w:val="0"/>
              <w:adjustRightInd/>
              <w:snapToGrid/>
              <w:spacing w:line="520" w:lineRule="exact"/>
              <w:ind w:firstLine="482" w:firstLineChars="200"/>
              <w:textAlignment w:val="auto"/>
              <w:rPr>
                <w:rFonts w:hint="default" w:ascii="Times New Roman" w:hAnsi="Times New Roman" w:eastAsia="宋体" w:cs="Times New Roman"/>
                <w:b/>
                <w:color w:val="auto"/>
                <w:sz w:val="24"/>
                <w:szCs w:val="24"/>
              </w:rPr>
            </w:pPr>
            <w:r>
              <w:rPr>
                <w:rFonts w:hint="eastAsia" w:ascii="Times New Roman" w:hAnsi="Times New Roman" w:eastAsia="宋体" w:cs="Times New Roman"/>
                <w:b/>
                <w:bCs w:val="0"/>
                <w:color w:val="auto"/>
                <w:sz w:val="24"/>
                <w:szCs w:val="24"/>
                <w:lang w:val="en-US" w:eastAsia="zh-CN"/>
              </w:rPr>
              <w:t>4、</w:t>
            </w:r>
            <w:r>
              <w:rPr>
                <w:rFonts w:hint="default" w:ascii="Times New Roman" w:hAnsi="Times New Roman" w:eastAsia="宋体" w:cs="Times New Roman"/>
                <w:b/>
                <w:bCs w:val="0"/>
                <w:color w:val="auto"/>
                <w:sz w:val="24"/>
                <w:szCs w:val="24"/>
                <w:lang w:val="en-US" w:eastAsia="zh-CN"/>
              </w:rPr>
              <w:t>主要生产</w:t>
            </w:r>
            <w:r>
              <w:rPr>
                <w:rFonts w:hint="eastAsia" w:ascii="Times New Roman" w:hAnsi="Times New Roman" w:eastAsia="宋体" w:cs="Times New Roman"/>
                <w:b/>
                <w:bCs w:val="0"/>
                <w:color w:val="auto"/>
                <w:sz w:val="24"/>
                <w:szCs w:val="24"/>
                <w:lang w:val="en-US" w:eastAsia="zh-CN"/>
              </w:rPr>
              <w:t>设备</w:t>
            </w:r>
          </w:p>
          <w:p w14:paraId="7B20DDAE">
            <w:pPr>
              <w:pStyle w:val="45"/>
              <w:tabs>
                <w:tab w:val="left" w:pos="895"/>
              </w:tabs>
              <w:spacing w:line="520" w:lineRule="exact"/>
              <w:ind w:firstLine="480" w:firstLineChars="200"/>
              <w:jc w:val="both"/>
              <w:rPr>
                <w:rFonts w:hint="eastAsia" w:ascii="Times New Roman" w:hAnsi="Times New Roman" w:eastAsia="宋体" w:cs="Times New Roman"/>
                <w:b w:val="0"/>
                <w:bCs/>
                <w:color w:val="auto"/>
                <w:sz w:val="24"/>
                <w:lang w:eastAsia="zh-CN"/>
              </w:rPr>
            </w:pPr>
            <w:r>
              <w:rPr>
                <w:rFonts w:hint="eastAsia" w:ascii="Times New Roman" w:hAnsi="Times New Roman" w:eastAsia="宋体" w:cs="Times New Roman"/>
                <w:b w:val="0"/>
                <w:bCs/>
                <w:color w:val="auto"/>
                <w:sz w:val="24"/>
                <w:lang w:eastAsia="zh-CN"/>
              </w:rPr>
              <w:t>鄂尔多斯广厦医院</w:t>
            </w:r>
            <w:r>
              <w:rPr>
                <w:rFonts w:hint="default" w:ascii="Times New Roman" w:hAnsi="Times New Roman" w:eastAsia="宋体" w:cs="Times New Roman"/>
                <w:b w:val="0"/>
                <w:bCs/>
                <w:color w:val="auto"/>
                <w:sz w:val="24"/>
              </w:rPr>
              <w:t>设急诊科、影像科、碎石科、外科、骨科、脑系科、呼吸内科、胃肠镜室、检验科、病理科、消化内科</w:t>
            </w:r>
            <w:r>
              <w:rPr>
                <w:rFonts w:hint="eastAsia" w:ascii="Times New Roman" w:hAnsi="Times New Roman" w:eastAsia="宋体" w:cs="Times New Roman"/>
                <w:b w:val="0"/>
                <w:bCs/>
                <w:color w:val="auto"/>
                <w:sz w:val="24"/>
                <w:lang w:eastAsia="zh-CN"/>
              </w:rPr>
              <w:t>、</w:t>
            </w:r>
            <w:r>
              <w:rPr>
                <w:rFonts w:hint="default" w:ascii="Times New Roman" w:hAnsi="Times New Roman" w:eastAsia="宋体" w:cs="Times New Roman"/>
                <w:b w:val="0"/>
                <w:bCs/>
                <w:color w:val="auto"/>
                <w:sz w:val="24"/>
              </w:rPr>
              <w:t>中医科、妇产科、儿科、心电图室、康复医学科、医学美容科、内科、口腔科、彩超室</w:t>
            </w:r>
            <w:r>
              <w:rPr>
                <w:rFonts w:hint="eastAsia" w:ascii="Times New Roman" w:hAnsi="Times New Roman" w:eastAsia="宋体" w:cs="Times New Roman"/>
                <w:b w:val="0"/>
                <w:bCs/>
                <w:color w:val="auto"/>
                <w:sz w:val="24"/>
                <w:lang w:eastAsia="zh-CN"/>
              </w:rPr>
              <w:t>等科室，配备相关检查设备。本项目新开放床位诊疗设备依托病区内已有诊疗设备，污水处理站新增生物接触氧化池、</w:t>
            </w:r>
            <w:r>
              <w:rPr>
                <w:rFonts w:hint="eastAsia" w:ascii="Times New Roman" w:hAnsi="Times New Roman" w:eastAsia="宋体" w:cs="Times New Roman"/>
                <w:b w:val="0"/>
                <w:bCs/>
                <w:color w:val="auto"/>
                <w:sz w:val="24"/>
                <w:lang w:val="en-US" w:eastAsia="zh-CN"/>
              </w:rPr>
              <w:t>MBR膜反应池等</w:t>
            </w:r>
            <w:r>
              <w:rPr>
                <w:rFonts w:hint="eastAsia" w:ascii="Times New Roman" w:hAnsi="Times New Roman" w:eastAsia="宋体" w:cs="Times New Roman"/>
                <w:b w:val="0"/>
                <w:bCs/>
                <w:color w:val="auto"/>
                <w:sz w:val="24"/>
                <w:lang w:eastAsia="zh-CN"/>
              </w:rPr>
              <w:t>。</w:t>
            </w:r>
            <w:r>
              <w:rPr>
                <w:rFonts w:hint="eastAsia" w:ascii="Times New Roman" w:hAnsi="Times New Roman" w:cs="Times New Roman"/>
                <w:b w:val="0"/>
                <w:bCs/>
                <w:color w:val="auto"/>
                <w:sz w:val="24"/>
                <w:lang w:val="en-US" w:eastAsia="zh-CN"/>
              </w:rPr>
              <w:t>改</w:t>
            </w:r>
            <w:r>
              <w:rPr>
                <w:rFonts w:hint="eastAsia" w:ascii="Times New Roman" w:hAnsi="Times New Roman" w:eastAsia="宋体" w:cs="Times New Roman"/>
                <w:b w:val="0"/>
                <w:bCs/>
                <w:color w:val="auto"/>
                <w:sz w:val="24"/>
                <w:lang w:eastAsia="zh-CN"/>
              </w:rPr>
              <w:t>扩建后主要生产设备见下表。</w:t>
            </w:r>
          </w:p>
          <w:p w14:paraId="1AD00AAA">
            <w:pPr>
              <w:pStyle w:val="45"/>
              <w:tabs>
                <w:tab w:val="left" w:pos="895"/>
              </w:tabs>
              <w:spacing w:line="520" w:lineRule="exact"/>
              <w:ind w:firstLine="480" w:firstLineChars="200"/>
              <w:jc w:val="both"/>
              <w:rPr>
                <w:rFonts w:hint="eastAsia" w:ascii="Times New Roman" w:hAnsi="Times New Roman" w:eastAsia="宋体" w:cs="Times New Roman"/>
                <w:b w:val="0"/>
                <w:bCs/>
                <w:color w:val="auto"/>
                <w:sz w:val="24"/>
                <w:lang w:eastAsia="zh-CN"/>
              </w:rPr>
            </w:pPr>
            <w:r>
              <w:rPr>
                <w:rFonts w:hint="eastAsia" w:ascii="Times New Roman" w:hAnsi="Times New Roman" w:eastAsia="宋体" w:cs="Times New Roman"/>
                <w:b w:val="0"/>
                <w:bCs/>
                <w:color w:val="auto"/>
                <w:sz w:val="24"/>
                <w:lang w:eastAsia="zh-CN"/>
              </w:rPr>
              <w:t>具体内容见下表：</w:t>
            </w:r>
          </w:p>
          <w:p w14:paraId="25090752">
            <w:pPr>
              <w:pStyle w:val="45"/>
              <w:keepNext w:val="0"/>
              <w:keepLines w:val="0"/>
              <w:pageBreakBefore w:val="0"/>
              <w:widowControl w:val="0"/>
              <w:tabs>
                <w:tab w:val="left" w:pos="895"/>
              </w:tabs>
              <w:kinsoku/>
              <w:wordWrap/>
              <w:overflowPunct/>
              <w:topLinePunct w:val="0"/>
              <w:autoSpaceDE w:val="0"/>
              <w:autoSpaceDN w:val="0"/>
              <w:bidi w:val="0"/>
              <w:adjustRightInd/>
              <w:snapToGrid/>
              <w:spacing w:line="520" w:lineRule="exact"/>
              <w:ind w:firstLine="0" w:firstLineChars="0"/>
              <w:jc w:val="center"/>
              <w:textAlignment w:val="auto"/>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rPr>
              <w:t>表</w:t>
            </w:r>
            <w:r>
              <w:rPr>
                <w:rFonts w:hint="default" w:ascii="Times New Roman" w:hAnsi="Times New Roman" w:eastAsia="宋体" w:cs="Times New Roman"/>
                <w:b/>
                <w:color w:val="auto"/>
                <w:sz w:val="24"/>
                <w:lang w:val="en-US" w:eastAsia="zh-CN"/>
              </w:rPr>
              <w:t>2</w:t>
            </w:r>
            <w:r>
              <w:rPr>
                <w:rFonts w:hint="default" w:ascii="Times New Roman" w:hAnsi="Times New Roman" w:eastAsia="宋体" w:cs="Times New Roman"/>
                <w:b/>
                <w:color w:val="auto"/>
                <w:sz w:val="24"/>
              </w:rPr>
              <w:t>-</w:t>
            </w:r>
            <w:r>
              <w:rPr>
                <w:rFonts w:hint="default" w:ascii="Times New Roman" w:hAnsi="Times New Roman" w:eastAsia="宋体" w:cs="Times New Roman"/>
                <w:b/>
                <w:color w:val="auto"/>
                <w:sz w:val="24"/>
                <w:lang w:val="en-US" w:eastAsia="zh-CN"/>
              </w:rPr>
              <w:t>2</w:t>
            </w:r>
            <w:r>
              <w:rPr>
                <w:rFonts w:hint="eastAsia" w:ascii="Times New Roman" w:hAnsi="Times New Roman" w:eastAsia="宋体" w:cs="Times New Roman"/>
                <w:b/>
                <w:color w:val="auto"/>
                <w:sz w:val="24"/>
                <w:lang w:val="en-US" w:eastAsia="zh-CN"/>
              </w:rPr>
              <w:t xml:space="preserve">    </w:t>
            </w:r>
            <w:r>
              <w:rPr>
                <w:rFonts w:hint="default" w:ascii="Times New Roman" w:hAnsi="Times New Roman" w:eastAsia="宋体" w:cs="Times New Roman"/>
                <w:b/>
                <w:color w:val="auto"/>
                <w:sz w:val="24"/>
                <w:lang w:val="en-US" w:eastAsia="zh-CN"/>
              </w:rPr>
              <w:t>项目主要生产</w:t>
            </w:r>
            <w:r>
              <w:rPr>
                <w:rFonts w:hint="eastAsia" w:ascii="Times New Roman" w:hAnsi="Times New Roman" w:eastAsia="宋体" w:cs="Times New Roman"/>
                <w:b/>
                <w:color w:val="auto"/>
                <w:sz w:val="24"/>
                <w:lang w:val="en-US" w:eastAsia="zh-CN"/>
              </w:rPr>
              <w:t>设备一览表</w:t>
            </w:r>
          </w:p>
          <w:tbl>
            <w:tblPr>
              <w:tblStyle w:val="21"/>
              <w:tblW w:w="488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1"/>
              <w:gridCol w:w="2745"/>
              <w:gridCol w:w="2248"/>
              <w:gridCol w:w="1277"/>
              <w:gridCol w:w="1139"/>
            </w:tblGrid>
            <w:tr w14:paraId="1E2F4A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5B48AAC2">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bCs/>
                      <w:color w:val="auto"/>
                      <w:spacing w:val="0"/>
                      <w:sz w:val="21"/>
                      <w:szCs w:val="21"/>
                      <w:vertAlign w:val="baseline"/>
                      <w:lang w:val="en-US" w:eastAsia="zh-CN"/>
                    </w:rPr>
                  </w:pPr>
                  <w:r>
                    <w:rPr>
                      <w:rFonts w:hint="default" w:ascii="Times New Roman" w:hAnsi="Times New Roman" w:eastAsia="宋体" w:cs="Times New Roman"/>
                      <w:b/>
                      <w:bCs/>
                      <w:color w:val="auto"/>
                      <w:spacing w:val="0"/>
                      <w:sz w:val="21"/>
                      <w:szCs w:val="21"/>
                      <w:vertAlign w:val="baseline"/>
                      <w:lang w:val="en-US" w:eastAsia="zh-CN"/>
                    </w:rPr>
                    <w:t>序号</w:t>
                  </w:r>
                </w:p>
              </w:tc>
              <w:tc>
                <w:tcPr>
                  <w:tcW w:w="1704" w:type="pct"/>
                  <w:tcBorders>
                    <w:tl2br w:val="nil"/>
                    <w:tr2bl w:val="nil"/>
                  </w:tcBorders>
                  <w:noWrap w:val="0"/>
                  <w:vAlign w:val="center"/>
                </w:tcPr>
                <w:p w14:paraId="65165E58">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bCs/>
                      <w:color w:val="auto"/>
                      <w:spacing w:val="0"/>
                      <w:sz w:val="21"/>
                      <w:szCs w:val="21"/>
                      <w:vertAlign w:val="baseline"/>
                      <w:lang w:val="en-US" w:eastAsia="zh-CN"/>
                    </w:rPr>
                  </w:pPr>
                  <w:r>
                    <w:rPr>
                      <w:rFonts w:hint="default" w:ascii="Times New Roman" w:hAnsi="Times New Roman" w:eastAsia="宋体" w:cs="Times New Roman"/>
                      <w:b/>
                      <w:bCs/>
                      <w:color w:val="auto"/>
                      <w:spacing w:val="0"/>
                      <w:sz w:val="21"/>
                      <w:szCs w:val="21"/>
                      <w:vertAlign w:val="baseline"/>
                      <w:lang w:val="en-US" w:eastAsia="zh-CN"/>
                    </w:rPr>
                    <w:t>设备名称</w:t>
                  </w:r>
                </w:p>
              </w:tc>
              <w:tc>
                <w:tcPr>
                  <w:tcW w:w="1396" w:type="pct"/>
                  <w:tcBorders>
                    <w:tl2br w:val="nil"/>
                    <w:tr2bl w:val="nil"/>
                  </w:tcBorders>
                  <w:noWrap w:val="0"/>
                  <w:vAlign w:val="center"/>
                </w:tcPr>
                <w:p w14:paraId="1459BDCE">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bCs/>
                      <w:color w:val="auto"/>
                      <w:spacing w:val="0"/>
                      <w:sz w:val="21"/>
                      <w:szCs w:val="21"/>
                      <w:vertAlign w:val="baseline"/>
                      <w:lang w:val="en-US" w:eastAsia="zh-CN"/>
                    </w:rPr>
                  </w:pPr>
                  <w:r>
                    <w:rPr>
                      <w:rFonts w:hint="default" w:ascii="Times New Roman" w:hAnsi="Times New Roman" w:eastAsia="宋体" w:cs="Times New Roman"/>
                      <w:b/>
                      <w:bCs/>
                      <w:color w:val="auto"/>
                      <w:spacing w:val="0"/>
                      <w:sz w:val="21"/>
                      <w:szCs w:val="21"/>
                      <w:vertAlign w:val="baseline"/>
                      <w:lang w:val="en-US" w:eastAsia="zh-CN"/>
                    </w:rPr>
                    <w:t>型号/规格</w:t>
                  </w:r>
                </w:p>
              </w:tc>
              <w:tc>
                <w:tcPr>
                  <w:tcW w:w="793" w:type="pct"/>
                  <w:tcBorders>
                    <w:tl2br w:val="nil"/>
                    <w:tr2bl w:val="nil"/>
                  </w:tcBorders>
                  <w:noWrap w:val="0"/>
                  <w:vAlign w:val="center"/>
                </w:tcPr>
                <w:p w14:paraId="56A9A8A6">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bCs/>
                      <w:color w:val="auto"/>
                      <w:spacing w:val="0"/>
                      <w:sz w:val="21"/>
                      <w:szCs w:val="21"/>
                      <w:vertAlign w:val="baseline"/>
                      <w:lang w:val="en-US" w:eastAsia="zh-CN"/>
                    </w:rPr>
                  </w:pPr>
                  <w:r>
                    <w:rPr>
                      <w:rFonts w:hint="default" w:ascii="Times New Roman" w:hAnsi="Times New Roman" w:eastAsia="宋体" w:cs="Times New Roman"/>
                      <w:b/>
                      <w:bCs/>
                      <w:color w:val="auto"/>
                      <w:spacing w:val="0"/>
                      <w:sz w:val="21"/>
                      <w:szCs w:val="21"/>
                      <w:vertAlign w:val="baseline"/>
                      <w:lang w:val="en-US" w:eastAsia="zh-CN"/>
                    </w:rPr>
                    <w:t>数量</w:t>
                  </w:r>
                </w:p>
                <w:p w14:paraId="1F226E78">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bCs/>
                      <w:color w:val="auto"/>
                      <w:spacing w:val="0"/>
                      <w:sz w:val="21"/>
                      <w:szCs w:val="21"/>
                      <w:vertAlign w:val="baseline"/>
                      <w:lang w:val="en-US" w:eastAsia="zh-CN"/>
                    </w:rPr>
                  </w:pPr>
                  <w:r>
                    <w:rPr>
                      <w:rFonts w:hint="default" w:ascii="Times New Roman" w:hAnsi="Times New Roman" w:eastAsia="宋体" w:cs="Times New Roman"/>
                      <w:b/>
                      <w:bCs/>
                      <w:color w:val="auto"/>
                      <w:spacing w:val="0"/>
                      <w:sz w:val="21"/>
                      <w:szCs w:val="21"/>
                      <w:vertAlign w:val="baseline"/>
                      <w:lang w:val="en-US" w:eastAsia="zh-CN"/>
                    </w:rPr>
                    <w:t>（台/套）</w:t>
                  </w:r>
                </w:p>
              </w:tc>
              <w:tc>
                <w:tcPr>
                  <w:tcW w:w="707" w:type="pct"/>
                  <w:tcBorders>
                    <w:tl2br w:val="nil"/>
                    <w:tr2bl w:val="nil"/>
                  </w:tcBorders>
                  <w:noWrap w:val="0"/>
                  <w:vAlign w:val="center"/>
                </w:tcPr>
                <w:p w14:paraId="0D565F28">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bCs/>
                      <w:color w:val="auto"/>
                      <w:spacing w:val="0"/>
                      <w:sz w:val="21"/>
                      <w:szCs w:val="21"/>
                      <w:vertAlign w:val="baseline"/>
                      <w:lang w:val="en-US" w:eastAsia="zh-CN"/>
                    </w:rPr>
                  </w:pPr>
                  <w:r>
                    <w:rPr>
                      <w:rFonts w:hint="default" w:ascii="Times New Roman" w:hAnsi="Times New Roman" w:eastAsia="宋体" w:cs="Times New Roman"/>
                      <w:b/>
                      <w:bCs/>
                      <w:color w:val="auto"/>
                      <w:spacing w:val="0"/>
                      <w:sz w:val="21"/>
                      <w:szCs w:val="21"/>
                      <w:vertAlign w:val="baseline"/>
                      <w:lang w:val="en-US" w:eastAsia="zh-CN"/>
                    </w:rPr>
                    <w:t>备注</w:t>
                  </w:r>
                </w:p>
              </w:tc>
            </w:tr>
            <w:tr w14:paraId="124E6C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7EE26594">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1704" w:type="pct"/>
                  <w:tcBorders>
                    <w:tl2br w:val="nil"/>
                    <w:tr2bl w:val="nil"/>
                  </w:tcBorders>
                  <w:noWrap w:val="0"/>
                  <w:vAlign w:val="top"/>
                </w:tcPr>
                <w:p w14:paraId="1501DDE2">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肛肠检查治疗仪</w:t>
                  </w:r>
                </w:p>
              </w:tc>
              <w:tc>
                <w:tcPr>
                  <w:tcW w:w="1396" w:type="pct"/>
                  <w:tcBorders>
                    <w:tl2br w:val="nil"/>
                    <w:tr2bl w:val="nil"/>
                  </w:tcBorders>
                  <w:noWrap w:val="0"/>
                  <w:vAlign w:val="top"/>
                </w:tcPr>
                <w:p w14:paraId="7E32E12D">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BX-2100B</w:t>
                  </w:r>
                </w:p>
              </w:tc>
              <w:tc>
                <w:tcPr>
                  <w:tcW w:w="793" w:type="pct"/>
                  <w:tcBorders>
                    <w:tl2br w:val="nil"/>
                    <w:tr2bl w:val="nil"/>
                  </w:tcBorders>
                  <w:noWrap w:val="0"/>
                  <w:vAlign w:val="center"/>
                </w:tcPr>
                <w:p w14:paraId="3BB39DA9">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58555B3F">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665C82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081303EF">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2</w:t>
                  </w:r>
                </w:p>
              </w:tc>
              <w:tc>
                <w:tcPr>
                  <w:tcW w:w="1704" w:type="pct"/>
                  <w:tcBorders>
                    <w:tl2br w:val="nil"/>
                    <w:tr2bl w:val="nil"/>
                  </w:tcBorders>
                  <w:noWrap w:val="0"/>
                  <w:vAlign w:val="top"/>
                </w:tcPr>
                <w:p w14:paraId="248E6B85">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zh-CN" w:eastAsia="zh-CN" w:bidi="ar-SA"/>
                    </w:rPr>
                  </w:pPr>
                  <w:r>
                    <w:rPr>
                      <w:rFonts w:hint="default" w:ascii="Times New Roman" w:hAnsi="Times New Roman" w:eastAsia="宋体" w:cs="Times New Roman"/>
                      <w:color w:val="auto"/>
                      <w:spacing w:val="0"/>
                      <w:sz w:val="21"/>
                      <w:szCs w:val="21"/>
                    </w:rPr>
                    <w:t>多功能电离子手术仪</w:t>
                  </w:r>
                </w:p>
              </w:tc>
              <w:tc>
                <w:tcPr>
                  <w:tcW w:w="1396" w:type="pct"/>
                  <w:tcBorders>
                    <w:tl2br w:val="nil"/>
                    <w:tr2bl w:val="nil"/>
                  </w:tcBorders>
                  <w:noWrap w:val="0"/>
                  <w:vAlign w:val="top"/>
                </w:tcPr>
                <w:p w14:paraId="6F5A2A81">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A190905-3</w:t>
                  </w:r>
                </w:p>
              </w:tc>
              <w:tc>
                <w:tcPr>
                  <w:tcW w:w="793" w:type="pct"/>
                  <w:tcBorders>
                    <w:tl2br w:val="nil"/>
                    <w:tr2bl w:val="nil"/>
                  </w:tcBorders>
                  <w:noWrap w:val="0"/>
                  <w:vAlign w:val="center"/>
                </w:tcPr>
                <w:p w14:paraId="13897FC9">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510C4610">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2FD77B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02A733CD">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3</w:t>
                  </w:r>
                </w:p>
              </w:tc>
              <w:tc>
                <w:tcPr>
                  <w:tcW w:w="1704" w:type="pct"/>
                  <w:tcBorders>
                    <w:tl2br w:val="nil"/>
                    <w:tr2bl w:val="nil"/>
                  </w:tcBorders>
                  <w:noWrap w:val="0"/>
                  <w:vAlign w:val="top"/>
                </w:tcPr>
                <w:p w14:paraId="325BA2F7">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碳13呼吸检测仪</w:t>
                  </w:r>
                </w:p>
              </w:tc>
              <w:tc>
                <w:tcPr>
                  <w:tcW w:w="1396" w:type="pct"/>
                  <w:tcBorders>
                    <w:tl2br w:val="nil"/>
                    <w:tr2bl w:val="nil"/>
                  </w:tcBorders>
                  <w:noWrap w:val="0"/>
                  <w:vAlign w:val="top"/>
                </w:tcPr>
                <w:p w14:paraId="08302D6A">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HY-IREXBPIUS</w:t>
                  </w:r>
                </w:p>
              </w:tc>
              <w:tc>
                <w:tcPr>
                  <w:tcW w:w="793" w:type="pct"/>
                  <w:tcBorders>
                    <w:tl2br w:val="nil"/>
                    <w:tr2bl w:val="nil"/>
                  </w:tcBorders>
                  <w:noWrap w:val="0"/>
                  <w:vAlign w:val="center"/>
                </w:tcPr>
                <w:p w14:paraId="44BDC0D3">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1651FE81">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2C7001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1FD49D44">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4</w:t>
                  </w:r>
                </w:p>
              </w:tc>
              <w:tc>
                <w:tcPr>
                  <w:tcW w:w="1704" w:type="pct"/>
                  <w:tcBorders>
                    <w:tl2br w:val="nil"/>
                    <w:tr2bl w:val="nil"/>
                  </w:tcBorders>
                  <w:noWrap w:val="0"/>
                  <w:vAlign w:val="top"/>
                </w:tcPr>
                <w:p w14:paraId="72835ADD">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数字十二道心电图机</w:t>
                  </w:r>
                </w:p>
              </w:tc>
              <w:tc>
                <w:tcPr>
                  <w:tcW w:w="1396" w:type="pct"/>
                  <w:tcBorders>
                    <w:tl2br w:val="nil"/>
                    <w:tr2bl w:val="nil"/>
                  </w:tcBorders>
                  <w:noWrap w:val="0"/>
                  <w:vAlign w:val="top"/>
                </w:tcPr>
                <w:p w14:paraId="3099A7BA">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SE-1201</w:t>
                  </w:r>
                </w:p>
              </w:tc>
              <w:tc>
                <w:tcPr>
                  <w:tcW w:w="793" w:type="pct"/>
                  <w:tcBorders>
                    <w:tl2br w:val="nil"/>
                    <w:tr2bl w:val="nil"/>
                  </w:tcBorders>
                  <w:noWrap w:val="0"/>
                  <w:vAlign w:val="center"/>
                </w:tcPr>
                <w:p w14:paraId="520DBFD0">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4</w:t>
                  </w:r>
                </w:p>
              </w:tc>
              <w:tc>
                <w:tcPr>
                  <w:tcW w:w="707" w:type="pct"/>
                  <w:tcBorders>
                    <w:tl2br w:val="nil"/>
                    <w:tr2bl w:val="nil"/>
                  </w:tcBorders>
                  <w:noWrap w:val="0"/>
                  <w:vAlign w:val="center"/>
                </w:tcPr>
                <w:p w14:paraId="1B9A9C30">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568625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58F00EC4">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5</w:t>
                  </w:r>
                </w:p>
              </w:tc>
              <w:tc>
                <w:tcPr>
                  <w:tcW w:w="1704" w:type="pct"/>
                  <w:tcBorders>
                    <w:tl2br w:val="nil"/>
                    <w:tr2bl w:val="nil"/>
                  </w:tcBorders>
                  <w:noWrap w:val="0"/>
                  <w:vAlign w:val="top"/>
                </w:tcPr>
                <w:p w14:paraId="3ECBDA5E">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数字十二道心电图机</w:t>
                  </w:r>
                </w:p>
              </w:tc>
              <w:tc>
                <w:tcPr>
                  <w:tcW w:w="1396" w:type="pct"/>
                  <w:tcBorders>
                    <w:tl2br w:val="nil"/>
                    <w:tr2bl w:val="nil"/>
                  </w:tcBorders>
                  <w:noWrap w:val="0"/>
                  <w:vAlign w:val="top"/>
                </w:tcPr>
                <w:p w14:paraId="136B10B6">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SCU-1210</w:t>
                  </w:r>
                </w:p>
              </w:tc>
              <w:tc>
                <w:tcPr>
                  <w:tcW w:w="793" w:type="pct"/>
                  <w:tcBorders>
                    <w:tl2br w:val="nil"/>
                    <w:tr2bl w:val="nil"/>
                  </w:tcBorders>
                  <w:noWrap w:val="0"/>
                  <w:vAlign w:val="center"/>
                </w:tcPr>
                <w:p w14:paraId="012AAE58">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587ABFED">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04E69E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4A7AE20C">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6</w:t>
                  </w:r>
                </w:p>
              </w:tc>
              <w:tc>
                <w:tcPr>
                  <w:tcW w:w="1704" w:type="pct"/>
                  <w:tcBorders>
                    <w:tl2br w:val="nil"/>
                    <w:tr2bl w:val="nil"/>
                  </w:tcBorders>
                  <w:noWrap w:val="0"/>
                  <w:vAlign w:val="top"/>
                </w:tcPr>
                <w:p w14:paraId="625E4293">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电测听仪</w:t>
                  </w:r>
                </w:p>
              </w:tc>
              <w:tc>
                <w:tcPr>
                  <w:tcW w:w="1396" w:type="pct"/>
                  <w:tcBorders>
                    <w:tl2br w:val="nil"/>
                    <w:tr2bl w:val="nil"/>
                  </w:tcBorders>
                  <w:noWrap w:val="0"/>
                  <w:vAlign w:val="top"/>
                </w:tcPr>
                <w:p w14:paraId="50BF2E6D">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SM950</w:t>
                  </w:r>
                </w:p>
              </w:tc>
              <w:tc>
                <w:tcPr>
                  <w:tcW w:w="793" w:type="pct"/>
                  <w:tcBorders>
                    <w:tl2br w:val="nil"/>
                    <w:tr2bl w:val="nil"/>
                  </w:tcBorders>
                  <w:noWrap w:val="0"/>
                  <w:vAlign w:val="center"/>
                </w:tcPr>
                <w:p w14:paraId="5344A970">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18E47B52">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3032D9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67DDDEF1">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7</w:t>
                  </w:r>
                </w:p>
              </w:tc>
              <w:tc>
                <w:tcPr>
                  <w:tcW w:w="1704" w:type="pct"/>
                  <w:tcBorders>
                    <w:tl2br w:val="nil"/>
                    <w:tr2bl w:val="nil"/>
                  </w:tcBorders>
                  <w:noWrap w:val="0"/>
                  <w:vAlign w:val="top"/>
                </w:tcPr>
                <w:p w14:paraId="248094BA">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肺功能仪</w:t>
                  </w:r>
                </w:p>
              </w:tc>
              <w:tc>
                <w:tcPr>
                  <w:tcW w:w="1396" w:type="pct"/>
                  <w:tcBorders>
                    <w:tl2br w:val="nil"/>
                    <w:tr2bl w:val="nil"/>
                  </w:tcBorders>
                  <w:noWrap w:val="0"/>
                  <w:vAlign w:val="top"/>
                </w:tcPr>
                <w:p w14:paraId="378E6E93">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AS-507</w:t>
                  </w:r>
                </w:p>
              </w:tc>
              <w:tc>
                <w:tcPr>
                  <w:tcW w:w="793" w:type="pct"/>
                  <w:tcBorders>
                    <w:tl2br w:val="nil"/>
                    <w:tr2bl w:val="nil"/>
                  </w:tcBorders>
                  <w:noWrap w:val="0"/>
                  <w:vAlign w:val="center"/>
                </w:tcPr>
                <w:p w14:paraId="09BBF671">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6FA36FBB">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3432DA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3B7E3BDB">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8</w:t>
                  </w:r>
                </w:p>
              </w:tc>
              <w:tc>
                <w:tcPr>
                  <w:tcW w:w="1704" w:type="pct"/>
                  <w:tcBorders>
                    <w:tl2br w:val="nil"/>
                    <w:tr2bl w:val="nil"/>
                  </w:tcBorders>
                  <w:noWrap w:val="0"/>
                  <w:vAlign w:val="top"/>
                </w:tcPr>
                <w:p w14:paraId="24652B96">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超声骨密度仪</w:t>
                  </w:r>
                </w:p>
              </w:tc>
              <w:tc>
                <w:tcPr>
                  <w:tcW w:w="1396" w:type="pct"/>
                  <w:tcBorders>
                    <w:tl2br w:val="nil"/>
                    <w:tr2bl w:val="nil"/>
                  </w:tcBorders>
                  <w:noWrap w:val="0"/>
                  <w:vAlign w:val="top"/>
                </w:tcPr>
                <w:p w14:paraId="6A52BF88">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7000</w:t>
                  </w:r>
                </w:p>
              </w:tc>
              <w:tc>
                <w:tcPr>
                  <w:tcW w:w="793" w:type="pct"/>
                  <w:tcBorders>
                    <w:tl2br w:val="nil"/>
                    <w:tr2bl w:val="nil"/>
                  </w:tcBorders>
                  <w:noWrap w:val="0"/>
                  <w:vAlign w:val="center"/>
                </w:tcPr>
                <w:p w14:paraId="45AB19A2">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28475620">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1CED06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7FF3F317">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9</w:t>
                  </w:r>
                </w:p>
              </w:tc>
              <w:tc>
                <w:tcPr>
                  <w:tcW w:w="1704" w:type="pct"/>
                  <w:tcBorders>
                    <w:tl2br w:val="nil"/>
                    <w:tr2bl w:val="nil"/>
                  </w:tcBorders>
                  <w:noWrap w:val="0"/>
                  <w:vAlign w:val="top"/>
                </w:tcPr>
                <w:p w14:paraId="6255EC55">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麻醉机</w:t>
                  </w:r>
                </w:p>
              </w:tc>
              <w:tc>
                <w:tcPr>
                  <w:tcW w:w="1396" w:type="pct"/>
                  <w:tcBorders>
                    <w:tl2br w:val="nil"/>
                    <w:tr2bl w:val="nil"/>
                  </w:tcBorders>
                  <w:noWrap w:val="0"/>
                  <w:vAlign w:val="top"/>
                </w:tcPr>
                <w:p w14:paraId="211E10C8">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Adonis2000w1</w:t>
                  </w:r>
                </w:p>
              </w:tc>
              <w:tc>
                <w:tcPr>
                  <w:tcW w:w="793" w:type="pct"/>
                  <w:tcBorders>
                    <w:tl2br w:val="nil"/>
                    <w:tr2bl w:val="nil"/>
                  </w:tcBorders>
                  <w:noWrap w:val="0"/>
                  <w:vAlign w:val="center"/>
                </w:tcPr>
                <w:p w14:paraId="1F834724">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4314AF54">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0F8EB3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396BECD4">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10</w:t>
                  </w:r>
                </w:p>
              </w:tc>
              <w:tc>
                <w:tcPr>
                  <w:tcW w:w="1704" w:type="pct"/>
                  <w:tcBorders>
                    <w:tl2br w:val="nil"/>
                    <w:tr2bl w:val="nil"/>
                  </w:tcBorders>
                  <w:noWrap w:val="0"/>
                  <w:vAlign w:val="top"/>
                </w:tcPr>
                <w:p w14:paraId="7EA757E8">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麻醉机</w:t>
                  </w:r>
                </w:p>
              </w:tc>
              <w:tc>
                <w:tcPr>
                  <w:tcW w:w="1396" w:type="pct"/>
                  <w:tcBorders>
                    <w:tl2br w:val="nil"/>
                    <w:tr2bl w:val="nil"/>
                  </w:tcBorders>
                  <w:noWrap w:val="0"/>
                  <w:vAlign w:val="top"/>
                </w:tcPr>
                <w:p w14:paraId="106943AC">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FabiusTiro</w:t>
                  </w:r>
                </w:p>
              </w:tc>
              <w:tc>
                <w:tcPr>
                  <w:tcW w:w="793" w:type="pct"/>
                  <w:tcBorders>
                    <w:tl2br w:val="nil"/>
                    <w:tr2bl w:val="nil"/>
                  </w:tcBorders>
                  <w:noWrap w:val="0"/>
                  <w:vAlign w:val="center"/>
                </w:tcPr>
                <w:p w14:paraId="0239DC5B">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7D40BAD5">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7637DB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70A6F33A">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11</w:t>
                  </w:r>
                </w:p>
              </w:tc>
              <w:tc>
                <w:tcPr>
                  <w:tcW w:w="1704" w:type="pct"/>
                  <w:tcBorders>
                    <w:tl2br w:val="nil"/>
                    <w:tr2bl w:val="nil"/>
                  </w:tcBorders>
                  <w:noWrap w:val="0"/>
                  <w:vAlign w:val="top"/>
                </w:tcPr>
                <w:p w14:paraId="6CDF07B0">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zh-CN" w:eastAsia="zh-CN" w:bidi="ar-SA"/>
                    </w:rPr>
                  </w:pPr>
                  <w:r>
                    <w:rPr>
                      <w:rFonts w:hint="default" w:ascii="Times New Roman" w:hAnsi="Times New Roman" w:eastAsia="宋体" w:cs="Times New Roman"/>
                      <w:color w:val="auto"/>
                      <w:spacing w:val="0"/>
                      <w:sz w:val="21"/>
                      <w:szCs w:val="21"/>
                    </w:rPr>
                    <w:t>凯斯普管带切割器</w:t>
                  </w:r>
                </w:p>
              </w:tc>
              <w:tc>
                <w:tcPr>
                  <w:tcW w:w="1396" w:type="pct"/>
                  <w:tcBorders>
                    <w:tl2br w:val="nil"/>
                    <w:tr2bl w:val="nil"/>
                  </w:tcBorders>
                  <w:noWrap w:val="0"/>
                  <w:vAlign w:val="top"/>
                </w:tcPr>
                <w:p w14:paraId="44C65DE2">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RT-800</w:t>
                  </w:r>
                </w:p>
              </w:tc>
              <w:tc>
                <w:tcPr>
                  <w:tcW w:w="793" w:type="pct"/>
                  <w:tcBorders>
                    <w:tl2br w:val="nil"/>
                    <w:tr2bl w:val="nil"/>
                  </w:tcBorders>
                  <w:noWrap w:val="0"/>
                  <w:vAlign w:val="center"/>
                </w:tcPr>
                <w:p w14:paraId="67CAFF68">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18B2B1C1">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4EA6BE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021FE3C6">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12</w:t>
                  </w:r>
                </w:p>
              </w:tc>
              <w:tc>
                <w:tcPr>
                  <w:tcW w:w="1704" w:type="pct"/>
                  <w:tcBorders>
                    <w:tl2br w:val="nil"/>
                    <w:tr2bl w:val="nil"/>
                  </w:tcBorders>
                  <w:noWrap w:val="0"/>
                  <w:vAlign w:val="top"/>
                </w:tcPr>
                <w:p w14:paraId="7CDE48D8">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中低频治疗仪</w:t>
                  </w:r>
                </w:p>
              </w:tc>
              <w:tc>
                <w:tcPr>
                  <w:tcW w:w="1396" w:type="pct"/>
                  <w:tcBorders>
                    <w:tl2br w:val="nil"/>
                    <w:tr2bl w:val="nil"/>
                  </w:tcBorders>
                  <w:noWrap w:val="0"/>
                  <w:vAlign w:val="top"/>
                </w:tcPr>
                <w:p w14:paraId="3631C404">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CAI-A</w:t>
                  </w:r>
                </w:p>
              </w:tc>
              <w:tc>
                <w:tcPr>
                  <w:tcW w:w="793" w:type="pct"/>
                  <w:tcBorders>
                    <w:tl2br w:val="nil"/>
                    <w:tr2bl w:val="nil"/>
                  </w:tcBorders>
                  <w:noWrap w:val="0"/>
                  <w:vAlign w:val="center"/>
                </w:tcPr>
                <w:p w14:paraId="1CB0C58A">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68FB54D7">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kern w:val="2"/>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37934E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611F5811">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13</w:t>
                  </w:r>
                </w:p>
              </w:tc>
              <w:tc>
                <w:tcPr>
                  <w:tcW w:w="1704" w:type="pct"/>
                  <w:tcBorders>
                    <w:tl2br w:val="nil"/>
                    <w:tr2bl w:val="nil"/>
                  </w:tcBorders>
                  <w:noWrap w:val="0"/>
                  <w:vAlign w:val="top"/>
                </w:tcPr>
                <w:p w14:paraId="73AD4D34">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神经肌肉刺激仪</w:t>
                  </w:r>
                </w:p>
              </w:tc>
              <w:tc>
                <w:tcPr>
                  <w:tcW w:w="1396" w:type="pct"/>
                  <w:tcBorders>
                    <w:tl2br w:val="nil"/>
                    <w:tr2bl w:val="nil"/>
                  </w:tcBorders>
                  <w:noWrap w:val="0"/>
                  <w:vAlign w:val="top"/>
                </w:tcPr>
                <w:p w14:paraId="67340637">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KY-1</w:t>
                  </w:r>
                </w:p>
              </w:tc>
              <w:tc>
                <w:tcPr>
                  <w:tcW w:w="793" w:type="pct"/>
                  <w:tcBorders>
                    <w:tl2br w:val="nil"/>
                    <w:tr2bl w:val="nil"/>
                  </w:tcBorders>
                  <w:noWrap w:val="0"/>
                  <w:vAlign w:val="center"/>
                </w:tcPr>
                <w:p w14:paraId="2B3B1C41">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4AE875E8">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559BA1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08DB659C">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14</w:t>
                  </w:r>
                </w:p>
              </w:tc>
              <w:tc>
                <w:tcPr>
                  <w:tcW w:w="1704" w:type="pct"/>
                  <w:tcBorders>
                    <w:tl2br w:val="nil"/>
                    <w:tr2bl w:val="nil"/>
                  </w:tcBorders>
                  <w:noWrap w:val="0"/>
                  <w:vAlign w:val="top"/>
                </w:tcPr>
                <w:p w14:paraId="766625EF">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血流分析仪</w:t>
                  </w:r>
                </w:p>
              </w:tc>
              <w:tc>
                <w:tcPr>
                  <w:tcW w:w="1396" w:type="pct"/>
                  <w:tcBorders>
                    <w:tl2br w:val="nil"/>
                    <w:tr2bl w:val="nil"/>
                  </w:tcBorders>
                  <w:noWrap w:val="0"/>
                  <w:vAlign w:val="top"/>
                </w:tcPr>
                <w:p w14:paraId="235C2300">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DOPPLER-BOX</w:t>
                  </w:r>
                </w:p>
              </w:tc>
              <w:tc>
                <w:tcPr>
                  <w:tcW w:w="793" w:type="pct"/>
                  <w:tcBorders>
                    <w:tl2br w:val="nil"/>
                    <w:tr2bl w:val="nil"/>
                  </w:tcBorders>
                  <w:noWrap w:val="0"/>
                  <w:vAlign w:val="center"/>
                </w:tcPr>
                <w:p w14:paraId="25D4151E">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0E598BFE">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0E1B81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pct"/>
                  <w:tcBorders>
                    <w:tl2br w:val="nil"/>
                    <w:tr2bl w:val="nil"/>
                  </w:tcBorders>
                  <w:noWrap w:val="0"/>
                  <w:vAlign w:val="center"/>
                </w:tcPr>
                <w:p w14:paraId="571E5BC4">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15</w:t>
                  </w:r>
                </w:p>
              </w:tc>
              <w:tc>
                <w:tcPr>
                  <w:tcW w:w="1704" w:type="pct"/>
                  <w:tcBorders>
                    <w:tl2br w:val="nil"/>
                    <w:tr2bl w:val="nil"/>
                  </w:tcBorders>
                  <w:noWrap w:val="0"/>
                  <w:vAlign w:val="top"/>
                </w:tcPr>
                <w:p w14:paraId="105740C4">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颈颅磁刺激仪</w:t>
                  </w:r>
                </w:p>
              </w:tc>
              <w:tc>
                <w:tcPr>
                  <w:tcW w:w="1396" w:type="pct"/>
                  <w:tcBorders>
                    <w:tl2br w:val="nil"/>
                    <w:tr2bl w:val="nil"/>
                  </w:tcBorders>
                  <w:noWrap w:val="0"/>
                  <w:vAlign w:val="top"/>
                </w:tcPr>
                <w:p w14:paraId="503C2C33">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21-N010</w:t>
                  </w:r>
                </w:p>
              </w:tc>
              <w:tc>
                <w:tcPr>
                  <w:tcW w:w="793" w:type="pct"/>
                  <w:tcBorders>
                    <w:tl2br w:val="nil"/>
                    <w:tr2bl w:val="nil"/>
                  </w:tcBorders>
                  <w:noWrap w:val="0"/>
                  <w:vAlign w:val="center"/>
                </w:tcPr>
                <w:p w14:paraId="26D45EC7">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0E410349">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3BEA9F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6E4BE2F2">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16</w:t>
                  </w:r>
                </w:p>
              </w:tc>
              <w:tc>
                <w:tcPr>
                  <w:tcW w:w="1704" w:type="pct"/>
                  <w:tcBorders>
                    <w:tl2br w:val="nil"/>
                    <w:tr2bl w:val="nil"/>
                  </w:tcBorders>
                  <w:noWrap w:val="0"/>
                  <w:vAlign w:val="top"/>
                </w:tcPr>
                <w:p w14:paraId="345EA796">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多道心电图机</w:t>
                  </w:r>
                </w:p>
              </w:tc>
              <w:tc>
                <w:tcPr>
                  <w:tcW w:w="1396" w:type="pct"/>
                  <w:tcBorders>
                    <w:tl2br w:val="nil"/>
                    <w:tr2bl w:val="nil"/>
                  </w:tcBorders>
                  <w:noWrap w:val="0"/>
                  <w:vAlign w:val="top"/>
                </w:tcPr>
                <w:p w14:paraId="77CA1CD6">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Se-3</w:t>
                  </w:r>
                </w:p>
              </w:tc>
              <w:tc>
                <w:tcPr>
                  <w:tcW w:w="793" w:type="pct"/>
                  <w:tcBorders>
                    <w:tl2br w:val="nil"/>
                    <w:tr2bl w:val="nil"/>
                  </w:tcBorders>
                  <w:noWrap w:val="0"/>
                  <w:vAlign w:val="top"/>
                </w:tcPr>
                <w:p w14:paraId="68BCF052">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b/>
                      <w:color w:val="auto"/>
                      <w:spacing w:val="0"/>
                      <w:sz w:val="21"/>
                      <w:szCs w:val="21"/>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7C5244B0">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5C6203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647F0D9F">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17</w:t>
                  </w:r>
                </w:p>
              </w:tc>
              <w:tc>
                <w:tcPr>
                  <w:tcW w:w="1704" w:type="pct"/>
                  <w:tcBorders>
                    <w:tl2br w:val="nil"/>
                    <w:tr2bl w:val="nil"/>
                  </w:tcBorders>
                  <w:noWrap w:val="0"/>
                  <w:vAlign w:val="top"/>
                </w:tcPr>
                <w:p w14:paraId="35A30346">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牙科综合治疗机</w:t>
                  </w:r>
                </w:p>
              </w:tc>
              <w:tc>
                <w:tcPr>
                  <w:tcW w:w="1396" w:type="pct"/>
                  <w:tcBorders>
                    <w:tl2br w:val="nil"/>
                    <w:tr2bl w:val="nil"/>
                  </w:tcBorders>
                  <w:noWrap w:val="0"/>
                  <w:vAlign w:val="top"/>
                </w:tcPr>
                <w:p w14:paraId="7D57DA8A">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668A</w:t>
                  </w:r>
                </w:p>
              </w:tc>
              <w:tc>
                <w:tcPr>
                  <w:tcW w:w="793" w:type="pct"/>
                  <w:tcBorders>
                    <w:tl2br w:val="nil"/>
                    <w:tr2bl w:val="nil"/>
                  </w:tcBorders>
                  <w:noWrap w:val="0"/>
                  <w:vAlign w:val="top"/>
                </w:tcPr>
                <w:p w14:paraId="4860B97D">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5AACB643">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3E6195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76929F13">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18</w:t>
                  </w:r>
                </w:p>
              </w:tc>
              <w:tc>
                <w:tcPr>
                  <w:tcW w:w="1704" w:type="pct"/>
                  <w:tcBorders>
                    <w:tl2br w:val="nil"/>
                    <w:tr2bl w:val="nil"/>
                  </w:tcBorders>
                  <w:noWrap w:val="0"/>
                  <w:vAlign w:val="top"/>
                </w:tcPr>
                <w:p w14:paraId="52F50C5B">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全自动尿液分析仪</w:t>
                  </w:r>
                </w:p>
              </w:tc>
              <w:tc>
                <w:tcPr>
                  <w:tcW w:w="1396" w:type="pct"/>
                  <w:tcBorders>
                    <w:tl2br w:val="nil"/>
                    <w:tr2bl w:val="nil"/>
                  </w:tcBorders>
                  <w:noWrap w:val="0"/>
                  <w:vAlign w:val="top"/>
                </w:tcPr>
                <w:p w14:paraId="365F1D27">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FUS-3000PLUS</w:t>
                  </w:r>
                </w:p>
              </w:tc>
              <w:tc>
                <w:tcPr>
                  <w:tcW w:w="793" w:type="pct"/>
                  <w:tcBorders>
                    <w:tl2br w:val="nil"/>
                    <w:tr2bl w:val="nil"/>
                  </w:tcBorders>
                  <w:noWrap w:val="0"/>
                  <w:vAlign w:val="top"/>
                </w:tcPr>
                <w:p w14:paraId="7601D6D9">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7DA79776">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2805D5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114AABA1">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19</w:t>
                  </w:r>
                </w:p>
              </w:tc>
              <w:tc>
                <w:tcPr>
                  <w:tcW w:w="1704" w:type="pct"/>
                  <w:tcBorders>
                    <w:tl2br w:val="nil"/>
                    <w:tr2bl w:val="nil"/>
                  </w:tcBorders>
                  <w:noWrap w:val="0"/>
                  <w:vAlign w:val="top"/>
                </w:tcPr>
                <w:p w14:paraId="0281FAA6">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彩色多普勒超声</w:t>
                  </w:r>
                </w:p>
              </w:tc>
              <w:tc>
                <w:tcPr>
                  <w:tcW w:w="1396" w:type="pct"/>
                  <w:tcBorders>
                    <w:tl2br w:val="nil"/>
                    <w:tr2bl w:val="nil"/>
                  </w:tcBorders>
                  <w:noWrap w:val="0"/>
                  <w:vAlign w:val="top"/>
                </w:tcPr>
                <w:p w14:paraId="1D71470E">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 xml:space="preserve">F37  </w:t>
                  </w:r>
                </w:p>
              </w:tc>
              <w:tc>
                <w:tcPr>
                  <w:tcW w:w="793" w:type="pct"/>
                  <w:tcBorders>
                    <w:tl2br w:val="nil"/>
                    <w:tr2bl w:val="nil"/>
                  </w:tcBorders>
                  <w:noWrap w:val="0"/>
                  <w:vAlign w:val="top"/>
                </w:tcPr>
                <w:p w14:paraId="5AE4BA31">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lang w:val="en-US" w:eastAsia="zh-CN"/>
                    </w:rPr>
                    <w:t>2</w:t>
                  </w:r>
                </w:p>
              </w:tc>
              <w:tc>
                <w:tcPr>
                  <w:tcW w:w="707" w:type="pct"/>
                  <w:tcBorders>
                    <w:tl2br w:val="nil"/>
                    <w:tr2bl w:val="nil"/>
                  </w:tcBorders>
                  <w:noWrap w:val="0"/>
                  <w:vAlign w:val="center"/>
                </w:tcPr>
                <w:p w14:paraId="1F5F4106">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4E076F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6E27E020">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20</w:t>
                  </w:r>
                </w:p>
              </w:tc>
              <w:tc>
                <w:tcPr>
                  <w:tcW w:w="1704" w:type="pct"/>
                  <w:tcBorders>
                    <w:tl2br w:val="nil"/>
                    <w:tr2bl w:val="nil"/>
                  </w:tcBorders>
                  <w:noWrap w:val="0"/>
                  <w:vAlign w:val="top"/>
                </w:tcPr>
                <w:p w14:paraId="1DF63C9B">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超声诊断系统</w:t>
                  </w:r>
                </w:p>
              </w:tc>
              <w:tc>
                <w:tcPr>
                  <w:tcW w:w="1396" w:type="pct"/>
                  <w:tcBorders>
                    <w:tl2br w:val="nil"/>
                    <w:tr2bl w:val="nil"/>
                  </w:tcBorders>
                  <w:noWrap w:val="0"/>
                  <w:vAlign w:val="top"/>
                </w:tcPr>
                <w:p w14:paraId="1046B005">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 xml:space="preserve">HD7  </w:t>
                  </w:r>
                </w:p>
              </w:tc>
              <w:tc>
                <w:tcPr>
                  <w:tcW w:w="793" w:type="pct"/>
                  <w:tcBorders>
                    <w:tl2br w:val="nil"/>
                    <w:tr2bl w:val="nil"/>
                  </w:tcBorders>
                  <w:noWrap w:val="0"/>
                  <w:vAlign w:val="top"/>
                </w:tcPr>
                <w:p w14:paraId="788F7551">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lang w:val="en-US" w:eastAsia="zh-CN"/>
                    </w:rPr>
                    <w:t>2</w:t>
                  </w:r>
                </w:p>
              </w:tc>
              <w:tc>
                <w:tcPr>
                  <w:tcW w:w="707" w:type="pct"/>
                  <w:tcBorders>
                    <w:tl2br w:val="nil"/>
                    <w:tr2bl w:val="nil"/>
                  </w:tcBorders>
                  <w:noWrap w:val="0"/>
                  <w:vAlign w:val="center"/>
                </w:tcPr>
                <w:p w14:paraId="019FAB4D">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4903F7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71D810D3">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21</w:t>
                  </w:r>
                </w:p>
              </w:tc>
              <w:tc>
                <w:tcPr>
                  <w:tcW w:w="1704" w:type="pct"/>
                  <w:tcBorders>
                    <w:tl2br w:val="nil"/>
                    <w:tr2bl w:val="nil"/>
                  </w:tcBorders>
                  <w:noWrap w:val="0"/>
                  <w:vAlign w:val="top"/>
                </w:tcPr>
                <w:p w14:paraId="18EB12ED">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医用内窥镜冷光源</w:t>
                  </w:r>
                </w:p>
              </w:tc>
              <w:tc>
                <w:tcPr>
                  <w:tcW w:w="1396" w:type="pct"/>
                  <w:tcBorders>
                    <w:tl2br w:val="nil"/>
                    <w:tr2bl w:val="nil"/>
                  </w:tcBorders>
                  <w:noWrap w:val="0"/>
                  <w:vAlign w:val="top"/>
                </w:tcPr>
                <w:p w14:paraId="05958DCE">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SY-SHREK-202</w:t>
                  </w:r>
                </w:p>
              </w:tc>
              <w:tc>
                <w:tcPr>
                  <w:tcW w:w="793" w:type="pct"/>
                  <w:tcBorders>
                    <w:tl2br w:val="nil"/>
                    <w:tr2bl w:val="nil"/>
                  </w:tcBorders>
                  <w:noWrap w:val="0"/>
                  <w:vAlign w:val="top"/>
                </w:tcPr>
                <w:p w14:paraId="48F4D1DF">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08A2C0C3">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43A0DF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722C1F67">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22</w:t>
                  </w:r>
                </w:p>
              </w:tc>
              <w:tc>
                <w:tcPr>
                  <w:tcW w:w="1704" w:type="pct"/>
                  <w:tcBorders>
                    <w:tl2br w:val="nil"/>
                    <w:tr2bl w:val="nil"/>
                  </w:tcBorders>
                  <w:noWrap w:val="0"/>
                  <w:vAlign w:val="top"/>
                </w:tcPr>
                <w:p w14:paraId="50B68C5C">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等离子手术系统</w:t>
                  </w:r>
                </w:p>
              </w:tc>
              <w:tc>
                <w:tcPr>
                  <w:tcW w:w="1396" w:type="pct"/>
                  <w:tcBorders>
                    <w:tl2br w:val="nil"/>
                    <w:tr2bl w:val="nil"/>
                  </w:tcBorders>
                  <w:noWrap w:val="0"/>
                  <w:vAlign w:val="top"/>
                </w:tcPr>
                <w:p w14:paraId="4E4D2566">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PLA-600</w:t>
                  </w:r>
                </w:p>
              </w:tc>
              <w:tc>
                <w:tcPr>
                  <w:tcW w:w="793" w:type="pct"/>
                  <w:tcBorders>
                    <w:tl2br w:val="nil"/>
                    <w:tr2bl w:val="nil"/>
                  </w:tcBorders>
                  <w:noWrap w:val="0"/>
                  <w:vAlign w:val="top"/>
                </w:tcPr>
                <w:p w14:paraId="0FBE7E55">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70912498">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486BEE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4959A6D4">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23</w:t>
                  </w:r>
                </w:p>
              </w:tc>
              <w:tc>
                <w:tcPr>
                  <w:tcW w:w="1704" w:type="pct"/>
                  <w:tcBorders>
                    <w:tl2br w:val="nil"/>
                    <w:tr2bl w:val="nil"/>
                  </w:tcBorders>
                  <w:noWrap w:val="0"/>
                  <w:vAlign w:val="top"/>
                </w:tcPr>
                <w:p w14:paraId="4499B01A">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医用冷光源</w:t>
                  </w:r>
                </w:p>
              </w:tc>
              <w:tc>
                <w:tcPr>
                  <w:tcW w:w="1396" w:type="pct"/>
                  <w:tcBorders>
                    <w:tl2br w:val="nil"/>
                    <w:tr2bl w:val="nil"/>
                  </w:tcBorders>
                  <w:noWrap w:val="0"/>
                  <w:vAlign w:val="top"/>
                </w:tcPr>
                <w:p w14:paraId="65605B24">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YL-IV</w:t>
                  </w:r>
                </w:p>
              </w:tc>
              <w:tc>
                <w:tcPr>
                  <w:tcW w:w="793" w:type="pct"/>
                  <w:tcBorders>
                    <w:tl2br w:val="nil"/>
                    <w:tr2bl w:val="nil"/>
                  </w:tcBorders>
                  <w:noWrap w:val="0"/>
                  <w:vAlign w:val="top"/>
                </w:tcPr>
                <w:p w14:paraId="5229A0DA">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lang w:val="en-US" w:eastAsia="zh-CN"/>
                    </w:rPr>
                    <w:t>2</w:t>
                  </w:r>
                </w:p>
              </w:tc>
              <w:tc>
                <w:tcPr>
                  <w:tcW w:w="707" w:type="pct"/>
                  <w:tcBorders>
                    <w:tl2br w:val="nil"/>
                    <w:tr2bl w:val="nil"/>
                  </w:tcBorders>
                  <w:noWrap w:val="0"/>
                  <w:vAlign w:val="center"/>
                </w:tcPr>
                <w:p w14:paraId="66BE00E1">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380C07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5546A3D2">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24</w:t>
                  </w:r>
                </w:p>
              </w:tc>
              <w:tc>
                <w:tcPr>
                  <w:tcW w:w="1704" w:type="pct"/>
                  <w:tcBorders>
                    <w:tl2br w:val="nil"/>
                    <w:tr2bl w:val="nil"/>
                  </w:tcBorders>
                  <w:noWrap w:val="0"/>
                  <w:vAlign w:val="top"/>
                </w:tcPr>
                <w:p w14:paraId="672BFE98">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振动排痰机</w:t>
                  </w:r>
                </w:p>
              </w:tc>
              <w:tc>
                <w:tcPr>
                  <w:tcW w:w="1396" w:type="pct"/>
                  <w:tcBorders>
                    <w:tl2br w:val="nil"/>
                    <w:tr2bl w:val="nil"/>
                  </w:tcBorders>
                  <w:noWrap w:val="0"/>
                  <w:vAlign w:val="top"/>
                </w:tcPr>
                <w:p w14:paraId="3F022AD4">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NHZ-03VA</w:t>
                  </w:r>
                </w:p>
              </w:tc>
              <w:tc>
                <w:tcPr>
                  <w:tcW w:w="793" w:type="pct"/>
                  <w:tcBorders>
                    <w:tl2br w:val="nil"/>
                    <w:tr2bl w:val="nil"/>
                  </w:tcBorders>
                  <w:noWrap w:val="0"/>
                  <w:vAlign w:val="top"/>
                </w:tcPr>
                <w:p w14:paraId="4C59C686">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657D694F">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67A778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5A12DE32">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25</w:t>
                  </w:r>
                </w:p>
              </w:tc>
              <w:tc>
                <w:tcPr>
                  <w:tcW w:w="1704" w:type="pct"/>
                  <w:tcBorders>
                    <w:tl2br w:val="nil"/>
                    <w:tr2bl w:val="nil"/>
                  </w:tcBorders>
                  <w:noWrap w:val="0"/>
                  <w:vAlign w:val="top"/>
                </w:tcPr>
                <w:p w14:paraId="06A0792C">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超声手术刀系统</w:t>
                  </w:r>
                </w:p>
              </w:tc>
              <w:tc>
                <w:tcPr>
                  <w:tcW w:w="1396" w:type="pct"/>
                  <w:tcBorders>
                    <w:tl2br w:val="nil"/>
                    <w:tr2bl w:val="nil"/>
                  </w:tcBorders>
                  <w:noWrap w:val="0"/>
                  <w:vAlign w:val="top"/>
                </w:tcPr>
                <w:p w14:paraId="7980A5DE">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AH-600</w:t>
                  </w:r>
                </w:p>
              </w:tc>
              <w:tc>
                <w:tcPr>
                  <w:tcW w:w="793" w:type="pct"/>
                  <w:tcBorders>
                    <w:tl2br w:val="nil"/>
                    <w:tr2bl w:val="nil"/>
                  </w:tcBorders>
                  <w:noWrap w:val="0"/>
                  <w:vAlign w:val="top"/>
                </w:tcPr>
                <w:p w14:paraId="08242C6F">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lang w:val="en-US" w:eastAsia="zh-CN"/>
                    </w:rPr>
                    <w:t>2</w:t>
                  </w:r>
                </w:p>
              </w:tc>
              <w:tc>
                <w:tcPr>
                  <w:tcW w:w="707" w:type="pct"/>
                  <w:tcBorders>
                    <w:tl2br w:val="nil"/>
                    <w:tr2bl w:val="nil"/>
                  </w:tcBorders>
                  <w:noWrap w:val="0"/>
                  <w:vAlign w:val="center"/>
                </w:tcPr>
                <w:p w14:paraId="510616FF">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21008E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398" w:type="pct"/>
                  <w:tcBorders>
                    <w:tl2br w:val="nil"/>
                    <w:tr2bl w:val="nil"/>
                  </w:tcBorders>
                  <w:noWrap w:val="0"/>
                  <w:vAlign w:val="center"/>
                </w:tcPr>
                <w:p w14:paraId="7F62D44C">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26</w:t>
                  </w:r>
                </w:p>
              </w:tc>
              <w:tc>
                <w:tcPr>
                  <w:tcW w:w="1704" w:type="pct"/>
                  <w:tcBorders>
                    <w:tl2br w:val="nil"/>
                    <w:tr2bl w:val="nil"/>
                  </w:tcBorders>
                  <w:noWrap w:val="0"/>
                  <w:vAlign w:val="top"/>
                </w:tcPr>
                <w:p w14:paraId="4912F5F2">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强脉冲光治疗仪</w:t>
                  </w:r>
                </w:p>
              </w:tc>
              <w:tc>
                <w:tcPr>
                  <w:tcW w:w="1396" w:type="pct"/>
                  <w:tcBorders>
                    <w:tl2br w:val="nil"/>
                    <w:tr2bl w:val="nil"/>
                  </w:tcBorders>
                  <w:noWrap w:val="0"/>
                  <w:vAlign w:val="top"/>
                </w:tcPr>
                <w:p w14:paraId="69A73005">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KL-L</w:t>
                  </w:r>
                </w:p>
              </w:tc>
              <w:tc>
                <w:tcPr>
                  <w:tcW w:w="793" w:type="pct"/>
                  <w:tcBorders>
                    <w:tl2br w:val="nil"/>
                    <w:tr2bl w:val="nil"/>
                  </w:tcBorders>
                  <w:noWrap w:val="0"/>
                  <w:vAlign w:val="top"/>
                </w:tcPr>
                <w:p w14:paraId="2A772109">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2BD0C8B8">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07F90A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tcBorders>
                    <w:tl2br w:val="nil"/>
                    <w:tr2bl w:val="nil"/>
                  </w:tcBorders>
                  <w:noWrap w:val="0"/>
                  <w:vAlign w:val="center"/>
                </w:tcPr>
                <w:p w14:paraId="02A4D191">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27</w:t>
                  </w:r>
                </w:p>
              </w:tc>
              <w:tc>
                <w:tcPr>
                  <w:tcW w:w="1704" w:type="pct"/>
                  <w:tcBorders>
                    <w:tl2br w:val="nil"/>
                    <w:tr2bl w:val="nil"/>
                  </w:tcBorders>
                  <w:noWrap w:val="0"/>
                  <w:vAlign w:val="top"/>
                </w:tcPr>
                <w:p w14:paraId="33B0CF8B">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宫颈癌筛查系统</w:t>
                  </w:r>
                </w:p>
              </w:tc>
              <w:tc>
                <w:tcPr>
                  <w:tcW w:w="1396" w:type="pct"/>
                  <w:tcBorders>
                    <w:tl2br w:val="nil"/>
                    <w:tr2bl w:val="nil"/>
                  </w:tcBorders>
                  <w:noWrap w:val="0"/>
                  <w:vAlign w:val="top"/>
                </w:tcPr>
                <w:p w14:paraId="24864C03">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TS01</w:t>
                  </w:r>
                </w:p>
              </w:tc>
              <w:tc>
                <w:tcPr>
                  <w:tcW w:w="793" w:type="pct"/>
                  <w:tcBorders>
                    <w:tl2br w:val="nil"/>
                    <w:tr2bl w:val="nil"/>
                  </w:tcBorders>
                  <w:noWrap w:val="0"/>
                  <w:vAlign w:val="top"/>
                </w:tcPr>
                <w:p w14:paraId="09258E21">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tcBorders>
                    <w:tl2br w:val="nil"/>
                    <w:tr2bl w:val="nil"/>
                  </w:tcBorders>
                  <w:noWrap w:val="0"/>
                  <w:vAlign w:val="center"/>
                </w:tcPr>
                <w:p w14:paraId="456A4AA0">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694146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2CE7DF3A">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28</w:t>
                  </w:r>
                </w:p>
              </w:tc>
              <w:tc>
                <w:tcPr>
                  <w:tcW w:w="1704" w:type="pct"/>
                  <w:noWrap w:val="0"/>
                  <w:vAlign w:val="top"/>
                </w:tcPr>
                <w:p w14:paraId="095C6F42">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阴道分泌物分析仪</w:t>
                  </w:r>
                </w:p>
              </w:tc>
              <w:tc>
                <w:tcPr>
                  <w:tcW w:w="1396" w:type="pct"/>
                  <w:noWrap w:val="0"/>
                  <w:vAlign w:val="top"/>
                </w:tcPr>
                <w:p w14:paraId="28E65B4D">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LTS-310</w:t>
                  </w:r>
                </w:p>
              </w:tc>
              <w:tc>
                <w:tcPr>
                  <w:tcW w:w="793" w:type="pct"/>
                  <w:noWrap w:val="0"/>
                  <w:vAlign w:val="top"/>
                </w:tcPr>
                <w:p w14:paraId="7B7237F3">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63A3A37C">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136E69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55C659DA">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29</w:t>
                  </w:r>
                </w:p>
              </w:tc>
              <w:tc>
                <w:tcPr>
                  <w:tcW w:w="1704" w:type="pct"/>
                  <w:noWrap w:val="0"/>
                  <w:vAlign w:val="top"/>
                </w:tcPr>
                <w:p w14:paraId="3A99890E">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医用冷藏箱</w:t>
                  </w:r>
                </w:p>
              </w:tc>
              <w:tc>
                <w:tcPr>
                  <w:tcW w:w="1396" w:type="pct"/>
                  <w:noWrap w:val="0"/>
                  <w:vAlign w:val="top"/>
                </w:tcPr>
                <w:p w14:paraId="0A01628E">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HYC-310</w:t>
                  </w:r>
                </w:p>
              </w:tc>
              <w:tc>
                <w:tcPr>
                  <w:tcW w:w="793" w:type="pct"/>
                  <w:noWrap w:val="0"/>
                  <w:vAlign w:val="top"/>
                </w:tcPr>
                <w:p w14:paraId="59142990">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2CC91581">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772F18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787FE679">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30</w:t>
                  </w:r>
                </w:p>
              </w:tc>
              <w:tc>
                <w:tcPr>
                  <w:tcW w:w="1704" w:type="pct"/>
                  <w:noWrap w:val="0"/>
                  <w:vAlign w:val="top"/>
                </w:tcPr>
                <w:p w14:paraId="49FC60A7">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医用冷光源</w:t>
                  </w:r>
                </w:p>
              </w:tc>
              <w:tc>
                <w:tcPr>
                  <w:tcW w:w="1396" w:type="pct"/>
                  <w:noWrap w:val="0"/>
                  <w:vAlign w:val="top"/>
                </w:tcPr>
                <w:p w14:paraId="49F3A985">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T5041</w:t>
                  </w:r>
                </w:p>
              </w:tc>
              <w:tc>
                <w:tcPr>
                  <w:tcW w:w="793" w:type="pct"/>
                  <w:noWrap w:val="0"/>
                  <w:vAlign w:val="top"/>
                </w:tcPr>
                <w:p w14:paraId="1351814D">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1C10AC25">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189AB2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07B46597">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31</w:t>
                  </w:r>
                </w:p>
              </w:tc>
              <w:tc>
                <w:tcPr>
                  <w:tcW w:w="1704" w:type="pct"/>
                  <w:noWrap w:val="0"/>
                  <w:vAlign w:val="top"/>
                </w:tcPr>
                <w:p w14:paraId="160CA12F">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肛肠内腔整复仪</w:t>
                  </w:r>
                </w:p>
              </w:tc>
              <w:tc>
                <w:tcPr>
                  <w:tcW w:w="1396" w:type="pct"/>
                  <w:noWrap w:val="0"/>
                  <w:vAlign w:val="top"/>
                </w:tcPr>
                <w:p w14:paraId="62D8A336">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XN-ZXI</w:t>
                  </w:r>
                </w:p>
              </w:tc>
              <w:tc>
                <w:tcPr>
                  <w:tcW w:w="793" w:type="pct"/>
                  <w:noWrap w:val="0"/>
                  <w:vAlign w:val="center"/>
                </w:tcPr>
                <w:p w14:paraId="62840F6A">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48B7F2FC">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0DAC3A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64425C8D">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32</w:t>
                  </w:r>
                </w:p>
              </w:tc>
              <w:tc>
                <w:tcPr>
                  <w:tcW w:w="1704" w:type="pct"/>
                  <w:noWrap w:val="0"/>
                  <w:vAlign w:val="top"/>
                </w:tcPr>
                <w:p w14:paraId="1C75A9F9">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电热蒸汽发生器</w:t>
                  </w:r>
                </w:p>
              </w:tc>
              <w:tc>
                <w:tcPr>
                  <w:tcW w:w="1396" w:type="pct"/>
                  <w:noWrap w:val="0"/>
                  <w:vAlign w:val="top"/>
                </w:tcPr>
                <w:p w14:paraId="279B92D6">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ZFQ-T</w:t>
                  </w:r>
                </w:p>
              </w:tc>
              <w:tc>
                <w:tcPr>
                  <w:tcW w:w="793" w:type="pct"/>
                  <w:noWrap w:val="0"/>
                  <w:vAlign w:val="center"/>
                </w:tcPr>
                <w:p w14:paraId="75F84F0B">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63D8111E">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kern w:val="2"/>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3E7A37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7075032A">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33</w:t>
                  </w:r>
                </w:p>
              </w:tc>
              <w:tc>
                <w:tcPr>
                  <w:tcW w:w="1704" w:type="pct"/>
                  <w:noWrap w:val="0"/>
                  <w:vAlign w:val="top"/>
                </w:tcPr>
                <w:p w14:paraId="7EC01207">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脉动真菌灭菌器</w:t>
                  </w:r>
                </w:p>
              </w:tc>
              <w:tc>
                <w:tcPr>
                  <w:tcW w:w="1396" w:type="pct"/>
                  <w:noWrap w:val="0"/>
                  <w:vAlign w:val="top"/>
                </w:tcPr>
                <w:p w14:paraId="1E4B8696">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XG1-D</w:t>
                  </w:r>
                </w:p>
              </w:tc>
              <w:tc>
                <w:tcPr>
                  <w:tcW w:w="793" w:type="pct"/>
                  <w:noWrap w:val="0"/>
                  <w:vAlign w:val="center"/>
                </w:tcPr>
                <w:p w14:paraId="68EA34E1">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551924AC">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339A1C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7FA36890">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34</w:t>
                  </w:r>
                </w:p>
              </w:tc>
              <w:tc>
                <w:tcPr>
                  <w:tcW w:w="1704" w:type="pct"/>
                  <w:noWrap w:val="0"/>
                  <w:vAlign w:val="top"/>
                </w:tcPr>
                <w:p w14:paraId="70A45337">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急速生物阅读器</w:t>
                  </w:r>
                </w:p>
              </w:tc>
              <w:tc>
                <w:tcPr>
                  <w:tcW w:w="1396" w:type="pct"/>
                  <w:noWrap w:val="0"/>
                  <w:vAlign w:val="top"/>
                </w:tcPr>
                <w:p w14:paraId="34ED6EBE">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JS-0102-S</w:t>
                  </w:r>
                </w:p>
              </w:tc>
              <w:tc>
                <w:tcPr>
                  <w:tcW w:w="793" w:type="pct"/>
                  <w:noWrap w:val="0"/>
                  <w:vAlign w:val="center"/>
                </w:tcPr>
                <w:p w14:paraId="68ACC956">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70F65BE9">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671334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75717281">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35</w:t>
                  </w:r>
                </w:p>
              </w:tc>
              <w:tc>
                <w:tcPr>
                  <w:tcW w:w="1704" w:type="pct"/>
                  <w:noWrap w:val="0"/>
                  <w:vAlign w:val="top"/>
                </w:tcPr>
                <w:p w14:paraId="39BC4C21">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电子图像处理器</w:t>
                  </w:r>
                </w:p>
              </w:tc>
              <w:tc>
                <w:tcPr>
                  <w:tcW w:w="1396" w:type="pct"/>
                  <w:noWrap w:val="0"/>
                  <w:vAlign w:val="top"/>
                </w:tcPr>
                <w:p w14:paraId="1A3DF55A">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VP-4450HD</w:t>
                  </w:r>
                </w:p>
              </w:tc>
              <w:tc>
                <w:tcPr>
                  <w:tcW w:w="793" w:type="pct"/>
                  <w:noWrap w:val="0"/>
                  <w:vAlign w:val="center"/>
                </w:tcPr>
                <w:p w14:paraId="7BBAE137">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37ECC789">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7BC0EC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18A9D7C8">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36</w:t>
                  </w:r>
                </w:p>
              </w:tc>
              <w:tc>
                <w:tcPr>
                  <w:tcW w:w="1704" w:type="pct"/>
                  <w:noWrap w:val="0"/>
                  <w:vAlign w:val="top"/>
                </w:tcPr>
                <w:p w14:paraId="42A4030F">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内镜清洗工作站</w:t>
                  </w:r>
                </w:p>
              </w:tc>
              <w:tc>
                <w:tcPr>
                  <w:tcW w:w="1396" w:type="pct"/>
                  <w:noWrap w:val="0"/>
                  <w:vAlign w:val="top"/>
                </w:tcPr>
                <w:p w14:paraId="7F7E771B">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CENTER-R5</w:t>
                  </w:r>
                </w:p>
              </w:tc>
              <w:tc>
                <w:tcPr>
                  <w:tcW w:w="793" w:type="pct"/>
                  <w:noWrap w:val="0"/>
                  <w:vAlign w:val="center"/>
                </w:tcPr>
                <w:p w14:paraId="0A5630D8">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1A31B8F6">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2E1209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98" w:type="pct"/>
                  <w:noWrap w:val="0"/>
                  <w:vAlign w:val="center"/>
                </w:tcPr>
                <w:p w14:paraId="1CE3B166">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37</w:t>
                  </w:r>
                </w:p>
              </w:tc>
              <w:tc>
                <w:tcPr>
                  <w:tcW w:w="1704" w:type="pct"/>
                  <w:noWrap w:val="0"/>
                  <w:vAlign w:val="top"/>
                </w:tcPr>
                <w:p w14:paraId="77846ED0">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结肠灌肠机</w:t>
                  </w:r>
                </w:p>
              </w:tc>
              <w:tc>
                <w:tcPr>
                  <w:tcW w:w="1396" w:type="pct"/>
                  <w:noWrap w:val="0"/>
                  <w:vAlign w:val="top"/>
                </w:tcPr>
                <w:p w14:paraId="47C571B7">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sz w:val="21"/>
                      <w:szCs w:val="21"/>
                    </w:rPr>
                    <w:t>XN-SL</w:t>
                  </w:r>
                </w:p>
              </w:tc>
              <w:tc>
                <w:tcPr>
                  <w:tcW w:w="793" w:type="pct"/>
                  <w:noWrap w:val="0"/>
                  <w:vAlign w:val="center"/>
                </w:tcPr>
                <w:p w14:paraId="1473BA99">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7FA8C02F">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77E22B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397A5328">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38</w:t>
                  </w:r>
                </w:p>
              </w:tc>
              <w:tc>
                <w:tcPr>
                  <w:tcW w:w="1704" w:type="pct"/>
                  <w:noWrap w:val="0"/>
                  <w:vAlign w:val="center"/>
                </w:tcPr>
                <w:p w14:paraId="2612E549">
                  <w:pPr>
                    <w:keepNext w:val="0"/>
                    <w:keepLines w:val="0"/>
                    <w:pageBreakBefore w:val="0"/>
                    <w:widowControl w:val="0"/>
                    <w:kinsoku/>
                    <w:wordWrap/>
                    <w:overflowPunct/>
                    <w:topLinePunct w:val="0"/>
                    <w:bidi w:val="0"/>
                    <w:adjustRightInd/>
                    <w:snapToGrid/>
                    <w:spacing w:line="360" w:lineRule="atLeast"/>
                    <w:ind w:left="0" w:leftChars="0" w:right="0"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全自动尿液分析仪</w:t>
                  </w:r>
                </w:p>
              </w:tc>
              <w:tc>
                <w:tcPr>
                  <w:tcW w:w="1396" w:type="pct"/>
                  <w:noWrap w:val="0"/>
                  <w:vAlign w:val="center"/>
                </w:tcPr>
                <w:p w14:paraId="1EE06AB2">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color w:val="auto"/>
                      <w:spacing w:val="0"/>
                      <w:sz w:val="21"/>
                      <w:szCs w:val="21"/>
                    </w:rPr>
                    <w:t>FUS-3000PLUS</w:t>
                  </w:r>
                </w:p>
              </w:tc>
              <w:tc>
                <w:tcPr>
                  <w:tcW w:w="793" w:type="pct"/>
                  <w:noWrap w:val="0"/>
                  <w:vAlign w:val="center"/>
                </w:tcPr>
                <w:p w14:paraId="36582B69">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3466748F">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79C21F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4E92C7B6">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39</w:t>
                  </w:r>
                </w:p>
              </w:tc>
              <w:tc>
                <w:tcPr>
                  <w:tcW w:w="1704" w:type="pct"/>
                  <w:noWrap w:val="0"/>
                  <w:vAlign w:val="top"/>
                </w:tcPr>
                <w:p w14:paraId="0F8F8D30">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全自动化学发光测定仪</w:t>
                  </w:r>
                </w:p>
              </w:tc>
              <w:tc>
                <w:tcPr>
                  <w:tcW w:w="1396" w:type="pct"/>
                  <w:noWrap w:val="0"/>
                  <w:vAlign w:val="top"/>
                </w:tcPr>
                <w:p w14:paraId="61EA50F2">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Maglumi2000pus</w:t>
                  </w:r>
                </w:p>
              </w:tc>
              <w:tc>
                <w:tcPr>
                  <w:tcW w:w="793" w:type="pct"/>
                  <w:noWrap w:val="0"/>
                  <w:vAlign w:val="center"/>
                </w:tcPr>
                <w:p w14:paraId="28AD9A76">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796D64D1">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kern w:val="2"/>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29782C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50D0F4DF">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40</w:t>
                  </w:r>
                </w:p>
              </w:tc>
              <w:tc>
                <w:tcPr>
                  <w:tcW w:w="1704" w:type="pct"/>
                  <w:noWrap w:val="0"/>
                  <w:vAlign w:val="top"/>
                </w:tcPr>
                <w:p w14:paraId="51EF738B">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全自动化学发光免疫分析仪</w:t>
                  </w:r>
                </w:p>
              </w:tc>
              <w:tc>
                <w:tcPr>
                  <w:tcW w:w="1396" w:type="pct"/>
                  <w:noWrap w:val="0"/>
                  <w:vAlign w:val="top"/>
                </w:tcPr>
                <w:p w14:paraId="10CC8A8D">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CM-320</w:t>
                  </w:r>
                </w:p>
              </w:tc>
              <w:tc>
                <w:tcPr>
                  <w:tcW w:w="793" w:type="pct"/>
                  <w:noWrap w:val="0"/>
                  <w:vAlign w:val="center"/>
                </w:tcPr>
                <w:p w14:paraId="5650AD13">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7235F4F0">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306527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38D2F23B">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41</w:t>
                  </w:r>
                </w:p>
              </w:tc>
              <w:tc>
                <w:tcPr>
                  <w:tcW w:w="1704" w:type="pct"/>
                  <w:noWrap w:val="0"/>
                  <w:vAlign w:val="top"/>
                </w:tcPr>
                <w:p w14:paraId="0EBF8D89">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全自动五类细胞分析仪</w:t>
                  </w:r>
                </w:p>
              </w:tc>
              <w:tc>
                <w:tcPr>
                  <w:tcW w:w="1396" w:type="pct"/>
                  <w:noWrap w:val="0"/>
                  <w:vAlign w:val="top"/>
                </w:tcPr>
                <w:p w14:paraId="77C4593B">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BF-6900</w:t>
                  </w:r>
                </w:p>
              </w:tc>
              <w:tc>
                <w:tcPr>
                  <w:tcW w:w="793" w:type="pct"/>
                  <w:noWrap w:val="0"/>
                  <w:vAlign w:val="center"/>
                </w:tcPr>
                <w:p w14:paraId="02BA56DB">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006039D5">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3F8CD7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7C5C7F95">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42</w:t>
                  </w:r>
                </w:p>
              </w:tc>
              <w:tc>
                <w:tcPr>
                  <w:tcW w:w="1704" w:type="pct"/>
                  <w:noWrap w:val="0"/>
                  <w:vAlign w:val="top"/>
                </w:tcPr>
                <w:p w14:paraId="2BE9DC5A">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全自动生化分析仪</w:t>
                  </w:r>
                </w:p>
              </w:tc>
              <w:tc>
                <w:tcPr>
                  <w:tcW w:w="1396" w:type="pct"/>
                  <w:noWrap w:val="0"/>
                  <w:vAlign w:val="top"/>
                </w:tcPr>
                <w:p w14:paraId="39E86178">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CS-2000</w:t>
                  </w:r>
                </w:p>
              </w:tc>
              <w:tc>
                <w:tcPr>
                  <w:tcW w:w="793" w:type="pct"/>
                  <w:noWrap w:val="0"/>
                  <w:vAlign w:val="center"/>
                </w:tcPr>
                <w:p w14:paraId="329559FF">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28F91C1D">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4DA789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3FB6A1BF">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43</w:t>
                  </w:r>
                </w:p>
              </w:tc>
              <w:tc>
                <w:tcPr>
                  <w:tcW w:w="1704" w:type="pct"/>
                  <w:noWrap w:val="0"/>
                  <w:vAlign w:val="top"/>
                </w:tcPr>
                <w:p w14:paraId="5DB050BE">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全自动血液分析仪</w:t>
                  </w:r>
                </w:p>
              </w:tc>
              <w:tc>
                <w:tcPr>
                  <w:tcW w:w="1396" w:type="pct"/>
                  <w:noWrap w:val="0"/>
                  <w:vAlign w:val="top"/>
                </w:tcPr>
                <w:p w14:paraId="5A6992A9">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XS-1000I</w:t>
                  </w:r>
                </w:p>
              </w:tc>
              <w:tc>
                <w:tcPr>
                  <w:tcW w:w="793" w:type="pct"/>
                  <w:noWrap w:val="0"/>
                  <w:vAlign w:val="center"/>
                </w:tcPr>
                <w:p w14:paraId="34DB877C">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28765F4E">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5B736E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763BFC3D">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44</w:t>
                  </w:r>
                </w:p>
              </w:tc>
              <w:tc>
                <w:tcPr>
                  <w:tcW w:w="1704" w:type="pct"/>
                  <w:noWrap w:val="0"/>
                  <w:vAlign w:val="top"/>
                </w:tcPr>
                <w:p w14:paraId="372B2738">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全自动血沉测试仪</w:t>
                  </w:r>
                </w:p>
              </w:tc>
              <w:tc>
                <w:tcPr>
                  <w:tcW w:w="1396" w:type="pct"/>
                  <w:noWrap w:val="0"/>
                  <w:vAlign w:val="top"/>
                </w:tcPr>
                <w:p w14:paraId="262ED80D">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ZC30</w:t>
                  </w:r>
                </w:p>
              </w:tc>
              <w:tc>
                <w:tcPr>
                  <w:tcW w:w="793" w:type="pct"/>
                  <w:noWrap w:val="0"/>
                  <w:vAlign w:val="center"/>
                </w:tcPr>
                <w:p w14:paraId="6E44C4CF">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2327D77E">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7E34AB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3D1987AD">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45</w:t>
                  </w:r>
                </w:p>
              </w:tc>
              <w:tc>
                <w:tcPr>
                  <w:tcW w:w="1704" w:type="pct"/>
                  <w:noWrap w:val="0"/>
                  <w:vAlign w:val="top"/>
                </w:tcPr>
                <w:p w14:paraId="164EE097">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全自动血凝测试仪</w:t>
                  </w:r>
                </w:p>
              </w:tc>
              <w:tc>
                <w:tcPr>
                  <w:tcW w:w="1396" w:type="pct"/>
                  <w:noWrap w:val="0"/>
                  <w:vAlign w:val="top"/>
                </w:tcPr>
                <w:p w14:paraId="29019EA1">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XL3200C</w:t>
                  </w:r>
                </w:p>
              </w:tc>
              <w:tc>
                <w:tcPr>
                  <w:tcW w:w="793" w:type="pct"/>
                  <w:noWrap w:val="0"/>
                  <w:vAlign w:val="center"/>
                </w:tcPr>
                <w:p w14:paraId="7A84B771">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2BC81F65">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054270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30617504">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46</w:t>
                  </w:r>
                </w:p>
              </w:tc>
              <w:tc>
                <w:tcPr>
                  <w:tcW w:w="1704" w:type="pct"/>
                  <w:noWrap w:val="0"/>
                  <w:vAlign w:val="top"/>
                </w:tcPr>
                <w:p w14:paraId="023BFD78">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en-US" w:bidi="zh-CN"/>
                    </w:rPr>
                  </w:pPr>
                  <w:r>
                    <w:rPr>
                      <w:rFonts w:hint="default" w:ascii="Times New Roman" w:hAnsi="Times New Roman" w:eastAsia="宋体" w:cs="Times New Roman"/>
                      <w:color w:val="auto"/>
                      <w:spacing w:val="0"/>
                      <w:sz w:val="21"/>
                      <w:szCs w:val="21"/>
                    </w:rPr>
                    <w:t>幽门螺旋杆菌测试仪</w:t>
                  </w:r>
                </w:p>
              </w:tc>
              <w:tc>
                <w:tcPr>
                  <w:tcW w:w="1396" w:type="pct"/>
                  <w:noWrap w:val="0"/>
                  <w:vAlign w:val="top"/>
                </w:tcPr>
                <w:p w14:paraId="305C4C2A">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HUB-T-20A2</w:t>
                  </w:r>
                </w:p>
              </w:tc>
              <w:tc>
                <w:tcPr>
                  <w:tcW w:w="793" w:type="pct"/>
                  <w:noWrap w:val="0"/>
                  <w:vAlign w:val="center"/>
                </w:tcPr>
                <w:p w14:paraId="3A56149C">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695B83D3">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7B113E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061F9377">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47</w:t>
                  </w:r>
                </w:p>
              </w:tc>
              <w:tc>
                <w:tcPr>
                  <w:tcW w:w="1704" w:type="pct"/>
                  <w:noWrap w:val="0"/>
                  <w:vAlign w:val="top"/>
                </w:tcPr>
                <w:p w14:paraId="0F43F130">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电解质分析仪</w:t>
                  </w:r>
                </w:p>
              </w:tc>
              <w:tc>
                <w:tcPr>
                  <w:tcW w:w="1396" w:type="pct"/>
                  <w:noWrap w:val="0"/>
                  <w:vAlign w:val="top"/>
                </w:tcPr>
                <w:p w14:paraId="5D8DF4C6">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K-LITE6B</w:t>
                  </w:r>
                </w:p>
              </w:tc>
              <w:tc>
                <w:tcPr>
                  <w:tcW w:w="793" w:type="pct"/>
                  <w:noWrap w:val="0"/>
                  <w:vAlign w:val="center"/>
                </w:tcPr>
                <w:p w14:paraId="4B7CC110">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1E01CC2C">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49247C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2939F862">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48</w:t>
                  </w:r>
                </w:p>
              </w:tc>
              <w:tc>
                <w:tcPr>
                  <w:tcW w:w="1704" w:type="pct"/>
                  <w:noWrap w:val="0"/>
                  <w:vAlign w:val="top"/>
                </w:tcPr>
                <w:p w14:paraId="6A9DD520">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en-US" w:bidi="zh-CN"/>
                    </w:rPr>
                  </w:pPr>
                  <w:r>
                    <w:rPr>
                      <w:rFonts w:hint="default" w:ascii="Times New Roman" w:hAnsi="Times New Roman" w:eastAsia="宋体" w:cs="Times New Roman"/>
                      <w:color w:val="auto"/>
                      <w:spacing w:val="0"/>
                      <w:sz w:val="21"/>
                      <w:szCs w:val="21"/>
                    </w:rPr>
                    <w:t>全自动血流变测试仪</w:t>
                  </w:r>
                </w:p>
              </w:tc>
              <w:tc>
                <w:tcPr>
                  <w:tcW w:w="1396" w:type="pct"/>
                  <w:noWrap w:val="0"/>
                  <w:vAlign w:val="top"/>
                </w:tcPr>
                <w:p w14:paraId="33ECDF2E">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ZL6000</w:t>
                  </w:r>
                </w:p>
              </w:tc>
              <w:tc>
                <w:tcPr>
                  <w:tcW w:w="793" w:type="pct"/>
                  <w:noWrap w:val="0"/>
                  <w:vAlign w:val="center"/>
                </w:tcPr>
                <w:p w14:paraId="365DB220">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01D6BAAD">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331570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660FD833">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49</w:t>
                  </w:r>
                </w:p>
              </w:tc>
              <w:tc>
                <w:tcPr>
                  <w:tcW w:w="1704" w:type="pct"/>
                  <w:noWrap w:val="0"/>
                  <w:vAlign w:val="top"/>
                </w:tcPr>
                <w:p w14:paraId="066CB596">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免疫定量分析仪</w:t>
                  </w:r>
                </w:p>
              </w:tc>
              <w:tc>
                <w:tcPr>
                  <w:tcW w:w="1396" w:type="pct"/>
                  <w:noWrap w:val="0"/>
                  <w:vAlign w:val="top"/>
                </w:tcPr>
                <w:p w14:paraId="4052A8BD">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FIA8600</w:t>
                  </w:r>
                </w:p>
              </w:tc>
              <w:tc>
                <w:tcPr>
                  <w:tcW w:w="793" w:type="pct"/>
                  <w:noWrap w:val="0"/>
                  <w:vAlign w:val="center"/>
                </w:tcPr>
                <w:p w14:paraId="00B356A8">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7B9C5E7D">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462DD0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3AD4A7BF">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50</w:t>
                  </w:r>
                </w:p>
              </w:tc>
              <w:tc>
                <w:tcPr>
                  <w:tcW w:w="1704" w:type="pct"/>
                  <w:noWrap w:val="0"/>
                  <w:vAlign w:val="top"/>
                </w:tcPr>
                <w:p w14:paraId="3E640728">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胶体金免疫分析仪</w:t>
                  </w:r>
                </w:p>
              </w:tc>
              <w:tc>
                <w:tcPr>
                  <w:tcW w:w="1396" w:type="pct"/>
                  <w:noWrap w:val="0"/>
                  <w:vAlign w:val="top"/>
                </w:tcPr>
                <w:p w14:paraId="7986192C">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Hytriage-202</w:t>
                  </w:r>
                </w:p>
              </w:tc>
              <w:tc>
                <w:tcPr>
                  <w:tcW w:w="793" w:type="pct"/>
                  <w:noWrap w:val="0"/>
                  <w:vAlign w:val="center"/>
                </w:tcPr>
                <w:p w14:paraId="2BA4CA45">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385F9B86">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53091D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3A96652D">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51</w:t>
                  </w:r>
                </w:p>
              </w:tc>
              <w:tc>
                <w:tcPr>
                  <w:tcW w:w="1704" w:type="pct"/>
                  <w:noWrap w:val="0"/>
                  <w:vAlign w:val="top"/>
                </w:tcPr>
                <w:p w14:paraId="328F9F9A">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立式冷藏柜</w:t>
                  </w:r>
                </w:p>
              </w:tc>
              <w:tc>
                <w:tcPr>
                  <w:tcW w:w="1396" w:type="pct"/>
                  <w:noWrap w:val="0"/>
                  <w:vAlign w:val="top"/>
                </w:tcPr>
                <w:p w14:paraId="2AA334ED">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YC810WDF</w:t>
                  </w:r>
                </w:p>
              </w:tc>
              <w:tc>
                <w:tcPr>
                  <w:tcW w:w="793" w:type="pct"/>
                  <w:noWrap w:val="0"/>
                  <w:vAlign w:val="center"/>
                </w:tcPr>
                <w:p w14:paraId="75AF024A">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6152CEA8">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3C0C05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5F0B9E2F">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52</w:t>
                  </w:r>
                </w:p>
              </w:tc>
              <w:tc>
                <w:tcPr>
                  <w:tcW w:w="1704" w:type="pct"/>
                  <w:noWrap w:val="0"/>
                  <w:vAlign w:val="top"/>
                </w:tcPr>
                <w:p w14:paraId="40878038">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微量元素分析仪</w:t>
                  </w:r>
                </w:p>
              </w:tc>
              <w:tc>
                <w:tcPr>
                  <w:tcW w:w="1396" w:type="pct"/>
                  <w:noWrap w:val="0"/>
                  <w:vAlign w:val="top"/>
                </w:tcPr>
                <w:p w14:paraId="4EB193C6">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WJ-9600A</w:t>
                  </w:r>
                </w:p>
              </w:tc>
              <w:tc>
                <w:tcPr>
                  <w:tcW w:w="793" w:type="pct"/>
                  <w:noWrap w:val="0"/>
                  <w:vAlign w:val="center"/>
                </w:tcPr>
                <w:p w14:paraId="4E50AB0A">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4C4E9955">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kern w:val="2"/>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60877A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4A497686">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53</w:t>
                  </w:r>
                </w:p>
              </w:tc>
              <w:tc>
                <w:tcPr>
                  <w:tcW w:w="1704" w:type="pct"/>
                  <w:noWrap w:val="0"/>
                  <w:vAlign w:val="top"/>
                </w:tcPr>
                <w:p w14:paraId="1BEFF29C">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生物安全柜</w:t>
                  </w:r>
                </w:p>
              </w:tc>
              <w:tc>
                <w:tcPr>
                  <w:tcW w:w="1396" w:type="pct"/>
                  <w:noWrap w:val="0"/>
                  <w:vAlign w:val="top"/>
                </w:tcPr>
                <w:p w14:paraId="4E7C8E99">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BSC-1100IIA2-X</w:t>
                  </w:r>
                </w:p>
              </w:tc>
              <w:tc>
                <w:tcPr>
                  <w:tcW w:w="793" w:type="pct"/>
                  <w:noWrap w:val="0"/>
                  <w:vAlign w:val="center"/>
                </w:tcPr>
                <w:p w14:paraId="084E73A3">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2B2F7C74">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39ACB7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41C033C3">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54</w:t>
                  </w:r>
                </w:p>
              </w:tc>
              <w:tc>
                <w:tcPr>
                  <w:tcW w:w="1704" w:type="pct"/>
                  <w:noWrap w:val="0"/>
                  <w:vAlign w:val="top"/>
                </w:tcPr>
                <w:p w14:paraId="1D9E322F">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zh-CN" w:eastAsia="zh-CN" w:bidi="zh-CN"/>
                    </w:rPr>
                  </w:pPr>
                  <w:r>
                    <w:rPr>
                      <w:rFonts w:hint="default" w:ascii="Times New Roman" w:hAnsi="Times New Roman" w:eastAsia="宋体" w:cs="Times New Roman"/>
                      <w:color w:val="auto"/>
                      <w:spacing w:val="0"/>
                      <w:sz w:val="21"/>
                      <w:szCs w:val="21"/>
                    </w:rPr>
                    <w:t>荧光免疫定量分析仪</w:t>
                  </w:r>
                </w:p>
              </w:tc>
              <w:tc>
                <w:tcPr>
                  <w:tcW w:w="1396" w:type="pct"/>
                  <w:noWrap w:val="0"/>
                  <w:vAlign w:val="top"/>
                </w:tcPr>
                <w:p w14:paraId="50D5CE23">
                  <w:pPr>
                    <w:keepNext w:val="0"/>
                    <w:keepLines w:val="0"/>
                    <w:pageBreakBefore w:val="0"/>
                    <w:widowControl w:val="0"/>
                    <w:kinsoku/>
                    <w:wordWrap/>
                    <w:overflowPunct/>
                    <w:topLinePunct w:val="0"/>
                    <w:bidi w:val="0"/>
                    <w:adjustRightInd/>
                    <w:snapToGrid/>
                    <w:spacing w:line="360" w:lineRule="atLeast"/>
                    <w:ind w:firstLine="0" w:firstLineChars="0"/>
                    <w:jc w:val="center"/>
                    <w:textAlignment w:val="auto"/>
                    <w:rPr>
                      <w:rFonts w:hint="default" w:ascii="Times New Roman" w:hAnsi="Times New Roman" w:eastAsia="宋体" w:cs="Times New Roman"/>
                      <w:color w:val="auto"/>
                      <w:spacing w:val="0"/>
                      <w:sz w:val="21"/>
                      <w:szCs w:val="21"/>
                      <w:lang w:val="en-US" w:eastAsia="zh-CN" w:bidi="zh-CN"/>
                    </w:rPr>
                  </w:pPr>
                  <w:r>
                    <w:rPr>
                      <w:rFonts w:hint="default" w:ascii="Times New Roman" w:hAnsi="Times New Roman" w:eastAsia="宋体" w:cs="Times New Roman"/>
                      <w:color w:val="auto"/>
                      <w:spacing w:val="0"/>
                      <w:sz w:val="21"/>
                      <w:szCs w:val="21"/>
                    </w:rPr>
                    <w:t>GETEIN1600</w:t>
                  </w:r>
                </w:p>
              </w:tc>
              <w:tc>
                <w:tcPr>
                  <w:tcW w:w="793" w:type="pct"/>
                  <w:noWrap w:val="0"/>
                  <w:vAlign w:val="center"/>
                </w:tcPr>
                <w:p w14:paraId="0AD12631">
                  <w:pPr>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24D9D69F">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7FA1EC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240A7C03">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55</w:t>
                  </w:r>
                </w:p>
              </w:tc>
              <w:tc>
                <w:tcPr>
                  <w:tcW w:w="1704" w:type="pct"/>
                  <w:noWrap w:val="0"/>
                  <w:vAlign w:val="center"/>
                </w:tcPr>
                <w:p w14:paraId="18893012">
                  <w:pPr>
                    <w:pStyle w:val="57"/>
                    <w:keepNext w:val="0"/>
                    <w:keepLines w:val="0"/>
                    <w:pageBreakBefore w:val="0"/>
                    <w:widowControl w:val="0"/>
                    <w:kinsoku/>
                    <w:wordWrap/>
                    <w:overflowPunct/>
                    <w:topLinePunct w:val="0"/>
                    <w:bidi w:val="0"/>
                    <w:adjustRightInd/>
                    <w:snapToGrid/>
                    <w:spacing w:line="360" w:lineRule="atLeast"/>
                    <w:ind w:left="0" w:leftChars="0" w:right="0" w:firstLine="0" w:firstLineChars="0"/>
                    <w:jc w:val="center"/>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核磁共振</w:t>
                  </w:r>
                </w:p>
              </w:tc>
              <w:tc>
                <w:tcPr>
                  <w:tcW w:w="1396" w:type="pct"/>
                  <w:noWrap w:val="0"/>
                  <w:vAlign w:val="center"/>
                </w:tcPr>
                <w:p w14:paraId="218E51B2">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1.5TSignaHDxt</w:t>
                  </w:r>
                </w:p>
              </w:tc>
              <w:tc>
                <w:tcPr>
                  <w:tcW w:w="793" w:type="pct"/>
                  <w:noWrap w:val="0"/>
                  <w:vAlign w:val="center"/>
                </w:tcPr>
                <w:p w14:paraId="7614F3C8">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21C1F811">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58D838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089DDF4B">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56</w:t>
                  </w:r>
                </w:p>
              </w:tc>
              <w:tc>
                <w:tcPr>
                  <w:tcW w:w="1704" w:type="pct"/>
                  <w:noWrap w:val="0"/>
                  <w:vAlign w:val="center"/>
                </w:tcPr>
                <w:p w14:paraId="01C7EC24">
                  <w:pPr>
                    <w:pStyle w:val="57"/>
                    <w:keepNext w:val="0"/>
                    <w:keepLines w:val="0"/>
                    <w:pageBreakBefore w:val="0"/>
                    <w:widowControl w:val="0"/>
                    <w:kinsoku/>
                    <w:wordWrap/>
                    <w:overflowPunct/>
                    <w:topLinePunct w:val="0"/>
                    <w:bidi w:val="0"/>
                    <w:adjustRightInd/>
                    <w:snapToGrid/>
                    <w:spacing w:line="360" w:lineRule="atLeast"/>
                    <w:ind w:left="0" w:leftChars="0" w:right="0"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X射线计算机体层摄影设备</w:t>
                  </w:r>
                </w:p>
              </w:tc>
              <w:tc>
                <w:tcPr>
                  <w:tcW w:w="1396" w:type="pct"/>
                  <w:noWrap w:val="0"/>
                  <w:vAlign w:val="center"/>
                </w:tcPr>
                <w:p w14:paraId="6F8A5E2C">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NeuViz128</w:t>
                  </w:r>
                </w:p>
              </w:tc>
              <w:tc>
                <w:tcPr>
                  <w:tcW w:w="793" w:type="pct"/>
                  <w:noWrap w:val="0"/>
                  <w:vAlign w:val="center"/>
                </w:tcPr>
                <w:p w14:paraId="29FC7B94">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44AAE9EB">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1B9035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33011AF6">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57</w:t>
                  </w:r>
                </w:p>
              </w:tc>
              <w:tc>
                <w:tcPr>
                  <w:tcW w:w="1704" w:type="pct"/>
                  <w:noWrap w:val="0"/>
                  <w:vAlign w:val="center"/>
                </w:tcPr>
                <w:p w14:paraId="3521593B">
                  <w:pPr>
                    <w:pStyle w:val="57"/>
                    <w:keepNext w:val="0"/>
                    <w:keepLines w:val="0"/>
                    <w:pageBreakBefore w:val="0"/>
                    <w:widowControl w:val="0"/>
                    <w:kinsoku/>
                    <w:wordWrap/>
                    <w:overflowPunct/>
                    <w:topLinePunct w:val="0"/>
                    <w:bidi w:val="0"/>
                    <w:adjustRightInd/>
                    <w:snapToGrid/>
                    <w:spacing w:line="360" w:lineRule="atLeast"/>
                    <w:ind w:left="0" w:leftChars="0" w:right="0"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摄影X射线机</w:t>
                  </w:r>
                </w:p>
              </w:tc>
              <w:tc>
                <w:tcPr>
                  <w:tcW w:w="1396" w:type="pct"/>
                  <w:noWrap w:val="0"/>
                  <w:vAlign w:val="center"/>
                </w:tcPr>
                <w:p w14:paraId="3524B057">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新东方1000FC型</w:t>
                  </w:r>
                </w:p>
              </w:tc>
              <w:tc>
                <w:tcPr>
                  <w:tcW w:w="793" w:type="pct"/>
                  <w:noWrap w:val="0"/>
                  <w:vAlign w:val="center"/>
                </w:tcPr>
                <w:p w14:paraId="58B45D30">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1FA1D738">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304904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1F81696A">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58</w:t>
                  </w:r>
                </w:p>
              </w:tc>
              <w:tc>
                <w:tcPr>
                  <w:tcW w:w="1704" w:type="pct"/>
                  <w:noWrap w:val="0"/>
                  <w:vAlign w:val="center"/>
                </w:tcPr>
                <w:p w14:paraId="11332F7F">
                  <w:pPr>
                    <w:pStyle w:val="57"/>
                    <w:keepNext w:val="0"/>
                    <w:keepLines w:val="0"/>
                    <w:pageBreakBefore w:val="0"/>
                    <w:widowControl w:val="0"/>
                    <w:kinsoku/>
                    <w:wordWrap/>
                    <w:overflowPunct/>
                    <w:topLinePunct w:val="0"/>
                    <w:bidi w:val="0"/>
                    <w:adjustRightInd/>
                    <w:snapToGrid/>
                    <w:spacing w:line="360" w:lineRule="atLeast"/>
                    <w:ind w:left="0" w:leftChars="0" w:right="0"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X射线计算机体层摄影设备</w:t>
                  </w:r>
                </w:p>
              </w:tc>
              <w:tc>
                <w:tcPr>
                  <w:tcW w:w="1396" w:type="pct"/>
                  <w:noWrap w:val="0"/>
                  <w:vAlign w:val="center"/>
                </w:tcPr>
                <w:p w14:paraId="02BA1460">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RevolutionAdvance</w:t>
                  </w:r>
                </w:p>
              </w:tc>
              <w:tc>
                <w:tcPr>
                  <w:tcW w:w="793" w:type="pct"/>
                  <w:noWrap w:val="0"/>
                  <w:vAlign w:val="center"/>
                </w:tcPr>
                <w:p w14:paraId="316DE42B">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653FE0B2">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51F614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7BC913F5">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59</w:t>
                  </w:r>
                </w:p>
              </w:tc>
              <w:tc>
                <w:tcPr>
                  <w:tcW w:w="1704" w:type="pct"/>
                  <w:noWrap w:val="0"/>
                  <w:vAlign w:val="center"/>
                </w:tcPr>
                <w:p w14:paraId="470E2CD3">
                  <w:pPr>
                    <w:pStyle w:val="57"/>
                    <w:keepNext w:val="0"/>
                    <w:keepLines w:val="0"/>
                    <w:pageBreakBefore w:val="0"/>
                    <w:widowControl w:val="0"/>
                    <w:kinsoku/>
                    <w:wordWrap/>
                    <w:overflowPunct/>
                    <w:topLinePunct w:val="0"/>
                    <w:bidi w:val="0"/>
                    <w:adjustRightInd/>
                    <w:snapToGrid/>
                    <w:spacing w:line="360" w:lineRule="atLeast"/>
                    <w:ind w:left="0" w:leftChars="0" w:right="0"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DSA</w:t>
                  </w:r>
                </w:p>
              </w:tc>
              <w:tc>
                <w:tcPr>
                  <w:tcW w:w="1396" w:type="pct"/>
                  <w:noWrap w:val="0"/>
                  <w:vAlign w:val="center"/>
                </w:tcPr>
                <w:p w14:paraId="38478493">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0161G26701</w:t>
                  </w:r>
                </w:p>
              </w:tc>
              <w:tc>
                <w:tcPr>
                  <w:tcW w:w="793" w:type="pct"/>
                  <w:noWrap w:val="0"/>
                  <w:vAlign w:val="center"/>
                </w:tcPr>
                <w:p w14:paraId="27BD073E">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68E66A3C">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7491AF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696D4E71">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60</w:t>
                  </w:r>
                </w:p>
              </w:tc>
              <w:tc>
                <w:tcPr>
                  <w:tcW w:w="1704" w:type="pct"/>
                  <w:noWrap w:val="0"/>
                  <w:vAlign w:val="center"/>
                </w:tcPr>
                <w:p w14:paraId="7E48AB66">
                  <w:pPr>
                    <w:pStyle w:val="57"/>
                    <w:keepNext w:val="0"/>
                    <w:keepLines w:val="0"/>
                    <w:pageBreakBefore w:val="0"/>
                    <w:widowControl w:val="0"/>
                    <w:kinsoku/>
                    <w:wordWrap/>
                    <w:overflowPunct/>
                    <w:topLinePunct w:val="0"/>
                    <w:bidi w:val="0"/>
                    <w:adjustRightInd/>
                    <w:snapToGrid/>
                    <w:spacing w:line="360" w:lineRule="atLeast"/>
                    <w:ind w:left="0" w:leftChars="0" w:right="0"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普通拍片机系统</w:t>
                  </w:r>
                </w:p>
              </w:tc>
              <w:tc>
                <w:tcPr>
                  <w:tcW w:w="1396" w:type="pct"/>
                  <w:noWrap w:val="0"/>
                  <w:vAlign w:val="center"/>
                </w:tcPr>
                <w:p w14:paraId="1D15EDED">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RADSPEEDM</w:t>
                  </w:r>
                </w:p>
              </w:tc>
              <w:tc>
                <w:tcPr>
                  <w:tcW w:w="793" w:type="pct"/>
                  <w:noWrap w:val="0"/>
                  <w:vAlign w:val="center"/>
                </w:tcPr>
                <w:p w14:paraId="488A8877">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554FD2B8">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07316B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11DD8F94">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61</w:t>
                  </w:r>
                </w:p>
              </w:tc>
              <w:tc>
                <w:tcPr>
                  <w:tcW w:w="1704" w:type="pct"/>
                  <w:noWrap w:val="0"/>
                  <w:vAlign w:val="center"/>
                </w:tcPr>
                <w:p w14:paraId="5574927D">
                  <w:pPr>
                    <w:pStyle w:val="57"/>
                    <w:keepNext w:val="0"/>
                    <w:keepLines w:val="0"/>
                    <w:pageBreakBefore w:val="0"/>
                    <w:widowControl w:val="0"/>
                    <w:kinsoku/>
                    <w:wordWrap/>
                    <w:overflowPunct/>
                    <w:topLinePunct w:val="0"/>
                    <w:bidi w:val="0"/>
                    <w:adjustRightInd/>
                    <w:snapToGrid/>
                    <w:spacing w:line="360" w:lineRule="atLeast"/>
                    <w:ind w:left="0" w:leftChars="0" w:right="0"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X线计算机断层摄影设备</w:t>
                  </w:r>
                </w:p>
              </w:tc>
              <w:tc>
                <w:tcPr>
                  <w:tcW w:w="1396" w:type="pct"/>
                  <w:noWrap w:val="0"/>
                  <w:vAlign w:val="center"/>
                </w:tcPr>
                <w:p w14:paraId="5843CF40">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NeuViz16CLassic</w:t>
                  </w:r>
                </w:p>
              </w:tc>
              <w:tc>
                <w:tcPr>
                  <w:tcW w:w="793" w:type="pct"/>
                  <w:noWrap w:val="0"/>
                  <w:vAlign w:val="center"/>
                </w:tcPr>
                <w:p w14:paraId="2CBE359A">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1D15C62A">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bidi="zh-CN"/>
                    </w:rPr>
                  </w:pPr>
                  <w:r>
                    <w:rPr>
                      <w:rFonts w:hint="default" w:ascii="Times New Roman" w:hAnsi="Times New Roman" w:eastAsia="宋体" w:cs="Times New Roman"/>
                      <w:b w:val="0"/>
                      <w:bCs w:val="0"/>
                      <w:color w:val="auto"/>
                      <w:spacing w:val="0"/>
                      <w:sz w:val="21"/>
                      <w:szCs w:val="21"/>
                      <w:vertAlign w:val="baseline"/>
                      <w:lang w:val="en-US" w:eastAsia="zh-CN"/>
                    </w:rPr>
                    <w:t>现有</w:t>
                  </w:r>
                </w:p>
              </w:tc>
            </w:tr>
            <w:tr w14:paraId="6AEA22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78E2E316">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62</w:t>
                  </w:r>
                </w:p>
              </w:tc>
              <w:tc>
                <w:tcPr>
                  <w:tcW w:w="1704" w:type="pct"/>
                  <w:noWrap w:val="0"/>
                  <w:vAlign w:val="center"/>
                </w:tcPr>
                <w:p w14:paraId="41352105">
                  <w:pPr>
                    <w:pStyle w:val="57"/>
                    <w:keepNext w:val="0"/>
                    <w:keepLines w:val="0"/>
                    <w:pageBreakBefore w:val="0"/>
                    <w:widowControl w:val="0"/>
                    <w:kinsoku/>
                    <w:wordWrap/>
                    <w:overflowPunct/>
                    <w:topLinePunct w:val="0"/>
                    <w:bidi w:val="0"/>
                    <w:adjustRightInd/>
                    <w:snapToGrid/>
                    <w:spacing w:line="360" w:lineRule="atLeast"/>
                    <w:ind w:left="0" w:leftChars="0" w:right="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调节池</w:t>
                  </w:r>
                </w:p>
              </w:tc>
              <w:tc>
                <w:tcPr>
                  <w:tcW w:w="1396" w:type="pct"/>
                  <w:noWrap w:val="0"/>
                  <w:vAlign w:val="center"/>
                </w:tcPr>
                <w:p w14:paraId="6E138BEB">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V=20m</w:t>
                  </w:r>
                  <w:r>
                    <w:rPr>
                      <w:rFonts w:hint="default" w:ascii="Times New Roman" w:hAnsi="Times New Roman" w:eastAsia="宋体" w:cs="Times New Roman"/>
                      <w:b w:val="0"/>
                      <w:bCs w:val="0"/>
                      <w:color w:val="auto"/>
                      <w:spacing w:val="0"/>
                      <w:sz w:val="21"/>
                      <w:szCs w:val="21"/>
                      <w:vertAlign w:val="superscript"/>
                      <w:lang w:val="en-US" w:eastAsia="zh-CN"/>
                    </w:rPr>
                    <w:t>3</w:t>
                  </w:r>
                </w:p>
              </w:tc>
              <w:tc>
                <w:tcPr>
                  <w:tcW w:w="793" w:type="pct"/>
                  <w:noWrap w:val="0"/>
                  <w:vAlign w:val="center"/>
                </w:tcPr>
                <w:p w14:paraId="12DCF853">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08532CF9">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eastAsia" w:ascii="Times New Roman" w:hAnsi="Times New Roman" w:eastAsia="宋体" w:cs="Times New Roman"/>
                      <w:b w:val="0"/>
                      <w:bCs w:val="0"/>
                      <w:color w:val="auto"/>
                      <w:spacing w:val="0"/>
                      <w:sz w:val="21"/>
                      <w:szCs w:val="21"/>
                      <w:vertAlign w:val="baseline"/>
                      <w:lang w:val="en-US" w:eastAsia="zh-CN"/>
                    </w:rPr>
                    <w:t>利用现有</w:t>
                  </w:r>
                </w:p>
              </w:tc>
            </w:tr>
            <w:tr w14:paraId="6194FC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6F3A5FC5">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63</w:t>
                  </w:r>
                </w:p>
              </w:tc>
              <w:tc>
                <w:tcPr>
                  <w:tcW w:w="1704" w:type="pct"/>
                  <w:noWrap w:val="0"/>
                  <w:vAlign w:val="center"/>
                </w:tcPr>
                <w:p w14:paraId="67631D24">
                  <w:pPr>
                    <w:pStyle w:val="57"/>
                    <w:keepNext w:val="0"/>
                    <w:keepLines w:val="0"/>
                    <w:pageBreakBefore w:val="0"/>
                    <w:widowControl w:val="0"/>
                    <w:kinsoku/>
                    <w:wordWrap/>
                    <w:overflowPunct/>
                    <w:topLinePunct w:val="0"/>
                    <w:bidi w:val="0"/>
                    <w:adjustRightInd/>
                    <w:snapToGrid/>
                    <w:spacing w:line="360" w:lineRule="atLeast"/>
                    <w:ind w:left="0" w:leftChars="0" w:right="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水解酸化池</w:t>
                  </w:r>
                </w:p>
              </w:tc>
              <w:tc>
                <w:tcPr>
                  <w:tcW w:w="1396" w:type="pct"/>
                  <w:noWrap w:val="0"/>
                  <w:vAlign w:val="center"/>
                </w:tcPr>
                <w:p w14:paraId="12CE3566">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V=15m</w:t>
                  </w:r>
                  <w:r>
                    <w:rPr>
                      <w:rFonts w:hint="default" w:ascii="Times New Roman" w:hAnsi="Times New Roman" w:eastAsia="宋体" w:cs="Times New Roman"/>
                      <w:b w:val="0"/>
                      <w:bCs w:val="0"/>
                      <w:color w:val="auto"/>
                      <w:spacing w:val="0"/>
                      <w:sz w:val="21"/>
                      <w:szCs w:val="21"/>
                      <w:vertAlign w:val="superscript"/>
                      <w:lang w:val="en-US" w:eastAsia="zh-CN"/>
                    </w:rPr>
                    <w:t>3</w:t>
                  </w:r>
                </w:p>
              </w:tc>
              <w:tc>
                <w:tcPr>
                  <w:tcW w:w="793" w:type="pct"/>
                  <w:noWrap w:val="0"/>
                  <w:vAlign w:val="center"/>
                </w:tcPr>
                <w:p w14:paraId="0D7DC7D5">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6EEB5BA8">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新建</w:t>
                  </w:r>
                </w:p>
              </w:tc>
            </w:tr>
            <w:tr w14:paraId="6B92C1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2A4B97C4">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64</w:t>
                  </w:r>
                </w:p>
              </w:tc>
              <w:tc>
                <w:tcPr>
                  <w:tcW w:w="1704" w:type="pct"/>
                  <w:noWrap w:val="0"/>
                  <w:vAlign w:val="center"/>
                </w:tcPr>
                <w:p w14:paraId="678E67E9">
                  <w:pPr>
                    <w:pStyle w:val="57"/>
                    <w:keepNext w:val="0"/>
                    <w:keepLines w:val="0"/>
                    <w:pageBreakBefore w:val="0"/>
                    <w:widowControl w:val="0"/>
                    <w:kinsoku/>
                    <w:wordWrap/>
                    <w:overflowPunct/>
                    <w:topLinePunct w:val="0"/>
                    <w:bidi w:val="0"/>
                    <w:adjustRightInd/>
                    <w:snapToGrid/>
                    <w:spacing w:line="360" w:lineRule="atLeast"/>
                    <w:ind w:left="0" w:leftChars="0" w:right="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沉淀池</w:t>
                  </w:r>
                </w:p>
              </w:tc>
              <w:tc>
                <w:tcPr>
                  <w:tcW w:w="1396" w:type="pct"/>
                  <w:noWrap w:val="0"/>
                  <w:vAlign w:val="center"/>
                </w:tcPr>
                <w:p w14:paraId="4279B11F">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V=12m</w:t>
                  </w:r>
                  <w:r>
                    <w:rPr>
                      <w:rFonts w:hint="default" w:ascii="Times New Roman" w:hAnsi="Times New Roman" w:eastAsia="宋体" w:cs="Times New Roman"/>
                      <w:b w:val="0"/>
                      <w:bCs w:val="0"/>
                      <w:color w:val="auto"/>
                      <w:spacing w:val="0"/>
                      <w:sz w:val="21"/>
                      <w:szCs w:val="21"/>
                      <w:vertAlign w:val="superscript"/>
                      <w:lang w:val="en-US" w:eastAsia="zh-CN"/>
                    </w:rPr>
                    <w:t>3</w:t>
                  </w:r>
                </w:p>
              </w:tc>
              <w:tc>
                <w:tcPr>
                  <w:tcW w:w="793" w:type="pct"/>
                  <w:noWrap w:val="0"/>
                  <w:vAlign w:val="center"/>
                </w:tcPr>
                <w:p w14:paraId="5D3CCAAF">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3088895F">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利用现有</w:t>
                  </w:r>
                </w:p>
              </w:tc>
            </w:tr>
            <w:tr w14:paraId="68DAA5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1F1EF1E9">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65</w:t>
                  </w:r>
                </w:p>
              </w:tc>
              <w:tc>
                <w:tcPr>
                  <w:tcW w:w="1704" w:type="pct"/>
                  <w:noWrap w:val="0"/>
                  <w:vAlign w:val="center"/>
                </w:tcPr>
                <w:p w14:paraId="3D081AB2">
                  <w:pPr>
                    <w:pStyle w:val="57"/>
                    <w:keepNext w:val="0"/>
                    <w:keepLines w:val="0"/>
                    <w:pageBreakBefore w:val="0"/>
                    <w:widowControl w:val="0"/>
                    <w:kinsoku/>
                    <w:wordWrap/>
                    <w:overflowPunct/>
                    <w:topLinePunct w:val="0"/>
                    <w:bidi w:val="0"/>
                    <w:adjustRightInd/>
                    <w:snapToGrid/>
                    <w:spacing w:line="360" w:lineRule="atLeast"/>
                    <w:ind w:left="0" w:leftChars="0" w:right="0" w:firstLine="0" w:firstLineChars="0"/>
                    <w:jc w:val="center"/>
                    <w:textAlignment w:val="auto"/>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pacing w:val="0"/>
                      <w:sz w:val="21"/>
                      <w:szCs w:val="21"/>
                      <w:lang w:val="en-US" w:eastAsia="zh-CN"/>
                    </w:rPr>
                    <w:t>MBR膜反应池</w:t>
                  </w:r>
                </w:p>
              </w:tc>
              <w:tc>
                <w:tcPr>
                  <w:tcW w:w="1396" w:type="pct"/>
                  <w:noWrap w:val="0"/>
                  <w:vAlign w:val="center"/>
                </w:tcPr>
                <w:p w14:paraId="2E11FB93">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V=10m</w:t>
                  </w:r>
                  <w:r>
                    <w:rPr>
                      <w:rFonts w:hint="default" w:ascii="Times New Roman" w:hAnsi="Times New Roman" w:eastAsia="宋体" w:cs="Times New Roman"/>
                      <w:b w:val="0"/>
                      <w:bCs w:val="0"/>
                      <w:color w:val="auto"/>
                      <w:spacing w:val="0"/>
                      <w:sz w:val="21"/>
                      <w:szCs w:val="21"/>
                      <w:vertAlign w:val="superscript"/>
                      <w:lang w:val="en-US" w:eastAsia="zh-CN"/>
                    </w:rPr>
                    <w:t>3</w:t>
                  </w:r>
                </w:p>
              </w:tc>
              <w:tc>
                <w:tcPr>
                  <w:tcW w:w="793" w:type="pct"/>
                  <w:noWrap w:val="0"/>
                  <w:vAlign w:val="center"/>
                </w:tcPr>
                <w:p w14:paraId="301AFFAE">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30D52A4A">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新建</w:t>
                  </w:r>
                </w:p>
              </w:tc>
            </w:tr>
            <w:tr w14:paraId="3DC4CF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07109BD5">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66</w:t>
                  </w:r>
                </w:p>
              </w:tc>
              <w:tc>
                <w:tcPr>
                  <w:tcW w:w="1704" w:type="pct"/>
                  <w:noWrap w:val="0"/>
                  <w:vAlign w:val="center"/>
                </w:tcPr>
                <w:p w14:paraId="0512B9C7">
                  <w:pPr>
                    <w:pStyle w:val="57"/>
                    <w:keepNext w:val="0"/>
                    <w:keepLines w:val="0"/>
                    <w:pageBreakBefore w:val="0"/>
                    <w:widowControl w:val="0"/>
                    <w:kinsoku/>
                    <w:wordWrap/>
                    <w:overflowPunct/>
                    <w:topLinePunct w:val="0"/>
                    <w:bidi w:val="0"/>
                    <w:adjustRightInd/>
                    <w:snapToGrid/>
                    <w:spacing w:line="360" w:lineRule="atLeast"/>
                    <w:ind w:left="0" w:leftChars="0" w:right="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生物接触氧化池</w:t>
                  </w:r>
                </w:p>
              </w:tc>
              <w:tc>
                <w:tcPr>
                  <w:tcW w:w="1396" w:type="pct"/>
                  <w:noWrap w:val="0"/>
                  <w:vAlign w:val="center"/>
                </w:tcPr>
                <w:p w14:paraId="7F9FCF49">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V=15m</w:t>
                  </w:r>
                  <w:r>
                    <w:rPr>
                      <w:rFonts w:hint="default" w:ascii="Times New Roman" w:hAnsi="Times New Roman" w:eastAsia="宋体" w:cs="Times New Roman"/>
                      <w:b w:val="0"/>
                      <w:bCs w:val="0"/>
                      <w:color w:val="auto"/>
                      <w:spacing w:val="0"/>
                      <w:sz w:val="21"/>
                      <w:szCs w:val="21"/>
                      <w:vertAlign w:val="superscript"/>
                      <w:lang w:val="en-US" w:eastAsia="zh-CN"/>
                    </w:rPr>
                    <w:t>3</w:t>
                  </w:r>
                </w:p>
              </w:tc>
              <w:tc>
                <w:tcPr>
                  <w:tcW w:w="793" w:type="pct"/>
                  <w:noWrap w:val="0"/>
                  <w:vAlign w:val="center"/>
                </w:tcPr>
                <w:p w14:paraId="4294FE7F">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2</w:t>
                  </w:r>
                </w:p>
              </w:tc>
              <w:tc>
                <w:tcPr>
                  <w:tcW w:w="707" w:type="pct"/>
                  <w:noWrap w:val="0"/>
                  <w:vAlign w:val="center"/>
                </w:tcPr>
                <w:p w14:paraId="708C773E">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新建</w:t>
                  </w:r>
                </w:p>
              </w:tc>
            </w:tr>
            <w:tr w14:paraId="00FD4E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noWrap w:val="0"/>
                  <w:vAlign w:val="center"/>
                </w:tcPr>
                <w:p w14:paraId="4F861799">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67</w:t>
                  </w:r>
                </w:p>
              </w:tc>
              <w:tc>
                <w:tcPr>
                  <w:tcW w:w="1704" w:type="pct"/>
                  <w:noWrap w:val="0"/>
                  <w:vAlign w:val="center"/>
                </w:tcPr>
                <w:p w14:paraId="32C7F5A4">
                  <w:pPr>
                    <w:pStyle w:val="57"/>
                    <w:keepNext w:val="0"/>
                    <w:keepLines w:val="0"/>
                    <w:pageBreakBefore w:val="0"/>
                    <w:widowControl w:val="0"/>
                    <w:kinsoku/>
                    <w:wordWrap/>
                    <w:overflowPunct/>
                    <w:topLinePunct w:val="0"/>
                    <w:bidi w:val="0"/>
                    <w:adjustRightInd/>
                    <w:snapToGrid/>
                    <w:spacing w:line="360" w:lineRule="atLeast"/>
                    <w:ind w:left="0" w:leftChars="0" w:right="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消毒池</w:t>
                  </w:r>
                </w:p>
              </w:tc>
              <w:tc>
                <w:tcPr>
                  <w:tcW w:w="1396" w:type="pct"/>
                  <w:noWrap w:val="0"/>
                  <w:vAlign w:val="center"/>
                </w:tcPr>
                <w:p w14:paraId="08026CAF">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V=6m</w:t>
                  </w:r>
                  <w:r>
                    <w:rPr>
                      <w:rFonts w:hint="default" w:ascii="Times New Roman" w:hAnsi="Times New Roman" w:eastAsia="宋体" w:cs="Times New Roman"/>
                      <w:b w:val="0"/>
                      <w:bCs w:val="0"/>
                      <w:color w:val="auto"/>
                      <w:spacing w:val="0"/>
                      <w:sz w:val="21"/>
                      <w:szCs w:val="21"/>
                      <w:vertAlign w:val="superscript"/>
                      <w:lang w:val="en-US" w:eastAsia="zh-CN"/>
                    </w:rPr>
                    <w:t>3</w:t>
                  </w:r>
                </w:p>
              </w:tc>
              <w:tc>
                <w:tcPr>
                  <w:tcW w:w="793" w:type="pct"/>
                  <w:noWrap w:val="0"/>
                  <w:vAlign w:val="center"/>
                </w:tcPr>
                <w:p w14:paraId="52CD92E7">
                  <w:pPr>
                    <w:pStyle w:val="5"/>
                    <w:keepNext w:val="0"/>
                    <w:keepLines w:val="0"/>
                    <w:pageBreakBefore w:val="0"/>
                    <w:widowControl w:val="0"/>
                    <w:kinsoku/>
                    <w:wordWrap/>
                    <w:overflowPunct/>
                    <w:topLinePunct w:val="0"/>
                    <w:autoSpaceDE/>
                    <w:autoSpaceDN/>
                    <w:bidi w:val="0"/>
                    <w:adjustRightInd/>
                    <w:snapToGrid/>
                    <w:spacing w:after="0" w:line="360" w:lineRule="atLeast"/>
                    <w:ind w:left="0" w:leftChars="0" w:right="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1</w:t>
                  </w:r>
                </w:p>
              </w:tc>
              <w:tc>
                <w:tcPr>
                  <w:tcW w:w="707" w:type="pct"/>
                  <w:noWrap w:val="0"/>
                  <w:vAlign w:val="center"/>
                </w:tcPr>
                <w:p w14:paraId="45B1768F">
                  <w:pPr>
                    <w:keepNext w:val="0"/>
                    <w:keepLines w:val="0"/>
                    <w:pageBreakBefore w:val="0"/>
                    <w:widowControl w:val="0"/>
                    <w:kinsoku/>
                    <w:wordWrap/>
                    <w:overflowPunct/>
                    <w:topLinePunct w:val="0"/>
                    <w:autoSpaceDE/>
                    <w:autoSpaceDN/>
                    <w:bidi w:val="0"/>
                    <w:adjustRightInd/>
                    <w:snapToGrid/>
                    <w:spacing w:after="0" w:line="360" w:lineRule="atLeast"/>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新建</w:t>
                  </w:r>
                </w:p>
              </w:tc>
            </w:tr>
          </w:tbl>
          <w:p w14:paraId="2675C4E6">
            <w:pPr>
              <w:keepNext w:val="0"/>
              <w:keepLines w:val="0"/>
              <w:pageBreakBefore w:val="0"/>
              <w:widowControl w:val="0"/>
              <w:numPr>
                <w:ilvl w:val="0"/>
                <w:numId w:val="0"/>
              </w:numPr>
              <w:kinsoku/>
              <w:wordWrap/>
              <w:overflowPunct/>
              <w:topLinePunct w:val="0"/>
              <w:autoSpaceDE w:val="0"/>
              <w:autoSpaceDN w:val="0"/>
              <w:bidi w:val="0"/>
              <w:adjustRightInd w:val="0"/>
              <w:snapToGrid/>
              <w:spacing w:before="0" w:beforeLines="50" w:line="360" w:lineRule="auto"/>
              <w:ind w:left="0" w:leftChars="0" w:firstLine="482" w:firstLineChars="200"/>
              <w:textAlignment w:val="auto"/>
              <w:rPr>
                <w:rFonts w:hint="eastAsia" w:ascii="Times New Roman" w:hAnsi="Times New Roman" w:eastAsia="宋体" w:cs="Times New Roman"/>
                <w:b/>
                <w:color w:val="auto"/>
                <w:sz w:val="24"/>
                <w:szCs w:val="24"/>
                <w:lang w:eastAsia="zh-CN"/>
              </w:rPr>
            </w:pPr>
            <w:r>
              <w:rPr>
                <w:rFonts w:hint="eastAsia" w:ascii="Times New Roman" w:hAnsi="Times New Roman" w:eastAsia="宋体" w:cs="Times New Roman"/>
                <w:b/>
                <w:color w:val="auto"/>
                <w:sz w:val="24"/>
                <w:szCs w:val="24"/>
                <w:lang w:val="zh-CN" w:eastAsia="zh-CN" w:bidi="zh-CN"/>
              </w:rPr>
              <w:t>5、</w:t>
            </w:r>
            <w:r>
              <w:rPr>
                <w:rFonts w:hint="eastAsia" w:ascii="Times New Roman" w:hAnsi="Times New Roman" w:eastAsia="宋体" w:cs="Times New Roman"/>
                <w:b/>
                <w:color w:val="auto"/>
                <w:sz w:val="24"/>
                <w:szCs w:val="24"/>
                <w:lang w:val="en-US" w:eastAsia="zh-CN"/>
              </w:rPr>
              <w:t>医疗用</w:t>
            </w:r>
            <w:r>
              <w:rPr>
                <w:rFonts w:hint="default" w:ascii="Times New Roman" w:hAnsi="Times New Roman" w:eastAsia="宋体" w:cs="Times New Roman"/>
                <w:b/>
                <w:color w:val="auto"/>
                <w:sz w:val="24"/>
                <w:szCs w:val="24"/>
                <w:lang w:eastAsia="zh-CN"/>
              </w:rPr>
              <w:t>原辅材料</w:t>
            </w:r>
            <w:r>
              <w:rPr>
                <w:rFonts w:hint="eastAsia" w:ascii="Times New Roman" w:hAnsi="Times New Roman" w:eastAsia="宋体" w:cs="Times New Roman"/>
                <w:b/>
                <w:color w:val="auto"/>
                <w:sz w:val="24"/>
                <w:szCs w:val="24"/>
                <w:lang w:eastAsia="zh-CN"/>
              </w:rPr>
              <w:t>情况</w:t>
            </w:r>
          </w:p>
          <w:p w14:paraId="136FBE93">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firstLine="480" w:firstLineChars="200"/>
              <w:textAlignment w:val="auto"/>
              <w:rPr>
                <w:rFonts w:hint="eastAsia" w:eastAsia="宋体"/>
                <w:color w:val="auto"/>
                <w:sz w:val="24"/>
                <w:szCs w:val="24"/>
                <w:lang w:eastAsia="zh-CN"/>
              </w:rPr>
            </w:pPr>
            <w:r>
              <w:rPr>
                <w:rFonts w:hint="eastAsia"/>
                <w:color w:val="auto"/>
                <w:sz w:val="24"/>
                <w:szCs w:val="24"/>
                <w:lang w:eastAsia="zh-CN"/>
              </w:rPr>
              <w:t>本项目医疗用主要原辅材料情况见下表。</w:t>
            </w:r>
          </w:p>
          <w:p w14:paraId="4D68BA25">
            <w:pPr>
              <w:keepNext w:val="0"/>
              <w:keepLines w:val="0"/>
              <w:pageBreakBefore w:val="0"/>
              <w:widowControl w:val="0"/>
              <w:kinsoku/>
              <w:wordWrap/>
              <w:overflowPunct/>
              <w:topLinePunct w:val="0"/>
              <w:autoSpaceDE/>
              <w:autoSpaceDN/>
              <w:bidi w:val="0"/>
              <w:adjustRightInd w:val="0"/>
              <w:snapToGrid w:val="0"/>
              <w:spacing w:line="520" w:lineRule="exact"/>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w:t>
            </w:r>
            <w:r>
              <w:rPr>
                <w:rFonts w:hint="eastAsia" w:ascii="Times New Roman" w:hAnsi="Times New Roman" w:eastAsia="宋体" w:cs="Times New Roman"/>
                <w:b/>
                <w:bCs/>
                <w:color w:val="auto"/>
                <w:sz w:val="24"/>
                <w:szCs w:val="24"/>
                <w:lang w:val="en-US" w:eastAsia="zh-CN"/>
              </w:rPr>
              <w:t>3    医疗用</w:t>
            </w:r>
            <w:r>
              <w:rPr>
                <w:rFonts w:hint="default" w:ascii="Times New Roman" w:hAnsi="Times New Roman" w:eastAsia="宋体" w:cs="Times New Roman"/>
                <w:b/>
                <w:caps w:val="0"/>
                <w:color w:val="auto"/>
                <w:kern w:val="0"/>
                <w:sz w:val="24"/>
                <w:szCs w:val="24"/>
              </w:rPr>
              <w:t>原辅材料用量及能耗情况</w:t>
            </w:r>
          </w:p>
          <w:tbl>
            <w:tblPr>
              <w:tblStyle w:val="20"/>
              <w:tblW w:w="486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3"/>
              <w:gridCol w:w="3090"/>
              <w:gridCol w:w="735"/>
              <w:gridCol w:w="2027"/>
              <w:gridCol w:w="1388"/>
            </w:tblGrid>
            <w:tr w14:paraId="74F7B8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2" w:type="pct"/>
                  <w:tcBorders>
                    <w:tl2br w:val="nil"/>
                    <w:tr2bl w:val="nil"/>
                  </w:tcBorders>
                  <w:noWrap w:val="0"/>
                  <w:vAlign w:val="center"/>
                </w:tcPr>
                <w:p w14:paraId="6530D2E4">
                  <w:pPr>
                    <w:keepNext w:val="0"/>
                    <w:keepLines w:val="0"/>
                    <w:pageBreakBefore w:val="0"/>
                    <w:widowControl/>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序号</w:t>
                  </w:r>
                </w:p>
              </w:tc>
              <w:tc>
                <w:tcPr>
                  <w:tcW w:w="1928" w:type="pct"/>
                  <w:tcBorders>
                    <w:tl2br w:val="nil"/>
                    <w:tr2bl w:val="nil"/>
                  </w:tcBorders>
                  <w:noWrap w:val="0"/>
                  <w:vAlign w:val="center"/>
                </w:tcPr>
                <w:p w14:paraId="29512C08">
                  <w:pPr>
                    <w:keepNext w:val="0"/>
                    <w:keepLines w:val="0"/>
                    <w:pageBreakBefore w:val="0"/>
                    <w:widowControl/>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名称</w:t>
                  </w:r>
                </w:p>
              </w:tc>
              <w:tc>
                <w:tcPr>
                  <w:tcW w:w="458" w:type="pct"/>
                  <w:tcBorders>
                    <w:tl2br w:val="nil"/>
                    <w:tr2bl w:val="nil"/>
                  </w:tcBorders>
                  <w:noWrap w:val="0"/>
                  <w:vAlign w:val="center"/>
                </w:tcPr>
                <w:p w14:paraId="5F47703A">
                  <w:pPr>
                    <w:keepNext w:val="0"/>
                    <w:keepLines w:val="0"/>
                    <w:pageBreakBefore w:val="0"/>
                    <w:widowControl/>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eastAsia="zh-CN"/>
                    </w:rPr>
                    <w:t>单位</w:t>
                  </w:r>
                </w:p>
              </w:tc>
              <w:tc>
                <w:tcPr>
                  <w:tcW w:w="1264" w:type="pct"/>
                  <w:tcBorders>
                    <w:tl2br w:val="nil"/>
                    <w:tr2bl w:val="nil"/>
                  </w:tcBorders>
                  <w:noWrap w:val="0"/>
                  <w:vAlign w:val="center"/>
                </w:tcPr>
                <w:p w14:paraId="7864FFCB">
                  <w:pPr>
                    <w:keepNext w:val="0"/>
                    <w:keepLines w:val="0"/>
                    <w:pageBreakBefore w:val="0"/>
                    <w:widowControl/>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b/>
                      <w:bCs/>
                      <w:color w:val="auto"/>
                      <w:kern w:val="0"/>
                      <w:sz w:val="21"/>
                      <w:szCs w:val="21"/>
                      <w:lang w:eastAsia="zh-CN"/>
                    </w:rPr>
                  </w:pPr>
                  <w:r>
                    <w:rPr>
                      <w:rFonts w:hint="default" w:ascii="Times New Roman" w:hAnsi="Times New Roman" w:eastAsia="宋体" w:cs="Times New Roman"/>
                      <w:b/>
                      <w:bCs/>
                      <w:color w:val="auto"/>
                      <w:kern w:val="0"/>
                      <w:sz w:val="21"/>
                      <w:szCs w:val="21"/>
                      <w:lang w:eastAsia="zh-CN"/>
                    </w:rPr>
                    <w:t>数量</w:t>
                  </w:r>
                </w:p>
              </w:tc>
              <w:tc>
                <w:tcPr>
                  <w:tcW w:w="866" w:type="pct"/>
                  <w:tcBorders>
                    <w:tl2br w:val="nil"/>
                    <w:tr2bl w:val="nil"/>
                  </w:tcBorders>
                  <w:noWrap w:val="0"/>
                  <w:vAlign w:val="center"/>
                </w:tcPr>
                <w:p w14:paraId="5434631C">
                  <w:pPr>
                    <w:keepNext w:val="0"/>
                    <w:keepLines w:val="0"/>
                    <w:pageBreakBefore w:val="0"/>
                    <w:widowControl/>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b/>
                      <w:bCs/>
                      <w:color w:val="auto"/>
                      <w:kern w:val="0"/>
                      <w:sz w:val="21"/>
                      <w:szCs w:val="21"/>
                      <w:lang w:eastAsia="zh-CN"/>
                    </w:rPr>
                  </w:pPr>
                  <w:r>
                    <w:rPr>
                      <w:rFonts w:hint="default" w:ascii="Times New Roman" w:hAnsi="Times New Roman" w:eastAsia="宋体" w:cs="Times New Roman"/>
                      <w:b/>
                      <w:bCs/>
                      <w:color w:val="auto"/>
                      <w:kern w:val="0"/>
                      <w:sz w:val="21"/>
                      <w:szCs w:val="21"/>
                      <w:lang w:eastAsia="zh-CN"/>
                    </w:rPr>
                    <w:t>最大储存量</w:t>
                  </w:r>
                </w:p>
              </w:tc>
            </w:tr>
            <w:tr w14:paraId="26CC28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482" w:type="pct"/>
                  <w:tcBorders>
                    <w:tl2br w:val="nil"/>
                    <w:tr2bl w:val="nil"/>
                  </w:tcBorders>
                  <w:noWrap w:val="0"/>
                  <w:vAlign w:val="center"/>
                </w:tcPr>
                <w:p w14:paraId="541A87D2">
                  <w:pPr>
                    <w:keepNext w:val="0"/>
                    <w:keepLines w:val="0"/>
                    <w:pageBreakBefore w:val="0"/>
                    <w:widowControl/>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1928" w:type="pct"/>
                  <w:tcBorders>
                    <w:tl2br w:val="nil"/>
                    <w:tr2bl w:val="nil"/>
                  </w:tcBorders>
                  <w:noWrap w:val="0"/>
                  <w:vAlign w:val="center"/>
                </w:tcPr>
                <w:p w14:paraId="124E846B">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zh-CN" w:eastAsia="zh-CN" w:bidi="zh-CN"/>
                    </w:rPr>
                  </w:pPr>
                  <w:r>
                    <w:rPr>
                      <w:rFonts w:hint="default" w:ascii="Times New Roman" w:hAnsi="Times New Roman" w:eastAsia="宋体" w:cs="Times New Roman"/>
                      <w:color w:val="auto"/>
                      <w:spacing w:val="2"/>
                      <w:sz w:val="21"/>
                      <w:szCs w:val="21"/>
                    </w:rPr>
                    <w:t>酒精</w:t>
                  </w:r>
                </w:p>
              </w:tc>
              <w:tc>
                <w:tcPr>
                  <w:tcW w:w="458" w:type="pct"/>
                  <w:tcBorders>
                    <w:tl2br w:val="nil"/>
                    <w:tr2bl w:val="nil"/>
                  </w:tcBorders>
                  <w:noWrap w:val="0"/>
                  <w:vAlign w:val="center"/>
                </w:tcPr>
                <w:p w14:paraId="39321079">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rPr>
                    <w:t>瓶</w:t>
                  </w:r>
                </w:p>
              </w:tc>
              <w:tc>
                <w:tcPr>
                  <w:tcW w:w="1264" w:type="pct"/>
                  <w:tcBorders>
                    <w:tl2br w:val="nil"/>
                    <w:tr2bl w:val="nil"/>
                  </w:tcBorders>
                  <w:noWrap w:val="0"/>
                  <w:vAlign w:val="center"/>
                </w:tcPr>
                <w:p w14:paraId="51566A29">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pacing w:val="6"/>
                      <w:sz w:val="21"/>
                      <w:szCs w:val="21"/>
                    </w:rPr>
                    <w:t>500</w:t>
                  </w:r>
                  <w:r>
                    <w:rPr>
                      <w:rFonts w:hint="default" w:ascii="Times New Roman" w:hAnsi="Times New Roman" w:eastAsia="宋体" w:cs="Times New Roman"/>
                      <w:color w:val="auto"/>
                      <w:sz w:val="21"/>
                      <w:szCs w:val="21"/>
                    </w:rPr>
                    <w:t>mL</w:t>
                  </w:r>
                  <w:r>
                    <w:rPr>
                      <w:rFonts w:hint="default" w:ascii="Times New Roman" w:hAnsi="Times New Roman" w:eastAsia="宋体" w:cs="Times New Roman"/>
                      <w:color w:val="auto"/>
                      <w:spacing w:val="6"/>
                      <w:sz w:val="21"/>
                      <w:szCs w:val="21"/>
                    </w:rPr>
                    <w:t>/瓶，</w:t>
                  </w:r>
                  <w:r>
                    <w:rPr>
                      <w:rFonts w:hint="eastAsia" w:ascii="Times New Roman" w:hAnsi="Times New Roman" w:eastAsia="宋体" w:cs="Times New Roman"/>
                      <w:color w:val="auto"/>
                      <w:spacing w:val="6"/>
                      <w:sz w:val="21"/>
                      <w:szCs w:val="21"/>
                      <w:lang w:val="en-US" w:eastAsia="zh-CN"/>
                    </w:rPr>
                    <w:t>110</w:t>
                  </w:r>
                </w:p>
              </w:tc>
              <w:tc>
                <w:tcPr>
                  <w:tcW w:w="866" w:type="pct"/>
                  <w:tcBorders>
                    <w:tl2br w:val="nil"/>
                    <w:tr2bl w:val="nil"/>
                  </w:tcBorders>
                  <w:noWrap w:val="0"/>
                  <w:vAlign w:val="center"/>
                </w:tcPr>
                <w:p w14:paraId="0410DEFB">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zh-CN" w:eastAsia="zh-CN" w:bidi="zh-CN"/>
                    </w:rPr>
                  </w:pPr>
                  <w:r>
                    <w:rPr>
                      <w:rFonts w:hint="eastAsia" w:ascii="Times New Roman" w:hAnsi="Times New Roman" w:eastAsia="宋体" w:cs="Times New Roman"/>
                      <w:color w:val="auto"/>
                      <w:spacing w:val="-5"/>
                      <w:sz w:val="21"/>
                      <w:szCs w:val="21"/>
                      <w:lang w:val="en-US" w:eastAsia="zh-CN"/>
                    </w:rPr>
                    <w:t>20</w:t>
                  </w:r>
                  <w:r>
                    <w:rPr>
                      <w:rFonts w:hint="default" w:ascii="Times New Roman" w:hAnsi="Times New Roman" w:eastAsia="宋体" w:cs="Times New Roman"/>
                      <w:color w:val="auto"/>
                      <w:spacing w:val="10"/>
                      <w:sz w:val="21"/>
                      <w:szCs w:val="21"/>
                    </w:rPr>
                    <w:t xml:space="preserve"> </w:t>
                  </w:r>
                  <w:r>
                    <w:rPr>
                      <w:rFonts w:hint="default" w:ascii="Times New Roman" w:hAnsi="Times New Roman" w:eastAsia="宋体" w:cs="Times New Roman"/>
                      <w:color w:val="auto"/>
                      <w:spacing w:val="-5"/>
                      <w:sz w:val="21"/>
                      <w:szCs w:val="21"/>
                    </w:rPr>
                    <w:t>瓶</w:t>
                  </w:r>
                </w:p>
              </w:tc>
            </w:tr>
            <w:tr w14:paraId="776E9C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482" w:type="pct"/>
                  <w:tcBorders>
                    <w:tl2br w:val="nil"/>
                    <w:tr2bl w:val="nil"/>
                  </w:tcBorders>
                  <w:noWrap w:val="0"/>
                  <w:vAlign w:val="center"/>
                </w:tcPr>
                <w:p w14:paraId="726F307C">
                  <w:pPr>
                    <w:keepNext w:val="0"/>
                    <w:keepLines w:val="0"/>
                    <w:pageBreakBefore w:val="0"/>
                    <w:widowControl/>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w:t>
                  </w:r>
                </w:p>
              </w:tc>
              <w:tc>
                <w:tcPr>
                  <w:tcW w:w="1928" w:type="pct"/>
                  <w:tcBorders>
                    <w:tl2br w:val="nil"/>
                    <w:tr2bl w:val="nil"/>
                  </w:tcBorders>
                  <w:noWrap w:val="0"/>
                  <w:vAlign w:val="center"/>
                </w:tcPr>
                <w:p w14:paraId="46A5D41B">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zh-CN" w:eastAsia="zh-CN" w:bidi="zh-CN"/>
                    </w:rPr>
                  </w:pPr>
                  <w:r>
                    <w:rPr>
                      <w:rFonts w:hint="default" w:ascii="Times New Roman" w:hAnsi="Times New Roman" w:eastAsia="宋体" w:cs="Times New Roman"/>
                      <w:color w:val="auto"/>
                      <w:spacing w:val="5"/>
                      <w:sz w:val="21"/>
                      <w:szCs w:val="21"/>
                    </w:rPr>
                    <w:t>碘伏</w:t>
                  </w:r>
                </w:p>
              </w:tc>
              <w:tc>
                <w:tcPr>
                  <w:tcW w:w="458" w:type="pct"/>
                  <w:tcBorders>
                    <w:tl2br w:val="nil"/>
                    <w:tr2bl w:val="nil"/>
                  </w:tcBorders>
                  <w:noWrap w:val="0"/>
                  <w:vAlign w:val="center"/>
                </w:tcPr>
                <w:p w14:paraId="499E749A">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rPr>
                    <w:t>瓶</w:t>
                  </w:r>
                </w:p>
              </w:tc>
              <w:tc>
                <w:tcPr>
                  <w:tcW w:w="1264" w:type="pct"/>
                  <w:tcBorders>
                    <w:tl2br w:val="nil"/>
                    <w:tr2bl w:val="nil"/>
                  </w:tcBorders>
                  <w:noWrap w:val="0"/>
                  <w:vAlign w:val="center"/>
                </w:tcPr>
                <w:p w14:paraId="5DA8294C">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pacing w:val="6"/>
                      <w:sz w:val="21"/>
                      <w:szCs w:val="21"/>
                    </w:rPr>
                    <w:t>500</w:t>
                  </w:r>
                  <w:r>
                    <w:rPr>
                      <w:rFonts w:hint="default" w:ascii="Times New Roman" w:hAnsi="Times New Roman" w:eastAsia="宋体" w:cs="Times New Roman"/>
                      <w:color w:val="auto"/>
                      <w:sz w:val="21"/>
                      <w:szCs w:val="21"/>
                    </w:rPr>
                    <w:t>mL</w:t>
                  </w:r>
                  <w:r>
                    <w:rPr>
                      <w:rFonts w:hint="default" w:ascii="Times New Roman" w:hAnsi="Times New Roman" w:eastAsia="宋体" w:cs="Times New Roman"/>
                      <w:color w:val="auto"/>
                      <w:spacing w:val="6"/>
                      <w:sz w:val="21"/>
                      <w:szCs w:val="21"/>
                    </w:rPr>
                    <w:t>/瓶，</w:t>
                  </w:r>
                  <w:r>
                    <w:rPr>
                      <w:rFonts w:hint="eastAsia" w:ascii="Times New Roman" w:hAnsi="Times New Roman" w:eastAsia="宋体" w:cs="Times New Roman"/>
                      <w:color w:val="auto"/>
                      <w:spacing w:val="6"/>
                      <w:sz w:val="21"/>
                      <w:szCs w:val="21"/>
                      <w:lang w:val="en-US" w:eastAsia="zh-CN"/>
                    </w:rPr>
                    <w:t>233</w:t>
                  </w:r>
                </w:p>
              </w:tc>
              <w:tc>
                <w:tcPr>
                  <w:tcW w:w="866" w:type="pct"/>
                  <w:tcBorders>
                    <w:tl2br w:val="nil"/>
                    <w:tr2bl w:val="nil"/>
                  </w:tcBorders>
                  <w:noWrap w:val="0"/>
                  <w:vAlign w:val="center"/>
                </w:tcPr>
                <w:p w14:paraId="17985B8E">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pacing w:val="2"/>
                      <w:sz w:val="21"/>
                      <w:szCs w:val="21"/>
                    </w:rPr>
                    <w:t>20</w:t>
                  </w:r>
                  <w:r>
                    <w:rPr>
                      <w:rFonts w:hint="default" w:ascii="Times New Roman" w:hAnsi="Times New Roman" w:eastAsia="宋体" w:cs="Times New Roman"/>
                      <w:color w:val="auto"/>
                      <w:spacing w:val="9"/>
                      <w:sz w:val="21"/>
                      <w:szCs w:val="21"/>
                    </w:rPr>
                    <w:t xml:space="preserve"> </w:t>
                  </w:r>
                  <w:r>
                    <w:rPr>
                      <w:rFonts w:hint="default" w:ascii="Times New Roman" w:hAnsi="Times New Roman" w:eastAsia="宋体" w:cs="Times New Roman"/>
                      <w:color w:val="auto"/>
                      <w:spacing w:val="2"/>
                      <w:sz w:val="21"/>
                      <w:szCs w:val="21"/>
                    </w:rPr>
                    <w:t>瓶</w:t>
                  </w:r>
                </w:p>
              </w:tc>
            </w:tr>
            <w:tr w14:paraId="4E9CB5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482" w:type="pct"/>
                  <w:tcBorders>
                    <w:tl2br w:val="nil"/>
                    <w:tr2bl w:val="nil"/>
                  </w:tcBorders>
                  <w:noWrap w:val="0"/>
                  <w:vAlign w:val="center"/>
                </w:tcPr>
                <w:p w14:paraId="7E0C45C3">
                  <w:pPr>
                    <w:keepNext w:val="0"/>
                    <w:keepLines w:val="0"/>
                    <w:pageBreakBefore w:val="0"/>
                    <w:widowControl/>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w:t>
                  </w:r>
                </w:p>
              </w:tc>
              <w:tc>
                <w:tcPr>
                  <w:tcW w:w="1928" w:type="pct"/>
                  <w:tcBorders>
                    <w:tl2br w:val="nil"/>
                    <w:tr2bl w:val="nil"/>
                  </w:tcBorders>
                  <w:noWrap w:val="0"/>
                  <w:vAlign w:val="center"/>
                </w:tcPr>
                <w:p w14:paraId="5FDC8143">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zh-CN" w:eastAsia="zh-CN" w:bidi="zh-CN"/>
                    </w:rPr>
                  </w:pPr>
                  <w:r>
                    <w:rPr>
                      <w:rFonts w:hint="eastAsia" w:ascii="Times New Roman" w:hAnsi="Times New Roman" w:eastAsia="宋体" w:cs="Times New Roman"/>
                      <w:color w:val="auto"/>
                      <w:spacing w:val="5"/>
                      <w:sz w:val="21"/>
                      <w:szCs w:val="21"/>
                      <w:lang w:eastAsia="zh-CN"/>
                    </w:rPr>
                    <w:t>医用输液</w:t>
                  </w:r>
                  <w:r>
                    <w:rPr>
                      <w:rFonts w:hint="default" w:ascii="Times New Roman" w:hAnsi="Times New Roman" w:eastAsia="宋体" w:cs="Times New Roman"/>
                      <w:color w:val="auto"/>
                      <w:spacing w:val="5"/>
                      <w:sz w:val="21"/>
                      <w:szCs w:val="21"/>
                    </w:rPr>
                    <w:t>瓶口贴</w:t>
                  </w:r>
                </w:p>
              </w:tc>
              <w:tc>
                <w:tcPr>
                  <w:tcW w:w="458" w:type="pct"/>
                  <w:tcBorders>
                    <w:tl2br w:val="nil"/>
                    <w:tr2bl w:val="nil"/>
                  </w:tcBorders>
                  <w:noWrap w:val="0"/>
                  <w:vAlign w:val="center"/>
                </w:tcPr>
                <w:p w14:paraId="4555FB55">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rPr>
                    <w:t>个</w:t>
                  </w:r>
                </w:p>
              </w:tc>
              <w:tc>
                <w:tcPr>
                  <w:tcW w:w="1264" w:type="pct"/>
                  <w:tcBorders>
                    <w:tl2br w:val="nil"/>
                    <w:tr2bl w:val="nil"/>
                  </w:tcBorders>
                  <w:noWrap w:val="0"/>
                  <w:vAlign w:val="center"/>
                </w:tcPr>
                <w:p w14:paraId="04B92FCC">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z w:val="21"/>
                      <w:szCs w:val="21"/>
                      <w:lang w:val="en-US" w:eastAsia="zh-CN" w:bidi="zh-CN"/>
                    </w:rPr>
                    <w:t>36000</w:t>
                  </w:r>
                </w:p>
              </w:tc>
              <w:tc>
                <w:tcPr>
                  <w:tcW w:w="866" w:type="pct"/>
                  <w:tcBorders>
                    <w:tl2br w:val="nil"/>
                    <w:tr2bl w:val="nil"/>
                  </w:tcBorders>
                  <w:noWrap w:val="0"/>
                  <w:vAlign w:val="center"/>
                </w:tcPr>
                <w:p w14:paraId="0C8BF291">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z w:val="21"/>
                      <w:szCs w:val="21"/>
                      <w:lang w:val="en-US" w:eastAsia="zh-CN"/>
                    </w:rPr>
                    <w:t>100</w:t>
                  </w:r>
                  <w:r>
                    <w:rPr>
                      <w:rFonts w:hint="default" w:ascii="Times New Roman" w:hAnsi="Times New Roman" w:eastAsia="宋体" w:cs="Times New Roman"/>
                      <w:color w:val="auto"/>
                      <w:sz w:val="21"/>
                      <w:szCs w:val="21"/>
                    </w:rPr>
                    <w:t>个</w:t>
                  </w:r>
                </w:p>
              </w:tc>
            </w:tr>
            <w:tr w14:paraId="3F02D3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482" w:type="pct"/>
                  <w:tcBorders>
                    <w:tl2br w:val="nil"/>
                    <w:tr2bl w:val="nil"/>
                  </w:tcBorders>
                  <w:noWrap w:val="0"/>
                  <w:vAlign w:val="center"/>
                </w:tcPr>
                <w:p w14:paraId="35FB2CCC">
                  <w:pPr>
                    <w:keepNext w:val="0"/>
                    <w:keepLines w:val="0"/>
                    <w:pageBreakBefore w:val="0"/>
                    <w:widowControl/>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w:t>
                  </w:r>
                </w:p>
              </w:tc>
              <w:tc>
                <w:tcPr>
                  <w:tcW w:w="1928" w:type="pct"/>
                  <w:tcBorders>
                    <w:tl2br w:val="nil"/>
                    <w:tr2bl w:val="nil"/>
                  </w:tcBorders>
                  <w:noWrap w:val="0"/>
                  <w:vAlign w:val="center"/>
                </w:tcPr>
                <w:p w14:paraId="44526F2E">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zh-CN" w:eastAsia="zh-CN" w:bidi="zh-CN"/>
                    </w:rPr>
                  </w:pPr>
                  <w:r>
                    <w:rPr>
                      <w:rFonts w:hint="default" w:ascii="Times New Roman" w:hAnsi="Times New Roman" w:eastAsia="宋体" w:cs="Times New Roman"/>
                      <w:color w:val="auto"/>
                      <w:spacing w:val="6"/>
                      <w:sz w:val="21"/>
                      <w:szCs w:val="21"/>
                    </w:rPr>
                    <w:t>医用纱布块</w:t>
                  </w:r>
                </w:p>
              </w:tc>
              <w:tc>
                <w:tcPr>
                  <w:tcW w:w="458" w:type="pct"/>
                  <w:tcBorders>
                    <w:tl2br w:val="nil"/>
                    <w:tr2bl w:val="nil"/>
                  </w:tcBorders>
                  <w:noWrap w:val="0"/>
                  <w:vAlign w:val="center"/>
                </w:tcPr>
                <w:p w14:paraId="03BE3C15">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rPr>
                    <w:t>包</w:t>
                  </w:r>
                </w:p>
              </w:tc>
              <w:tc>
                <w:tcPr>
                  <w:tcW w:w="1264" w:type="pct"/>
                  <w:tcBorders>
                    <w:tl2br w:val="nil"/>
                    <w:tr2bl w:val="nil"/>
                  </w:tcBorders>
                  <w:noWrap w:val="0"/>
                  <w:vAlign w:val="center"/>
                </w:tcPr>
                <w:p w14:paraId="68F7BC60">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19210</w:t>
                  </w:r>
                </w:p>
              </w:tc>
              <w:tc>
                <w:tcPr>
                  <w:tcW w:w="866" w:type="pct"/>
                  <w:tcBorders>
                    <w:tl2br w:val="nil"/>
                    <w:tr2bl w:val="nil"/>
                  </w:tcBorders>
                  <w:noWrap w:val="0"/>
                  <w:vAlign w:val="center"/>
                </w:tcPr>
                <w:p w14:paraId="2568B254">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pacing w:val="2"/>
                      <w:sz w:val="21"/>
                      <w:szCs w:val="21"/>
                    </w:rPr>
                    <w:t>25</w:t>
                  </w:r>
                  <w:r>
                    <w:rPr>
                      <w:rFonts w:hint="default" w:ascii="Times New Roman" w:hAnsi="Times New Roman" w:eastAsia="宋体" w:cs="Times New Roman"/>
                      <w:color w:val="auto"/>
                      <w:spacing w:val="9"/>
                      <w:sz w:val="21"/>
                      <w:szCs w:val="21"/>
                    </w:rPr>
                    <w:t xml:space="preserve"> </w:t>
                  </w:r>
                  <w:r>
                    <w:rPr>
                      <w:rFonts w:hint="default" w:ascii="Times New Roman" w:hAnsi="Times New Roman" w:eastAsia="宋体" w:cs="Times New Roman"/>
                      <w:color w:val="auto"/>
                      <w:spacing w:val="2"/>
                      <w:sz w:val="21"/>
                      <w:szCs w:val="21"/>
                    </w:rPr>
                    <w:t>包</w:t>
                  </w:r>
                </w:p>
              </w:tc>
            </w:tr>
            <w:tr w14:paraId="582349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482" w:type="pct"/>
                  <w:tcBorders>
                    <w:tl2br w:val="nil"/>
                    <w:tr2bl w:val="nil"/>
                  </w:tcBorders>
                  <w:noWrap w:val="0"/>
                  <w:vAlign w:val="center"/>
                </w:tcPr>
                <w:p w14:paraId="2E0A0A2A">
                  <w:pPr>
                    <w:keepNext w:val="0"/>
                    <w:keepLines w:val="0"/>
                    <w:pageBreakBefore w:val="0"/>
                    <w:widowControl/>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5</w:t>
                  </w:r>
                </w:p>
              </w:tc>
              <w:tc>
                <w:tcPr>
                  <w:tcW w:w="1928" w:type="pct"/>
                  <w:tcBorders>
                    <w:tl2br w:val="nil"/>
                    <w:tr2bl w:val="nil"/>
                  </w:tcBorders>
                  <w:noWrap w:val="0"/>
                  <w:vAlign w:val="center"/>
                </w:tcPr>
                <w:p w14:paraId="276ABEB0">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zh-CN" w:eastAsia="zh-CN" w:bidi="zh-CN"/>
                    </w:rPr>
                  </w:pPr>
                  <w:r>
                    <w:rPr>
                      <w:rFonts w:hint="default" w:ascii="Times New Roman" w:hAnsi="Times New Roman" w:eastAsia="宋体" w:cs="Times New Roman"/>
                      <w:color w:val="auto"/>
                      <w:spacing w:val="6"/>
                      <w:sz w:val="21"/>
                      <w:szCs w:val="21"/>
                    </w:rPr>
                    <w:t>医用输液贴</w:t>
                  </w:r>
                </w:p>
              </w:tc>
              <w:tc>
                <w:tcPr>
                  <w:tcW w:w="458" w:type="pct"/>
                  <w:tcBorders>
                    <w:tl2br w:val="nil"/>
                    <w:tr2bl w:val="nil"/>
                  </w:tcBorders>
                  <w:noWrap w:val="0"/>
                  <w:vAlign w:val="center"/>
                </w:tcPr>
                <w:p w14:paraId="41F4C293">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rPr>
                    <w:t>个</w:t>
                  </w:r>
                </w:p>
              </w:tc>
              <w:tc>
                <w:tcPr>
                  <w:tcW w:w="1264" w:type="pct"/>
                  <w:tcBorders>
                    <w:tl2br w:val="nil"/>
                    <w:tr2bl w:val="nil"/>
                  </w:tcBorders>
                  <w:noWrap w:val="0"/>
                  <w:vAlign w:val="center"/>
                </w:tcPr>
                <w:p w14:paraId="4A4B6A4C">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zh-CN" w:eastAsia="zh-CN" w:bidi="zh-CN"/>
                    </w:rPr>
                  </w:pPr>
                  <w:r>
                    <w:rPr>
                      <w:rFonts w:hint="default" w:ascii="Times New Roman" w:hAnsi="Times New Roman" w:eastAsia="宋体" w:cs="Times New Roman"/>
                      <w:color w:val="auto"/>
                      <w:sz w:val="21"/>
                      <w:szCs w:val="21"/>
                    </w:rPr>
                    <w:t>800</w:t>
                  </w:r>
                </w:p>
              </w:tc>
              <w:tc>
                <w:tcPr>
                  <w:tcW w:w="866" w:type="pct"/>
                  <w:tcBorders>
                    <w:tl2br w:val="nil"/>
                    <w:tr2bl w:val="nil"/>
                  </w:tcBorders>
                  <w:noWrap w:val="0"/>
                  <w:vAlign w:val="center"/>
                </w:tcPr>
                <w:p w14:paraId="47DD06E2">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pacing w:val="-2"/>
                      <w:sz w:val="21"/>
                      <w:szCs w:val="21"/>
                    </w:rPr>
                    <w:t>100</w:t>
                  </w:r>
                  <w:r>
                    <w:rPr>
                      <w:rFonts w:hint="default" w:ascii="Times New Roman" w:hAnsi="Times New Roman" w:eastAsia="宋体" w:cs="Times New Roman"/>
                      <w:color w:val="auto"/>
                      <w:spacing w:val="9"/>
                      <w:sz w:val="21"/>
                      <w:szCs w:val="21"/>
                    </w:rPr>
                    <w:t xml:space="preserve"> </w:t>
                  </w:r>
                  <w:r>
                    <w:rPr>
                      <w:rFonts w:hint="default" w:ascii="Times New Roman" w:hAnsi="Times New Roman" w:eastAsia="宋体" w:cs="Times New Roman"/>
                      <w:color w:val="auto"/>
                      <w:spacing w:val="-2"/>
                      <w:sz w:val="21"/>
                      <w:szCs w:val="21"/>
                    </w:rPr>
                    <w:t>个</w:t>
                  </w:r>
                </w:p>
              </w:tc>
            </w:tr>
            <w:tr w14:paraId="6F8D35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482" w:type="pct"/>
                  <w:tcBorders>
                    <w:tl2br w:val="nil"/>
                    <w:tr2bl w:val="nil"/>
                  </w:tcBorders>
                  <w:noWrap w:val="0"/>
                  <w:vAlign w:val="center"/>
                </w:tcPr>
                <w:p w14:paraId="06676595">
                  <w:pPr>
                    <w:keepNext w:val="0"/>
                    <w:keepLines w:val="0"/>
                    <w:pageBreakBefore w:val="0"/>
                    <w:widowControl/>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6</w:t>
                  </w:r>
                </w:p>
              </w:tc>
              <w:tc>
                <w:tcPr>
                  <w:tcW w:w="1928" w:type="pct"/>
                  <w:tcBorders>
                    <w:tl2br w:val="nil"/>
                    <w:tr2bl w:val="nil"/>
                  </w:tcBorders>
                  <w:noWrap w:val="0"/>
                  <w:vAlign w:val="center"/>
                </w:tcPr>
                <w:p w14:paraId="5718EBC2">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zh-CN" w:eastAsia="zh-CN" w:bidi="zh-CN"/>
                    </w:rPr>
                  </w:pPr>
                  <w:r>
                    <w:rPr>
                      <w:rFonts w:hint="default" w:ascii="Times New Roman" w:hAnsi="Times New Roman" w:eastAsia="宋体" w:cs="Times New Roman"/>
                      <w:color w:val="auto"/>
                      <w:spacing w:val="8"/>
                      <w:sz w:val="21"/>
                      <w:szCs w:val="21"/>
                    </w:rPr>
                    <w:t>一次性医用口罩</w:t>
                  </w:r>
                </w:p>
              </w:tc>
              <w:tc>
                <w:tcPr>
                  <w:tcW w:w="458" w:type="pct"/>
                  <w:tcBorders>
                    <w:tl2br w:val="nil"/>
                    <w:tr2bl w:val="nil"/>
                  </w:tcBorders>
                  <w:noWrap w:val="0"/>
                  <w:vAlign w:val="center"/>
                </w:tcPr>
                <w:p w14:paraId="57D95ABF">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rPr>
                    <w:t>个</w:t>
                  </w:r>
                </w:p>
              </w:tc>
              <w:tc>
                <w:tcPr>
                  <w:tcW w:w="1264" w:type="pct"/>
                  <w:tcBorders>
                    <w:tl2br w:val="nil"/>
                    <w:tr2bl w:val="nil"/>
                  </w:tcBorders>
                  <w:noWrap w:val="0"/>
                  <w:vAlign w:val="center"/>
                </w:tcPr>
                <w:p w14:paraId="73A7DE43">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pacing w:val="2"/>
                      <w:sz w:val="21"/>
                      <w:szCs w:val="21"/>
                    </w:rPr>
                    <w:t>5</w:t>
                  </w:r>
                  <w:r>
                    <w:rPr>
                      <w:rFonts w:hint="eastAsia" w:ascii="Times New Roman" w:hAnsi="Times New Roman" w:eastAsia="宋体" w:cs="Times New Roman"/>
                      <w:color w:val="auto"/>
                      <w:spacing w:val="2"/>
                      <w:sz w:val="21"/>
                      <w:szCs w:val="21"/>
                      <w:lang w:val="en-US" w:eastAsia="zh-CN"/>
                    </w:rPr>
                    <w:t>730</w:t>
                  </w:r>
                </w:p>
              </w:tc>
              <w:tc>
                <w:tcPr>
                  <w:tcW w:w="866" w:type="pct"/>
                  <w:tcBorders>
                    <w:tl2br w:val="nil"/>
                    <w:tr2bl w:val="nil"/>
                  </w:tcBorders>
                  <w:noWrap w:val="0"/>
                  <w:vAlign w:val="center"/>
                </w:tcPr>
                <w:p w14:paraId="22B94686">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pacing w:val="3"/>
                      <w:sz w:val="21"/>
                      <w:szCs w:val="21"/>
                    </w:rPr>
                    <w:t>400</w:t>
                  </w:r>
                  <w:r>
                    <w:rPr>
                      <w:rFonts w:hint="default" w:ascii="Times New Roman" w:hAnsi="Times New Roman" w:eastAsia="宋体" w:cs="Times New Roman"/>
                      <w:color w:val="auto"/>
                      <w:spacing w:val="9"/>
                      <w:sz w:val="21"/>
                      <w:szCs w:val="21"/>
                    </w:rPr>
                    <w:t xml:space="preserve"> </w:t>
                  </w:r>
                  <w:r>
                    <w:rPr>
                      <w:rFonts w:hint="default" w:ascii="Times New Roman" w:hAnsi="Times New Roman" w:eastAsia="宋体" w:cs="Times New Roman"/>
                      <w:color w:val="auto"/>
                      <w:spacing w:val="3"/>
                      <w:sz w:val="21"/>
                      <w:szCs w:val="21"/>
                    </w:rPr>
                    <w:t>个</w:t>
                  </w:r>
                </w:p>
              </w:tc>
            </w:tr>
            <w:tr w14:paraId="0233DC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482" w:type="pct"/>
                  <w:tcBorders>
                    <w:tl2br w:val="nil"/>
                    <w:tr2bl w:val="nil"/>
                  </w:tcBorders>
                  <w:noWrap w:val="0"/>
                  <w:vAlign w:val="center"/>
                </w:tcPr>
                <w:p w14:paraId="43243E77">
                  <w:pPr>
                    <w:keepNext w:val="0"/>
                    <w:keepLines w:val="0"/>
                    <w:pageBreakBefore w:val="0"/>
                    <w:widowControl/>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color w:val="auto"/>
                      <w:kern w:val="0"/>
                      <w:sz w:val="21"/>
                      <w:szCs w:val="21"/>
                      <w:lang w:val="en-US" w:eastAsia="zh-CN" w:bidi="zh-CN"/>
                    </w:rPr>
                  </w:pPr>
                  <w:r>
                    <w:rPr>
                      <w:rFonts w:hint="default" w:ascii="Times New Roman" w:hAnsi="Times New Roman" w:eastAsia="宋体" w:cs="Times New Roman"/>
                      <w:color w:val="auto"/>
                      <w:kern w:val="0"/>
                      <w:sz w:val="21"/>
                      <w:szCs w:val="21"/>
                      <w:lang w:val="en-US" w:eastAsia="zh-CN"/>
                    </w:rPr>
                    <w:t>7</w:t>
                  </w:r>
                </w:p>
              </w:tc>
              <w:tc>
                <w:tcPr>
                  <w:tcW w:w="1928" w:type="pct"/>
                  <w:tcBorders>
                    <w:tl2br w:val="nil"/>
                    <w:tr2bl w:val="nil"/>
                  </w:tcBorders>
                  <w:noWrap w:val="0"/>
                  <w:vAlign w:val="center"/>
                </w:tcPr>
                <w:p w14:paraId="716A0CCF">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8"/>
                      <w:sz w:val="21"/>
                      <w:szCs w:val="21"/>
                      <w:lang w:val="en-US" w:eastAsia="zh-CN"/>
                    </w:rPr>
                  </w:pPr>
                  <w:r>
                    <w:rPr>
                      <w:rFonts w:hint="eastAsia" w:ascii="Times New Roman" w:hAnsi="Times New Roman" w:eastAsia="宋体" w:cs="Times New Roman"/>
                      <w:color w:val="auto"/>
                      <w:spacing w:val="8"/>
                      <w:sz w:val="21"/>
                      <w:szCs w:val="21"/>
                      <w:lang w:val="en-US" w:eastAsia="zh-CN"/>
                    </w:rPr>
                    <w:t>N95口罩</w:t>
                  </w:r>
                </w:p>
              </w:tc>
              <w:tc>
                <w:tcPr>
                  <w:tcW w:w="458" w:type="pct"/>
                  <w:tcBorders>
                    <w:tl2br w:val="nil"/>
                    <w:tr2bl w:val="nil"/>
                  </w:tcBorders>
                  <w:noWrap w:val="0"/>
                  <w:vAlign w:val="center"/>
                </w:tcPr>
                <w:p w14:paraId="5BA8A3F3">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rPr>
                    <w:t>个</w:t>
                  </w:r>
                </w:p>
              </w:tc>
              <w:tc>
                <w:tcPr>
                  <w:tcW w:w="1264" w:type="pct"/>
                  <w:tcBorders>
                    <w:tl2br w:val="nil"/>
                    <w:tr2bl w:val="nil"/>
                  </w:tcBorders>
                  <w:noWrap w:val="0"/>
                  <w:vAlign w:val="center"/>
                </w:tcPr>
                <w:p w14:paraId="1019F6FA">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pacing w:val="2"/>
                      <w:sz w:val="21"/>
                      <w:szCs w:val="21"/>
                      <w:lang w:val="en-US" w:eastAsia="zh-CN"/>
                    </w:rPr>
                    <w:t>1200</w:t>
                  </w:r>
                </w:p>
              </w:tc>
              <w:tc>
                <w:tcPr>
                  <w:tcW w:w="866" w:type="pct"/>
                  <w:tcBorders>
                    <w:tl2br w:val="nil"/>
                    <w:tr2bl w:val="nil"/>
                  </w:tcBorders>
                  <w:noWrap w:val="0"/>
                  <w:vAlign w:val="center"/>
                </w:tcPr>
                <w:p w14:paraId="38777F6D">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pacing w:val="3"/>
                      <w:sz w:val="21"/>
                      <w:szCs w:val="21"/>
                      <w:lang w:val="en-US" w:eastAsia="zh-CN"/>
                    </w:rPr>
                    <w:t>300</w:t>
                  </w:r>
                  <w:r>
                    <w:rPr>
                      <w:rFonts w:hint="default" w:ascii="Times New Roman" w:hAnsi="Times New Roman" w:eastAsia="宋体" w:cs="Times New Roman"/>
                      <w:color w:val="auto"/>
                      <w:spacing w:val="3"/>
                      <w:sz w:val="21"/>
                      <w:szCs w:val="21"/>
                    </w:rPr>
                    <w:t>个</w:t>
                  </w:r>
                </w:p>
              </w:tc>
            </w:tr>
            <w:tr w14:paraId="0591E8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482" w:type="pct"/>
                  <w:tcBorders>
                    <w:tl2br w:val="nil"/>
                    <w:tr2bl w:val="nil"/>
                  </w:tcBorders>
                  <w:noWrap w:val="0"/>
                  <w:vAlign w:val="center"/>
                </w:tcPr>
                <w:p w14:paraId="42F088AC">
                  <w:pPr>
                    <w:keepNext w:val="0"/>
                    <w:keepLines w:val="0"/>
                    <w:pageBreakBefore w:val="0"/>
                    <w:widowControl/>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color w:val="auto"/>
                      <w:kern w:val="0"/>
                      <w:sz w:val="21"/>
                      <w:szCs w:val="21"/>
                      <w:lang w:val="en-US" w:eastAsia="zh-CN" w:bidi="zh-CN"/>
                    </w:rPr>
                  </w:pPr>
                  <w:r>
                    <w:rPr>
                      <w:rFonts w:hint="default" w:ascii="Times New Roman" w:hAnsi="Times New Roman" w:eastAsia="宋体" w:cs="Times New Roman"/>
                      <w:color w:val="auto"/>
                      <w:kern w:val="0"/>
                      <w:sz w:val="21"/>
                      <w:szCs w:val="21"/>
                      <w:lang w:val="en-US" w:eastAsia="zh-CN"/>
                    </w:rPr>
                    <w:t>8</w:t>
                  </w:r>
                </w:p>
              </w:tc>
              <w:tc>
                <w:tcPr>
                  <w:tcW w:w="1928" w:type="pct"/>
                  <w:tcBorders>
                    <w:tl2br w:val="nil"/>
                    <w:tr2bl w:val="nil"/>
                  </w:tcBorders>
                  <w:noWrap w:val="0"/>
                  <w:vAlign w:val="center"/>
                </w:tcPr>
                <w:p w14:paraId="2DE759DD">
                  <w:pPr>
                    <w:keepNext w:val="0"/>
                    <w:keepLines w:val="0"/>
                    <w:pageBreakBefore w:val="0"/>
                    <w:widowControl w:val="0"/>
                    <w:kinsoku/>
                    <w:wordWrap/>
                    <w:overflowPunct/>
                    <w:topLinePunct w:val="0"/>
                    <w:autoSpaceDE w:val="0"/>
                    <w:autoSpaceDN w:val="0"/>
                    <w:bidi w:val="0"/>
                    <w:adjustRightInd/>
                    <w:snapToGrid/>
                    <w:spacing w:line="360" w:lineRule="exact"/>
                    <w:ind w:left="0" w:leftChars="0" w:right="204" w:rightChars="0" w:firstLine="0" w:firstLineChars="0"/>
                    <w:jc w:val="center"/>
                    <w:textAlignment w:val="auto"/>
                    <w:rPr>
                      <w:rFonts w:hint="default" w:ascii="Times New Roman" w:hAnsi="Times New Roman" w:eastAsia="宋体" w:cs="Times New Roman"/>
                      <w:color w:val="auto"/>
                      <w:sz w:val="21"/>
                      <w:szCs w:val="21"/>
                      <w:lang w:val="zh-CN" w:eastAsia="zh-CN" w:bidi="zh-CN"/>
                    </w:rPr>
                  </w:pPr>
                  <w:r>
                    <w:rPr>
                      <w:rFonts w:hint="default" w:ascii="Times New Roman" w:hAnsi="Times New Roman" w:eastAsia="宋体" w:cs="Times New Roman"/>
                      <w:color w:val="auto"/>
                      <w:spacing w:val="8"/>
                      <w:sz w:val="21"/>
                      <w:szCs w:val="21"/>
                    </w:rPr>
                    <w:t>一次性使用无菌注</w:t>
                  </w:r>
                  <w:r>
                    <w:rPr>
                      <w:rFonts w:hint="default" w:ascii="Times New Roman" w:hAnsi="Times New Roman" w:eastAsia="宋体" w:cs="Times New Roman"/>
                      <w:color w:val="auto"/>
                      <w:spacing w:val="4"/>
                      <w:sz w:val="21"/>
                      <w:szCs w:val="21"/>
                    </w:rPr>
                    <w:t>射器</w:t>
                  </w:r>
                </w:p>
              </w:tc>
              <w:tc>
                <w:tcPr>
                  <w:tcW w:w="458" w:type="pct"/>
                  <w:tcBorders>
                    <w:tl2br w:val="nil"/>
                    <w:tr2bl w:val="nil"/>
                  </w:tcBorders>
                  <w:noWrap w:val="0"/>
                  <w:vAlign w:val="center"/>
                </w:tcPr>
                <w:p w14:paraId="3438F000">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rPr>
                    <w:t>个</w:t>
                  </w:r>
                </w:p>
              </w:tc>
              <w:tc>
                <w:tcPr>
                  <w:tcW w:w="1264" w:type="pct"/>
                  <w:tcBorders>
                    <w:tl2br w:val="nil"/>
                    <w:tr2bl w:val="nil"/>
                  </w:tcBorders>
                  <w:noWrap w:val="0"/>
                  <w:vAlign w:val="center"/>
                </w:tcPr>
                <w:p w14:paraId="13479E34">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pacing w:val="4"/>
                      <w:sz w:val="21"/>
                      <w:szCs w:val="21"/>
                      <w:lang w:val="en-US" w:eastAsia="zh-CN"/>
                    </w:rPr>
                    <w:t>50700</w:t>
                  </w:r>
                </w:p>
              </w:tc>
              <w:tc>
                <w:tcPr>
                  <w:tcW w:w="866" w:type="pct"/>
                  <w:tcBorders>
                    <w:tl2br w:val="nil"/>
                    <w:tr2bl w:val="nil"/>
                  </w:tcBorders>
                  <w:noWrap w:val="0"/>
                  <w:vAlign w:val="center"/>
                </w:tcPr>
                <w:p w14:paraId="651AB550">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pacing w:val="3"/>
                      <w:sz w:val="21"/>
                      <w:szCs w:val="21"/>
                      <w:lang w:val="en-US" w:eastAsia="zh-CN"/>
                    </w:rPr>
                    <w:t>1000</w:t>
                  </w:r>
                  <w:r>
                    <w:rPr>
                      <w:rFonts w:hint="default" w:ascii="Times New Roman" w:hAnsi="Times New Roman" w:eastAsia="宋体" w:cs="Times New Roman"/>
                      <w:color w:val="auto"/>
                      <w:spacing w:val="3"/>
                      <w:sz w:val="21"/>
                      <w:szCs w:val="21"/>
                    </w:rPr>
                    <w:t>个</w:t>
                  </w:r>
                </w:p>
              </w:tc>
            </w:tr>
            <w:tr w14:paraId="04AF29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85" w:hRule="atLeast"/>
                <w:jc w:val="center"/>
              </w:trPr>
              <w:tc>
                <w:tcPr>
                  <w:tcW w:w="482" w:type="pct"/>
                  <w:tcBorders>
                    <w:tl2br w:val="nil"/>
                    <w:tr2bl w:val="nil"/>
                  </w:tcBorders>
                  <w:noWrap w:val="0"/>
                  <w:vAlign w:val="center"/>
                </w:tcPr>
                <w:p w14:paraId="206D8890">
                  <w:pPr>
                    <w:keepNext w:val="0"/>
                    <w:keepLines w:val="0"/>
                    <w:pageBreakBefore w:val="0"/>
                    <w:widowControl/>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color w:val="auto"/>
                      <w:kern w:val="0"/>
                      <w:sz w:val="21"/>
                      <w:szCs w:val="21"/>
                      <w:lang w:val="en-US" w:eastAsia="zh-CN" w:bidi="zh-CN"/>
                    </w:rPr>
                  </w:pPr>
                  <w:r>
                    <w:rPr>
                      <w:rFonts w:hint="default" w:ascii="Times New Roman" w:hAnsi="Times New Roman" w:eastAsia="宋体" w:cs="Times New Roman"/>
                      <w:color w:val="auto"/>
                      <w:kern w:val="0"/>
                      <w:sz w:val="21"/>
                      <w:szCs w:val="21"/>
                      <w:lang w:val="en-US" w:eastAsia="zh-CN"/>
                    </w:rPr>
                    <w:t>9</w:t>
                  </w:r>
                </w:p>
              </w:tc>
              <w:tc>
                <w:tcPr>
                  <w:tcW w:w="1928" w:type="pct"/>
                  <w:tcBorders>
                    <w:tl2br w:val="nil"/>
                    <w:tr2bl w:val="nil"/>
                  </w:tcBorders>
                  <w:noWrap w:val="0"/>
                  <w:vAlign w:val="center"/>
                </w:tcPr>
                <w:p w14:paraId="4A49320A">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zh-CN" w:eastAsia="zh-CN" w:bidi="zh-CN"/>
                    </w:rPr>
                  </w:pPr>
                  <w:r>
                    <w:rPr>
                      <w:rFonts w:hint="default" w:ascii="Times New Roman" w:hAnsi="Times New Roman" w:eastAsia="宋体" w:cs="Times New Roman"/>
                      <w:color w:val="auto"/>
                      <w:spacing w:val="4"/>
                      <w:sz w:val="21"/>
                      <w:szCs w:val="21"/>
                    </w:rPr>
                    <w:t>棉签</w:t>
                  </w:r>
                </w:p>
              </w:tc>
              <w:tc>
                <w:tcPr>
                  <w:tcW w:w="458" w:type="pct"/>
                  <w:tcBorders>
                    <w:tl2br w:val="nil"/>
                    <w:tr2bl w:val="nil"/>
                  </w:tcBorders>
                  <w:noWrap w:val="0"/>
                  <w:vAlign w:val="center"/>
                </w:tcPr>
                <w:p w14:paraId="2F305CBF">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rPr>
                    <w:t>包</w:t>
                  </w:r>
                </w:p>
              </w:tc>
              <w:tc>
                <w:tcPr>
                  <w:tcW w:w="1264" w:type="pct"/>
                  <w:tcBorders>
                    <w:tl2br w:val="nil"/>
                    <w:tr2bl w:val="nil"/>
                  </w:tcBorders>
                  <w:noWrap w:val="0"/>
                  <w:vAlign w:val="center"/>
                </w:tcPr>
                <w:p w14:paraId="5525BDEF">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z w:val="21"/>
                      <w:szCs w:val="21"/>
                      <w:lang w:val="en-US" w:eastAsia="zh-CN"/>
                    </w:rPr>
                    <w:t>112500</w:t>
                  </w:r>
                </w:p>
              </w:tc>
              <w:tc>
                <w:tcPr>
                  <w:tcW w:w="866" w:type="pct"/>
                  <w:tcBorders>
                    <w:tl2br w:val="nil"/>
                    <w:tr2bl w:val="nil"/>
                  </w:tcBorders>
                  <w:noWrap w:val="0"/>
                  <w:vAlign w:val="center"/>
                </w:tcPr>
                <w:p w14:paraId="4DA6DEB5">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pacing w:val="-5"/>
                      <w:sz w:val="21"/>
                      <w:szCs w:val="21"/>
                      <w:lang w:val="en-US" w:eastAsia="zh-CN"/>
                    </w:rPr>
                    <w:t>10000</w:t>
                  </w:r>
                  <w:r>
                    <w:rPr>
                      <w:rFonts w:hint="default" w:ascii="Times New Roman" w:hAnsi="Times New Roman" w:eastAsia="宋体" w:cs="Times New Roman"/>
                      <w:color w:val="auto"/>
                      <w:spacing w:val="-5"/>
                      <w:sz w:val="21"/>
                      <w:szCs w:val="21"/>
                    </w:rPr>
                    <w:t>包</w:t>
                  </w:r>
                </w:p>
              </w:tc>
            </w:tr>
            <w:tr w14:paraId="1B8628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82" w:type="pct"/>
                  <w:tcBorders>
                    <w:tl2br w:val="nil"/>
                    <w:tr2bl w:val="nil"/>
                  </w:tcBorders>
                  <w:noWrap w:val="0"/>
                  <w:vAlign w:val="center"/>
                </w:tcPr>
                <w:p w14:paraId="0B026B86">
                  <w:pPr>
                    <w:keepNext w:val="0"/>
                    <w:keepLines w:val="0"/>
                    <w:pageBreakBefore w:val="0"/>
                    <w:widowControl/>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color w:val="auto"/>
                      <w:kern w:val="0"/>
                      <w:sz w:val="21"/>
                      <w:szCs w:val="21"/>
                      <w:lang w:val="en-US" w:eastAsia="zh-CN" w:bidi="zh-CN"/>
                    </w:rPr>
                  </w:pPr>
                  <w:r>
                    <w:rPr>
                      <w:rFonts w:hint="default" w:ascii="Times New Roman" w:hAnsi="Times New Roman" w:eastAsia="宋体" w:cs="Times New Roman"/>
                      <w:color w:val="auto"/>
                      <w:kern w:val="0"/>
                      <w:sz w:val="21"/>
                      <w:szCs w:val="21"/>
                      <w:lang w:val="en-US" w:eastAsia="zh-CN"/>
                    </w:rPr>
                    <w:t>10</w:t>
                  </w:r>
                </w:p>
              </w:tc>
              <w:tc>
                <w:tcPr>
                  <w:tcW w:w="1928" w:type="pct"/>
                  <w:tcBorders>
                    <w:tl2br w:val="nil"/>
                    <w:tr2bl w:val="nil"/>
                  </w:tcBorders>
                  <w:noWrap w:val="0"/>
                  <w:vAlign w:val="center"/>
                </w:tcPr>
                <w:p w14:paraId="120ACC74">
                  <w:pPr>
                    <w:keepNext w:val="0"/>
                    <w:keepLines w:val="0"/>
                    <w:pageBreakBefore w:val="0"/>
                    <w:widowControl w:val="0"/>
                    <w:kinsoku/>
                    <w:wordWrap/>
                    <w:overflowPunct/>
                    <w:topLinePunct w:val="0"/>
                    <w:autoSpaceDE w:val="0"/>
                    <w:autoSpaceDN w:val="0"/>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lang w:val="zh-CN" w:eastAsia="zh-CN" w:bidi="zh-CN"/>
                    </w:rPr>
                  </w:pPr>
                  <w:r>
                    <w:rPr>
                      <w:rFonts w:hint="default" w:ascii="Times New Roman" w:hAnsi="Times New Roman" w:eastAsia="宋体" w:cs="Times New Roman"/>
                      <w:color w:val="auto"/>
                      <w:spacing w:val="8"/>
                      <w:sz w:val="21"/>
                      <w:szCs w:val="21"/>
                    </w:rPr>
                    <w:t>一次性使用医用橡胶检查手套</w:t>
                  </w:r>
                </w:p>
              </w:tc>
              <w:tc>
                <w:tcPr>
                  <w:tcW w:w="458" w:type="pct"/>
                  <w:tcBorders>
                    <w:tl2br w:val="nil"/>
                    <w:tr2bl w:val="nil"/>
                  </w:tcBorders>
                  <w:noWrap w:val="0"/>
                  <w:vAlign w:val="center"/>
                </w:tcPr>
                <w:p w14:paraId="278FAB22">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eastAsia"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z w:val="21"/>
                      <w:szCs w:val="21"/>
                      <w:lang w:eastAsia="zh-CN"/>
                    </w:rPr>
                    <w:t>袋</w:t>
                  </w:r>
                </w:p>
              </w:tc>
              <w:tc>
                <w:tcPr>
                  <w:tcW w:w="1264" w:type="pct"/>
                  <w:tcBorders>
                    <w:tl2br w:val="nil"/>
                    <w:tr2bl w:val="nil"/>
                  </w:tcBorders>
                  <w:noWrap w:val="0"/>
                  <w:vAlign w:val="center"/>
                </w:tcPr>
                <w:p w14:paraId="79F8CB48">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pacing w:val="3"/>
                      <w:sz w:val="21"/>
                      <w:szCs w:val="21"/>
                      <w:lang w:val="en-US" w:eastAsia="zh-CN"/>
                    </w:rPr>
                    <w:t>3050</w:t>
                  </w:r>
                </w:p>
              </w:tc>
              <w:tc>
                <w:tcPr>
                  <w:tcW w:w="866" w:type="pct"/>
                  <w:tcBorders>
                    <w:tl2br w:val="nil"/>
                    <w:tr2bl w:val="nil"/>
                  </w:tcBorders>
                  <w:noWrap w:val="0"/>
                  <w:vAlign w:val="center"/>
                </w:tcPr>
                <w:p w14:paraId="38FAFE61">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pacing w:val="3"/>
                      <w:sz w:val="21"/>
                      <w:szCs w:val="21"/>
                    </w:rPr>
                    <w:t>400</w:t>
                  </w:r>
                  <w:r>
                    <w:rPr>
                      <w:rFonts w:hint="default" w:ascii="Times New Roman" w:hAnsi="Times New Roman" w:eastAsia="宋体" w:cs="Times New Roman"/>
                      <w:color w:val="auto"/>
                      <w:spacing w:val="9"/>
                      <w:sz w:val="21"/>
                      <w:szCs w:val="21"/>
                    </w:rPr>
                    <w:t xml:space="preserve"> </w:t>
                  </w:r>
                  <w:r>
                    <w:rPr>
                      <w:rFonts w:hint="default" w:ascii="Times New Roman" w:hAnsi="Times New Roman" w:eastAsia="宋体" w:cs="Times New Roman"/>
                      <w:color w:val="auto"/>
                      <w:spacing w:val="3"/>
                      <w:sz w:val="21"/>
                      <w:szCs w:val="21"/>
                    </w:rPr>
                    <w:t>双</w:t>
                  </w:r>
                </w:p>
              </w:tc>
            </w:tr>
            <w:tr w14:paraId="5E32B9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82" w:type="pct"/>
                  <w:noWrap w:val="0"/>
                  <w:vAlign w:val="center"/>
                </w:tcPr>
                <w:p w14:paraId="1644E539">
                  <w:pPr>
                    <w:keepNext w:val="0"/>
                    <w:keepLines w:val="0"/>
                    <w:pageBreakBefore w:val="0"/>
                    <w:widowControl/>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color w:val="auto"/>
                      <w:kern w:val="0"/>
                      <w:sz w:val="21"/>
                      <w:szCs w:val="21"/>
                      <w:lang w:val="en-US" w:eastAsia="zh-CN" w:bidi="zh-CN"/>
                    </w:rPr>
                  </w:pPr>
                  <w:r>
                    <w:rPr>
                      <w:rFonts w:hint="default" w:ascii="Times New Roman" w:hAnsi="Times New Roman" w:eastAsia="宋体" w:cs="Times New Roman"/>
                      <w:color w:val="auto"/>
                      <w:kern w:val="0"/>
                      <w:sz w:val="21"/>
                      <w:szCs w:val="21"/>
                      <w:lang w:val="en-US" w:eastAsia="zh-CN"/>
                    </w:rPr>
                    <w:t>11</w:t>
                  </w:r>
                </w:p>
              </w:tc>
              <w:tc>
                <w:tcPr>
                  <w:tcW w:w="1928" w:type="pct"/>
                  <w:noWrap w:val="0"/>
                  <w:vAlign w:val="center"/>
                </w:tcPr>
                <w:p w14:paraId="24E9C3CE">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zh-CN" w:eastAsia="zh-CN" w:bidi="zh-CN"/>
                    </w:rPr>
                  </w:pPr>
                  <w:r>
                    <w:rPr>
                      <w:rFonts w:hint="default" w:ascii="Times New Roman" w:hAnsi="Times New Roman" w:eastAsia="宋体" w:cs="Times New Roman"/>
                      <w:color w:val="auto"/>
                      <w:spacing w:val="6"/>
                      <w:sz w:val="21"/>
                      <w:szCs w:val="21"/>
                    </w:rPr>
                    <w:t>医用手术帽</w:t>
                  </w:r>
                </w:p>
              </w:tc>
              <w:tc>
                <w:tcPr>
                  <w:tcW w:w="458" w:type="pct"/>
                  <w:noWrap w:val="0"/>
                  <w:vAlign w:val="center"/>
                </w:tcPr>
                <w:p w14:paraId="189826A1">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rPr>
                    <w:t>个</w:t>
                  </w:r>
                </w:p>
              </w:tc>
              <w:tc>
                <w:tcPr>
                  <w:tcW w:w="1264" w:type="pct"/>
                  <w:noWrap w:val="0"/>
                  <w:vAlign w:val="center"/>
                </w:tcPr>
                <w:p w14:paraId="50FF657F">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z w:val="21"/>
                      <w:szCs w:val="21"/>
                      <w:lang w:val="en-US" w:eastAsia="zh-CN" w:bidi="zh-CN"/>
                    </w:rPr>
                    <w:t>5300</w:t>
                  </w:r>
                </w:p>
              </w:tc>
              <w:tc>
                <w:tcPr>
                  <w:tcW w:w="866" w:type="pct"/>
                  <w:noWrap w:val="0"/>
                  <w:vAlign w:val="center"/>
                </w:tcPr>
                <w:p w14:paraId="5A576A09">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pacing w:val="-2"/>
                      <w:sz w:val="21"/>
                      <w:szCs w:val="21"/>
                      <w:lang w:val="en-US" w:eastAsia="zh-CN"/>
                    </w:rPr>
                    <w:t>300</w:t>
                  </w:r>
                  <w:r>
                    <w:rPr>
                      <w:rFonts w:hint="default" w:ascii="Times New Roman" w:hAnsi="Times New Roman" w:eastAsia="宋体" w:cs="Times New Roman"/>
                      <w:color w:val="auto"/>
                      <w:spacing w:val="-2"/>
                      <w:sz w:val="21"/>
                      <w:szCs w:val="21"/>
                    </w:rPr>
                    <w:t>个</w:t>
                  </w:r>
                </w:p>
              </w:tc>
            </w:tr>
            <w:tr w14:paraId="140BBF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482" w:type="pct"/>
                  <w:tcBorders>
                    <w:tl2br w:val="nil"/>
                    <w:tr2bl w:val="nil"/>
                  </w:tcBorders>
                  <w:noWrap w:val="0"/>
                  <w:vAlign w:val="center"/>
                </w:tcPr>
                <w:p w14:paraId="66F74EA7">
                  <w:pPr>
                    <w:keepNext w:val="0"/>
                    <w:keepLines w:val="0"/>
                    <w:pageBreakBefore w:val="0"/>
                    <w:widowControl/>
                    <w:kinsoku/>
                    <w:wordWrap/>
                    <w:overflowPunct/>
                    <w:topLinePunct w:val="0"/>
                    <w:autoSpaceDE w:val="0"/>
                    <w:autoSpaceDN w:val="0"/>
                    <w:bidi w:val="0"/>
                    <w:adjustRightInd/>
                    <w:snapToGrid/>
                    <w:spacing w:line="360" w:lineRule="exact"/>
                    <w:jc w:val="center"/>
                    <w:textAlignment w:val="auto"/>
                    <w:rPr>
                      <w:rFonts w:hint="eastAsia" w:ascii="Times New Roman" w:hAnsi="Times New Roman" w:eastAsia="宋体" w:cs="Times New Roman"/>
                      <w:color w:val="auto"/>
                      <w:kern w:val="0"/>
                      <w:sz w:val="21"/>
                      <w:szCs w:val="21"/>
                      <w:lang w:val="en-US" w:eastAsia="zh-CN" w:bidi="zh-CN"/>
                    </w:rPr>
                  </w:pPr>
                  <w:r>
                    <w:rPr>
                      <w:rFonts w:hint="default"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lang w:val="en-US" w:eastAsia="zh-CN"/>
                    </w:rPr>
                    <w:t>2</w:t>
                  </w:r>
                </w:p>
              </w:tc>
              <w:tc>
                <w:tcPr>
                  <w:tcW w:w="1928" w:type="pct"/>
                  <w:tcBorders>
                    <w:tl2br w:val="nil"/>
                    <w:tr2bl w:val="nil"/>
                  </w:tcBorders>
                  <w:noWrap w:val="0"/>
                  <w:vAlign w:val="center"/>
                </w:tcPr>
                <w:p w14:paraId="0746EEB9">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zh-CN" w:eastAsia="zh-CN" w:bidi="zh-CN"/>
                    </w:rPr>
                  </w:pPr>
                  <w:r>
                    <w:rPr>
                      <w:rFonts w:hint="eastAsia" w:ascii="Times New Roman" w:hAnsi="Times New Roman" w:eastAsia="宋体" w:cs="Times New Roman"/>
                      <w:color w:val="auto"/>
                      <w:sz w:val="21"/>
                      <w:szCs w:val="21"/>
                      <w:lang w:val="zh-CN" w:eastAsia="zh-CN" w:bidi="zh-CN"/>
                    </w:rPr>
                    <w:t>二氯异氰尿酸钠</w:t>
                  </w:r>
                </w:p>
              </w:tc>
              <w:tc>
                <w:tcPr>
                  <w:tcW w:w="458" w:type="pct"/>
                  <w:tcBorders>
                    <w:tl2br w:val="nil"/>
                    <w:tr2bl w:val="nil"/>
                  </w:tcBorders>
                  <w:noWrap w:val="0"/>
                  <w:vAlign w:val="center"/>
                </w:tcPr>
                <w:p w14:paraId="3EC81C50">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rPr>
                    <w:t>瓶</w:t>
                  </w:r>
                </w:p>
              </w:tc>
              <w:tc>
                <w:tcPr>
                  <w:tcW w:w="1264" w:type="pct"/>
                  <w:tcBorders>
                    <w:tl2br w:val="nil"/>
                    <w:tr2bl w:val="nil"/>
                  </w:tcBorders>
                  <w:noWrap w:val="0"/>
                  <w:vAlign w:val="center"/>
                </w:tcPr>
                <w:p w14:paraId="1B77BD2F">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pacing w:val="6"/>
                      <w:sz w:val="21"/>
                      <w:szCs w:val="21"/>
                      <w:lang w:val="en-US" w:eastAsia="zh-CN"/>
                    </w:rPr>
                    <w:t>25kg</w:t>
                  </w:r>
                </w:p>
              </w:tc>
              <w:tc>
                <w:tcPr>
                  <w:tcW w:w="866" w:type="pct"/>
                  <w:tcBorders>
                    <w:tl2br w:val="nil"/>
                    <w:tr2bl w:val="nil"/>
                  </w:tcBorders>
                  <w:noWrap w:val="0"/>
                  <w:vAlign w:val="center"/>
                </w:tcPr>
                <w:p w14:paraId="61E2154F">
                  <w:pPr>
                    <w:keepNext w:val="0"/>
                    <w:keepLines w:val="0"/>
                    <w:pageBreakBefore w:val="0"/>
                    <w:widowControl w:val="0"/>
                    <w:kinsoku/>
                    <w:wordWrap/>
                    <w:overflowPunct/>
                    <w:topLinePunct w:val="0"/>
                    <w:autoSpaceDE w:val="0"/>
                    <w:autoSpaceDN w:val="0"/>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pacing w:val="-5"/>
                      <w:sz w:val="21"/>
                      <w:szCs w:val="21"/>
                      <w:lang w:val="en-US" w:eastAsia="zh-CN"/>
                    </w:rPr>
                    <w:t>10袋</w:t>
                  </w:r>
                </w:p>
              </w:tc>
            </w:tr>
          </w:tbl>
          <w:p w14:paraId="5E9A3615">
            <w:pPr>
              <w:pStyle w:val="6"/>
              <w:keepNext w:val="0"/>
              <w:keepLines w:val="0"/>
              <w:pageBreakBefore w:val="0"/>
              <w:widowControl w:val="0"/>
              <w:kinsoku/>
              <w:wordWrap/>
              <w:overflowPunct/>
              <w:topLinePunct w:val="0"/>
              <w:autoSpaceDE/>
              <w:autoSpaceDN/>
              <w:bidi w:val="0"/>
              <w:adjustRightInd w:val="0"/>
              <w:snapToGrid w:val="0"/>
              <w:spacing w:after="0" w:line="520" w:lineRule="exact"/>
              <w:ind w:left="0" w:leftChars="0" w:firstLine="482" w:firstLineChars="200"/>
              <w:jc w:val="both"/>
              <w:textAlignment w:val="auto"/>
              <w:rPr>
                <w:rFonts w:hint="default" w:ascii="Times New Roman" w:hAnsi="Times New Roman" w:eastAsia="宋体" w:cs="Times New Roman"/>
                <w:b w:val="0"/>
                <w:bCs/>
                <w:color w:val="auto"/>
                <w:kern w:val="0"/>
                <w:sz w:val="24"/>
                <w:szCs w:val="24"/>
                <w:lang w:val="zh-CN" w:eastAsia="zh-CN" w:bidi="zh-CN"/>
              </w:rPr>
            </w:pPr>
            <w:r>
              <w:rPr>
                <w:rFonts w:hint="eastAsia" w:ascii="Times New Roman" w:hAnsi="Times New Roman" w:eastAsia="宋体" w:cs="Times New Roman"/>
                <w:b/>
                <w:bCs w:val="0"/>
                <w:color w:val="auto"/>
                <w:kern w:val="0"/>
                <w:sz w:val="24"/>
                <w:szCs w:val="24"/>
                <w:lang w:val="zh-CN" w:eastAsia="zh-CN" w:bidi="zh-CN"/>
              </w:rPr>
              <w:t>酒精：</w:t>
            </w:r>
            <w:r>
              <w:rPr>
                <w:rFonts w:hint="eastAsia" w:ascii="Times New Roman" w:hAnsi="Times New Roman" w:eastAsia="宋体" w:cs="Times New Roman"/>
                <w:b w:val="0"/>
                <w:bCs/>
                <w:color w:val="auto"/>
                <w:kern w:val="0"/>
                <w:sz w:val="24"/>
                <w:szCs w:val="24"/>
                <w:lang w:val="zh-CN" w:eastAsia="zh-CN" w:bidi="zh-CN"/>
              </w:rPr>
              <w:t>化学式</w:t>
            </w:r>
            <w:r>
              <w:rPr>
                <w:rFonts w:hint="eastAsia" w:ascii="Times New Roman" w:hAnsi="Times New Roman" w:eastAsia="宋体" w:cs="Times New Roman"/>
                <w:b w:val="0"/>
                <w:bCs/>
                <w:color w:val="auto"/>
                <w:kern w:val="0"/>
                <w:sz w:val="24"/>
                <w:szCs w:val="24"/>
                <w:lang w:val="en-US" w:eastAsia="zh-CN" w:bidi="zh-CN"/>
              </w:rPr>
              <w:t>CH</w:t>
            </w:r>
            <w:r>
              <w:rPr>
                <w:rFonts w:hint="eastAsia" w:ascii="Times New Roman" w:hAnsi="Times New Roman" w:eastAsia="宋体" w:cs="Times New Roman"/>
                <w:b w:val="0"/>
                <w:bCs/>
                <w:color w:val="auto"/>
                <w:kern w:val="0"/>
                <w:sz w:val="24"/>
                <w:szCs w:val="24"/>
                <w:vertAlign w:val="subscript"/>
                <w:lang w:val="en-US" w:eastAsia="zh-CN" w:bidi="zh-CN"/>
              </w:rPr>
              <w:t>3</w:t>
            </w:r>
            <w:r>
              <w:rPr>
                <w:rFonts w:hint="eastAsia" w:ascii="Times New Roman" w:hAnsi="Times New Roman" w:eastAsia="宋体" w:cs="Times New Roman"/>
                <w:b w:val="0"/>
                <w:bCs/>
                <w:color w:val="auto"/>
                <w:kern w:val="0"/>
                <w:sz w:val="24"/>
                <w:szCs w:val="24"/>
                <w:lang w:val="en-US" w:eastAsia="zh-CN" w:bidi="zh-CN"/>
              </w:rPr>
              <w:t>CH</w:t>
            </w:r>
            <w:r>
              <w:rPr>
                <w:rFonts w:hint="eastAsia" w:ascii="Times New Roman" w:hAnsi="Times New Roman" w:eastAsia="宋体" w:cs="Times New Roman"/>
                <w:b w:val="0"/>
                <w:bCs/>
                <w:color w:val="auto"/>
                <w:kern w:val="0"/>
                <w:sz w:val="24"/>
                <w:szCs w:val="24"/>
                <w:vertAlign w:val="subscript"/>
                <w:lang w:val="en-US" w:eastAsia="zh-CN" w:bidi="zh-CN"/>
              </w:rPr>
              <w:t>2</w:t>
            </w:r>
            <w:r>
              <w:rPr>
                <w:rFonts w:hint="eastAsia" w:ascii="Times New Roman" w:hAnsi="Times New Roman" w:eastAsia="宋体" w:cs="Times New Roman"/>
                <w:b w:val="0"/>
                <w:bCs/>
                <w:color w:val="auto"/>
                <w:kern w:val="0"/>
                <w:sz w:val="24"/>
                <w:szCs w:val="24"/>
                <w:lang w:val="en-US" w:eastAsia="zh-CN" w:bidi="zh-CN"/>
              </w:rPr>
              <w:t>OH，</w:t>
            </w:r>
            <w:r>
              <w:rPr>
                <w:rFonts w:hint="eastAsia" w:ascii="Times New Roman" w:hAnsi="Times New Roman" w:eastAsia="宋体" w:cs="Times New Roman"/>
                <w:b w:val="0"/>
                <w:bCs/>
                <w:color w:val="auto"/>
                <w:kern w:val="0"/>
                <w:sz w:val="24"/>
                <w:szCs w:val="24"/>
                <w:lang w:val="zh-CN" w:eastAsia="zh-CN" w:bidi="zh-CN"/>
              </w:rPr>
              <w:t>乙醇，俗称酒精，无色透明液体，化学式为CH</w:t>
            </w:r>
            <w:r>
              <w:rPr>
                <w:rFonts w:hint="eastAsia" w:ascii="Times New Roman" w:hAnsi="Times New Roman" w:eastAsia="宋体" w:cs="Times New Roman"/>
                <w:b w:val="0"/>
                <w:bCs/>
                <w:color w:val="auto"/>
                <w:kern w:val="0"/>
                <w:sz w:val="24"/>
                <w:szCs w:val="24"/>
                <w:vertAlign w:val="subscript"/>
                <w:lang w:val="zh-CN" w:eastAsia="zh-CN" w:bidi="zh-CN"/>
              </w:rPr>
              <w:t>3</w:t>
            </w:r>
            <w:r>
              <w:rPr>
                <w:rFonts w:hint="eastAsia" w:ascii="Times New Roman" w:hAnsi="Times New Roman" w:eastAsia="宋体" w:cs="Times New Roman"/>
                <w:b w:val="0"/>
                <w:bCs/>
                <w:color w:val="auto"/>
                <w:kern w:val="0"/>
                <w:sz w:val="24"/>
                <w:szCs w:val="24"/>
                <w:lang w:val="zh-CN" w:eastAsia="zh-CN" w:bidi="zh-CN"/>
              </w:rPr>
              <w:t>CH</w:t>
            </w:r>
            <w:r>
              <w:rPr>
                <w:rFonts w:hint="eastAsia" w:ascii="Times New Roman" w:hAnsi="Times New Roman" w:eastAsia="宋体" w:cs="Times New Roman"/>
                <w:b w:val="0"/>
                <w:bCs/>
                <w:color w:val="auto"/>
                <w:kern w:val="0"/>
                <w:sz w:val="24"/>
                <w:szCs w:val="24"/>
                <w:vertAlign w:val="subscript"/>
                <w:lang w:val="zh-CN" w:eastAsia="zh-CN" w:bidi="zh-CN"/>
              </w:rPr>
              <w:t>2</w:t>
            </w:r>
            <w:r>
              <w:rPr>
                <w:rFonts w:hint="eastAsia" w:ascii="Times New Roman" w:hAnsi="Times New Roman" w:eastAsia="宋体" w:cs="Times New Roman"/>
                <w:b w:val="0"/>
                <w:bCs/>
                <w:color w:val="auto"/>
                <w:kern w:val="0"/>
                <w:sz w:val="24"/>
                <w:szCs w:val="24"/>
                <w:lang w:val="zh-CN" w:eastAsia="zh-CN" w:bidi="zh-CN"/>
              </w:rPr>
              <w:t>OH，在常温、常压下易燃、易挥发。水溶液具有酒香的气味，并略带刺激。有酒的气味和刺激的辛辣滋味，微甘。乙醇液体密度是0.789g/cm</w:t>
            </w:r>
            <w:r>
              <w:rPr>
                <w:rFonts w:hint="eastAsia" w:ascii="Times New Roman" w:hAnsi="Times New Roman" w:eastAsia="宋体" w:cs="Times New Roman"/>
                <w:b w:val="0"/>
                <w:bCs/>
                <w:color w:val="auto"/>
                <w:kern w:val="0"/>
                <w:sz w:val="24"/>
                <w:szCs w:val="24"/>
                <w:vertAlign w:val="superscript"/>
                <w:lang w:val="zh-CN" w:eastAsia="zh-CN" w:bidi="zh-CN"/>
              </w:rPr>
              <w:t>3</w:t>
            </w:r>
            <w:r>
              <w:rPr>
                <w:rFonts w:hint="eastAsia" w:ascii="Times New Roman" w:hAnsi="Times New Roman" w:eastAsia="宋体" w:cs="Times New Roman"/>
                <w:b w:val="0"/>
                <w:bCs/>
                <w:color w:val="auto"/>
                <w:kern w:val="0"/>
                <w:sz w:val="24"/>
                <w:szCs w:val="24"/>
                <w:lang w:val="zh-CN" w:eastAsia="zh-CN" w:bidi="zh-CN"/>
              </w:rPr>
              <w:t>（</w:t>
            </w:r>
            <w:r>
              <w:rPr>
                <w:rFonts w:hint="eastAsia" w:ascii="Times New Roman" w:hAnsi="Times New Roman" w:eastAsia="宋体" w:cs="Times New Roman"/>
                <w:b w:val="0"/>
                <w:bCs/>
                <w:color w:val="auto"/>
                <w:kern w:val="0"/>
                <w:sz w:val="24"/>
                <w:szCs w:val="24"/>
                <w:lang w:val="en-US" w:eastAsia="zh-CN" w:bidi="zh-CN"/>
              </w:rPr>
              <w:t>20℃</w:t>
            </w:r>
            <w:r>
              <w:rPr>
                <w:rFonts w:hint="eastAsia" w:ascii="Times New Roman" w:hAnsi="Times New Roman" w:eastAsia="宋体" w:cs="Times New Roman"/>
                <w:b w:val="0"/>
                <w:bCs/>
                <w:color w:val="auto"/>
                <w:kern w:val="0"/>
                <w:sz w:val="24"/>
                <w:szCs w:val="24"/>
                <w:lang w:val="zh-CN" w:eastAsia="zh-CN" w:bidi="zh-CN"/>
              </w:rPr>
              <w:t>），乙醇气体密度为1.59kg/m</w:t>
            </w:r>
            <w:r>
              <w:rPr>
                <w:rFonts w:hint="eastAsia" w:ascii="Times New Roman" w:hAnsi="Times New Roman" w:eastAsia="宋体" w:cs="Times New Roman"/>
                <w:b w:val="0"/>
                <w:bCs/>
                <w:color w:val="auto"/>
                <w:kern w:val="0"/>
                <w:sz w:val="24"/>
                <w:szCs w:val="24"/>
                <w:vertAlign w:val="superscript"/>
                <w:lang w:val="zh-CN" w:eastAsia="zh-CN" w:bidi="zh-CN"/>
              </w:rPr>
              <w:t>3</w:t>
            </w:r>
            <w:r>
              <w:rPr>
                <w:rFonts w:hint="eastAsia" w:ascii="Times New Roman" w:hAnsi="Times New Roman" w:eastAsia="宋体" w:cs="Times New Roman"/>
                <w:b w:val="0"/>
                <w:bCs/>
                <w:color w:val="auto"/>
                <w:kern w:val="0"/>
                <w:sz w:val="24"/>
                <w:szCs w:val="24"/>
                <w:lang w:val="zh-CN" w:eastAsia="zh-CN" w:bidi="zh-CN"/>
              </w:rPr>
              <w:t>，沸点78.3</w:t>
            </w:r>
            <w:r>
              <w:rPr>
                <w:rFonts w:hint="eastAsia" w:ascii="Times New Roman" w:hAnsi="Times New Roman" w:eastAsia="宋体" w:cs="Times New Roman"/>
                <w:b w:val="0"/>
                <w:bCs/>
                <w:color w:val="auto"/>
                <w:kern w:val="0"/>
                <w:sz w:val="24"/>
                <w:szCs w:val="24"/>
                <w:lang w:val="en-US" w:eastAsia="zh-CN" w:bidi="zh-CN"/>
              </w:rPr>
              <w:t>℃</w:t>
            </w:r>
            <w:r>
              <w:rPr>
                <w:rFonts w:hint="eastAsia" w:ascii="Times New Roman" w:hAnsi="Times New Roman" w:eastAsia="宋体" w:cs="Times New Roman"/>
                <w:b w:val="0"/>
                <w:bCs/>
                <w:color w:val="auto"/>
                <w:kern w:val="0"/>
                <w:sz w:val="24"/>
                <w:szCs w:val="24"/>
                <w:lang w:val="zh-CN" w:eastAsia="zh-CN" w:bidi="zh-CN"/>
              </w:rPr>
              <w:t>，熔点-114.1℃，易燃，其蒸气能与空气形成爆炸性混合物，能与水以任意比互溶。能与氯仿、乙醚、甲醇、丙酮和其他多数有机溶剂混溶，医疗上用体积分数为70%-75%的乙醇作消毒剂。</w:t>
            </w:r>
          </w:p>
          <w:p w14:paraId="4506B792">
            <w:pPr>
              <w:pStyle w:val="6"/>
              <w:keepNext w:val="0"/>
              <w:keepLines w:val="0"/>
              <w:pageBreakBefore w:val="0"/>
              <w:widowControl w:val="0"/>
              <w:kinsoku/>
              <w:wordWrap/>
              <w:overflowPunct/>
              <w:topLinePunct w:val="0"/>
              <w:autoSpaceDE/>
              <w:autoSpaceDN/>
              <w:bidi w:val="0"/>
              <w:adjustRightInd w:val="0"/>
              <w:snapToGrid w:val="0"/>
              <w:spacing w:after="0" w:line="520" w:lineRule="exact"/>
              <w:ind w:left="0" w:leftChars="0" w:firstLine="482" w:firstLineChars="200"/>
              <w:jc w:val="both"/>
              <w:textAlignment w:val="auto"/>
              <w:rPr>
                <w:rFonts w:hint="default" w:ascii="Times New Roman" w:hAnsi="Times New Roman" w:eastAsia="宋体" w:cs="Times New Roman"/>
                <w:b w:val="0"/>
                <w:bCs/>
                <w:color w:val="auto"/>
                <w:kern w:val="0"/>
                <w:sz w:val="24"/>
                <w:szCs w:val="24"/>
                <w:lang w:val="zh-CN" w:eastAsia="zh-CN" w:bidi="zh-CN"/>
              </w:rPr>
            </w:pPr>
            <w:r>
              <w:rPr>
                <w:rFonts w:hint="eastAsia" w:ascii="Times New Roman" w:hAnsi="Times New Roman" w:eastAsia="宋体" w:cs="Times New Roman"/>
                <w:b/>
                <w:bCs w:val="0"/>
                <w:color w:val="auto"/>
                <w:kern w:val="0"/>
                <w:sz w:val="24"/>
                <w:szCs w:val="24"/>
                <w:lang w:val="zh-CN" w:eastAsia="zh-CN" w:bidi="zh-CN"/>
              </w:rPr>
              <w:t>碘伏</w:t>
            </w:r>
            <w:r>
              <w:rPr>
                <w:rFonts w:hint="default" w:ascii="Times New Roman" w:hAnsi="Times New Roman" w:eastAsia="宋体" w:cs="Times New Roman"/>
                <w:b/>
                <w:bCs w:val="0"/>
                <w:color w:val="auto"/>
                <w:kern w:val="0"/>
                <w:sz w:val="24"/>
                <w:szCs w:val="24"/>
                <w:lang w:val="zh-CN" w:eastAsia="zh-CN" w:bidi="zh-CN"/>
              </w:rPr>
              <w:t>：</w:t>
            </w:r>
            <w:r>
              <w:rPr>
                <w:rFonts w:hint="default" w:ascii="Times New Roman" w:hAnsi="Times New Roman" w:eastAsia="宋体" w:cs="Times New Roman"/>
                <w:b w:val="0"/>
                <w:bCs/>
                <w:color w:val="auto"/>
                <w:kern w:val="0"/>
                <w:sz w:val="24"/>
                <w:szCs w:val="24"/>
                <w:lang w:val="zh-CN" w:eastAsia="zh-CN" w:bidi="zh-CN"/>
              </w:rPr>
              <w:t>碘伏是单质碘与聚乙烯吡咯烷酮(Povidone)的不定型结合物。聚乙烯吡咯烷酮可溶解分散9%~12%的碘，此时呈现紫黑色液体。医用碘伏通常浓度较低(1%或以下)，呈现浅棕色。碘伏具有广谱杀菌作用，可杀灭细菌繁殖体、真菌、原虫和部分病毒。在医疗上用作杀菌消毒剂。</w:t>
            </w:r>
          </w:p>
          <w:p w14:paraId="1D9FBCA3">
            <w:pPr>
              <w:pStyle w:val="45"/>
              <w:keepNext w:val="0"/>
              <w:keepLines w:val="0"/>
              <w:pageBreakBefore w:val="0"/>
              <w:widowControl w:val="0"/>
              <w:tabs>
                <w:tab w:val="left" w:pos="895"/>
              </w:tabs>
              <w:kinsoku/>
              <w:wordWrap/>
              <w:overflowPunct/>
              <w:topLinePunct w:val="0"/>
              <w:bidi w:val="0"/>
              <w:spacing w:line="520" w:lineRule="exact"/>
              <w:ind w:firstLine="482" w:firstLineChars="200"/>
              <w:jc w:val="both"/>
              <w:textAlignment w:val="auto"/>
              <w:rPr>
                <w:rFonts w:hint="eastAsia" w:ascii="Times New Roman" w:hAnsi="Times New Roman" w:cs="Times New Roman"/>
                <w:b w:val="0"/>
                <w:bCs w:val="0"/>
                <w:color w:val="auto"/>
                <w:sz w:val="24"/>
                <w:szCs w:val="24"/>
                <w:lang w:val="en-US" w:eastAsia="zh-CN"/>
              </w:rPr>
            </w:pPr>
            <w:r>
              <w:rPr>
                <w:rFonts w:hint="default" w:ascii="Times New Roman" w:hAnsi="Times New Roman" w:eastAsia="宋体" w:cs="Times New Roman"/>
                <w:b/>
                <w:bCs/>
                <w:color w:val="auto"/>
                <w:sz w:val="24"/>
                <w:szCs w:val="24"/>
                <w:lang w:val="zh-CN" w:eastAsia="zh-CN" w:bidi="zh-CN"/>
              </w:rPr>
              <w:t>二氯异氰尿酸钠：</w:t>
            </w:r>
            <w:r>
              <w:rPr>
                <w:rFonts w:hint="eastAsia" w:ascii="Times New Roman" w:hAnsi="Times New Roman" w:eastAsia="宋体" w:cs="Times New Roman"/>
                <w:b w:val="0"/>
                <w:bCs w:val="0"/>
                <w:color w:val="auto"/>
                <w:sz w:val="24"/>
                <w:szCs w:val="24"/>
                <w:lang w:val="zh-CN" w:eastAsia="zh-CN" w:bidi="zh-CN"/>
              </w:rPr>
              <w:t>化学式C</w:t>
            </w:r>
            <w:r>
              <w:rPr>
                <w:rFonts w:hint="eastAsia" w:ascii="Times New Roman" w:hAnsi="Times New Roman" w:eastAsia="宋体" w:cs="Times New Roman"/>
                <w:b w:val="0"/>
                <w:bCs w:val="0"/>
                <w:color w:val="auto"/>
                <w:sz w:val="24"/>
                <w:szCs w:val="24"/>
                <w:vertAlign w:val="subscript"/>
                <w:lang w:val="zh-CN" w:eastAsia="zh-CN" w:bidi="zh-CN"/>
              </w:rPr>
              <w:t>3</w:t>
            </w:r>
            <w:r>
              <w:rPr>
                <w:rFonts w:hint="eastAsia" w:ascii="Times New Roman" w:hAnsi="Times New Roman" w:eastAsia="宋体" w:cs="Times New Roman"/>
                <w:b w:val="0"/>
                <w:bCs w:val="0"/>
                <w:color w:val="auto"/>
                <w:sz w:val="24"/>
                <w:szCs w:val="24"/>
                <w:lang w:val="zh-CN" w:eastAsia="zh-CN" w:bidi="zh-CN"/>
              </w:rPr>
              <w:t>O</w:t>
            </w:r>
            <w:r>
              <w:rPr>
                <w:rFonts w:hint="eastAsia" w:ascii="Times New Roman" w:hAnsi="Times New Roman" w:eastAsia="宋体" w:cs="Times New Roman"/>
                <w:b w:val="0"/>
                <w:bCs w:val="0"/>
                <w:color w:val="auto"/>
                <w:sz w:val="24"/>
                <w:szCs w:val="24"/>
                <w:vertAlign w:val="subscript"/>
                <w:lang w:val="zh-CN" w:eastAsia="zh-CN" w:bidi="zh-CN"/>
              </w:rPr>
              <w:t>3</w:t>
            </w:r>
            <w:r>
              <w:rPr>
                <w:rFonts w:hint="eastAsia" w:ascii="Times New Roman" w:hAnsi="Times New Roman" w:eastAsia="宋体" w:cs="Times New Roman"/>
                <w:b w:val="0"/>
                <w:bCs w:val="0"/>
                <w:color w:val="auto"/>
                <w:sz w:val="24"/>
                <w:szCs w:val="24"/>
                <w:lang w:val="zh-CN" w:eastAsia="zh-CN" w:bidi="zh-CN"/>
              </w:rPr>
              <w:t>N</w:t>
            </w:r>
            <w:r>
              <w:rPr>
                <w:rFonts w:hint="eastAsia" w:ascii="Times New Roman" w:hAnsi="Times New Roman" w:eastAsia="宋体" w:cs="Times New Roman"/>
                <w:b w:val="0"/>
                <w:bCs w:val="0"/>
                <w:color w:val="auto"/>
                <w:sz w:val="24"/>
                <w:szCs w:val="24"/>
                <w:vertAlign w:val="subscript"/>
                <w:lang w:val="zh-CN" w:eastAsia="zh-CN" w:bidi="zh-CN"/>
              </w:rPr>
              <w:t>3</w:t>
            </w:r>
            <w:r>
              <w:rPr>
                <w:rFonts w:hint="eastAsia" w:ascii="Times New Roman" w:hAnsi="Times New Roman" w:eastAsia="宋体" w:cs="Times New Roman"/>
                <w:b w:val="0"/>
                <w:bCs w:val="0"/>
                <w:color w:val="auto"/>
                <w:sz w:val="24"/>
                <w:szCs w:val="24"/>
                <w:lang w:val="zh-CN" w:eastAsia="zh-CN" w:bidi="zh-CN"/>
              </w:rPr>
              <w:t>C</w:t>
            </w:r>
            <w:r>
              <w:rPr>
                <w:rFonts w:hint="eastAsia" w:ascii="Times New Roman" w:hAnsi="Times New Roman" w:eastAsia="宋体" w:cs="Times New Roman"/>
                <w:b w:val="0"/>
                <w:bCs w:val="0"/>
                <w:color w:val="auto"/>
                <w:sz w:val="24"/>
                <w:szCs w:val="24"/>
                <w:lang w:val="en-US" w:eastAsia="zh-CN" w:bidi="zh-CN"/>
              </w:rPr>
              <w:t>l</w:t>
            </w:r>
            <w:r>
              <w:rPr>
                <w:rFonts w:hint="eastAsia" w:ascii="Times New Roman" w:hAnsi="Times New Roman" w:eastAsia="宋体" w:cs="Times New Roman"/>
                <w:b w:val="0"/>
                <w:bCs w:val="0"/>
                <w:color w:val="auto"/>
                <w:sz w:val="24"/>
                <w:szCs w:val="24"/>
                <w:vertAlign w:val="subscript"/>
                <w:lang w:val="zh-CN" w:eastAsia="zh-CN" w:bidi="zh-CN"/>
              </w:rPr>
              <w:t>2</w:t>
            </w:r>
            <w:r>
              <w:rPr>
                <w:rFonts w:hint="eastAsia" w:ascii="Times New Roman" w:hAnsi="Times New Roman" w:eastAsia="宋体" w:cs="Times New Roman"/>
                <w:b w:val="0"/>
                <w:bCs w:val="0"/>
                <w:color w:val="auto"/>
                <w:sz w:val="24"/>
                <w:szCs w:val="24"/>
                <w:lang w:val="zh-CN" w:eastAsia="zh-CN" w:bidi="zh-CN"/>
              </w:rPr>
              <w:t>Na，白色粉末状或颗粒状的固体，易溶于水，难溶于有机溶剂。强氧化剂。与易燃物、有机物接触易着火燃烧。是氧化性杀菌剂中杀菌最为广谱、高效、安全的消毒剂，也是氯代异氰尿酸类中的主导产品。可强力杀灭细菌芽孢、细菌繁殖体、真菌等各种致病性微生物，对肝炎病毒有特效杀灭作用，快速杀灭并强力抑制循环水、冷却塔、水池等系统的蓝绿藻、红藻、海藻等藻类植物。对循环水系统的硫酸盐还原菌、铁细菌、真菌等有彻底的杀灭作用。</w:t>
            </w:r>
          </w:p>
          <w:p w14:paraId="58C1AD2D">
            <w:pPr>
              <w:pStyle w:val="45"/>
              <w:keepNext w:val="0"/>
              <w:keepLines w:val="0"/>
              <w:pageBreakBefore w:val="0"/>
              <w:widowControl w:val="0"/>
              <w:tabs>
                <w:tab w:val="left" w:pos="895"/>
              </w:tabs>
              <w:kinsoku/>
              <w:wordWrap/>
              <w:overflowPunct/>
              <w:topLinePunct w:val="0"/>
              <w:bidi w:val="0"/>
              <w:spacing w:line="520" w:lineRule="exact"/>
              <w:ind w:firstLine="482" w:firstLineChars="200"/>
              <w:textAlignment w:val="auto"/>
              <w:rPr>
                <w:rFonts w:ascii="Times New Roman" w:hAnsi="Times New Roman" w:cs="Times New Roman"/>
                <w:b/>
                <w:color w:val="auto"/>
                <w:sz w:val="24"/>
                <w:lang w:val="en-US"/>
              </w:rPr>
            </w:pPr>
            <w:r>
              <w:rPr>
                <w:rFonts w:hint="eastAsia" w:ascii="Times New Roman" w:hAnsi="Times New Roman" w:cs="Times New Roman"/>
                <w:b/>
                <w:color w:val="auto"/>
                <w:sz w:val="24"/>
                <w:lang w:val="en-US" w:eastAsia="zh-CN"/>
              </w:rPr>
              <w:t>6、</w:t>
            </w:r>
            <w:r>
              <w:rPr>
                <w:rFonts w:ascii="Times New Roman" w:hAnsi="Times New Roman" w:cs="Times New Roman"/>
                <w:b/>
                <w:color w:val="auto"/>
                <w:sz w:val="24"/>
                <w:lang w:val="en-US"/>
              </w:rPr>
              <w:t>公用工程</w:t>
            </w:r>
          </w:p>
          <w:p w14:paraId="0E4F366D">
            <w:pPr>
              <w:pStyle w:val="29"/>
              <w:keepNext w:val="0"/>
              <w:keepLines w:val="0"/>
              <w:pageBreakBefore w:val="0"/>
              <w:widowControl w:val="0"/>
              <w:tabs>
                <w:tab w:val="left" w:pos="442"/>
              </w:tabs>
              <w:kinsoku/>
              <w:wordWrap/>
              <w:overflowPunct/>
              <w:topLinePunct w:val="0"/>
              <w:autoSpaceDE/>
              <w:autoSpaceDN/>
              <w:bidi w:val="0"/>
              <w:adjustRightInd w:val="0"/>
              <w:snapToGrid w:val="0"/>
              <w:spacing w:line="520" w:lineRule="exact"/>
              <w:ind w:firstLine="480" w:firstLineChars="200"/>
              <w:jc w:val="both"/>
              <w:textAlignment w:val="auto"/>
              <w:rPr>
                <w:rFonts w:hint="default" w:ascii="Times New Roman" w:hAnsi="Times New Roman" w:eastAsia="宋体" w:cs="Times New Roman"/>
                <w:b w:val="0"/>
                <w:bCs/>
                <w:color w:val="auto"/>
                <w:szCs w:val="24"/>
                <w:highlight w:val="none"/>
              </w:rPr>
            </w:pPr>
            <w:r>
              <w:rPr>
                <w:rFonts w:hint="default" w:ascii="Times New Roman" w:hAnsi="Times New Roman" w:eastAsia="宋体" w:cs="Times New Roman"/>
                <w:b w:val="0"/>
                <w:bCs/>
                <w:color w:val="auto"/>
                <w:szCs w:val="24"/>
                <w:highlight w:val="none"/>
              </w:rPr>
              <w:t>（1）给水</w:t>
            </w:r>
          </w:p>
          <w:p w14:paraId="289C5C7C">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left="0" w:leftChars="0" w:firstLine="480" w:firstLineChars="200"/>
              <w:jc w:val="both"/>
              <w:textAlignment w:val="auto"/>
              <w:rPr>
                <w:rFonts w:hint="eastAsia" w:ascii="Times New Roman" w:hAnsi="Times New Roman" w:cs="Times New Roman"/>
                <w:color w:val="auto"/>
                <w:sz w:val="24"/>
                <w:highlight w:val="none"/>
                <w:lang w:val="en-US"/>
              </w:rPr>
            </w:pPr>
            <w:r>
              <w:rPr>
                <w:rFonts w:hint="eastAsia" w:ascii="Times New Roman" w:hAnsi="Times New Roman" w:cs="Times New Roman"/>
                <w:color w:val="auto"/>
                <w:sz w:val="24"/>
                <w:highlight w:val="none"/>
                <w:lang w:val="en-US" w:eastAsia="zh-CN"/>
              </w:rPr>
              <w:t>本</w:t>
            </w:r>
            <w:r>
              <w:rPr>
                <w:rFonts w:hint="eastAsia" w:ascii="Times New Roman" w:hAnsi="Times New Roman" w:cs="Times New Roman"/>
                <w:color w:val="auto"/>
                <w:sz w:val="24"/>
                <w:highlight w:val="none"/>
                <w:lang w:val="en-US"/>
              </w:rPr>
              <w:t>项目用水为市政供水管网供给，</w:t>
            </w:r>
            <w:r>
              <w:rPr>
                <w:rFonts w:hint="eastAsia" w:ascii="Times New Roman" w:hAnsi="Times New Roman" w:cs="Times New Roman"/>
                <w:color w:val="auto"/>
                <w:sz w:val="24"/>
                <w:highlight w:val="none"/>
                <w:lang w:val="en-US" w:eastAsia="zh-CN"/>
              </w:rPr>
              <w:t>依托院内现有供水管网。</w:t>
            </w:r>
            <w:r>
              <w:rPr>
                <w:rFonts w:hint="eastAsia" w:ascii="Times New Roman" w:hAnsi="Times New Roman" w:cs="Times New Roman"/>
                <w:color w:val="auto"/>
                <w:sz w:val="24"/>
                <w:highlight w:val="none"/>
                <w:lang w:val="en-US"/>
              </w:rPr>
              <w:t>本项目用水主要为</w:t>
            </w:r>
            <w:r>
              <w:rPr>
                <w:rFonts w:hint="eastAsia" w:ascii="Times New Roman" w:hAnsi="Times New Roman" w:cs="Times New Roman"/>
                <w:color w:val="auto"/>
                <w:sz w:val="24"/>
                <w:highlight w:val="none"/>
                <w:lang w:val="en-US" w:eastAsia="zh-CN"/>
              </w:rPr>
              <w:t>医院用水</w:t>
            </w:r>
            <w:r>
              <w:rPr>
                <w:rFonts w:hint="eastAsia" w:ascii="Times New Roman" w:hAnsi="Times New Roman" w:cs="Times New Roman"/>
                <w:color w:val="auto"/>
                <w:sz w:val="24"/>
                <w:highlight w:val="none"/>
                <w:lang w:val="en-US"/>
              </w:rPr>
              <w:t>。</w:t>
            </w:r>
          </w:p>
          <w:p w14:paraId="7D32364E">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left="0" w:leftChars="0" w:firstLine="480" w:firstLineChars="200"/>
              <w:jc w:val="both"/>
              <w:textAlignment w:val="auto"/>
              <w:rPr>
                <w:rFonts w:hint="default"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rPr>
              <w:t>根据《</w:t>
            </w:r>
            <w:r>
              <w:rPr>
                <w:rFonts w:hint="eastAsia" w:ascii="Times New Roman" w:hAnsi="Times New Roman" w:cs="Times New Roman"/>
                <w:color w:val="auto"/>
                <w:sz w:val="24"/>
                <w:highlight w:val="none"/>
                <w:lang w:val="en-US" w:eastAsia="zh-CN"/>
              </w:rPr>
              <w:t>内蒙古自治区行业</w:t>
            </w:r>
            <w:r>
              <w:rPr>
                <w:rFonts w:hint="eastAsia" w:ascii="Times New Roman" w:hAnsi="Times New Roman" w:cs="Times New Roman"/>
                <w:color w:val="auto"/>
                <w:sz w:val="24"/>
                <w:highlight w:val="none"/>
                <w:lang w:val="en-US"/>
              </w:rPr>
              <w:t>用水定额》（DB</w:t>
            </w:r>
            <w:r>
              <w:rPr>
                <w:rFonts w:hint="eastAsia" w:ascii="Times New Roman" w:hAnsi="Times New Roman" w:cs="Times New Roman"/>
                <w:color w:val="auto"/>
                <w:sz w:val="24"/>
                <w:highlight w:val="none"/>
                <w:lang w:val="en-US" w:eastAsia="zh-CN"/>
              </w:rPr>
              <w:t>15</w:t>
            </w:r>
            <w:r>
              <w:rPr>
                <w:rFonts w:hint="eastAsia" w:ascii="Times New Roman" w:hAnsi="Times New Roman" w:cs="Times New Roman"/>
                <w:color w:val="auto"/>
                <w:sz w:val="24"/>
                <w:highlight w:val="none"/>
                <w:lang w:val="en-US"/>
              </w:rPr>
              <w:t>/T</w:t>
            </w:r>
            <w:r>
              <w:rPr>
                <w:rFonts w:hint="eastAsia" w:ascii="Times New Roman" w:hAnsi="Times New Roman" w:cs="Times New Roman"/>
                <w:color w:val="auto"/>
                <w:sz w:val="24"/>
                <w:highlight w:val="none"/>
                <w:lang w:val="en-US" w:eastAsia="zh-CN"/>
              </w:rPr>
              <w:t xml:space="preserve"> 385</w:t>
            </w:r>
            <w:r>
              <w:rPr>
                <w:rFonts w:hint="eastAsia" w:ascii="Times New Roman" w:hAnsi="Times New Roman" w:cs="Times New Roman"/>
                <w:color w:val="auto"/>
                <w:sz w:val="24"/>
                <w:highlight w:val="none"/>
                <w:lang w:val="en-US"/>
              </w:rPr>
              <w:t>-20</w:t>
            </w:r>
            <w:r>
              <w:rPr>
                <w:rFonts w:hint="eastAsia" w:ascii="Times New Roman" w:hAnsi="Times New Roman" w:cs="Times New Roman"/>
                <w:color w:val="auto"/>
                <w:sz w:val="24"/>
                <w:highlight w:val="none"/>
                <w:lang w:val="en-US" w:eastAsia="zh-CN"/>
              </w:rPr>
              <w:t>20</w:t>
            </w:r>
            <w:r>
              <w:rPr>
                <w:rFonts w:hint="eastAsia" w:ascii="Times New Roman" w:hAnsi="Times New Roman" w:cs="Times New Roman"/>
                <w:color w:val="auto"/>
                <w:sz w:val="24"/>
                <w:highlight w:val="none"/>
                <w:lang w:val="en-US"/>
              </w:rPr>
              <w:t>）</w:t>
            </w:r>
            <w:r>
              <w:rPr>
                <w:rFonts w:hint="eastAsia" w:ascii="Times New Roman" w:hAnsi="Times New Roman" w:cs="Times New Roman"/>
                <w:color w:val="auto"/>
                <w:sz w:val="24"/>
                <w:highlight w:val="none"/>
                <w:lang w:val="en-US" w:eastAsia="zh-CN"/>
              </w:rPr>
              <w:t>，综合医院医用水量按560L/（床•d）计算，本项目新增100张床位，</w:t>
            </w:r>
            <w:r>
              <w:rPr>
                <w:rFonts w:hint="default" w:ascii="Times New Roman" w:hAnsi="Times New Roman" w:cs="Times New Roman"/>
                <w:bCs/>
                <w:color w:val="auto"/>
                <w:sz w:val="24"/>
                <w:lang w:val="en-US"/>
              </w:rPr>
              <w:t>全年工作天数为365天，</w:t>
            </w:r>
            <w:r>
              <w:rPr>
                <w:rFonts w:hint="eastAsia" w:ascii="Times New Roman" w:hAnsi="Times New Roman" w:cs="Times New Roman"/>
                <w:color w:val="auto"/>
                <w:sz w:val="24"/>
                <w:highlight w:val="none"/>
                <w:lang w:val="en-US" w:eastAsia="zh-CN"/>
              </w:rPr>
              <w:t>则新增医用水量为56m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/d（20440</w:t>
            </w:r>
            <w:r>
              <w:rPr>
                <w:rFonts w:hint="default" w:ascii="Times New Roman" w:hAnsi="Times New Roman" w:eastAsia="宋体" w:cs="Times New Roman"/>
                <w:b w:val="0"/>
                <w:bCs/>
                <w:color w:val="auto"/>
                <w:sz w:val="24"/>
                <w:szCs w:val="24"/>
                <w:highlight w:val="none"/>
              </w:rPr>
              <w:t>m</w:t>
            </w:r>
            <w:r>
              <w:rPr>
                <w:rFonts w:hint="default" w:ascii="Times New Roman" w:hAnsi="Times New Roman" w:eastAsia="宋体" w:cs="Times New Roman"/>
                <w:b w:val="0"/>
                <w:bCs/>
                <w:color w:val="auto"/>
                <w:sz w:val="24"/>
                <w:szCs w:val="24"/>
                <w:highlight w:val="none"/>
                <w:vertAlign w:val="superscript"/>
              </w:rPr>
              <w:t>3</w:t>
            </w:r>
            <w:r>
              <w:rPr>
                <w:rFonts w:hint="default" w:ascii="Times New Roman" w:hAnsi="Times New Roman" w:eastAsia="宋体" w:cs="Times New Roman"/>
                <w:b w:val="0"/>
                <w:bCs/>
                <w:color w:val="auto"/>
                <w:sz w:val="24"/>
                <w:szCs w:val="24"/>
                <w:highlight w:val="none"/>
              </w:rPr>
              <w:t>/a</w:t>
            </w:r>
            <w:r>
              <w:rPr>
                <w:rFonts w:hint="eastAsia" w:ascii="Times New Roman" w:hAnsi="Times New Roman" w:cs="Times New Roman"/>
                <w:color w:val="auto"/>
                <w:sz w:val="24"/>
                <w:highlight w:val="none"/>
                <w:lang w:val="en-US" w:eastAsia="zh-CN"/>
              </w:rPr>
              <w:t>）</w:t>
            </w:r>
            <w:r>
              <w:rPr>
                <w:rFonts w:hint="eastAsia" w:ascii="Times New Roman" w:hAnsi="Times New Roman" w:eastAsia="宋体" w:cs="Times New Roman"/>
                <w:b w:val="0"/>
                <w:bCs/>
                <w:color w:val="auto"/>
                <w:szCs w:val="24"/>
                <w:highlight w:val="none"/>
                <w:lang w:eastAsia="zh-CN"/>
              </w:rPr>
              <w:t>；</w:t>
            </w:r>
            <w:r>
              <w:rPr>
                <w:rFonts w:hint="eastAsia" w:ascii="Times New Roman" w:hAnsi="Times New Roman" w:cs="Times New Roman"/>
                <w:color w:val="auto"/>
                <w:sz w:val="24"/>
                <w:lang w:val="en-US" w:eastAsia="zh-CN"/>
              </w:rPr>
              <w:t>根据建设单位提供的数据，项目检验科使用药剂均为外购成品化验盒，不进行配制。医院检验科用水量约为0.3m</w:t>
            </w:r>
            <w:r>
              <w:rPr>
                <w:rFonts w:hint="eastAsia" w:ascii="Times New Roman" w:hAnsi="Times New Roman" w:cs="Times New Roman"/>
                <w:color w:val="auto"/>
                <w:sz w:val="24"/>
                <w:vertAlign w:val="superscript"/>
                <w:lang w:val="en-US" w:eastAsia="zh-CN"/>
              </w:rPr>
              <w:t>3</w:t>
            </w:r>
            <w:r>
              <w:rPr>
                <w:rFonts w:hint="eastAsia" w:ascii="Times New Roman" w:hAnsi="Times New Roman" w:cs="Times New Roman"/>
                <w:color w:val="auto"/>
                <w:sz w:val="24"/>
                <w:lang w:val="en-US" w:eastAsia="zh-CN"/>
              </w:rPr>
              <w:t>/d（109.5m</w:t>
            </w:r>
            <w:r>
              <w:rPr>
                <w:rFonts w:hint="eastAsia" w:ascii="Times New Roman" w:hAnsi="Times New Roman" w:cs="Times New Roman"/>
                <w:color w:val="auto"/>
                <w:sz w:val="24"/>
                <w:vertAlign w:val="superscript"/>
                <w:lang w:val="en-US" w:eastAsia="zh-CN"/>
              </w:rPr>
              <w:t>3</w:t>
            </w:r>
            <w:r>
              <w:rPr>
                <w:rFonts w:hint="eastAsia" w:ascii="Times New Roman" w:hAnsi="Times New Roman" w:cs="Times New Roman"/>
                <w:color w:val="auto"/>
                <w:sz w:val="24"/>
                <w:lang w:val="en-US" w:eastAsia="zh-CN"/>
              </w:rPr>
              <w:t>/a），</w:t>
            </w:r>
            <w:r>
              <w:rPr>
                <w:rFonts w:hint="eastAsia" w:ascii="Times New Roman" w:hAnsi="Times New Roman" w:cs="Times New Roman"/>
                <w:color w:val="auto"/>
                <w:sz w:val="24"/>
                <w:highlight w:val="none"/>
                <w:lang w:val="en-US" w:eastAsia="zh-CN"/>
              </w:rPr>
              <w:t>根据建设单位提供的数据，目前医院内用水量约为12m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/d（4380m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/a）。</w:t>
            </w:r>
          </w:p>
          <w:p w14:paraId="0EE30C79">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left="0" w:leftChars="0" w:firstLine="480" w:firstLineChars="200"/>
              <w:jc w:val="both"/>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综上所述，</w:t>
            </w:r>
            <w:r>
              <w:rPr>
                <w:rFonts w:hint="default" w:ascii="Times New Roman" w:hAnsi="Times New Roman" w:cs="Times New Roman"/>
                <w:color w:val="auto"/>
                <w:sz w:val="24"/>
                <w:szCs w:val="24"/>
                <w:lang w:val="en-US"/>
              </w:rPr>
              <w:t>新鲜水总用水量为</w:t>
            </w:r>
            <w:r>
              <w:rPr>
                <w:rFonts w:hint="eastAsia" w:ascii="Times New Roman" w:hAnsi="Times New Roman" w:cs="Times New Roman"/>
                <w:color w:val="auto"/>
                <w:sz w:val="24"/>
                <w:szCs w:val="24"/>
                <w:lang w:val="en-US" w:eastAsia="zh-CN"/>
              </w:rPr>
              <w:t>24820</w:t>
            </w:r>
            <w:r>
              <w:rPr>
                <w:rFonts w:hint="default" w:ascii="Times New Roman" w:hAnsi="Times New Roman" w:cs="Times New Roman"/>
                <w:color w:val="auto"/>
                <w:sz w:val="24"/>
                <w:szCs w:val="24"/>
                <w:lang w:val="en-US"/>
              </w:rPr>
              <w:t>m</w:t>
            </w:r>
            <w:r>
              <w:rPr>
                <w:rFonts w:hint="default" w:ascii="Times New Roman" w:hAnsi="Times New Roman" w:cs="Times New Roman"/>
                <w:color w:val="auto"/>
                <w:sz w:val="24"/>
                <w:szCs w:val="24"/>
                <w:vertAlign w:val="superscript"/>
                <w:lang w:val="en-US"/>
              </w:rPr>
              <w:t>3</w:t>
            </w:r>
            <w:r>
              <w:rPr>
                <w:rFonts w:hint="default" w:ascii="Times New Roman" w:hAnsi="Times New Roman" w:cs="Times New Roman"/>
                <w:color w:val="auto"/>
                <w:sz w:val="24"/>
                <w:szCs w:val="24"/>
                <w:lang w:val="en-US"/>
              </w:rPr>
              <w:t>/a（</w:t>
            </w:r>
            <w:r>
              <w:rPr>
                <w:rFonts w:hint="eastAsia" w:ascii="Times New Roman" w:hAnsi="Times New Roman" w:cs="Times New Roman"/>
                <w:color w:val="auto"/>
                <w:sz w:val="24"/>
                <w:szCs w:val="24"/>
                <w:lang w:val="en-US" w:eastAsia="zh-CN"/>
              </w:rPr>
              <w:t>68</w:t>
            </w:r>
            <w:r>
              <w:rPr>
                <w:rFonts w:hint="default" w:ascii="Times New Roman" w:hAnsi="Times New Roman" w:cs="Times New Roman"/>
                <w:color w:val="auto"/>
                <w:sz w:val="24"/>
                <w:szCs w:val="24"/>
                <w:lang w:val="en-US"/>
              </w:rPr>
              <w:t>m</w:t>
            </w:r>
            <w:r>
              <w:rPr>
                <w:rFonts w:hint="default" w:ascii="Times New Roman" w:hAnsi="Times New Roman" w:cs="Times New Roman"/>
                <w:color w:val="auto"/>
                <w:sz w:val="24"/>
                <w:szCs w:val="24"/>
                <w:vertAlign w:val="superscript"/>
                <w:lang w:val="en-US"/>
              </w:rPr>
              <w:t>3</w:t>
            </w:r>
            <w:r>
              <w:rPr>
                <w:rFonts w:hint="default" w:ascii="Times New Roman" w:hAnsi="Times New Roman" w:cs="Times New Roman"/>
                <w:color w:val="auto"/>
                <w:sz w:val="24"/>
                <w:szCs w:val="24"/>
                <w:lang w:val="en-US"/>
              </w:rPr>
              <w:t>/d ）。</w:t>
            </w:r>
          </w:p>
          <w:p w14:paraId="1A35596F">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left="0" w:leftChars="0" w:firstLine="480" w:firstLineChars="200"/>
              <w:jc w:val="both"/>
              <w:textAlignment w:val="auto"/>
              <w:rPr>
                <w:rFonts w:hint="eastAsia" w:ascii="Times New Roman" w:hAnsi="Times New Roman" w:cs="Times New Roman"/>
                <w:color w:val="auto"/>
                <w:sz w:val="24"/>
                <w:lang w:val="en-US"/>
              </w:rPr>
            </w:pPr>
            <w:r>
              <w:rPr>
                <w:rFonts w:hint="eastAsia" w:ascii="Times New Roman" w:hAnsi="Times New Roman" w:cs="Times New Roman"/>
                <w:color w:val="auto"/>
                <w:sz w:val="24"/>
                <w:lang w:val="en-US" w:eastAsia="zh-CN"/>
              </w:rPr>
              <w:t>（2）</w:t>
            </w:r>
            <w:r>
              <w:rPr>
                <w:rFonts w:hint="eastAsia" w:ascii="Times New Roman" w:hAnsi="Times New Roman" w:cs="Times New Roman"/>
                <w:color w:val="auto"/>
                <w:sz w:val="24"/>
                <w:lang w:val="en-US"/>
              </w:rPr>
              <w:t>排水</w:t>
            </w:r>
          </w:p>
          <w:p w14:paraId="563E1EB4">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left="0" w:leftChars="0" w:firstLine="480" w:firstLineChars="200"/>
              <w:jc w:val="both"/>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1）</w:t>
            </w:r>
            <w:r>
              <w:rPr>
                <w:rFonts w:hint="eastAsia" w:ascii="Times New Roman" w:hAnsi="Times New Roman" w:cs="Times New Roman"/>
                <w:color w:val="auto"/>
                <w:sz w:val="24"/>
                <w:highlight w:val="none"/>
                <w:lang w:val="en-US"/>
              </w:rPr>
              <w:t>院区实行雨污分流</w:t>
            </w:r>
            <w:r>
              <w:rPr>
                <w:rFonts w:hint="eastAsia" w:ascii="Times New Roman" w:hAnsi="Times New Roman" w:cs="Times New Roman"/>
                <w:color w:val="auto"/>
                <w:sz w:val="24"/>
                <w:highlight w:val="none"/>
                <w:lang w:val="en-US" w:eastAsia="zh-CN"/>
              </w:rPr>
              <w:t>，雨水经伊化南路市政雨水收集管网收集处理。</w:t>
            </w:r>
          </w:p>
          <w:p w14:paraId="2ADEF669">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left="0" w:leftChars="0" w:firstLine="480" w:firstLineChars="200"/>
              <w:jc w:val="both"/>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2）医疗废水：根据《医疗机构水污染物排放标准》（GB18466-2005）规定，医疗机构的办公区、非医疗生活区等污水与病区污水合流时，一律视为医疗机构污水。因此项目产生的污水全部按照医疗废水处理。本项目医疗废水包括办公、门诊、病房、手术室等医疗污水及检验科预处理后的污水。鄂尔多斯广厦医院污水产生情况说明如下：</w:t>
            </w:r>
          </w:p>
          <w:p w14:paraId="1339EEC8">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left="0" w:leftChars="0" w:firstLine="480" w:firstLineChars="200"/>
              <w:jc w:val="both"/>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①项目不设传染病房及传染病门诊科室，因此项目不产生含传染病菌废水；</w:t>
            </w:r>
          </w:p>
          <w:p w14:paraId="09133C1B">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left="0" w:leftChars="0" w:firstLine="480" w:firstLineChars="200"/>
              <w:jc w:val="both"/>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②医院设置的检验、化验分析等采用专用设备，不使用涉重的药剂，试验室废液不含重金属，检验科设小型实验室污水废水综合处理设备，废水经预处理后排入医院污水处理系统；</w:t>
            </w:r>
          </w:p>
          <w:p w14:paraId="291C0B70">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left="0" w:leftChars="0" w:firstLine="480" w:firstLineChars="200"/>
              <w:jc w:val="both"/>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③医院血液、血清化学检查，采用外购成品检测试剂，不自制检测剂，废水不含有重金属；</w:t>
            </w:r>
          </w:p>
          <w:p w14:paraId="60290C63">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left="0" w:leftChars="0" w:firstLine="480" w:firstLineChars="200"/>
              <w:jc w:val="both"/>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④本项目医学影像科采用激光成像技术，不产生洗印废水；放射科采用数字化影像传输与接收技术，不涉及胶片洗印环节及工艺，因而不含显影废水，放射性废水需要设置衰变池处置，辐射和放射性对环境的影响评价不纳入本报告的评价范围，建设单位另行申报评估；</w:t>
            </w:r>
          </w:p>
          <w:p w14:paraId="060AAB79">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left="0" w:leftChars="0" w:firstLine="480" w:firstLineChars="200"/>
              <w:jc w:val="both"/>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⑤本项目口腔科采用先进仪器，口腔科污水中不含有重金属；</w:t>
            </w:r>
          </w:p>
          <w:p w14:paraId="5658C794">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left="0" w:leftChars="0" w:firstLine="480" w:firstLineChars="200"/>
              <w:jc w:val="both"/>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⑥设置手术室四间，手术废水进入污水处理站处理；手术过程产生的病理性废物按医疗废物处理处置。</w:t>
            </w:r>
          </w:p>
          <w:p w14:paraId="1E6315B2">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left="0" w:leftChars="0" w:firstLine="480" w:firstLineChars="200"/>
              <w:jc w:val="both"/>
              <w:textAlignment w:val="auto"/>
              <w:rPr>
                <w:rFonts w:hint="default" w:ascii="Times New Roman" w:hAnsi="Times New Roman" w:cs="Times New Roman"/>
                <w:color w:val="auto"/>
                <w:sz w:val="24"/>
                <w:lang w:val="en-US" w:eastAsia="zh-CN"/>
              </w:rPr>
            </w:pPr>
            <w:r>
              <w:rPr>
                <w:rFonts w:hint="eastAsia" w:ascii="Times New Roman" w:hAnsi="Times New Roman" w:cs="Times New Roman"/>
                <w:color w:val="auto"/>
                <w:sz w:val="24"/>
                <w:highlight w:val="none"/>
                <w:lang w:val="en-US" w:eastAsia="zh-CN"/>
              </w:rPr>
              <w:t>根据鄂尔多斯广厦医院提供的在线数据分析，鄂尔多斯广厦医院废水产生流量平均值为0.4m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/h，污水产生量约为9.6m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/d（3504m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/a），运行负荷约20%。</w:t>
            </w:r>
          </w:p>
          <w:p w14:paraId="6AF86674">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left="0" w:leftChars="0" w:firstLine="480" w:firstLineChars="200"/>
              <w:jc w:val="both"/>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新增开放床位医疗废水产生量按照用水量的80%计算，则本项目新增医疗废水产生量为44.8m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/d（16352m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/a）。本项目建设完成后医疗废水量共计54.4m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/d（19856m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/a）。本项目利用原洗衣房改建1座处理规模为80m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vertAlign w:val="baseline"/>
                <w:lang w:val="en-US" w:eastAsia="zh-CN"/>
              </w:rPr>
              <w:t>/d</w:t>
            </w:r>
            <w:r>
              <w:rPr>
                <w:rFonts w:hint="eastAsia" w:ascii="Times New Roman" w:hAnsi="Times New Roman" w:cs="Times New Roman"/>
                <w:color w:val="auto"/>
                <w:sz w:val="24"/>
                <w:highlight w:val="none"/>
                <w:lang w:val="en-US" w:eastAsia="zh-CN"/>
              </w:rPr>
              <w:t>的污水处理站，采用“一级处理+消毒”工艺，可满足医疗废水处理需求。污水处理站出水达到《医疗机构水污染物排放标准》（GB 18466-2005）表2 综合医疗机构和其他医疗机构水污染物排放限值（日均值）预处理标准要求后排入市政污水管网，最终进入东胜区北郊水质净化厂。</w:t>
            </w:r>
          </w:p>
          <w:p w14:paraId="1508C637">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left="0" w:leftChars="0" w:firstLine="480" w:firstLineChars="200"/>
              <w:jc w:val="both"/>
              <w:textAlignment w:val="auto"/>
              <w:rPr>
                <w:rFonts w:hint="default" w:ascii="Times New Roman" w:hAnsi="Times New Roman" w:cs="Times New Roman"/>
                <w:color w:val="auto"/>
                <w:sz w:val="24"/>
                <w:szCs w:val="24"/>
                <w:lang w:val="en-US"/>
              </w:rPr>
            </w:pPr>
          </w:p>
          <w:p w14:paraId="7B525055">
            <w:pPr>
              <w:pStyle w:val="29"/>
              <w:spacing w:line="240" w:lineRule="auto"/>
              <w:ind w:firstLine="0" w:firstLineChars="0"/>
              <w:jc w:val="center"/>
              <w:rPr>
                <w:rFonts w:hint="eastAsia" w:cs="Times New Roman"/>
                <w:bCs/>
                <w:color w:val="auto"/>
                <w:sz w:val="24"/>
                <w:szCs w:val="24"/>
                <w:lang w:val="en-US" w:eastAsia="zh-CN"/>
              </w:rPr>
            </w:pPr>
            <w:r>
              <w:rPr>
                <w:color w:val="auto"/>
                <w:sz w:val="24"/>
              </w:rPr>
              <mc:AlternateContent>
                <mc:Choice Requires="wpg">
                  <w:drawing>
                    <wp:inline distT="0" distB="0" distL="114300" distR="114300">
                      <wp:extent cx="5066030" cy="4180205"/>
                      <wp:effectExtent l="0" t="0" r="0" b="0"/>
                      <wp:docPr id="117" name="组合 117"/>
                      <wp:cNvGraphicFramePr/>
                      <a:graphic xmlns:a="http://schemas.openxmlformats.org/drawingml/2006/main">
                        <a:graphicData uri="http://schemas.microsoft.com/office/word/2010/wordprocessingGroup">
                          <wpg:wgp>
                            <wpg:cNvGrpSpPr/>
                            <wpg:grpSpPr>
                              <a:xfrm>
                                <a:off x="0" y="0"/>
                                <a:ext cx="5066030" cy="4180205"/>
                                <a:chOff x="5890" y="403855"/>
                                <a:chExt cx="7978" cy="6583"/>
                              </a:xfrm>
                            </wpg:grpSpPr>
                            <wps:wsp>
                              <wps:cNvPr id="45" name="直接连接符 20"/>
                              <wps:cNvCnPr>
                                <a:endCxn id="1031" idx="1"/>
                              </wps:cNvCnPr>
                              <wps:spPr>
                                <a:xfrm>
                                  <a:off x="6556" y="404941"/>
                                  <a:ext cx="1092" cy="17"/>
                                </a:xfrm>
                                <a:prstGeom prst="line">
                                  <a:avLst/>
                                </a:prstGeom>
                                <a:ln w="9525" cap="flat" cmpd="sng">
                                  <a:solidFill>
                                    <a:srgbClr val="000000"/>
                                  </a:solidFill>
                                  <a:prstDash val="solid"/>
                                  <a:round/>
                                  <a:headEnd type="none" w="med" len="med"/>
                                  <a:tailEnd type="triangle" w="med" len="med"/>
                                </a:ln>
                              </wps:spPr>
                              <wps:bodyPr/>
                            </wps:wsp>
                            <wps:wsp>
                              <wps:cNvPr id="1039" name="文本框 7"/>
                              <wps:cNvSpPr/>
                              <wps:spPr>
                                <a:xfrm>
                                  <a:off x="7504" y="405824"/>
                                  <a:ext cx="3615" cy="673"/>
                                </a:xfrm>
                                <a:prstGeom prst="rect">
                                  <a:avLst/>
                                </a:prstGeom>
                                <a:noFill/>
                                <a:ln w="6350" cap="flat" cmpd="sng">
                                  <a:solidFill>
                                    <a:srgbClr val="000000"/>
                                  </a:solidFill>
                                  <a:prstDash val="solid"/>
                                  <a:miter/>
                                  <a:headEnd type="none" w="med" len="med"/>
                                  <a:tailEnd type="none" w="med" len="med"/>
                                </a:ln>
                                <a:effectLst/>
                              </wps:spPr>
                              <wps:txbx>
                                <w:txbxContent>
                                  <w:p w14:paraId="4F3A4C36">
                                    <w:pPr>
                                      <w:adjustRightInd w:val="0"/>
                                      <w:snapToGrid w:val="0"/>
                                      <w:jc w:val="center"/>
                                      <w:rPr>
                                        <w:rFonts w:hint="eastAsia"/>
                                      </w:rPr>
                                    </w:pPr>
                                    <w:r>
                                      <w:rPr>
                                        <w:rFonts w:hint="eastAsia"/>
                                        <w:bCs/>
                                        <w:color w:val="auto"/>
                                        <w:szCs w:val="21"/>
                                        <w:lang w:eastAsia="zh-CN"/>
                                      </w:rPr>
                                      <w:t>办公、门诊、病房、手术室等用水</w:t>
                                    </w:r>
                                    <w:r>
                                      <w:rPr>
                                        <w:rFonts w:hint="default" w:ascii="Times New Roman" w:hAnsi="Times New Roman" w:cs="Times New Roman"/>
                                      </w:rPr>
                                      <w:t>（-</w:t>
                                    </w:r>
                                    <w:r>
                                      <w:rPr>
                                        <w:rFonts w:hint="default" w:ascii="Times New Roman" w:hAnsi="Times New Roman" w:cs="Times New Roman"/>
                                        <w:lang w:val="en-US" w:eastAsia="zh-CN"/>
                                      </w:rPr>
                                      <w:t>13.54</w:t>
                                    </w:r>
                                    <w:r>
                                      <w:rPr>
                                        <w:rFonts w:hint="default" w:ascii="Times New Roman" w:hAnsi="Times New Roman" w:cs="Times New Roman"/>
                                      </w:rPr>
                                      <w:t>）</w:t>
                                    </w:r>
                                  </w:p>
                                  <w:p w14:paraId="00DB770A">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rPr>
                                    </w:pPr>
                                    <w:r>
                                      <w:rPr>
                                        <w:rFonts w:hint="eastAsia"/>
                                        <w:color w:val="auto"/>
                                        <w:highlight w:val="none"/>
                                      </w:rPr>
                                      <w:t>（-</w:t>
                                    </w:r>
                                    <w:r>
                                      <w:rPr>
                                        <w:rFonts w:hint="eastAsia"/>
                                        <w:highlight w:val="none"/>
                                        <w:lang w:val="en-US" w:eastAsia="zh-CN"/>
                                      </w:rPr>
                                      <w:t>0.2</w:t>
                                    </w:r>
                                    <w:r>
                                      <w:rPr>
                                        <w:rFonts w:hint="eastAsia"/>
                                        <w:highlight w:val="none"/>
                                      </w:rPr>
                                      <w:t>）</w:t>
                                    </w:r>
                                  </w:p>
                                  <w:p w14:paraId="74B32F1C">
                                    <w:pPr>
                                      <w:rPr>
                                        <w:rFonts w:hint="eastAsia"/>
                                      </w:rPr>
                                    </w:pPr>
                                  </w:p>
                                </w:txbxContent>
                              </wps:txbx>
                              <wps:bodyPr vert="horz" wrap="square" anchor="t" anchorCtr="0" upright="1"/>
                            </wps:wsp>
                            <wps:wsp>
                              <wps:cNvPr id="1033" name="文本框 76"/>
                              <wps:cNvSpPr/>
                              <wps:spPr>
                                <a:xfrm>
                                  <a:off x="6825" y="404514"/>
                                  <a:ext cx="632" cy="468"/>
                                </a:xfrm>
                                <a:prstGeom prst="rect">
                                  <a:avLst/>
                                </a:prstGeom>
                                <a:noFill/>
                                <a:ln>
                                  <a:noFill/>
                                </a:ln>
                                <a:effectLst/>
                              </wps:spPr>
                              <wps:txbx>
                                <w:txbxContent>
                                  <w:p w14:paraId="2F59454C">
                                    <w:pPr>
                                      <w:jc w:val="center"/>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0.3</w:t>
                                    </w:r>
                                  </w:p>
                                </w:txbxContent>
                              </wps:txbx>
                              <wps:bodyPr vert="horz" wrap="square" anchor="t" anchorCtr="0" upright="1"/>
                            </wps:wsp>
                            <wps:wsp>
                              <wps:cNvPr id="1030" name="文本框 72"/>
                              <wps:cNvSpPr/>
                              <wps:spPr>
                                <a:xfrm>
                                  <a:off x="5890" y="403855"/>
                                  <a:ext cx="1227" cy="428"/>
                                </a:xfrm>
                                <a:prstGeom prst="rect">
                                  <a:avLst/>
                                </a:prstGeom>
                                <a:solidFill>
                                  <a:srgbClr val="FFFFFF">
                                    <a:alpha val="13000"/>
                                  </a:srgbClr>
                                </a:solidFill>
                                <a:ln>
                                  <a:noFill/>
                                </a:ln>
                                <a:effectLst/>
                              </wps:spPr>
                              <wps:txbx>
                                <w:txbxContent>
                                  <w:p w14:paraId="09006674">
                                    <w:pPr>
                                      <w:rPr>
                                        <w:rFonts w:hint="default" w:eastAsia="宋体"/>
                                        <w:highlight w:val="none"/>
                                        <w:u w:val="single"/>
                                        <w:lang w:val="en-US" w:eastAsia="zh-CN"/>
                                      </w:rPr>
                                    </w:pPr>
                                    <w:r>
                                      <w:rPr>
                                        <w:rFonts w:hint="eastAsia"/>
                                        <w:u w:val="single"/>
                                        <w:lang w:eastAsia="zh-CN"/>
                                      </w:rPr>
                                      <w:t>新鲜水</w:t>
                                    </w:r>
                                    <w:r>
                                      <w:rPr>
                                        <w:rFonts w:hint="default" w:ascii="Times New Roman" w:hAnsi="Times New Roman" w:cs="Times New Roman"/>
                                        <w:highlight w:val="none"/>
                                        <w:u w:val="single"/>
                                        <w:lang w:val="en-US" w:eastAsia="zh-CN"/>
                                      </w:rPr>
                                      <w:t>68</w:t>
                                    </w:r>
                                  </w:p>
                                </w:txbxContent>
                              </wps:txbx>
                              <wps:bodyPr vert="horz" wrap="square" anchor="t" anchorCtr="0" upright="1"/>
                            </wps:wsp>
                            <wps:wsp>
                              <wps:cNvPr id="1031" name="文本框 77"/>
                              <wps:cNvSpPr/>
                              <wps:spPr>
                                <a:xfrm>
                                  <a:off x="7648" y="404708"/>
                                  <a:ext cx="2059" cy="499"/>
                                </a:xfrm>
                                <a:prstGeom prst="rect">
                                  <a:avLst/>
                                </a:prstGeom>
                                <a:noFill/>
                                <a:ln w="6350" cap="flat" cmpd="sng">
                                  <a:solidFill>
                                    <a:srgbClr val="000000"/>
                                  </a:solidFill>
                                  <a:prstDash val="solid"/>
                                  <a:miter/>
                                  <a:headEnd type="none" w="med" len="med"/>
                                  <a:tailEnd type="none" w="med" len="med"/>
                                </a:ln>
                                <a:effectLst/>
                              </wps:spPr>
                              <wps:txbx>
                                <w:txbxContent>
                                  <w:p w14:paraId="26330E1B">
                                    <w:pPr>
                                      <w:adjustRightInd w:val="0"/>
                                      <w:snapToGrid w:val="0"/>
                                      <w:jc w:val="center"/>
                                      <w:rPr>
                                        <w:rFonts w:hint="eastAsia" w:eastAsia="宋体"/>
                                        <w:lang w:eastAsia="zh-CN"/>
                                      </w:rPr>
                                    </w:pPr>
                                    <w:r>
                                      <w:rPr>
                                        <w:rFonts w:hint="eastAsia"/>
                                        <w:lang w:eastAsia="zh-CN"/>
                                      </w:rPr>
                                      <w:t>检验科</w:t>
                                    </w:r>
                                    <w:r>
                                      <w:rPr>
                                        <w:rFonts w:hint="eastAsia"/>
                                      </w:rPr>
                                      <w:t>（</w:t>
                                    </w:r>
                                    <w:r>
                                      <w:rPr>
                                        <w:rFonts w:hint="default" w:ascii="Times New Roman" w:hAnsi="Times New Roman" w:cs="Times New Roman"/>
                                      </w:rPr>
                                      <w:t>-</w:t>
                                    </w:r>
                                    <w:r>
                                      <w:rPr>
                                        <w:rFonts w:hint="eastAsia" w:ascii="Times New Roman" w:hAnsi="Times New Roman" w:cs="Times New Roman"/>
                                        <w:lang w:val="en-US" w:eastAsia="zh-CN"/>
                                      </w:rPr>
                                      <w:t>0.06</w:t>
                                    </w:r>
                                    <w:r>
                                      <w:rPr>
                                        <w:rFonts w:hint="eastAsia"/>
                                      </w:rPr>
                                      <w:t>）</w:t>
                                    </w:r>
                                  </w:p>
                                </w:txbxContent>
                              </wps:txbx>
                              <wps:bodyPr vert="horz" wrap="square" anchor="t" anchorCtr="0" upright="1"/>
                            </wps:wsp>
                            <wps:wsp>
                              <wps:cNvPr id="47" name="矩形 47"/>
                              <wps:cNvSpPr/>
                              <wps:spPr>
                                <a:xfrm>
                                  <a:off x="6651" y="405683"/>
                                  <a:ext cx="685" cy="388"/>
                                </a:xfrm>
                                <a:prstGeom prst="rect">
                                  <a:avLst/>
                                </a:prstGeom>
                                <a:noFill/>
                                <a:ln>
                                  <a:noFill/>
                                </a:ln>
                                <a:effectLst/>
                              </wps:spPr>
                              <wps:txbx>
                                <w:txbxContent>
                                  <w:p w14:paraId="45C26F7D">
                                    <w:pPr>
                                      <w:jc w:val="center"/>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67.7</w:t>
                                    </w:r>
                                  </w:p>
                                </w:txbxContent>
                              </wps:txbx>
                              <wps:bodyPr vert="horz" wrap="square" anchor="t" anchorCtr="0" upright="1"/>
                            </wps:wsp>
                            <wps:wsp>
                              <wps:cNvPr id="56" name="矩形 47"/>
                              <wps:cNvSpPr/>
                              <wps:spPr>
                                <a:xfrm>
                                  <a:off x="12243" y="406445"/>
                                  <a:ext cx="790" cy="388"/>
                                </a:xfrm>
                                <a:prstGeom prst="rect">
                                  <a:avLst/>
                                </a:prstGeom>
                                <a:noFill/>
                                <a:ln>
                                  <a:noFill/>
                                </a:ln>
                                <a:effectLst/>
                              </wps:spPr>
                              <wps:txbx>
                                <w:txbxContent>
                                  <w:p w14:paraId="6CEA9156">
                                    <w:pPr>
                                      <w:jc w:val="center"/>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0.24</w:t>
                                    </w:r>
                                  </w:p>
                                </w:txbxContent>
                              </wps:txbx>
                              <wps:bodyPr vert="horz" wrap="square" anchor="t" anchorCtr="0" upright="1"/>
                            </wps:wsp>
                            <wps:wsp>
                              <wps:cNvPr id="1054" name="矩形 63"/>
                              <wps:cNvSpPr/>
                              <wps:spPr>
                                <a:xfrm>
                                  <a:off x="11161" y="408254"/>
                                  <a:ext cx="1677" cy="462"/>
                                </a:xfrm>
                                <a:prstGeom prst="rect">
                                  <a:avLst/>
                                </a:prstGeom>
                                <a:noFill/>
                                <a:ln w="6350" cap="flat" cmpd="sng">
                                  <a:solidFill>
                                    <a:srgbClr val="000000"/>
                                  </a:solidFill>
                                  <a:prstDash val="solid"/>
                                  <a:miter/>
                                </a:ln>
                                <a:effectLst/>
                              </wps:spPr>
                              <wps:txbx>
                                <w:txbxContent>
                                  <w:p w14:paraId="0217AB8D">
                                    <w:pPr>
                                      <w:jc w:val="center"/>
                                    </w:pPr>
                                    <w:r>
                                      <w:rPr>
                                        <w:rFonts w:hint="eastAsia" w:ascii="Times New Roman" w:hAnsi="Times New Roman" w:eastAsia="宋体" w:cs="Times New Roman"/>
                                        <w:bCs/>
                                        <w:color w:val="auto"/>
                                        <w:sz w:val="21"/>
                                        <w:szCs w:val="21"/>
                                        <w:lang w:eastAsia="zh-CN"/>
                                      </w:rPr>
                                      <w:t>污水处理站</w:t>
                                    </w:r>
                                  </w:p>
                                </w:txbxContent>
                              </wps:txbx>
                              <wps:bodyPr vert="horz" wrap="square" lIns="91440" tIns="45720" rIns="91440" bIns="45720" anchor="ctr" anchorCtr="0">
                                <a:noAutofit/>
                              </wps:bodyPr>
                            </wps:wsp>
                            <wps:wsp>
                              <wps:cNvPr id="49" name="矩形 63"/>
                              <wps:cNvSpPr/>
                              <wps:spPr>
                                <a:xfrm>
                                  <a:off x="8716" y="408251"/>
                                  <a:ext cx="1210" cy="422"/>
                                </a:xfrm>
                                <a:prstGeom prst="rect">
                                  <a:avLst/>
                                </a:prstGeom>
                                <a:noFill/>
                                <a:ln w="6350" cap="flat" cmpd="sng">
                                  <a:solidFill>
                                    <a:srgbClr val="000000"/>
                                  </a:solidFill>
                                  <a:prstDash val="solid"/>
                                  <a:miter/>
                                </a:ln>
                                <a:effectLst/>
                              </wps:spPr>
                              <wps:txbx>
                                <w:txbxContent>
                                  <w:p w14:paraId="0A03D51A">
                                    <w:pPr>
                                      <w:jc w:val="center"/>
                                    </w:pPr>
                                    <w:r>
                                      <w:rPr>
                                        <w:rFonts w:hint="eastAsia" w:ascii="Times New Roman" w:hAnsi="Times New Roman" w:eastAsia="宋体" w:cs="Times New Roman"/>
                                        <w:bCs/>
                                        <w:color w:val="auto"/>
                                        <w:sz w:val="21"/>
                                        <w:szCs w:val="21"/>
                                        <w:lang w:eastAsia="zh-CN"/>
                                      </w:rPr>
                                      <w:t>化粪池</w:t>
                                    </w:r>
                                  </w:p>
                                </w:txbxContent>
                              </wps:txbx>
                              <wps:bodyPr vert="horz" wrap="square" lIns="91440" tIns="45720" rIns="91440" bIns="45720" anchor="ctr" anchorCtr="0">
                                <a:noAutofit/>
                              </wps:bodyPr>
                            </wps:wsp>
                            <wps:wsp>
                              <wps:cNvPr id="51" name="矩形 63"/>
                              <wps:cNvSpPr/>
                              <wps:spPr>
                                <a:xfrm>
                                  <a:off x="10738" y="404622"/>
                                  <a:ext cx="3130" cy="711"/>
                                </a:xfrm>
                                <a:prstGeom prst="rect">
                                  <a:avLst/>
                                </a:prstGeom>
                                <a:noFill/>
                                <a:ln w="6350" cap="flat" cmpd="sng">
                                  <a:solidFill>
                                    <a:srgbClr val="000000"/>
                                  </a:solidFill>
                                  <a:prstDash val="solid"/>
                                  <a:miter/>
                                </a:ln>
                                <a:effectLst/>
                              </wps:spPr>
                              <wps:txbx>
                                <w:txbxContent>
                                  <w:p w14:paraId="0963C9D8">
                                    <w:pPr>
                                      <w:jc w:val="center"/>
                                      <w:rPr>
                                        <w:rFonts w:hint="eastAsia" w:ascii="Times New Roman" w:hAnsi="Times New Roman" w:eastAsia="宋体" w:cs="Times New Roman"/>
                                        <w:bCs/>
                                        <w:color w:val="auto"/>
                                        <w:sz w:val="21"/>
                                        <w:szCs w:val="21"/>
                                        <w:lang w:eastAsia="zh-CN"/>
                                      </w:rPr>
                                    </w:pPr>
                                    <w:r>
                                      <w:rPr>
                                        <w:rFonts w:hint="eastAsia" w:ascii="Times New Roman" w:hAnsi="Times New Roman" w:eastAsia="宋体" w:cs="Times New Roman"/>
                                        <w:bCs/>
                                        <w:color w:val="auto"/>
                                        <w:sz w:val="21"/>
                                        <w:szCs w:val="21"/>
                                        <w:lang w:eastAsia="zh-CN"/>
                                      </w:rPr>
                                      <w:t>小型实验室污水废水综合处理设备</w:t>
                                    </w:r>
                                    <w:r>
                                      <w:rPr>
                                        <w:rFonts w:hint="eastAsia" w:ascii="Times New Roman" w:hAnsi="Times New Roman" w:cs="Times New Roman"/>
                                        <w:bCs/>
                                        <w:color w:val="auto"/>
                                        <w:sz w:val="21"/>
                                        <w:szCs w:val="21"/>
                                        <w:lang w:val="en-US" w:eastAsia="zh-CN"/>
                                      </w:rPr>
                                      <w:t>预处理</w:t>
                                    </w:r>
                                  </w:p>
                                </w:txbxContent>
                              </wps:txbx>
                              <wps:bodyPr vert="horz" wrap="square" lIns="91440" tIns="45720" rIns="91440" bIns="45720" anchor="ctr" anchorCtr="0">
                                <a:noAutofit/>
                              </wps:bodyPr>
                            </wps:wsp>
                            <wps:wsp>
                              <wps:cNvPr id="52" name="直接连接符 20"/>
                              <wps:cNvCnPr>
                                <a:stCxn id="1031" idx="3"/>
                                <a:endCxn id="51" idx="1"/>
                              </wps:cNvCnPr>
                              <wps:spPr>
                                <a:xfrm>
                                  <a:off x="9707" y="404958"/>
                                  <a:ext cx="1031" cy="20"/>
                                </a:xfrm>
                                <a:prstGeom prst="line">
                                  <a:avLst/>
                                </a:prstGeom>
                                <a:ln w="9525" cap="flat" cmpd="sng">
                                  <a:solidFill>
                                    <a:srgbClr val="000000"/>
                                  </a:solidFill>
                                  <a:prstDash val="solid"/>
                                  <a:round/>
                                  <a:headEnd type="none" w="med" len="med"/>
                                  <a:tailEnd type="triangle" w="med" len="med"/>
                                </a:ln>
                              </wps:spPr>
                              <wps:bodyPr upright="1"/>
                            </wps:wsp>
                            <wps:wsp>
                              <wps:cNvPr id="53" name="直接连接符 20"/>
                              <wps:cNvCnPr>
                                <a:stCxn id="1039" idx="2"/>
                                <a:endCxn id="49" idx="0"/>
                              </wps:cNvCnPr>
                              <wps:spPr>
                                <a:xfrm>
                                  <a:off x="9312" y="406497"/>
                                  <a:ext cx="9" cy="1754"/>
                                </a:xfrm>
                                <a:prstGeom prst="line">
                                  <a:avLst/>
                                </a:prstGeom>
                                <a:ln w="9525" cap="flat" cmpd="sng">
                                  <a:solidFill>
                                    <a:srgbClr val="000000"/>
                                  </a:solidFill>
                                  <a:prstDash val="solid"/>
                                  <a:round/>
                                  <a:headEnd type="none" w="med" len="med"/>
                                  <a:tailEnd type="triangle" w="med" len="med"/>
                                </a:ln>
                              </wps:spPr>
                              <wps:bodyPr upright="1"/>
                            </wps:wsp>
                            <wps:wsp>
                              <wps:cNvPr id="54" name="直接连接符 20"/>
                              <wps:cNvCnPr>
                                <a:stCxn id="49" idx="3"/>
                                <a:endCxn id="1054" idx="1"/>
                              </wps:cNvCnPr>
                              <wps:spPr>
                                <a:xfrm>
                                  <a:off x="9926" y="408462"/>
                                  <a:ext cx="1235" cy="23"/>
                                </a:xfrm>
                                <a:prstGeom prst="line">
                                  <a:avLst/>
                                </a:prstGeom>
                                <a:ln w="9525" cap="flat" cmpd="sng">
                                  <a:solidFill>
                                    <a:srgbClr val="000000"/>
                                  </a:solidFill>
                                  <a:prstDash val="solid"/>
                                  <a:round/>
                                  <a:headEnd type="none" w="med" len="med"/>
                                  <a:tailEnd type="triangle" w="med" len="med"/>
                                </a:ln>
                              </wps:spPr>
                              <wps:bodyPr upright="1"/>
                            </wps:wsp>
                            <wps:wsp>
                              <wps:cNvPr id="55" name="自选图形 9"/>
                              <wps:cNvCnPr>
                                <a:stCxn id="51" idx="2"/>
                              </wps:cNvCnPr>
                              <wps:spPr>
                                <a:xfrm rot="5400000">
                                  <a:off x="9809" y="404915"/>
                                  <a:ext cx="2077" cy="2912"/>
                                </a:xfrm>
                                <a:prstGeom prst="bentConnector2">
                                  <a:avLst/>
                                </a:prstGeom>
                                <a:ln w="9525" cap="flat" cmpd="sng">
                                  <a:solidFill>
                                    <a:srgbClr val="000000"/>
                                  </a:solidFill>
                                  <a:prstDash val="solid"/>
                                  <a:miter/>
                                  <a:headEnd type="none" w="med" len="med"/>
                                  <a:tailEnd type="triangle" w="med" len="med"/>
                                </a:ln>
                              </wps:spPr>
                              <wps:bodyPr/>
                            </wps:wsp>
                            <wps:wsp>
                              <wps:cNvPr id="57" name="矩形 47"/>
                              <wps:cNvSpPr/>
                              <wps:spPr>
                                <a:xfrm>
                                  <a:off x="8440" y="406713"/>
                                  <a:ext cx="850" cy="388"/>
                                </a:xfrm>
                                <a:prstGeom prst="rect">
                                  <a:avLst/>
                                </a:prstGeom>
                                <a:noFill/>
                                <a:ln>
                                  <a:noFill/>
                                </a:ln>
                                <a:effectLst/>
                              </wps:spPr>
                              <wps:txbx>
                                <w:txbxContent>
                                  <w:p w14:paraId="5FBAE95F">
                                    <w:pPr>
                                      <w:jc w:val="center"/>
                                      <w:rPr>
                                        <w:rFonts w:hint="default"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54.16</w:t>
                                    </w:r>
                                  </w:p>
                                </w:txbxContent>
                              </wps:txbx>
                              <wps:bodyPr wrap="square" upright="1"/>
                            </wps:wsp>
                            <wps:wsp>
                              <wps:cNvPr id="58" name="矩形 47"/>
                              <wps:cNvSpPr/>
                              <wps:spPr>
                                <a:xfrm>
                                  <a:off x="10091" y="408048"/>
                                  <a:ext cx="850" cy="388"/>
                                </a:xfrm>
                                <a:prstGeom prst="rect">
                                  <a:avLst/>
                                </a:prstGeom>
                                <a:noFill/>
                                <a:ln>
                                  <a:noFill/>
                                </a:ln>
                                <a:effectLst/>
                              </wps:spPr>
                              <wps:txbx>
                                <w:txbxContent>
                                  <w:p w14:paraId="75A3ADA8">
                                    <w:pPr>
                                      <w:jc w:val="center"/>
                                      <w:rPr>
                                        <w:rFonts w:hint="default"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54.4</w:t>
                                    </w:r>
                                  </w:p>
                                </w:txbxContent>
                              </wps:txbx>
                              <wps:bodyPr wrap="square" upright="1"/>
                            </wps:wsp>
                            <wps:wsp>
                              <wps:cNvPr id="59" name="矩形 63"/>
                              <wps:cNvSpPr/>
                              <wps:spPr>
                                <a:xfrm>
                                  <a:off x="10991" y="409370"/>
                                  <a:ext cx="2025" cy="1068"/>
                                </a:xfrm>
                                <a:prstGeom prst="rect">
                                  <a:avLst/>
                                </a:prstGeom>
                                <a:noFill/>
                                <a:ln w="6350">
                                  <a:noFill/>
                                </a:ln>
                              </wps:spPr>
                              <wps:txbx>
                                <w:txbxContent>
                                  <w:p w14:paraId="71D6B385">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Times New Roman" w:hAnsi="Times New Roman" w:eastAsia="宋体" w:cs="Times New Roman"/>
                                        <w:bCs/>
                                        <w:color w:val="auto"/>
                                        <w:sz w:val="21"/>
                                        <w:szCs w:val="21"/>
                                        <w:lang w:eastAsia="zh-CN"/>
                                      </w:rPr>
                                    </w:pPr>
                                    <w:r>
                                      <w:rPr>
                                        <w:rFonts w:hint="eastAsia" w:ascii="Times New Roman" w:hAnsi="Times New Roman" w:eastAsia="宋体" w:cs="Times New Roman"/>
                                        <w:bCs/>
                                        <w:color w:val="auto"/>
                                        <w:sz w:val="21"/>
                                        <w:szCs w:val="21"/>
                                        <w:lang w:eastAsia="zh-CN"/>
                                      </w:rPr>
                                      <w:t>市政污水管网，最终进入东胜区北郊水质净化厂</w:t>
                                    </w:r>
                                  </w:p>
                                </w:txbxContent>
                              </wps:txbx>
                              <wps:bodyPr vert="horz" wrap="square" anchor="ctr" anchorCtr="0" upright="1"/>
                            </wps:wsp>
                            <wps:wsp>
                              <wps:cNvPr id="60" name="直接连接符 20"/>
                              <wps:cNvCnPr>
                                <a:stCxn id="1054" idx="2"/>
                                <a:endCxn id="59" idx="0"/>
                              </wps:cNvCnPr>
                              <wps:spPr>
                                <a:xfrm>
                                  <a:off x="12000" y="408716"/>
                                  <a:ext cx="4" cy="654"/>
                                </a:xfrm>
                                <a:prstGeom prst="line">
                                  <a:avLst/>
                                </a:prstGeom>
                                <a:ln w="9525" cap="flat" cmpd="sng">
                                  <a:solidFill>
                                    <a:srgbClr val="000000"/>
                                  </a:solidFill>
                                  <a:prstDash val="solid"/>
                                  <a:round/>
                                  <a:headEnd type="none" w="med" len="med"/>
                                  <a:tailEnd type="triangle" w="med" len="med"/>
                                </a:ln>
                              </wps:spPr>
                              <wps:bodyPr upright="1"/>
                            </wps:wsp>
                            <wps:wsp>
                              <wps:cNvPr id="61" name="矩形 47"/>
                              <wps:cNvSpPr/>
                              <wps:spPr>
                                <a:xfrm>
                                  <a:off x="12070" y="408865"/>
                                  <a:ext cx="850" cy="388"/>
                                </a:xfrm>
                                <a:prstGeom prst="rect">
                                  <a:avLst/>
                                </a:prstGeom>
                                <a:noFill/>
                                <a:ln>
                                  <a:noFill/>
                                </a:ln>
                                <a:effectLst/>
                              </wps:spPr>
                              <wps:txbx>
                                <w:txbxContent>
                                  <w:p w14:paraId="32A6B006">
                                    <w:pPr>
                                      <w:jc w:val="center"/>
                                      <w:rPr>
                                        <w:rFonts w:hint="default"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54.4</w:t>
                                    </w:r>
                                  </w:p>
                                </w:txbxContent>
                              </wps:txbx>
                              <wps:bodyPr wrap="square" upright="1"/>
                            </wps:wsp>
                            <wps:wsp>
                              <wps:cNvPr id="92" name="矩形 47"/>
                              <wps:cNvSpPr/>
                              <wps:spPr>
                                <a:xfrm>
                                  <a:off x="9765" y="404507"/>
                                  <a:ext cx="850" cy="388"/>
                                </a:xfrm>
                                <a:prstGeom prst="rect">
                                  <a:avLst/>
                                </a:prstGeom>
                                <a:noFill/>
                                <a:ln>
                                  <a:noFill/>
                                </a:ln>
                                <a:effectLst/>
                              </wps:spPr>
                              <wps:txbx>
                                <w:txbxContent>
                                  <w:p w14:paraId="5FF98A02">
                                    <w:pPr>
                                      <w:jc w:val="center"/>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0.24</w:t>
                                    </w:r>
                                  </w:p>
                                </w:txbxContent>
                              </wps:txbx>
                              <wps:bodyPr wrap="square" upright="1"/>
                            </wps:wsp>
                            <wps:wsp>
                              <wps:cNvPr id="116" name="自选图形 9"/>
                              <wps:cNvCnPr>
                                <a:stCxn id="1030" idx="2"/>
                                <a:endCxn id="1039" idx="1"/>
                              </wps:cNvCnPr>
                              <wps:spPr>
                                <a:xfrm rot="5400000" flipV="1">
                                  <a:off x="6065" y="404722"/>
                                  <a:ext cx="1878" cy="1000"/>
                                </a:xfrm>
                                <a:prstGeom prst="bentConnector2">
                                  <a:avLst/>
                                </a:prstGeom>
                                <a:ln w="9525" cap="flat" cmpd="sng">
                                  <a:solidFill>
                                    <a:srgbClr val="000000"/>
                                  </a:solidFill>
                                  <a:prstDash val="solid"/>
                                  <a:miter/>
                                  <a:headEnd type="none" w="med" len="med"/>
                                  <a:tailEnd type="triangle" w="med" len="med"/>
                                </a:ln>
                              </wps:spPr>
                              <wps:bodyPr/>
                            </wps:wsp>
                          </wpg:wgp>
                        </a:graphicData>
                      </a:graphic>
                    </wp:inline>
                  </w:drawing>
                </mc:Choice>
                <mc:Fallback>
                  <w:pict>
                    <v:group id="_x0000_s1026" o:spid="_x0000_s1026" o:spt="203" style="height:329.15pt;width:398.9pt;" coordorigin="5890,403855" coordsize="7978,6583" o:gfxdata="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">
                      <o:lock v:ext="edit" aspectratio="f"/>
                      <v:line id="直接连接符 20" o:spid="_x0000_s1026" o:spt="20" style="position:absolute;left:6556;top:404941;height:17;width:1092;" filled="f" stroked="t" coordsize="21600,21600" o:gfxdata="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ptcC6/&#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rect id="文本框 7" o:spid="_x0000_s1026" o:spt="1" style="position:absolute;left:7504;top:405824;height:673;width:3615;" filled="f" stroked="t" coordsize="21600,21600" o:gfxdata="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D08ersAAADd&#10;AAAADwAAAAAAAAABACAAAAAiAAAAZHJzL2Rvd25yZXYueG1sUEsBAhQAFAAAAAgAh07iQDMvBZ47&#10;AAAAOQAAABAAAAAAAAAAAQAgAAAACgEAAGRycy9zaGFwZXhtbC54bWxQSwUGAAAAAAYABgBbAQAA&#10;tAMAAAAA&#10;">
                        <v:fill on="f" focussize="0,0"/>
                        <v:stroke weight="0.5pt" color="#000000" joinstyle="miter"/>
                        <v:imagedata o:title=""/>
                        <o:lock v:ext="edit" aspectratio="f"/>
                        <v:textbox>
                          <w:txbxContent>
                            <w:p w14:paraId="4F3A4C36">
                              <w:pPr>
                                <w:adjustRightInd w:val="0"/>
                                <w:snapToGrid w:val="0"/>
                                <w:jc w:val="center"/>
                                <w:rPr>
                                  <w:rFonts w:hint="eastAsia"/>
                                </w:rPr>
                              </w:pPr>
                              <w:r>
                                <w:rPr>
                                  <w:rFonts w:hint="eastAsia"/>
                                  <w:bCs/>
                                  <w:color w:val="auto"/>
                                  <w:szCs w:val="21"/>
                                  <w:lang w:eastAsia="zh-CN"/>
                                </w:rPr>
                                <w:t>办公、门诊、病房、手术室等用水</w:t>
                              </w:r>
                              <w:r>
                                <w:rPr>
                                  <w:rFonts w:hint="default" w:ascii="Times New Roman" w:hAnsi="Times New Roman" w:cs="Times New Roman"/>
                                </w:rPr>
                                <w:t>（-</w:t>
                              </w:r>
                              <w:r>
                                <w:rPr>
                                  <w:rFonts w:hint="default" w:ascii="Times New Roman" w:hAnsi="Times New Roman" w:cs="Times New Roman"/>
                                  <w:lang w:val="en-US" w:eastAsia="zh-CN"/>
                                </w:rPr>
                                <w:t>13.54</w:t>
                              </w:r>
                              <w:r>
                                <w:rPr>
                                  <w:rFonts w:hint="default" w:ascii="Times New Roman" w:hAnsi="Times New Roman" w:cs="Times New Roman"/>
                                </w:rPr>
                                <w:t>）</w:t>
                              </w:r>
                            </w:p>
                            <w:p w14:paraId="00DB770A">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rPr>
                              </w:pPr>
                              <w:r>
                                <w:rPr>
                                  <w:rFonts w:hint="eastAsia"/>
                                  <w:color w:val="auto"/>
                                  <w:highlight w:val="none"/>
                                </w:rPr>
                                <w:t>（-</w:t>
                              </w:r>
                              <w:r>
                                <w:rPr>
                                  <w:rFonts w:hint="eastAsia"/>
                                  <w:highlight w:val="none"/>
                                  <w:lang w:val="en-US" w:eastAsia="zh-CN"/>
                                </w:rPr>
                                <w:t>0.2</w:t>
                              </w:r>
                              <w:r>
                                <w:rPr>
                                  <w:rFonts w:hint="eastAsia"/>
                                  <w:highlight w:val="none"/>
                                </w:rPr>
                                <w:t>）</w:t>
                              </w:r>
                            </w:p>
                            <w:p w14:paraId="74B32F1C">
                              <w:pPr>
                                <w:rPr>
                                  <w:rFonts w:hint="eastAsia"/>
                                </w:rPr>
                              </w:pPr>
                            </w:p>
                          </w:txbxContent>
                        </v:textbox>
                      </v:rect>
                      <v:rect id="文本框 76" o:spid="_x0000_s1026" o:spt="1" style="position:absolute;left:6825;top:404514;height:468;width:632;" filled="f" stroked="f" coordsize="21600,21600" o:gfxdata="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0CHmvQAA&#10;AN0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F59454C">
                              <w:pPr>
                                <w:jc w:val="center"/>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0.3</w:t>
                              </w:r>
                            </w:p>
                          </w:txbxContent>
                        </v:textbox>
                      </v:rect>
                      <v:rect id="文本框 72" o:spid="_x0000_s1026" o:spt="1" style="position:absolute;left:5890;top:403855;height:428;width:1227;" fillcolor="#FFFFFF" filled="t" stroked="f" coordsize="21600,21600" o:gfxdata="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GcZwa/&#10;AAAA3QAAAA8AAAAAAAAAAQAgAAAAIgAAAGRycy9kb3ducmV2LnhtbFBLAQIUABQAAAAIAIdO4kAz&#10;LwWeOwAAADkAAAAQAAAAAAAAAAEAIAAAAA4BAABkcnMvc2hhcGV4bWwueG1sUEsFBgAAAAAGAAYA&#10;WwEAALgDAAAAAA==&#10;">
                        <v:fill on="t" opacity="8519f" focussize="0,0"/>
                        <v:stroke on="f"/>
                        <v:imagedata o:title=""/>
                        <o:lock v:ext="edit" aspectratio="f"/>
                        <v:textbox>
                          <w:txbxContent>
                            <w:p w14:paraId="09006674">
                              <w:pPr>
                                <w:rPr>
                                  <w:rFonts w:hint="default" w:eastAsia="宋体"/>
                                  <w:highlight w:val="none"/>
                                  <w:u w:val="single"/>
                                  <w:lang w:val="en-US" w:eastAsia="zh-CN"/>
                                </w:rPr>
                              </w:pPr>
                              <w:r>
                                <w:rPr>
                                  <w:rFonts w:hint="eastAsia"/>
                                  <w:u w:val="single"/>
                                  <w:lang w:eastAsia="zh-CN"/>
                                </w:rPr>
                                <w:t>新鲜水</w:t>
                              </w:r>
                              <w:r>
                                <w:rPr>
                                  <w:rFonts w:hint="default" w:ascii="Times New Roman" w:hAnsi="Times New Roman" w:cs="Times New Roman"/>
                                  <w:highlight w:val="none"/>
                                  <w:u w:val="single"/>
                                  <w:lang w:val="en-US" w:eastAsia="zh-CN"/>
                                </w:rPr>
                                <w:t>68</w:t>
                              </w:r>
                            </w:p>
                          </w:txbxContent>
                        </v:textbox>
                      </v:rect>
                      <v:rect id="文本框 77" o:spid="_x0000_s1026" o:spt="1" style="position:absolute;left:7648;top:404708;height:499;width:2059;" filled="f" stroked="t" coordsize="21600,21600" o:gfxdata="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SzB8ugAAAN0A&#10;AAAPAAAAAAAAAAEAIAAAACIAAABkcnMvZG93bnJldi54bWxQSwECFAAUAAAACACHTuJAMy8FnjsA&#10;AAA5AAAAEAAAAAAAAAABACAAAAAJAQAAZHJzL3NoYXBleG1sLnhtbFBLBQYAAAAABgAGAFsBAACz&#10;AwAAAAA=&#10;">
                        <v:fill on="f" focussize="0,0"/>
                        <v:stroke weight="0.5pt" color="#000000" joinstyle="miter"/>
                        <v:imagedata o:title=""/>
                        <o:lock v:ext="edit" aspectratio="f"/>
                        <v:textbox>
                          <w:txbxContent>
                            <w:p w14:paraId="26330E1B">
                              <w:pPr>
                                <w:adjustRightInd w:val="0"/>
                                <w:snapToGrid w:val="0"/>
                                <w:jc w:val="center"/>
                                <w:rPr>
                                  <w:rFonts w:hint="eastAsia" w:eastAsia="宋体"/>
                                  <w:lang w:eastAsia="zh-CN"/>
                                </w:rPr>
                              </w:pPr>
                              <w:r>
                                <w:rPr>
                                  <w:rFonts w:hint="eastAsia"/>
                                  <w:lang w:eastAsia="zh-CN"/>
                                </w:rPr>
                                <w:t>检验科</w:t>
                              </w:r>
                              <w:r>
                                <w:rPr>
                                  <w:rFonts w:hint="eastAsia"/>
                                </w:rPr>
                                <w:t>（</w:t>
                              </w:r>
                              <w:r>
                                <w:rPr>
                                  <w:rFonts w:hint="default" w:ascii="Times New Roman" w:hAnsi="Times New Roman" w:cs="Times New Roman"/>
                                </w:rPr>
                                <w:t>-</w:t>
                              </w:r>
                              <w:r>
                                <w:rPr>
                                  <w:rFonts w:hint="eastAsia" w:ascii="Times New Roman" w:hAnsi="Times New Roman" w:cs="Times New Roman"/>
                                  <w:lang w:val="en-US" w:eastAsia="zh-CN"/>
                                </w:rPr>
                                <w:t>0.06</w:t>
                              </w:r>
                              <w:r>
                                <w:rPr>
                                  <w:rFonts w:hint="eastAsia"/>
                                </w:rPr>
                                <w:t>）</w:t>
                              </w:r>
                            </w:p>
                          </w:txbxContent>
                        </v:textbox>
                      </v:rect>
                      <v:rect id="_x0000_s1026" o:spid="_x0000_s1026" o:spt="1" style="position:absolute;left:6651;top:405683;height:388;width:685;" filled="f" stroked="f" coordsize="21600,21600" o:gfxdata="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GUTeb4A&#10;AADb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45C26F7D">
                              <w:pPr>
                                <w:jc w:val="center"/>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67.7</w:t>
                              </w:r>
                            </w:p>
                          </w:txbxContent>
                        </v:textbox>
                      </v:rect>
                      <v:rect id="矩形 47" o:spid="_x0000_s1026" o:spt="1" style="position:absolute;left:12243;top:406445;height:388;width:790;" filled="f" stroked="f" coordsize="21600,21600" o:gfxdata="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8CA/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CEA9156">
                              <w:pPr>
                                <w:jc w:val="center"/>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0.24</w:t>
                              </w:r>
                            </w:p>
                          </w:txbxContent>
                        </v:textbox>
                      </v:rect>
                      <v:rect id="矩形 63" o:spid="_x0000_s1026" o:spt="1" style="position:absolute;left:11161;top:408254;height:462;width:1677;v-text-anchor:middle;" filled="f" stroked="t" coordsize="21600,21600" o:gfxdata="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AB3mLC2AAAA3QAAAA8A&#10;AAAAAAAAAQAgAAAAIgAAAGRycy9kb3ducmV2LnhtbFBLAQIUABQAAAAIAIdO4kAzLwWeOwAAADkA&#10;AAAQAAAAAAAAAAEAIAAAAAUBAABkcnMvc2hhcGV4bWwueG1sUEsFBgAAAAAGAAYAWwEAAK8DAAAA&#10;AA==&#10;">
                        <v:fill on="f" focussize="0,0"/>
                        <v:stroke weight="0.5pt" color="#000000" joinstyle="miter"/>
                        <v:imagedata o:title=""/>
                        <o:lock v:ext="edit" aspectratio="f"/>
                        <v:textbox>
                          <w:txbxContent>
                            <w:p w14:paraId="0217AB8D">
                              <w:pPr>
                                <w:jc w:val="center"/>
                              </w:pPr>
                              <w:r>
                                <w:rPr>
                                  <w:rFonts w:hint="eastAsia" w:ascii="Times New Roman" w:hAnsi="Times New Roman" w:eastAsia="宋体" w:cs="Times New Roman"/>
                                  <w:bCs/>
                                  <w:color w:val="auto"/>
                                  <w:sz w:val="21"/>
                                  <w:szCs w:val="21"/>
                                  <w:lang w:eastAsia="zh-CN"/>
                                </w:rPr>
                                <w:t>污水处理站</w:t>
                              </w:r>
                            </w:p>
                          </w:txbxContent>
                        </v:textbox>
                      </v:rect>
                      <v:rect id="矩形 63" o:spid="_x0000_s1026" o:spt="1" style="position:absolute;left:8716;top:408251;height:422;width:1210;v-text-anchor:middle;" filled="f" stroked="t" coordsize="21600,21600" o:gfxdata="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nUt+bgAAADbAAAA&#10;DwAAAAAAAAABACAAAAAiAAAAZHJzL2Rvd25yZXYueG1sUEsBAhQAFAAAAAgAh07iQDMvBZ47AAAA&#10;OQAAABAAAAAAAAAAAQAgAAAABwEAAGRycy9zaGFwZXhtbC54bWxQSwUGAAAAAAYABgBbAQAAsQMA&#10;AAAA&#10;">
                        <v:fill on="f" focussize="0,0"/>
                        <v:stroke weight="0.5pt" color="#000000" joinstyle="miter"/>
                        <v:imagedata o:title=""/>
                        <o:lock v:ext="edit" aspectratio="f"/>
                        <v:textbox>
                          <w:txbxContent>
                            <w:p w14:paraId="0A03D51A">
                              <w:pPr>
                                <w:jc w:val="center"/>
                              </w:pPr>
                              <w:r>
                                <w:rPr>
                                  <w:rFonts w:hint="eastAsia" w:ascii="Times New Roman" w:hAnsi="Times New Roman" w:eastAsia="宋体" w:cs="Times New Roman"/>
                                  <w:bCs/>
                                  <w:color w:val="auto"/>
                                  <w:sz w:val="21"/>
                                  <w:szCs w:val="21"/>
                                  <w:lang w:eastAsia="zh-CN"/>
                                </w:rPr>
                                <w:t>化粪池</w:t>
                              </w:r>
                            </w:p>
                          </w:txbxContent>
                        </v:textbox>
                      </v:rect>
                      <v:rect id="矩形 63" o:spid="_x0000_s1026" o:spt="1" style="position:absolute;left:10738;top:404622;height:711;width:3130;v-text-anchor:middle;" filled="f" stroked="t" coordsize="21600,21600" o:gfxdata="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dq3IrgAAADbAAAA&#10;DwAAAAAAAAABACAAAAAiAAAAZHJzL2Rvd25yZXYueG1sUEsBAhQAFAAAAAgAh07iQDMvBZ47AAAA&#10;OQAAABAAAAAAAAAAAQAgAAAABwEAAGRycy9zaGFwZXhtbC54bWxQSwUGAAAAAAYABgBbAQAAsQMA&#10;AAAA&#10;">
                        <v:fill on="f" focussize="0,0"/>
                        <v:stroke weight="0.5pt" color="#000000" joinstyle="miter"/>
                        <v:imagedata o:title=""/>
                        <o:lock v:ext="edit" aspectratio="f"/>
                        <v:textbox>
                          <w:txbxContent>
                            <w:p w14:paraId="0963C9D8">
                              <w:pPr>
                                <w:jc w:val="center"/>
                                <w:rPr>
                                  <w:rFonts w:hint="eastAsia" w:ascii="Times New Roman" w:hAnsi="Times New Roman" w:eastAsia="宋体" w:cs="Times New Roman"/>
                                  <w:bCs/>
                                  <w:color w:val="auto"/>
                                  <w:sz w:val="21"/>
                                  <w:szCs w:val="21"/>
                                  <w:lang w:eastAsia="zh-CN"/>
                                </w:rPr>
                              </w:pPr>
                              <w:r>
                                <w:rPr>
                                  <w:rFonts w:hint="eastAsia" w:ascii="Times New Roman" w:hAnsi="Times New Roman" w:eastAsia="宋体" w:cs="Times New Roman"/>
                                  <w:bCs/>
                                  <w:color w:val="auto"/>
                                  <w:sz w:val="21"/>
                                  <w:szCs w:val="21"/>
                                  <w:lang w:eastAsia="zh-CN"/>
                                </w:rPr>
                                <w:t>小型实验室污水废水综合处理设备</w:t>
                              </w:r>
                              <w:r>
                                <w:rPr>
                                  <w:rFonts w:hint="eastAsia" w:ascii="Times New Roman" w:hAnsi="Times New Roman" w:cs="Times New Roman"/>
                                  <w:bCs/>
                                  <w:color w:val="auto"/>
                                  <w:sz w:val="21"/>
                                  <w:szCs w:val="21"/>
                                  <w:lang w:val="en-US" w:eastAsia="zh-CN"/>
                                </w:rPr>
                                <w:t>预处理</w:t>
                              </w:r>
                            </w:p>
                          </w:txbxContent>
                        </v:textbox>
                      </v:rect>
                      <v:line id="直接连接符 20" o:spid="_x0000_s1026" o:spt="20" style="position:absolute;left:9707;top:404958;height:20;width:1031;" filled="f" stroked="t" coordsize="21600,21600" o:gfxdata="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Bdfoe/&#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20" o:spid="_x0000_s1026" o:spt="20" style="position:absolute;left:9312;top:406497;height:1754;width:9;" filled="f" stroked="t" coordsize="21600,21600" o:gfxdata="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8R2xy/&#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20" o:spid="_x0000_s1026" o:spt="20" style="position:absolute;left:9926;top:408462;height:23;width:1235;" filled="f" stroked="t" coordsize="21600,21600" o:gfxdata="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D4Q2i/&#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自选图形 9" o:spid="_x0000_s1026" o:spt="33" type="#_x0000_t33" style="position:absolute;left:9809;top:404915;height:2912;width:2077;rotation:5898240f;" filled="f" stroked="t" coordsize="21600,21600" o:gfxdata="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XoIqK/&#10;AAAA2wAAAA8AAAAAAAAAAQAgAAAAIgAAAGRycy9kb3ducmV2LnhtbFBLAQIUABQAAAAIAIdO4kAz&#10;LwWeOwAAADkAAAAQAAAAAAAAAAEAIAAAAA4BAABkcnMvc2hhcGV4bWwueG1sUEsFBgAAAAAGAAYA&#10;WwEAALgDAAAAAA==&#10;">
                        <v:fill on="f" focussize="0,0"/>
                        <v:stroke color="#000000" joinstyle="miter" endarrow="block"/>
                        <v:imagedata o:title=""/>
                        <o:lock v:ext="edit" aspectratio="f"/>
                      </v:shape>
                      <v:rect id="矩形 47" o:spid="_x0000_s1026" o:spt="1" style="position:absolute;left:8440;top:406713;height:388;width:850;" filled="f" stroked="f" coordsize="21600,21600" o:gfxdata="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byFpL4A&#10;AADb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5FBAE95F">
                              <w:pPr>
                                <w:jc w:val="center"/>
                                <w:rPr>
                                  <w:rFonts w:hint="default"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54.16</w:t>
                              </w:r>
                            </w:p>
                          </w:txbxContent>
                        </v:textbox>
                      </v:rect>
                      <v:rect id="矩形 47" o:spid="_x0000_s1026" o:spt="1" style="position:absolute;left:10091;top:408048;height:388;width:850;" filled="f" stroked="f" coordsize="21600,21600" o:gfxdata="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CMR1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75A3ADA8">
                              <w:pPr>
                                <w:jc w:val="center"/>
                                <w:rPr>
                                  <w:rFonts w:hint="default"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54.4</w:t>
                              </w:r>
                            </w:p>
                          </w:txbxContent>
                        </v:textbox>
                      </v:rect>
                      <v:rect id="矩形 63" o:spid="_x0000_s1026" o:spt="1" style="position:absolute;left:10991;top:409370;height:1068;width:2025;v-text-anchor:middle;" filled="f" stroked="f" coordsize="21600,21600" o:gfxdata="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VnT0O/&#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71D6B385">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Times New Roman" w:hAnsi="Times New Roman" w:eastAsia="宋体" w:cs="Times New Roman"/>
                                  <w:bCs/>
                                  <w:color w:val="auto"/>
                                  <w:sz w:val="21"/>
                                  <w:szCs w:val="21"/>
                                  <w:lang w:eastAsia="zh-CN"/>
                                </w:rPr>
                              </w:pPr>
                              <w:r>
                                <w:rPr>
                                  <w:rFonts w:hint="eastAsia" w:ascii="Times New Roman" w:hAnsi="Times New Roman" w:eastAsia="宋体" w:cs="Times New Roman"/>
                                  <w:bCs/>
                                  <w:color w:val="auto"/>
                                  <w:sz w:val="21"/>
                                  <w:szCs w:val="21"/>
                                  <w:lang w:eastAsia="zh-CN"/>
                                </w:rPr>
                                <w:t>市政污水管网，最终进入东胜区北郊水质净化厂</w:t>
                              </w:r>
                            </w:p>
                          </w:txbxContent>
                        </v:textbox>
                      </v:rect>
                      <v:line id="直接连接符 20" o:spid="_x0000_s1026" o:spt="20" style="position:absolute;left:12000;top:408716;height:654;width:4;" filled="f" stroked="t" coordsize="21600,21600" o:gfxdata="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a+P1r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rect id="矩形 47" o:spid="_x0000_s1026" o:spt="1" style="position:absolute;left:12070;top:408865;height:388;width:850;" filled="f" stroked="f" coordsize="21600,21600" o:gfxdata="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3Vy9r4A&#10;AADb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32A6B006">
                              <w:pPr>
                                <w:jc w:val="center"/>
                                <w:rPr>
                                  <w:rFonts w:hint="default"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54.4</w:t>
                              </w:r>
                            </w:p>
                          </w:txbxContent>
                        </v:textbox>
                      </v:rect>
                      <v:rect id="矩形 47" o:spid="_x0000_s1026" o:spt="1" style="position:absolute;left:9765;top:404507;height:388;width:850;" filled="f" stroked="f" coordsize="21600,21600" o:gfxdata="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cpym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FF98A02">
                              <w:pPr>
                                <w:jc w:val="center"/>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0.24</w:t>
                              </w:r>
                            </w:p>
                          </w:txbxContent>
                        </v:textbox>
                      </v:rect>
                      <v:shape id="自选图形 9" o:spid="_x0000_s1026" o:spt="33" type="#_x0000_t33" style="position:absolute;left:6065;top:404722;flip:y;height:1000;width:1878;rotation:-5898240f;" filled="f" stroked="t" coordsize="21600,21600" o:gfxdata="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x2WHy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w10:wrap type="none"/>
                      <w10:anchorlock/>
                    </v:group>
                  </w:pict>
                </mc:Fallback>
              </mc:AlternateContent>
            </w:r>
          </w:p>
          <w:p w14:paraId="20759DC5">
            <w:pPr>
              <w:pStyle w:val="45"/>
              <w:autoSpaceDE/>
              <w:autoSpaceDN/>
              <w:spacing w:line="520" w:lineRule="exact"/>
              <w:ind w:firstLine="480" w:firstLineChars="200"/>
              <w:jc w:val="center"/>
              <w:rPr>
                <w:rFonts w:hint="default" w:ascii="Times New Roman" w:hAnsi="Times New Roman" w:cs="Times New Roman"/>
                <w:b/>
                <w:color w:val="auto"/>
                <w:sz w:val="24"/>
                <w:lang w:val="en-US" w:eastAsia="zh-CN"/>
              </w:rPr>
            </w:pPr>
            <w:r>
              <w:rPr>
                <w:rFonts w:hint="eastAsia" w:cs="Times New Roman"/>
                <w:bCs/>
                <w:color w:val="auto"/>
                <w:sz w:val="24"/>
                <w:szCs w:val="24"/>
                <w:lang w:val="en-US" w:eastAsia="zh-CN"/>
              </w:rPr>
              <w:t xml:space="preserve"> </w:t>
            </w:r>
            <w:r>
              <w:rPr>
                <w:rFonts w:hint="default" w:ascii="Times New Roman" w:hAnsi="Times New Roman" w:cs="Times New Roman"/>
                <w:b/>
                <w:color w:val="auto"/>
                <w:sz w:val="24"/>
              </w:rPr>
              <w:t xml:space="preserve">图2-1 </w:t>
            </w:r>
            <w:r>
              <w:rPr>
                <w:rFonts w:hint="default" w:ascii="Times New Roman" w:hAnsi="Times New Roman" w:cs="Times New Roman"/>
                <w:b/>
                <w:color w:val="auto"/>
                <w:sz w:val="24"/>
                <w:szCs w:val="24"/>
              </w:rPr>
              <w:t>项目水平衡图（单位：m</w:t>
            </w:r>
            <w:r>
              <w:rPr>
                <w:rFonts w:hint="default" w:ascii="Times New Roman" w:hAnsi="Times New Roman" w:cs="Times New Roman"/>
                <w:b/>
                <w:color w:val="auto"/>
                <w:sz w:val="24"/>
                <w:szCs w:val="24"/>
                <w:vertAlign w:val="superscript"/>
              </w:rPr>
              <w:t>3</w:t>
            </w:r>
            <w:r>
              <w:rPr>
                <w:rFonts w:hint="default" w:ascii="Times New Roman" w:hAnsi="Times New Roman" w:cs="Times New Roman"/>
                <w:b/>
                <w:color w:val="auto"/>
                <w:sz w:val="24"/>
                <w:szCs w:val="24"/>
              </w:rPr>
              <w:t>/d）</w:t>
            </w:r>
          </w:p>
          <w:p w14:paraId="65113F2E">
            <w:pPr>
              <w:keepNext w:val="0"/>
              <w:keepLines w:val="0"/>
              <w:pageBreakBefore w:val="0"/>
              <w:widowControl w:val="0"/>
              <w:kinsoku/>
              <w:wordWrap/>
              <w:overflowPunct/>
              <w:topLinePunct w:val="0"/>
              <w:autoSpaceDE w:val="0"/>
              <w:autoSpaceDN w:val="0"/>
              <w:bidi w:val="0"/>
              <w:adjustRightInd/>
              <w:snapToGrid/>
              <w:spacing w:line="520" w:lineRule="exact"/>
              <w:ind w:left="0" w:leftChars="0" w:right="0" w:rightChars="0" w:firstLine="0" w:firstLineChars="0"/>
              <w:jc w:val="center"/>
              <w:textAlignment w:val="auto"/>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表</w:t>
            </w:r>
            <w:r>
              <w:rPr>
                <w:rFonts w:hint="default" w:ascii="Times New Roman" w:hAnsi="Times New Roman" w:cs="Times New Roman"/>
                <w:b/>
                <w:color w:val="auto"/>
                <w:sz w:val="24"/>
                <w:szCs w:val="24"/>
                <w:lang w:val="en-US" w:eastAsia="zh-CN"/>
              </w:rPr>
              <w:t>2-4</w:t>
            </w:r>
            <w:r>
              <w:rPr>
                <w:rFonts w:hint="eastAsia" w:ascii="Times New Roman" w:hAnsi="Times New Roman" w:eastAsia="宋体" w:cs="Times New Roman"/>
                <w:b/>
                <w:color w:val="auto"/>
                <w:sz w:val="24"/>
                <w:szCs w:val="24"/>
                <w:lang w:val="en-US" w:eastAsia="zh-CN"/>
              </w:rPr>
              <w:t xml:space="preserve">     </w:t>
            </w:r>
            <w:r>
              <w:rPr>
                <w:rFonts w:hint="default" w:ascii="Times New Roman" w:hAnsi="Times New Roman" w:eastAsia="宋体" w:cs="Times New Roman"/>
                <w:b/>
                <w:color w:val="auto"/>
                <w:sz w:val="24"/>
                <w:szCs w:val="24"/>
              </w:rPr>
              <w:t>项目给排水情况</w:t>
            </w:r>
          </w:p>
          <w:tbl>
            <w:tblPr>
              <w:tblStyle w:val="20"/>
              <w:tblW w:w="7956"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658"/>
              <w:gridCol w:w="566"/>
              <w:gridCol w:w="1170"/>
              <w:gridCol w:w="1185"/>
              <w:gridCol w:w="1080"/>
              <w:gridCol w:w="1080"/>
              <w:gridCol w:w="1095"/>
              <w:gridCol w:w="1122"/>
            </w:tblGrid>
            <w:tr w14:paraId="2A05A83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58" w:type="dxa"/>
                  <w:noWrap w:val="0"/>
                  <w:vAlign w:val="center"/>
                </w:tcPr>
                <w:p w14:paraId="11B86C9A">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序号</w:t>
                  </w:r>
                </w:p>
              </w:tc>
              <w:tc>
                <w:tcPr>
                  <w:tcW w:w="1736" w:type="dxa"/>
                  <w:gridSpan w:val="2"/>
                  <w:noWrap w:val="0"/>
                  <w:vAlign w:val="center"/>
                </w:tcPr>
                <w:p w14:paraId="39551D34">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用水名称</w:t>
                  </w:r>
                </w:p>
              </w:tc>
              <w:tc>
                <w:tcPr>
                  <w:tcW w:w="1185" w:type="dxa"/>
                  <w:noWrap w:val="0"/>
                  <w:vAlign w:val="center"/>
                </w:tcPr>
                <w:p w14:paraId="6E823845">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日</w:t>
                  </w:r>
                  <w:r>
                    <w:rPr>
                      <w:rFonts w:hint="default" w:ascii="Times New Roman" w:hAnsi="Times New Roman" w:eastAsia="宋体" w:cs="Times New Roman"/>
                      <w:bCs/>
                      <w:color w:val="auto"/>
                      <w:sz w:val="21"/>
                      <w:szCs w:val="21"/>
                    </w:rPr>
                    <w:t>用水量（m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w:t>
                  </w:r>
                  <w:r>
                    <w:rPr>
                      <w:rFonts w:hint="eastAsia" w:ascii="Times New Roman" w:hAnsi="Times New Roman" w:eastAsia="宋体" w:cs="Times New Roman"/>
                      <w:bCs/>
                      <w:color w:val="auto"/>
                      <w:sz w:val="21"/>
                      <w:szCs w:val="21"/>
                      <w:lang w:val="en-US" w:eastAsia="zh-CN"/>
                    </w:rPr>
                    <w:t>d</w:t>
                  </w:r>
                  <w:r>
                    <w:rPr>
                      <w:rFonts w:hint="default" w:ascii="Times New Roman" w:hAnsi="Times New Roman" w:eastAsia="宋体" w:cs="Times New Roman"/>
                      <w:bCs/>
                      <w:color w:val="auto"/>
                      <w:sz w:val="21"/>
                      <w:szCs w:val="21"/>
                    </w:rPr>
                    <w:t>）</w:t>
                  </w:r>
                </w:p>
              </w:tc>
              <w:tc>
                <w:tcPr>
                  <w:tcW w:w="1080" w:type="dxa"/>
                  <w:noWrap w:val="0"/>
                  <w:vAlign w:val="center"/>
                </w:tcPr>
                <w:p w14:paraId="1CF18983">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年用水量</w:t>
                  </w:r>
                </w:p>
                <w:p w14:paraId="3C80B3C1">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/a）</w:t>
                  </w:r>
                </w:p>
              </w:tc>
              <w:tc>
                <w:tcPr>
                  <w:tcW w:w="1080" w:type="dxa"/>
                  <w:noWrap w:val="0"/>
                  <w:vAlign w:val="center"/>
                </w:tcPr>
                <w:p w14:paraId="270A9AF1">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cs="Times New Roman"/>
                      <w:bCs/>
                      <w:color w:val="auto"/>
                      <w:sz w:val="21"/>
                      <w:szCs w:val="21"/>
                      <w:lang w:eastAsia="zh-CN"/>
                    </w:rPr>
                    <w:t>损</w:t>
                  </w:r>
                  <w:r>
                    <w:rPr>
                      <w:rFonts w:hint="eastAsia" w:ascii="Times New Roman" w:hAnsi="Times New Roman" w:cs="Times New Roman"/>
                      <w:bCs/>
                      <w:color w:val="auto"/>
                      <w:sz w:val="21"/>
                      <w:szCs w:val="21"/>
                      <w:lang w:val="en-US" w:eastAsia="zh-CN"/>
                    </w:rPr>
                    <w:t>耗</w:t>
                  </w:r>
                  <w:r>
                    <w:rPr>
                      <w:rFonts w:hint="default" w:ascii="Times New Roman" w:hAnsi="Times New Roman" w:eastAsia="宋体" w:cs="Times New Roman"/>
                      <w:bCs/>
                      <w:color w:val="auto"/>
                      <w:sz w:val="21"/>
                      <w:szCs w:val="21"/>
                    </w:rPr>
                    <w:t>水量（m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/a）</w:t>
                  </w:r>
                </w:p>
              </w:tc>
              <w:tc>
                <w:tcPr>
                  <w:tcW w:w="1095" w:type="dxa"/>
                  <w:noWrap w:val="0"/>
                  <w:vAlign w:val="center"/>
                </w:tcPr>
                <w:p w14:paraId="425CBD97">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年废水量</w:t>
                  </w:r>
                </w:p>
                <w:p w14:paraId="0B213A42">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/a）</w:t>
                  </w:r>
                </w:p>
              </w:tc>
              <w:tc>
                <w:tcPr>
                  <w:tcW w:w="1122" w:type="dxa"/>
                  <w:noWrap w:val="0"/>
                  <w:vAlign w:val="center"/>
                </w:tcPr>
                <w:p w14:paraId="76B46A04">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废水去向</w:t>
                  </w:r>
                </w:p>
              </w:tc>
            </w:tr>
            <w:tr w14:paraId="03FA01A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58" w:type="dxa"/>
                  <w:vMerge w:val="restart"/>
                  <w:noWrap w:val="0"/>
                  <w:vAlign w:val="center"/>
                </w:tcPr>
                <w:p w14:paraId="3E97079C">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w:t>
                  </w:r>
                </w:p>
              </w:tc>
              <w:tc>
                <w:tcPr>
                  <w:tcW w:w="566" w:type="dxa"/>
                  <w:vMerge w:val="restart"/>
                  <w:noWrap w:val="0"/>
                  <w:vAlign w:val="center"/>
                </w:tcPr>
                <w:p w14:paraId="05E5D0B6">
                  <w:pPr>
                    <w:keepNext w:val="0"/>
                    <w:keepLines w:val="0"/>
                    <w:pageBreakBefore w:val="0"/>
                    <w:widowControl/>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highlight w:val="green"/>
                    </w:rPr>
                  </w:pPr>
                  <w:r>
                    <w:rPr>
                      <w:rFonts w:hint="default" w:ascii="Times New Roman" w:hAnsi="Times New Roman" w:cs="Times New Roman"/>
                      <w:bCs/>
                      <w:color w:val="auto"/>
                      <w:sz w:val="21"/>
                      <w:szCs w:val="21"/>
                      <w:lang w:eastAsia="zh-CN"/>
                    </w:rPr>
                    <w:t>现有工程</w:t>
                  </w:r>
                </w:p>
              </w:tc>
              <w:tc>
                <w:tcPr>
                  <w:tcW w:w="1170" w:type="dxa"/>
                  <w:noWrap w:val="0"/>
                  <w:vAlign w:val="center"/>
                </w:tcPr>
                <w:p w14:paraId="4A3F1A94">
                  <w:pPr>
                    <w:keepNext w:val="0"/>
                    <w:keepLines w:val="0"/>
                    <w:pageBreakBefore w:val="0"/>
                    <w:widowControl/>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cs="Times New Roman"/>
                      <w:bCs/>
                      <w:color w:val="auto"/>
                      <w:sz w:val="21"/>
                      <w:szCs w:val="21"/>
                      <w:lang w:eastAsia="zh-CN"/>
                    </w:rPr>
                  </w:pPr>
                  <w:r>
                    <w:rPr>
                      <w:rFonts w:hint="default" w:ascii="Times New Roman" w:hAnsi="Times New Roman" w:cs="Times New Roman"/>
                      <w:bCs/>
                      <w:color w:val="auto"/>
                      <w:sz w:val="21"/>
                      <w:szCs w:val="21"/>
                      <w:lang w:eastAsia="zh-CN"/>
                    </w:rPr>
                    <w:t>办公、门诊、病房、手术室等</w:t>
                  </w:r>
                </w:p>
              </w:tc>
              <w:tc>
                <w:tcPr>
                  <w:tcW w:w="1185" w:type="dxa"/>
                  <w:noWrap w:val="0"/>
                  <w:vAlign w:val="center"/>
                </w:tcPr>
                <w:p w14:paraId="2260088C">
                  <w:pPr>
                    <w:keepNext w:val="0"/>
                    <w:keepLines w:val="0"/>
                    <w:pageBreakBefore w:val="0"/>
                    <w:widowControl/>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lang w:val="en-US" w:eastAsia="zh-CN"/>
                    </w:rPr>
                    <w:t>1</w:t>
                  </w:r>
                  <w:r>
                    <w:rPr>
                      <w:rFonts w:hint="eastAsia" w:ascii="Times New Roman" w:hAnsi="Times New Roman" w:eastAsia="宋体" w:cs="Times New Roman"/>
                      <w:bCs/>
                      <w:color w:val="auto"/>
                      <w:sz w:val="21"/>
                      <w:szCs w:val="21"/>
                      <w:lang w:val="en-US" w:eastAsia="zh-CN"/>
                    </w:rPr>
                    <w:t>1.7</w:t>
                  </w:r>
                </w:p>
              </w:tc>
              <w:tc>
                <w:tcPr>
                  <w:tcW w:w="1080" w:type="dxa"/>
                  <w:noWrap w:val="0"/>
                  <w:vAlign w:val="center"/>
                </w:tcPr>
                <w:p w14:paraId="79EEC505">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cs="Times New Roman"/>
                      <w:bCs/>
                      <w:color w:val="auto"/>
                      <w:sz w:val="21"/>
                      <w:szCs w:val="21"/>
                      <w:lang w:val="en-US" w:eastAsia="zh-CN"/>
                    </w:rPr>
                    <w:t>4270.5</w:t>
                  </w:r>
                </w:p>
              </w:tc>
              <w:tc>
                <w:tcPr>
                  <w:tcW w:w="1080" w:type="dxa"/>
                  <w:noWrap w:val="0"/>
                  <w:vAlign w:val="center"/>
                </w:tcPr>
                <w:p w14:paraId="558DF37C">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cs="Times New Roman"/>
                      <w:bCs/>
                      <w:color w:val="auto"/>
                      <w:sz w:val="21"/>
                      <w:szCs w:val="21"/>
                      <w:lang w:val="en-US" w:eastAsia="zh-CN"/>
                    </w:rPr>
                    <w:t>854.1</w:t>
                  </w:r>
                </w:p>
              </w:tc>
              <w:tc>
                <w:tcPr>
                  <w:tcW w:w="1095" w:type="dxa"/>
                  <w:noWrap w:val="0"/>
                  <w:vAlign w:val="center"/>
                </w:tcPr>
                <w:p w14:paraId="12EC625A">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cs="Times New Roman"/>
                      <w:bCs/>
                      <w:color w:val="auto"/>
                      <w:sz w:val="21"/>
                      <w:szCs w:val="21"/>
                      <w:lang w:val="en-US" w:eastAsia="zh-CN"/>
                    </w:rPr>
                    <w:t>3416.4</w:t>
                  </w:r>
                </w:p>
              </w:tc>
              <w:tc>
                <w:tcPr>
                  <w:tcW w:w="1122" w:type="dxa"/>
                  <w:vMerge w:val="restart"/>
                  <w:noWrap w:val="0"/>
                  <w:vAlign w:val="center"/>
                </w:tcPr>
                <w:p w14:paraId="6FB2BBF6">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市政污水管网，最终进入东胜区北郊水质净化厂</w:t>
                  </w:r>
                </w:p>
              </w:tc>
            </w:tr>
            <w:tr w14:paraId="6EC9B1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58" w:type="dxa"/>
                  <w:vMerge w:val="continue"/>
                  <w:noWrap w:val="0"/>
                  <w:vAlign w:val="center"/>
                </w:tcPr>
                <w:p w14:paraId="7A13325C">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rPr>
                  </w:pPr>
                </w:p>
              </w:tc>
              <w:tc>
                <w:tcPr>
                  <w:tcW w:w="566" w:type="dxa"/>
                  <w:vMerge w:val="continue"/>
                  <w:noWrap w:val="0"/>
                  <w:vAlign w:val="center"/>
                </w:tcPr>
                <w:p w14:paraId="0C1F664D">
                  <w:pPr>
                    <w:keepNext w:val="0"/>
                    <w:keepLines w:val="0"/>
                    <w:pageBreakBefore w:val="0"/>
                    <w:widowControl/>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cs="Times New Roman"/>
                      <w:bCs/>
                      <w:color w:val="auto"/>
                      <w:sz w:val="21"/>
                      <w:szCs w:val="21"/>
                      <w:lang w:eastAsia="zh-CN"/>
                    </w:rPr>
                  </w:pPr>
                </w:p>
              </w:tc>
              <w:tc>
                <w:tcPr>
                  <w:tcW w:w="1170" w:type="dxa"/>
                  <w:noWrap w:val="0"/>
                  <w:vAlign w:val="center"/>
                </w:tcPr>
                <w:p w14:paraId="062DBF6F">
                  <w:pPr>
                    <w:keepNext w:val="0"/>
                    <w:keepLines w:val="0"/>
                    <w:pageBreakBefore w:val="0"/>
                    <w:widowControl/>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cs="Times New Roman"/>
                      <w:bCs/>
                      <w:color w:val="auto"/>
                      <w:sz w:val="21"/>
                      <w:szCs w:val="21"/>
                      <w:lang w:val="en-US" w:eastAsia="zh-CN"/>
                    </w:rPr>
                  </w:pPr>
                  <w:r>
                    <w:rPr>
                      <w:rFonts w:hint="eastAsia" w:ascii="Times New Roman" w:hAnsi="Times New Roman" w:cs="Times New Roman"/>
                      <w:bCs/>
                      <w:color w:val="auto"/>
                      <w:sz w:val="21"/>
                      <w:szCs w:val="21"/>
                      <w:lang w:val="en-US" w:eastAsia="zh-CN"/>
                    </w:rPr>
                    <w:t>检验科</w:t>
                  </w:r>
                </w:p>
              </w:tc>
              <w:tc>
                <w:tcPr>
                  <w:tcW w:w="1185" w:type="dxa"/>
                  <w:noWrap w:val="0"/>
                  <w:vAlign w:val="center"/>
                </w:tcPr>
                <w:p w14:paraId="5D8D3387">
                  <w:pPr>
                    <w:keepNext w:val="0"/>
                    <w:keepLines w:val="0"/>
                    <w:pageBreakBefore w:val="0"/>
                    <w:widowControl/>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0.3</w:t>
                  </w:r>
                </w:p>
              </w:tc>
              <w:tc>
                <w:tcPr>
                  <w:tcW w:w="1080" w:type="dxa"/>
                  <w:noWrap w:val="0"/>
                  <w:vAlign w:val="center"/>
                </w:tcPr>
                <w:p w14:paraId="5ED08EB7">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cs="Times New Roman"/>
                      <w:bCs/>
                      <w:color w:val="auto"/>
                      <w:sz w:val="21"/>
                      <w:szCs w:val="21"/>
                      <w:lang w:val="en-US" w:eastAsia="zh-CN"/>
                    </w:rPr>
                  </w:pPr>
                  <w:r>
                    <w:rPr>
                      <w:rFonts w:hint="eastAsia" w:ascii="Times New Roman" w:hAnsi="Times New Roman" w:cs="Times New Roman"/>
                      <w:bCs/>
                      <w:color w:val="auto"/>
                      <w:sz w:val="21"/>
                      <w:szCs w:val="21"/>
                      <w:lang w:val="en-US" w:eastAsia="zh-CN"/>
                    </w:rPr>
                    <w:t>109.5</w:t>
                  </w:r>
                </w:p>
              </w:tc>
              <w:tc>
                <w:tcPr>
                  <w:tcW w:w="1080" w:type="dxa"/>
                  <w:noWrap w:val="0"/>
                  <w:vAlign w:val="center"/>
                </w:tcPr>
                <w:p w14:paraId="5C6D19D2">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cs="Times New Roman"/>
                      <w:bCs/>
                      <w:color w:val="auto"/>
                      <w:sz w:val="21"/>
                      <w:szCs w:val="21"/>
                      <w:lang w:val="en-US" w:eastAsia="zh-CN"/>
                    </w:rPr>
                  </w:pPr>
                  <w:r>
                    <w:rPr>
                      <w:rFonts w:hint="eastAsia" w:ascii="Times New Roman" w:hAnsi="Times New Roman" w:cs="Times New Roman"/>
                      <w:bCs/>
                      <w:color w:val="auto"/>
                      <w:sz w:val="21"/>
                      <w:szCs w:val="21"/>
                      <w:lang w:val="en-US" w:eastAsia="zh-CN"/>
                    </w:rPr>
                    <w:t>21.9</w:t>
                  </w:r>
                </w:p>
              </w:tc>
              <w:tc>
                <w:tcPr>
                  <w:tcW w:w="1095" w:type="dxa"/>
                  <w:noWrap w:val="0"/>
                  <w:vAlign w:val="center"/>
                </w:tcPr>
                <w:p w14:paraId="4E16A7FC">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cs="Times New Roman"/>
                      <w:bCs/>
                      <w:color w:val="auto"/>
                      <w:sz w:val="21"/>
                      <w:szCs w:val="21"/>
                      <w:lang w:val="en-US" w:eastAsia="zh-CN"/>
                    </w:rPr>
                  </w:pPr>
                  <w:r>
                    <w:rPr>
                      <w:rFonts w:hint="eastAsia" w:ascii="Times New Roman" w:hAnsi="Times New Roman" w:cs="Times New Roman"/>
                      <w:bCs/>
                      <w:color w:val="auto"/>
                      <w:sz w:val="21"/>
                      <w:szCs w:val="21"/>
                      <w:lang w:val="en-US" w:eastAsia="zh-CN"/>
                    </w:rPr>
                    <w:t>87.6</w:t>
                  </w:r>
                </w:p>
              </w:tc>
              <w:tc>
                <w:tcPr>
                  <w:tcW w:w="1122" w:type="dxa"/>
                  <w:vMerge w:val="continue"/>
                  <w:noWrap w:val="0"/>
                  <w:vAlign w:val="center"/>
                </w:tcPr>
                <w:p w14:paraId="203960A6">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rPr>
                  </w:pPr>
                </w:p>
              </w:tc>
            </w:tr>
            <w:tr w14:paraId="58E1A8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58" w:type="dxa"/>
                  <w:noWrap w:val="0"/>
                  <w:vAlign w:val="center"/>
                </w:tcPr>
                <w:p w14:paraId="62C48265">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w:t>
                  </w:r>
                </w:p>
              </w:tc>
              <w:tc>
                <w:tcPr>
                  <w:tcW w:w="1736" w:type="dxa"/>
                  <w:gridSpan w:val="2"/>
                  <w:noWrap w:val="0"/>
                  <w:vAlign w:val="center"/>
                </w:tcPr>
                <w:p w14:paraId="66898EFA">
                  <w:pPr>
                    <w:keepNext w:val="0"/>
                    <w:keepLines w:val="0"/>
                    <w:pageBreakBefore w:val="0"/>
                    <w:widowControl/>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扩建工程</w:t>
                  </w:r>
                </w:p>
              </w:tc>
              <w:tc>
                <w:tcPr>
                  <w:tcW w:w="1185" w:type="dxa"/>
                  <w:noWrap w:val="0"/>
                  <w:vAlign w:val="center"/>
                </w:tcPr>
                <w:p w14:paraId="370B3CDA">
                  <w:pPr>
                    <w:keepNext w:val="0"/>
                    <w:keepLines w:val="0"/>
                    <w:pageBreakBefore w:val="0"/>
                    <w:widowControl/>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lang w:eastAsia="zh-CN"/>
                    </w:rPr>
                  </w:pPr>
                  <w:r>
                    <w:rPr>
                      <w:rFonts w:hint="default" w:ascii="Times New Roman" w:hAnsi="Times New Roman" w:cs="Times New Roman"/>
                      <w:bCs/>
                      <w:color w:val="auto"/>
                      <w:sz w:val="21"/>
                      <w:szCs w:val="21"/>
                      <w:lang w:val="en-US" w:eastAsia="zh-CN"/>
                    </w:rPr>
                    <w:t>56</w:t>
                  </w:r>
                </w:p>
              </w:tc>
              <w:tc>
                <w:tcPr>
                  <w:tcW w:w="1080" w:type="dxa"/>
                  <w:noWrap w:val="0"/>
                  <w:vAlign w:val="center"/>
                </w:tcPr>
                <w:p w14:paraId="58E2ADA6">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cs="Times New Roman"/>
                      <w:bCs/>
                      <w:color w:val="auto"/>
                      <w:sz w:val="21"/>
                      <w:szCs w:val="21"/>
                      <w:lang w:val="en-US" w:eastAsia="zh-CN"/>
                    </w:rPr>
                    <w:t>20440</w:t>
                  </w:r>
                </w:p>
              </w:tc>
              <w:tc>
                <w:tcPr>
                  <w:tcW w:w="1080" w:type="dxa"/>
                  <w:noWrap w:val="0"/>
                  <w:vAlign w:val="center"/>
                </w:tcPr>
                <w:p w14:paraId="58C79410">
                  <w:pPr>
                    <w:keepNext w:val="0"/>
                    <w:keepLines w:val="0"/>
                    <w:pageBreakBefore w:val="0"/>
                    <w:widowControl/>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cs="Times New Roman"/>
                      <w:bCs/>
                      <w:color w:val="auto"/>
                      <w:sz w:val="21"/>
                      <w:szCs w:val="21"/>
                      <w:lang w:val="en-US" w:eastAsia="zh-CN"/>
                    </w:rPr>
                    <w:t>4088</w:t>
                  </w:r>
                </w:p>
              </w:tc>
              <w:tc>
                <w:tcPr>
                  <w:tcW w:w="1095" w:type="dxa"/>
                  <w:noWrap w:val="0"/>
                  <w:vAlign w:val="center"/>
                </w:tcPr>
                <w:p w14:paraId="05CF2F52">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cs="Times New Roman"/>
                      <w:bCs/>
                      <w:color w:val="auto"/>
                      <w:sz w:val="21"/>
                      <w:szCs w:val="21"/>
                      <w:lang w:val="en-US" w:eastAsia="zh-CN"/>
                    </w:rPr>
                    <w:t>16352</w:t>
                  </w:r>
                </w:p>
              </w:tc>
              <w:tc>
                <w:tcPr>
                  <w:tcW w:w="1122" w:type="dxa"/>
                  <w:vMerge w:val="continue"/>
                  <w:noWrap w:val="0"/>
                  <w:vAlign w:val="center"/>
                </w:tcPr>
                <w:p w14:paraId="7E8A4755">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lang w:eastAsia="zh-CN"/>
                    </w:rPr>
                  </w:pPr>
                </w:p>
              </w:tc>
            </w:tr>
            <w:tr w14:paraId="005CF9B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23" w:hRule="atLeast"/>
                <w:jc w:val="center"/>
              </w:trPr>
              <w:tc>
                <w:tcPr>
                  <w:tcW w:w="658" w:type="dxa"/>
                  <w:noWrap w:val="0"/>
                  <w:vAlign w:val="center"/>
                </w:tcPr>
                <w:p w14:paraId="2C694DFA">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合计</w:t>
                  </w:r>
                </w:p>
              </w:tc>
              <w:tc>
                <w:tcPr>
                  <w:tcW w:w="1736" w:type="dxa"/>
                  <w:gridSpan w:val="2"/>
                  <w:noWrap w:val="0"/>
                  <w:vAlign w:val="center"/>
                </w:tcPr>
                <w:p w14:paraId="262A105F">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w:t>
                  </w:r>
                </w:p>
              </w:tc>
              <w:tc>
                <w:tcPr>
                  <w:tcW w:w="1185" w:type="dxa"/>
                  <w:noWrap w:val="0"/>
                  <w:vAlign w:val="center"/>
                </w:tcPr>
                <w:p w14:paraId="1C616EA5">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080" w:type="dxa"/>
                  <w:noWrap w:val="0"/>
                  <w:vAlign w:val="center"/>
                </w:tcPr>
                <w:p w14:paraId="643ADB53">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cs="Times New Roman"/>
                      <w:bCs/>
                      <w:color w:val="auto"/>
                      <w:sz w:val="21"/>
                      <w:szCs w:val="21"/>
                      <w:lang w:val="en-US" w:eastAsia="zh-CN"/>
                    </w:rPr>
                    <w:t>24820</w:t>
                  </w:r>
                </w:p>
              </w:tc>
              <w:tc>
                <w:tcPr>
                  <w:tcW w:w="1080" w:type="dxa"/>
                  <w:noWrap w:val="0"/>
                  <w:vAlign w:val="center"/>
                </w:tcPr>
                <w:p w14:paraId="76FD989B">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cs="Times New Roman"/>
                      <w:color w:val="auto"/>
                      <w:sz w:val="21"/>
                      <w:szCs w:val="21"/>
                      <w:lang w:val="en-US" w:eastAsia="zh-CN"/>
                    </w:rPr>
                    <w:t>4964</w:t>
                  </w:r>
                </w:p>
              </w:tc>
              <w:tc>
                <w:tcPr>
                  <w:tcW w:w="1095" w:type="dxa"/>
                  <w:noWrap w:val="0"/>
                  <w:vAlign w:val="center"/>
                </w:tcPr>
                <w:p w14:paraId="30176DE2">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cs="Times New Roman"/>
                      <w:bCs/>
                      <w:color w:val="auto"/>
                      <w:sz w:val="21"/>
                      <w:szCs w:val="21"/>
                      <w:lang w:val="en-US" w:eastAsia="zh-CN"/>
                    </w:rPr>
                    <w:t>19856</w:t>
                  </w:r>
                </w:p>
              </w:tc>
              <w:tc>
                <w:tcPr>
                  <w:tcW w:w="1122" w:type="dxa"/>
                  <w:vMerge w:val="continue"/>
                  <w:noWrap w:val="0"/>
                  <w:vAlign w:val="center"/>
                </w:tcPr>
                <w:p w14:paraId="651D308F">
                  <w:pPr>
                    <w:keepNext w:val="0"/>
                    <w:keepLines w:val="0"/>
                    <w:pageBreakBefore w:val="0"/>
                    <w:kinsoku/>
                    <w:wordWrap/>
                    <w:overflowPunct/>
                    <w:topLinePunct w:val="0"/>
                    <w:autoSpaceDE/>
                    <w:autoSpaceDN/>
                    <w:bidi w:val="0"/>
                    <w:adjustRightInd/>
                    <w:snapToGrid w:val="0"/>
                    <w:spacing w:line="360" w:lineRule="exact"/>
                    <w:ind w:left="0" w:leftChars="0" w:right="0" w:rightChars="0"/>
                    <w:jc w:val="center"/>
                    <w:textAlignment w:val="auto"/>
                    <w:rPr>
                      <w:rFonts w:hint="default" w:ascii="Times New Roman" w:hAnsi="Times New Roman" w:eastAsia="宋体" w:cs="Times New Roman"/>
                      <w:bCs/>
                      <w:color w:val="auto"/>
                      <w:sz w:val="21"/>
                      <w:szCs w:val="21"/>
                    </w:rPr>
                  </w:pPr>
                </w:p>
              </w:tc>
            </w:tr>
          </w:tbl>
          <w:p w14:paraId="61BAB9D9">
            <w:pPr>
              <w:pStyle w:val="45"/>
              <w:autoSpaceDE/>
              <w:autoSpaceDN/>
              <w:spacing w:line="520" w:lineRule="exact"/>
              <w:ind w:firstLine="482" w:firstLineChars="200"/>
              <w:jc w:val="both"/>
              <w:rPr>
                <w:rFonts w:hint="default" w:ascii="Times New Roman" w:hAnsi="Times New Roman" w:eastAsia="宋体" w:cs="Times New Roman"/>
                <w:color w:val="auto"/>
                <w:sz w:val="24"/>
                <w:szCs w:val="24"/>
                <w:lang w:val="en-US"/>
              </w:rPr>
            </w:pPr>
            <w:r>
              <w:rPr>
                <w:rFonts w:hint="eastAsia" w:ascii="Times New Roman" w:hAnsi="Times New Roman" w:cs="Times New Roman"/>
                <w:b/>
                <w:color w:val="auto"/>
                <w:sz w:val="24"/>
                <w:lang w:val="en-US" w:eastAsia="zh-CN"/>
              </w:rPr>
              <w:t>7、危废暂存库暂存物</w:t>
            </w:r>
          </w:p>
          <w:p w14:paraId="5FEA6A2D">
            <w:pPr>
              <w:pStyle w:val="45"/>
              <w:autoSpaceDE/>
              <w:autoSpaceDN/>
              <w:spacing w:line="520" w:lineRule="exact"/>
              <w:ind w:firstLine="480" w:firstLineChars="200"/>
              <w:jc w:val="both"/>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本项目</w:t>
            </w:r>
            <w:r>
              <w:rPr>
                <w:rFonts w:hint="eastAsia" w:ascii="Times New Roman" w:hAnsi="Times New Roman" w:eastAsia="宋体" w:cs="Times New Roman"/>
                <w:color w:val="auto"/>
                <w:sz w:val="24"/>
                <w:szCs w:val="24"/>
                <w:lang w:val="en-US" w:eastAsia="zh-CN"/>
              </w:rPr>
              <w:t>危废暂存库</w:t>
            </w:r>
            <w:r>
              <w:rPr>
                <w:rFonts w:hint="default" w:ascii="Times New Roman" w:hAnsi="Times New Roman" w:eastAsia="宋体" w:cs="Times New Roman"/>
                <w:color w:val="auto"/>
                <w:sz w:val="24"/>
                <w:szCs w:val="24"/>
                <w:lang w:val="en-US"/>
              </w:rPr>
              <w:t>主要</w:t>
            </w:r>
            <w:r>
              <w:rPr>
                <w:rFonts w:hint="eastAsia" w:ascii="Times New Roman" w:hAnsi="Times New Roman" w:eastAsia="宋体" w:cs="Times New Roman"/>
                <w:color w:val="auto"/>
                <w:sz w:val="24"/>
                <w:szCs w:val="24"/>
                <w:lang w:val="en-US" w:eastAsia="zh-CN"/>
              </w:rPr>
              <w:t>暂存</w:t>
            </w:r>
            <w:r>
              <w:rPr>
                <w:rFonts w:hint="default" w:ascii="Times New Roman" w:hAnsi="Times New Roman" w:eastAsia="宋体" w:cs="Times New Roman"/>
                <w:color w:val="auto"/>
                <w:sz w:val="24"/>
                <w:szCs w:val="24"/>
                <w:lang w:val="en-US"/>
              </w:rPr>
              <w:t>物</w:t>
            </w:r>
            <w:r>
              <w:rPr>
                <w:rFonts w:hint="eastAsia" w:ascii="Times New Roman" w:hAnsi="Times New Roman" w:eastAsia="宋体" w:cs="Times New Roman"/>
                <w:color w:val="auto"/>
                <w:sz w:val="24"/>
                <w:szCs w:val="24"/>
                <w:lang w:val="en-US" w:eastAsia="zh-CN"/>
              </w:rPr>
              <w:t>为医疗废物（包括感染性废物、损伤性废物、化学性废物、病理性废物、药物性废物）、栅渣、化粪池和污水处理站污泥</w:t>
            </w:r>
            <w:r>
              <w:rPr>
                <w:rFonts w:hint="default" w:ascii="Times New Roman" w:hAnsi="Times New Roman" w:eastAsia="宋体" w:cs="Times New Roman"/>
                <w:color w:val="auto"/>
                <w:sz w:val="24"/>
                <w:szCs w:val="24"/>
                <w:lang w:val="en-US"/>
              </w:rPr>
              <w:t>。</w:t>
            </w:r>
          </w:p>
          <w:p w14:paraId="32F720D6">
            <w:pPr>
              <w:pStyle w:val="45"/>
              <w:numPr>
                <w:ilvl w:val="0"/>
                <w:numId w:val="0"/>
              </w:numPr>
              <w:autoSpaceDE/>
              <w:autoSpaceDN/>
              <w:spacing w:line="520" w:lineRule="exact"/>
              <w:ind w:firstLine="480" w:firstLineChars="200"/>
              <w:jc w:val="both"/>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bidi="zh-CN"/>
              </w:rPr>
              <w:t>（1）</w:t>
            </w:r>
            <w:r>
              <w:rPr>
                <w:rFonts w:hint="default" w:ascii="Times New Roman" w:hAnsi="Times New Roman" w:eastAsia="宋体" w:cs="Times New Roman"/>
                <w:color w:val="auto"/>
                <w:sz w:val="24"/>
                <w:szCs w:val="24"/>
                <w:lang w:val="en-US" w:eastAsia="zh-CN"/>
              </w:rPr>
              <w:t>医疗废物</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包括住院部、手术室、门</w:t>
            </w:r>
            <w:r>
              <w:rPr>
                <w:rFonts w:hint="eastAsia" w:ascii="Times New Roman" w:hAnsi="Times New Roman" w:eastAsia="宋体" w:cs="Times New Roman"/>
                <w:color w:val="auto"/>
                <w:sz w:val="24"/>
                <w:szCs w:val="24"/>
                <w:lang w:val="en-US" w:eastAsia="zh-CN"/>
              </w:rPr>
              <w:t>诊、</w:t>
            </w:r>
            <w:r>
              <w:rPr>
                <w:rFonts w:hint="default" w:ascii="Times New Roman" w:hAnsi="Times New Roman" w:eastAsia="宋体" w:cs="Times New Roman"/>
                <w:color w:val="auto"/>
                <w:sz w:val="24"/>
                <w:szCs w:val="24"/>
                <w:lang w:val="en-US" w:eastAsia="zh-CN"/>
              </w:rPr>
              <w:t>急诊、检验科、病理科产生的感染性、病理性、损伤性、药物性和化学性等废物，属于危险废物，医疗废物按照《医疗废物分类目录（2021）年版》分类收集。具体分类见下表。</w:t>
            </w:r>
          </w:p>
          <w:p w14:paraId="5A67E57A">
            <w:pPr>
              <w:keepNext w:val="0"/>
              <w:keepLines w:val="0"/>
              <w:pageBreakBefore w:val="0"/>
              <w:widowControl w:val="0"/>
              <w:kinsoku/>
              <w:wordWrap/>
              <w:overflowPunct/>
              <w:topLinePunct w:val="0"/>
              <w:autoSpaceDE w:val="0"/>
              <w:autoSpaceDN w:val="0"/>
              <w:bidi w:val="0"/>
              <w:adjustRightInd w:val="0"/>
              <w:snapToGrid w:val="0"/>
              <w:spacing w:line="520" w:lineRule="exact"/>
              <w:ind w:firstLine="0" w:firstLineChars="0"/>
              <w:jc w:val="center"/>
              <w:textAlignment w:val="auto"/>
              <w:rPr>
                <w:rFonts w:ascii="Times New Roman" w:hAnsi="Times New Roman"/>
                <w:bCs/>
                <w:color w:val="auto"/>
                <w:sz w:val="24"/>
                <w:szCs w:val="24"/>
                <w:lang w:val="en-US"/>
              </w:rPr>
            </w:pPr>
            <w:r>
              <w:rPr>
                <w:rFonts w:hint="eastAsia" w:ascii="Times New Roman" w:hAnsi="Times New Roman" w:cs="Times New Roman"/>
                <w:b/>
                <w:bCs/>
                <w:color w:val="auto"/>
                <w:sz w:val="24"/>
                <w:szCs w:val="24"/>
                <w:lang w:val="en-US"/>
              </w:rPr>
              <w:t>表</w:t>
            </w:r>
            <w:r>
              <w:rPr>
                <w:rFonts w:hint="eastAsia" w:ascii="Times New Roman" w:hAnsi="Times New Roman" w:cs="Times New Roman"/>
                <w:b/>
                <w:bCs/>
                <w:color w:val="auto"/>
                <w:sz w:val="24"/>
                <w:szCs w:val="24"/>
                <w:lang w:val="en-US" w:eastAsia="zh-CN"/>
              </w:rPr>
              <w:t>2</w:t>
            </w:r>
            <w:r>
              <w:rPr>
                <w:rFonts w:hint="eastAsia" w:ascii="Times New Roman" w:hAnsi="Times New Roman" w:cs="Times New Roman"/>
                <w:b/>
                <w:bCs/>
                <w:color w:val="auto"/>
                <w:sz w:val="24"/>
                <w:szCs w:val="24"/>
                <w:lang w:val="en-US"/>
              </w:rPr>
              <w:t>-</w:t>
            </w:r>
            <w:r>
              <w:rPr>
                <w:rFonts w:hint="eastAsia" w:ascii="Times New Roman" w:hAnsi="Times New Roman" w:cs="Times New Roman"/>
                <w:b/>
                <w:bCs/>
                <w:color w:val="auto"/>
                <w:sz w:val="24"/>
                <w:szCs w:val="24"/>
                <w:lang w:val="en-US" w:eastAsia="zh-CN"/>
              </w:rPr>
              <w:t>5</w:t>
            </w:r>
            <w:r>
              <w:rPr>
                <w:rFonts w:hint="eastAsia" w:ascii="Times New Roman" w:hAnsi="Times New Roman" w:cs="Times New Roman"/>
                <w:b/>
                <w:bCs/>
                <w:color w:val="auto"/>
                <w:sz w:val="24"/>
                <w:szCs w:val="24"/>
                <w:lang w:val="en-US"/>
              </w:rPr>
              <w:t xml:space="preserve"> </w:t>
            </w:r>
            <w:r>
              <w:rPr>
                <w:rFonts w:hint="eastAsia" w:ascii="Times New Roman" w:hAnsi="Times New Roman" w:cs="Times New Roman"/>
                <w:b/>
                <w:bCs/>
                <w:color w:val="auto"/>
                <w:sz w:val="24"/>
                <w:szCs w:val="24"/>
                <w:lang w:val="en-US" w:eastAsia="zh-CN"/>
              </w:rPr>
              <w:t xml:space="preserve">    </w:t>
            </w:r>
            <w:r>
              <w:rPr>
                <w:rFonts w:hint="eastAsia" w:ascii="Times New Roman" w:hAnsi="Times New Roman" w:cs="Times New Roman"/>
                <w:b/>
                <w:bCs/>
                <w:color w:val="auto"/>
                <w:sz w:val="24"/>
                <w:szCs w:val="24"/>
                <w:lang w:val="en-US"/>
              </w:rPr>
              <w:t>医疗废物分类名录</w:t>
            </w:r>
          </w:p>
          <w:tbl>
            <w:tblPr>
              <w:tblStyle w:val="20"/>
              <w:tblW w:w="8038"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515"/>
              <w:gridCol w:w="1162"/>
              <w:gridCol w:w="3593"/>
              <w:gridCol w:w="2768"/>
            </w:tblGrid>
            <w:tr w14:paraId="70AAA60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15" w:type="dxa"/>
                  <w:tcBorders>
                    <w:tl2br w:val="nil"/>
                    <w:tr2bl w:val="nil"/>
                  </w:tcBorders>
                  <w:noWrap/>
                  <w:tcMar>
                    <w:top w:w="15" w:type="dxa"/>
                    <w:left w:w="15" w:type="dxa"/>
                    <w:right w:w="15" w:type="dxa"/>
                  </w:tcMar>
                  <w:vAlign w:val="center"/>
                </w:tcPr>
                <w:p w14:paraId="03AF6CB6">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jc w:val="center"/>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类别</w:t>
                  </w:r>
                </w:p>
              </w:tc>
              <w:tc>
                <w:tcPr>
                  <w:tcW w:w="1162" w:type="dxa"/>
                  <w:tcBorders>
                    <w:tl2br w:val="nil"/>
                    <w:tr2bl w:val="nil"/>
                  </w:tcBorders>
                  <w:noWrap/>
                  <w:tcMar>
                    <w:top w:w="15" w:type="dxa"/>
                    <w:left w:w="15" w:type="dxa"/>
                    <w:right w:w="15" w:type="dxa"/>
                  </w:tcMar>
                  <w:vAlign w:val="center"/>
                </w:tcPr>
                <w:p w14:paraId="62B4E8F3">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jc w:val="center"/>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特征</w:t>
                  </w:r>
                </w:p>
              </w:tc>
              <w:tc>
                <w:tcPr>
                  <w:tcW w:w="3593" w:type="dxa"/>
                  <w:tcBorders>
                    <w:tl2br w:val="nil"/>
                    <w:tr2bl w:val="nil"/>
                  </w:tcBorders>
                  <w:noWrap/>
                  <w:tcMar>
                    <w:top w:w="15" w:type="dxa"/>
                    <w:left w:w="15" w:type="dxa"/>
                    <w:right w:w="15" w:type="dxa"/>
                  </w:tcMar>
                  <w:vAlign w:val="center"/>
                </w:tcPr>
                <w:p w14:paraId="71F1E7C5">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jc w:val="center"/>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常见组分或者废物名称</w:t>
                  </w:r>
                </w:p>
              </w:tc>
              <w:tc>
                <w:tcPr>
                  <w:tcW w:w="2768" w:type="dxa"/>
                  <w:tcBorders>
                    <w:tl2br w:val="nil"/>
                    <w:tr2bl w:val="nil"/>
                  </w:tcBorders>
                  <w:noWrap/>
                  <w:tcMar>
                    <w:top w:w="15" w:type="dxa"/>
                    <w:left w:w="15" w:type="dxa"/>
                    <w:right w:w="15" w:type="dxa"/>
                  </w:tcMar>
                  <w:vAlign w:val="center"/>
                </w:tcPr>
                <w:p w14:paraId="48B9E5F7">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jc w:val="center"/>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收集方式</w:t>
                  </w:r>
                </w:p>
              </w:tc>
            </w:tr>
            <w:tr w14:paraId="37A762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15" w:type="dxa"/>
                  <w:tcBorders>
                    <w:tl2br w:val="nil"/>
                    <w:tr2bl w:val="nil"/>
                  </w:tcBorders>
                  <w:noWrap/>
                  <w:tcMar>
                    <w:top w:w="15" w:type="dxa"/>
                    <w:left w:w="15" w:type="dxa"/>
                    <w:right w:w="15" w:type="dxa"/>
                  </w:tcMar>
                  <w:vAlign w:val="center"/>
                </w:tcPr>
                <w:p w14:paraId="23F40251">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jc w:val="center"/>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感染性废物</w:t>
                  </w:r>
                </w:p>
              </w:tc>
              <w:tc>
                <w:tcPr>
                  <w:tcW w:w="1162" w:type="dxa"/>
                  <w:tcBorders>
                    <w:tl2br w:val="nil"/>
                    <w:tr2bl w:val="nil"/>
                  </w:tcBorders>
                  <w:noWrap/>
                  <w:tcMar>
                    <w:top w:w="15" w:type="dxa"/>
                    <w:left w:w="15" w:type="dxa"/>
                    <w:right w:w="15" w:type="dxa"/>
                  </w:tcMar>
                  <w:vAlign w:val="center"/>
                </w:tcPr>
                <w:p w14:paraId="4D2D914A">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携带病原微生物具有引发感染性疾病传播危险的医疗废物</w:t>
                  </w:r>
                </w:p>
              </w:tc>
              <w:tc>
                <w:tcPr>
                  <w:tcW w:w="3593" w:type="dxa"/>
                  <w:tcBorders>
                    <w:tl2br w:val="nil"/>
                    <w:tr2bl w:val="nil"/>
                  </w:tcBorders>
                  <w:noWrap/>
                  <w:tcMar>
                    <w:top w:w="15" w:type="dxa"/>
                    <w:left w:w="15" w:type="dxa"/>
                    <w:right w:w="15" w:type="dxa"/>
                  </w:tcMar>
                  <w:vAlign w:val="center"/>
                </w:tcPr>
                <w:p w14:paraId="18D3A9E2">
                  <w:pPr>
                    <w:keepNext w:val="0"/>
                    <w:keepLines w:val="0"/>
                    <w:pageBreakBefore w:val="0"/>
                    <w:widowControl w:val="0"/>
                    <w:kinsoku/>
                    <w:wordWrap/>
                    <w:overflowPunct/>
                    <w:topLinePunct w:val="0"/>
                    <w:autoSpaceDE/>
                    <w:autoSpaceDN/>
                    <w:bidi w:val="0"/>
                    <w:adjustRightInd/>
                    <w:snapToGrid/>
                    <w:spacing w:line="360" w:lineRule="exact"/>
                    <w:ind w:left="0" w:right="0" w:firstLine="0"/>
                    <w:jc w:val="both"/>
                    <w:textAlignment w:val="auto"/>
                    <w:rPr>
                      <w:rFonts w:hint="default" w:ascii="Times New Roman" w:hAnsi="Times New Roman" w:eastAsia="宋体" w:cs="Times New Roman"/>
                      <w:color w:val="auto"/>
                      <w:spacing w:val="0"/>
                      <w:sz w:val="21"/>
                      <w:szCs w:val="21"/>
                    </w:rPr>
                  </w:pPr>
                </w:p>
                <w:p w14:paraId="6C7D8B13">
                  <w:pPr>
                    <w:pStyle w:val="5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firstLine="0" w:firstLineChars="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val="en-US" w:eastAsia="en-US" w:bidi="ar-SA"/>
                    </w:rPr>
                    <w:t>1.</w:t>
                  </w:r>
                  <w:r>
                    <w:rPr>
                      <w:rFonts w:hint="default" w:ascii="Times New Roman" w:hAnsi="Times New Roman" w:eastAsia="宋体" w:cs="Times New Roman"/>
                      <w:color w:val="auto"/>
                      <w:spacing w:val="0"/>
                      <w:sz w:val="21"/>
                      <w:szCs w:val="21"/>
                    </w:rPr>
                    <w:t>被患者血液、体液、排泄物等污染的除锐器以外的废物</w:t>
                  </w:r>
                  <w:r>
                    <w:rPr>
                      <w:rFonts w:hint="default" w:ascii="Times New Roman" w:hAnsi="Times New Roman" w:eastAsia="宋体" w:cs="Times New Roman"/>
                      <w:color w:val="auto"/>
                      <w:spacing w:val="0"/>
                      <w:sz w:val="21"/>
                      <w:szCs w:val="21"/>
                      <w:lang w:eastAsia="zh-CN"/>
                    </w:rPr>
                    <w:t>；</w:t>
                  </w:r>
                </w:p>
                <w:p w14:paraId="7913EEB8">
                  <w:pPr>
                    <w:pStyle w:val="5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firstLine="0" w:firstLineChars="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val="en-US" w:eastAsia="zh-CN" w:bidi="ar-SA"/>
                    </w:rPr>
                    <w:t>2.</w:t>
                  </w:r>
                  <w:r>
                    <w:rPr>
                      <w:rFonts w:hint="default" w:ascii="Times New Roman" w:hAnsi="Times New Roman" w:eastAsia="宋体" w:cs="Times New Roman"/>
                      <w:color w:val="auto"/>
                      <w:spacing w:val="0"/>
                      <w:sz w:val="21"/>
                      <w:szCs w:val="21"/>
                    </w:rPr>
                    <w:t xml:space="preserve"> 使用后废弃的一次性使用医疗器械，如注射器、输液器透析器等</w:t>
                  </w:r>
                  <w:r>
                    <w:rPr>
                      <w:rFonts w:hint="default" w:ascii="Times New Roman" w:hAnsi="Times New Roman" w:eastAsia="宋体" w:cs="Times New Roman"/>
                      <w:color w:val="auto"/>
                      <w:spacing w:val="0"/>
                      <w:sz w:val="21"/>
                      <w:szCs w:val="21"/>
                      <w:lang w:eastAsia="zh-CN"/>
                    </w:rPr>
                    <w:t>；</w:t>
                  </w:r>
                </w:p>
                <w:p w14:paraId="3507A049">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rPr>
                    <w:t>3.病原微生物实验室废弃的病原体培养基、标本，菌种和毒种保存液及其容器</w:t>
                  </w:r>
                  <w:r>
                    <w:rPr>
                      <w:rFonts w:hint="default" w:ascii="Times New Roman" w:hAnsi="Times New Roman" w:eastAsia="宋体" w:cs="Times New Roman"/>
                      <w:color w:val="auto"/>
                      <w:spacing w:val="0"/>
                      <w:sz w:val="21"/>
                      <w:szCs w:val="21"/>
                      <w:lang w:eastAsia="zh-CN"/>
                    </w:rPr>
                    <w:t>；</w:t>
                  </w:r>
                  <w:r>
                    <w:rPr>
                      <w:rFonts w:hint="default" w:ascii="Times New Roman" w:hAnsi="Times New Roman" w:eastAsia="宋体" w:cs="Times New Roman"/>
                      <w:color w:val="auto"/>
                      <w:spacing w:val="0"/>
                      <w:sz w:val="21"/>
                      <w:szCs w:val="21"/>
                    </w:rPr>
                    <w:t>其他实验室及科室废弃的血液、血清、分泌物等标本和容器</w:t>
                  </w:r>
                  <w:r>
                    <w:rPr>
                      <w:rFonts w:hint="default" w:ascii="Times New Roman" w:hAnsi="Times New Roman" w:eastAsia="宋体" w:cs="Times New Roman"/>
                      <w:color w:val="auto"/>
                      <w:spacing w:val="0"/>
                      <w:sz w:val="21"/>
                      <w:szCs w:val="21"/>
                      <w:lang w:eastAsia="zh-CN"/>
                    </w:rPr>
                    <w:t>；</w:t>
                  </w:r>
                </w:p>
                <w:p w14:paraId="3DE85A25">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rPr>
                    <w:t>4. 隔离传染病患者或者疑似传染病患者产生的废弃物</w:t>
                  </w:r>
                  <w:r>
                    <w:rPr>
                      <w:rFonts w:hint="default" w:ascii="Times New Roman" w:hAnsi="Times New Roman" w:eastAsia="宋体" w:cs="Times New Roman"/>
                      <w:color w:val="auto"/>
                      <w:spacing w:val="0"/>
                      <w:sz w:val="21"/>
                      <w:szCs w:val="21"/>
                      <w:lang w:eastAsia="zh-CN"/>
                    </w:rPr>
                    <w:t>。</w:t>
                  </w:r>
                </w:p>
              </w:tc>
              <w:tc>
                <w:tcPr>
                  <w:tcW w:w="2768" w:type="dxa"/>
                  <w:tcBorders>
                    <w:tl2br w:val="nil"/>
                    <w:tr2bl w:val="nil"/>
                  </w:tcBorders>
                  <w:noWrap/>
                  <w:tcMar>
                    <w:top w:w="15" w:type="dxa"/>
                    <w:left w:w="15" w:type="dxa"/>
                    <w:right w:w="15" w:type="dxa"/>
                  </w:tcMar>
                  <w:vAlign w:val="center"/>
                </w:tcPr>
                <w:p w14:paraId="09303C9B">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rPr>
                    <w:t>1.收集于符合《医疗废物专用包装袋、容器和警示标志标准》</w:t>
                  </w:r>
                  <w:r>
                    <w:rPr>
                      <w:rFonts w:hint="eastAsia" w:ascii="Times New Roman" w:hAnsi="Times New Roman" w:eastAsia="宋体" w:cs="Times New Roman"/>
                      <w:color w:val="auto"/>
                      <w:spacing w:val="0"/>
                      <w:sz w:val="21"/>
                      <w:szCs w:val="21"/>
                      <w:lang w:eastAsia="zh-CN"/>
                    </w:rPr>
                    <w:t>（</w:t>
                  </w:r>
                  <w:r>
                    <w:rPr>
                      <w:rFonts w:hint="default" w:ascii="Times New Roman" w:hAnsi="Times New Roman" w:eastAsia="宋体" w:cs="Times New Roman"/>
                      <w:color w:val="auto"/>
                      <w:spacing w:val="0"/>
                      <w:sz w:val="21"/>
                      <w:szCs w:val="21"/>
                    </w:rPr>
                    <w:t>HJ421</w:t>
                  </w:r>
                  <w:r>
                    <w:rPr>
                      <w:rFonts w:hint="eastAsia" w:ascii="Times New Roman" w:hAnsi="Times New Roman" w:eastAsia="宋体" w:cs="Times New Roman"/>
                      <w:color w:val="auto"/>
                      <w:spacing w:val="0"/>
                      <w:sz w:val="21"/>
                      <w:szCs w:val="21"/>
                      <w:lang w:eastAsia="zh-CN"/>
                    </w:rPr>
                    <w:t>）</w:t>
                  </w:r>
                  <w:r>
                    <w:rPr>
                      <w:rFonts w:hint="default" w:ascii="Times New Roman" w:hAnsi="Times New Roman" w:eastAsia="宋体" w:cs="Times New Roman"/>
                      <w:color w:val="auto"/>
                      <w:spacing w:val="0"/>
                      <w:sz w:val="21"/>
                      <w:szCs w:val="21"/>
                    </w:rPr>
                    <w:t>的医疗废物包装袋中</w:t>
                  </w:r>
                  <w:r>
                    <w:rPr>
                      <w:rFonts w:hint="default" w:ascii="Times New Roman" w:hAnsi="Times New Roman" w:eastAsia="宋体" w:cs="Times New Roman"/>
                      <w:color w:val="auto"/>
                      <w:spacing w:val="0"/>
                      <w:sz w:val="21"/>
                      <w:szCs w:val="21"/>
                      <w:lang w:eastAsia="zh-CN"/>
                    </w:rPr>
                    <w:t>；</w:t>
                  </w:r>
                </w:p>
                <w:p w14:paraId="39B52361">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val="en-US" w:eastAsia="zh-CN"/>
                    </w:rPr>
                    <w:t>2.</w:t>
                  </w:r>
                  <w:r>
                    <w:rPr>
                      <w:rFonts w:hint="default" w:ascii="Times New Roman" w:hAnsi="Times New Roman" w:eastAsia="宋体" w:cs="Times New Roman"/>
                      <w:color w:val="auto"/>
                      <w:spacing w:val="0"/>
                      <w:sz w:val="21"/>
                      <w:szCs w:val="21"/>
                    </w:rPr>
                    <w:t>病原微生物实验室废弃的病原体培养基、标本，菌种和毒种保存液及其容器，应在产生地点进行压力蒸汽灭菌或者使用其他方式消毒，然后按感染性废物收集处理</w:t>
                  </w:r>
                  <w:r>
                    <w:rPr>
                      <w:rFonts w:hint="default" w:ascii="Times New Roman" w:hAnsi="Times New Roman" w:eastAsia="宋体" w:cs="Times New Roman"/>
                      <w:color w:val="auto"/>
                      <w:spacing w:val="0"/>
                      <w:sz w:val="21"/>
                      <w:szCs w:val="21"/>
                      <w:lang w:eastAsia="zh-CN"/>
                    </w:rPr>
                    <w:t>；</w:t>
                  </w:r>
                </w:p>
                <w:p w14:paraId="4387FD37">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both"/>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3.隔离传染病患者或者疑似传染病患者产生的医疗废物应当使用双层医疗废物包装袋盛装。</w:t>
                  </w:r>
                </w:p>
              </w:tc>
            </w:tr>
            <w:tr w14:paraId="2FB3B58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15" w:type="dxa"/>
                  <w:tcBorders>
                    <w:tl2br w:val="nil"/>
                    <w:tr2bl w:val="nil"/>
                  </w:tcBorders>
                  <w:noWrap w:val="0"/>
                  <w:tcMar>
                    <w:top w:w="15" w:type="dxa"/>
                    <w:left w:w="15" w:type="dxa"/>
                    <w:right w:w="15" w:type="dxa"/>
                  </w:tcMar>
                  <w:vAlign w:val="center"/>
                </w:tcPr>
                <w:p w14:paraId="5D900AD9">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jc w:val="center"/>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损伤性废物</w:t>
                  </w:r>
                </w:p>
              </w:tc>
              <w:tc>
                <w:tcPr>
                  <w:tcW w:w="1162" w:type="dxa"/>
                  <w:tcBorders>
                    <w:tl2br w:val="nil"/>
                    <w:tr2bl w:val="nil"/>
                  </w:tcBorders>
                  <w:noWrap w:val="0"/>
                  <w:tcMar>
                    <w:top w:w="15" w:type="dxa"/>
                    <w:left w:w="15" w:type="dxa"/>
                    <w:right w:w="15" w:type="dxa"/>
                  </w:tcMar>
                  <w:vAlign w:val="center"/>
                </w:tcPr>
                <w:p w14:paraId="02A9A936">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sz w:val="21"/>
                      <w:szCs w:val="21"/>
                    </w:rPr>
                  </w:pPr>
                </w:p>
                <w:p w14:paraId="73A07435">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能够刺伤或者割伤人体的废弃的医用锐器</w:t>
                  </w:r>
                </w:p>
              </w:tc>
              <w:tc>
                <w:tcPr>
                  <w:tcW w:w="3593" w:type="dxa"/>
                  <w:tcBorders>
                    <w:tl2br w:val="nil"/>
                    <w:tr2bl w:val="nil"/>
                  </w:tcBorders>
                  <w:noWrap w:val="0"/>
                  <w:tcMar>
                    <w:top w:w="15" w:type="dxa"/>
                    <w:left w:w="15" w:type="dxa"/>
                    <w:right w:w="15" w:type="dxa"/>
                  </w:tcMar>
                  <w:vAlign w:val="center"/>
                </w:tcPr>
                <w:p w14:paraId="6B1CB616">
                  <w:pPr>
                    <w:pStyle w:val="5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right="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val="en-US" w:eastAsia="zh-CN"/>
                    </w:rPr>
                    <w:t>1.</w:t>
                  </w:r>
                  <w:r>
                    <w:rPr>
                      <w:rFonts w:hint="default" w:ascii="Times New Roman" w:hAnsi="Times New Roman" w:eastAsia="宋体" w:cs="Times New Roman"/>
                      <w:color w:val="auto"/>
                      <w:spacing w:val="0"/>
                      <w:sz w:val="21"/>
                      <w:szCs w:val="21"/>
                    </w:rPr>
                    <w:t>废弃的金属类锐器，如针头、缝合针、针灸针、探针、穿刺针、解剖刀、手术刀、手术锯、备皮刀、钢钉和导丝等</w:t>
                  </w:r>
                  <w:r>
                    <w:rPr>
                      <w:rFonts w:hint="default" w:ascii="Times New Roman" w:hAnsi="Times New Roman" w:eastAsia="宋体" w:cs="Times New Roman"/>
                      <w:color w:val="auto"/>
                      <w:spacing w:val="0"/>
                      <w:sz w:val="21"/>
                      <w:szCs w:val="21"/>
                      <w:lang w:eastAsia="zh-CN"/>
                    </w:rPr>
                    <w:t>；</w:t>
                  </w:r>
                </w:p>
                <w:p w14:paraId="627B0820">
                  <w:pPr>
                    <w:pStyle w:val="5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right="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rPr>
                    <w:t>2.废弃的玻璃类锐器，如盖玻片、载玻片、玻璃安</w:t>
                  </w:r>
                  <w:r>
                    <w:rPr>
                      <w:rFonts w:hint="eastAsia" w:ascii="Times New Roman" w:hAnsi="Times New Roman" w:eastAsia="宋体" w:cs="Times New Roman"/>
                      <w:color w:val="auto"/>
                      <w:spacing w:val="0"/>
                      <w:sz w:val="21"/>
                      <w:szCs w:val="21"/>
                      <w:lang w:val="en-US" w:eastAsia="zh-CN"/>
                    </w:rPr>
                    <w:t>瓶</w:t>
                  </w:r>
                  <w:r>
                    <w:rPr>
                      <w:rFonts w:hint="default" w:ascii="Times New Roman" w:hAnsi="Times New Roman" w:eastAsia="宋体" w:cs="Times New Roman"/>
                      <w:color w:val="auto"/>
                      <w:spacing w:val="0"/>
                      <w:sz w:val="21"/>
                      <w:szCs w:val="21"/>
                    </w:rPr>
                    <w:t>等</w:t>
                  </w:r>
                  <w:r>
                    <w:rPr>
                      <w:rFonts w:hint="default" w:ascii="Times New Roman" w:hAnsi="Times New Roman" w:eastAsia="宋体" w:cs="Times New Roman"/>
                      <w:color w:val="auto"/>
                      <w:spacing w:val="0"/>
                      <w:sz w:val="21"/>
                      <w:szCs w:val="21"/>
                      <w:lang w:eastAsia="zh-CN"/>
                    </w:rPr>
                    <w:t>；</w:t>
                  </w:r>
                </w:p>
                <w:p w14:paraId="7F5CA22B">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jc w:val="both"/>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3.废弃的其他材质类锐器。</w:t>
                  </w:r>
                </w:p>
              </w:tc>
              <w:tc>
                <w:tcPr>
                  <w:tcW w:w="2768" w:type="dxa"/>
                  <w:tcBorders>
                    <w:tl2br w:val="nil"/>
                    <w:tr2bl w:val="nil"/>
                  </w:tcBorders>
                  <w:noWrap/>
                  <w:tcMar>
                    <w:top w:w="15" w:type="dxa"/>
                    <w:left w:w="15" w:type="dxa"/>
                    <w:right w:w="15" w:type="dxa"/>
                  </w:tcMar>
                  <w:vAlign w:val="center"/>
                </w:tcPr>
                <w:p w14:paraId="48EFA3B0">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rPr>
                    <w:t>1.收集于符合《医疗废物专用包装袋、容器和警示标志标准》</w:t>
                  </w:r>
                  <w:r>
                    <w:rPr>
                      <w:rFonts w:hint="eastAsia" w:ascii="Times New Roman" w:hAnsi="Times New Roman" w:eastAsia="宋体" w:cs="Times New Roman"/>
                      <w:color w:val="auto"/>
                      <w:spacing w:val="0"/>
                      <w:sz w:val="21"/>
                      <w:szCs w:val="21"/>
                      <w:lang w:eastAsia="zh-CN"/>
                    </w:rPr>
                    <w:t>（</w:t>
                  </w:r>
                  <w:r>
                    <w:rPr>
                      <w:rFonts w:hint="default" w:ascii="Times New Roman" w:hAnsi="Times New Roman" w:eastAsia="宋体" w:cs="Times New Roman"/>
                      <w:color w:val="auto"/>
                      <w:spacing w:val="0"/>
                      <w:sz w:val="21"/>
                      <w:szCs w:val="21"/>
                    </w:rPr>
                    <w:t>HJ421</w:t>
                  </w:r>
                  <w:r>
                    <w:rPr>
                      <w:rFonts w:hint="eastAsia" w:ascii="Times New Roman" w:hAnsi="Times New Roman" w:eastAsia="宋体" w:cs="Times New Roman"/>
                      <w:color w:val="auto"/>
                      <w:spacing w:val="0"/>
                      <w:sz w:val="21"/>
                      <w:szCs w:val="21"/>
                      <w:lang w:eastAsia="zh-CN"/>
                    </w:rPr>
                    <w:t>）</w:t>
                  </w:r>
                  <w:r>
                    <w:rPr>
                      <w:rFonts w:hint="default" w:ascii="Times New Roman" w:hAnsi="Times New Roman" w:eastAsia="宋体" w:cs="Times New Roman"/>
                      <w:color w:val="auto"/>
                      <w:spacing w:val="0"/>
                      <w:sz w:val="21"/>
                      <w:szCs w:val="21"/>
                    </w:rPr>
                    <w:t>的利器盒中</w:t>
                  </w:r>
                  <w:r>
                    <w:rPr>
                      <w:rFonts w:hint="default" w:ascii="Times New Roman" w:hAnsi="Times New Roman" w:eastAsia="宋体" w:cs="Times New Roman"/>
                      <w:color w:val="auto"/>
                      <w:spacing w:val="0"/>
                      <w:sz w:val="21"/>
                      <w:szCs w:val="21"/>
                      <w:lang w:eastAsia="zh-CN"/>
                    </w:rPr>
                    <w:t>；</w:t>
                  </w:r>
                </w:p>
                <w:p w14:paraId="595BF526">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2.利器盒达到3/4满时，应当封闭严密</w:t>
                  </w:r>
                  <w:r>
                    <w:rPr>
                      <w:rFonts w:hint="default" w:ascii="Times New Roman" w:hAnsi="Times New Roman" w:eastAsia="宋体" w:cs="Times New Roman"/>
                      <w:color w:val="auto"/>
                      <w:spacing w:val="0"/>
                      <w:sz w:val="21"/>
                      <w:szCs w:val="21"/>
                      <w:lang w:eastAsia="zh-CN"/>
                    </w:rPr>
                    <w:t>，</w:t>
                  </w:r>
                  <w:r>
                    <w:rPr>
                      <w:rFonts w:hint="default" w:ascii="Times New Roman" w:hAnsi="Times New Roman" w:eastAsia="宋体" w:cs="Times New Roman"/>
                      <w:color w:val="auto"/>
                      <w:spacing w:val="0"/>
                      <w:sz w:val="21"/>
                      <w:szCs w:val="21"/>
                    </w:rPr>
                    <w:t>按流程运送、贮存。</w:t>
                  </w:r>
                </w:p>
              </w:tc>
            </w:tr>
            <w:tr w14:paraId="09579A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15" w:type="dxa"/>
                  <w:tcBorders>
                    <w:tl2br w:val="nil"/>
                    <w:tr2bl w:val="nil"/>
                  </w:tcBorders>
                  <w:noWrap w:val="0"/>
                  <w:tcMar>
                    <w:top w:w="15" w:type="dxa"/>
                    <w:left w:w="15" w:type="dxa"/>
                    <w:right w:w="15" w:type="dxa"/>
                  </w:tcMar>
                  <w:vAlign w:val="center"/>
                </w:tcPr>
                <w:p w14:paraId="78A1FC2E">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jc w:val="center"/>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病理性废物</w:t>
                  </w:r>
                </w:p>
              </w:tc>
              <w:tc>
                <w:tcPr>
                  <w:tcW w:w="1162" w:type="dxa"/>
                  <w:tcBorders>
                    <w:tl2br w:val="nil"/>
                    <w:tr2bl w:val="nil"/>
                  </w:tcBorders>
                  <w:noWrap w:val="0"/>
                  <w:tcMar>
                    <w:top w:w="15" w:type="dxa"/>
                    <w:left w:w="15" w:type="dxa"/>
                    <w:right w:w="15" w:type="dxa"/>
                  </w:tcMar>
                  <w:vAlign w:val="center"/>
                </w:tcPr>
                <w:p w14:paraId="62C25F95">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诊疗过程中产生的人体废弃物和医学实验动物尸体等</w:t>
                  </w:r>
                </w:p>
              </w:tc>
              <w:tc>
                <w:tcPr>
                  <w:tcW w:w="3593" w:type="dxa"/>
                  <w:tcBorders>
                    <w:tl2br w:val="nil"/>
                    <w:tr2bl w:val="nil"/>
                  </w:tcBorders>
                  <w:noWrap w:val="0"/>
                  <w:tcMar>
                    <w:top w:w="15" w:type="dxa"/>
                    <w:left w:w="15" w:type="dxa"/>
                    <w:right w:w="15" w:type="dxa"/>
                  </w:tcMar>
                  <w:vAlign w:val="center"/>
                </w:tcPr>
                <w:p w14:paraId="3C20384D">
                  <w:pPr>
                    <w:pStyle w:val="5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firstLine="0" w:firstLineChars="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val="en-US" w:eastAsia="zh-CN" w:bidi="ar-SA"/>
                    </w:rPr>
                    <w:t>1.</w:t>
                  </w:r>
                  <w:r>
                    <w:rPr>
                      <w:rFonts w:hint="default" w:ascii="Times New Roman" w:hAnsi="Times New Roman" w:eastAsia="宋体" w:cs="Times New Roman"/>
                      <w:color w:val="auto"/>
                      <w:spacing w:val="0"/>
                      <w:sz w:val="21"/>
                      <w:szCs w:val="21"/>
                    </w:rPr>
                    <w:t>手术及其他医学服务过程中产生的废弃的人体组织、器官</w:t>
                  </w:r>
                  <w:r>
                    <w:rPr>
                      <w:rFonts w:hint="default" w:ascii="Times New Roman" w:hAnsi="Times New Roman" w:eastAsia="宋体" w:cs="Times New Roman"/>
                      <w:color w:val="auto"/>
                      <w:spacing w:val="0"/>
                      <w:sz w:val="21"/>
                      <w:szCs w:val="21"/>
                      <w:lang w:eastAsia="zh-CN"/>
                    </w:rPr>
                    <w:t>；</w:t>
                  </w:r>
                </w:p>
                <w:p w14:paraId="0B750DFA">
                  <w:pPr>
                    <w:pStyle w:val="5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firstLine="0" w:firstLineChars="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val="en-US" w:eastAsia="en-US" w:bidi="ar-SA"/>
                    </w:rPr>
                    <w:t>2.</w:t>
                  </w:r>
                  <w:r>
                    <w:rPr>
                      <w:rFonts w:hint="default" w:ascii="Times New Roman" w:hAnsi="Times New Roman" w:eastAsia="宋体" w:cs="Times New Roman"/>
                      <w:color w:val="auto"/>
                      <w:spacing w:val="0"/>
                      <w:sz w:val="21"/>
                      <w:szCs w:val="21"/>
                    </w:rPr>
                    <w:t>病理切片后废弃的人体组织、病理蜡块</w:t>
                  </w:r>
                  <w:r>
                    <w:rPr>
                      <w:rFonts w:hint="default" w:ascii="Times New Roman" w:hAnsi="Times New Roman" w:eastAsia="宋体" w:cs="Times New Roman"/>
                      <w:color w:val="auto"/>
                      <w:spacing w:val="0"/>
                      <w:sz w:val="21"/>
                      <w:szCs w:val="21"/>
                      <w:lang w:eastAsia="zh-CN"/>
                    </w:rPr>
                    <w:t>；</w:t>
                  </w:r>
                </w:p>
                <w:p w14:paraId="230CC205">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rPr>
                    <w:t>3.废弃的医学实验动物的组织和尸体</w:t>
                  </w:r>
                  <w:r>
                    <w:rPr>
                      <w:rFonts w:hint="default" w:ascii="Times New Roman" w:hAnsi="Times New Roman" w:eastAsia="宋体" w:cs="Times New Roman"/>
                      <w:color w:val="auto"/>
                      <w:spacing w:val="0"/>
                      <w:sz w:val="21"/>
                      <w:szCs w:val="21"/>
                      <w:lang w:eastAsia="zh-CN"/>
                    </w:rPr>
                    <w:t>；</w:t>
                  </w:r>
                </w:p>
                <w:p w14:paraId="210A6F04">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rPr>
                    <w:t>4.16周胎龄以下或重量不足500克的胚胎组织等</w:t>
                  </w:r>
                  <w:r>
                    <w:rPr>
                      <w:rFonts w:hint="default" w:ascii="Times New Roman" w:hAnsi="Times New Roman" w:eastAsia="宋体" w:cs="Times New Roman"/>
                      <w:color w:val="auto"/>
                      <w:spacing w:val="0"/>
                      <w:sz w:val="21"/>
                      <w:szCs w:val="21"/>
                      <w:lang w:eastAsia="zh-CN"/>
                    </w:rPr>
                    <w:t>；</w:t>
                  </w:r>
                </w:p>
                <w:p w14:paraId="072F0D85">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5.确诊、疑似传染病或携带传染病病原体的产妇的胎盘。</w:t>
                  </w:r>
                </w:p>
              </w:tc>
              <w:tc>
                <w:tcPr>
                  <w:tcW w:w="2768" w:type="dxa"/>
                  <w:tcBorders>
                    <w:tl2br w:val="nil"/>
                    <w:tr2bl w:val="nil"/>
                  </w:tcBorders>
                  <w:noWrap/>
                  <w:tcMar>
                    <w:top w:w="15" w:type="dxa"/>
                    <w:left w:w="15" w:type="dxa"/>
                    <w:right w:w="15" w:type="dxa"/>
                  </w:tcMar>
                  <w:vAlign w:val="center"/>
                </w:tcPr>
                <w:p w14:paraId="483953E2">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rPr>
                    <w:t>1.收集于符合《医疗废物专用包装袋、容器和警示标志标准》</w:t>
                  </w:r>
                  <w:r>
                    <w:rPr>
                      <w:rFonts w:hint="default" w:ascii="Times New Roman" w:hAnsi="Times New Roman" w:eastAsia="宋体" w:cs="Times New Roman"/>
                      <w:color w:val="auto"/>
                      <w:spacing w:val="0"/>
                      <w:sz w:val="21"/>
                      <w:szCs w:val="21"/>
                      <w:lang w:eastAsia="zh-CN"/>
                    </w:rPr>
                    <w:t>（</w:t>
                  </w:r>
                  <w:r>
                    <w:rPr>
                      <w:rFonts w:hint="default" w:ascii="Times New Roman" w:hAnsi="Times New Roman" w:eastAsia="宋体" w:cs="Times New Roman"/>
                      <w:color w:val="auto"/>
                      <w:spacing w:val="0"/>
                      <w:sz w:val="21"/>
                      <w:szCs w:val="21"/>
                    </w:rPr>
                    <w:t>HJ421</w:t>
                  </w:r>
                  <w:r>
                    <w:rPr>
                      <w:rFonts w:hint="default" w:ascii="Times New Roman" w:hAnsi="Times New Roman" w:eastAsia="宋体" w:cs="Times New Roman"/>
                      <w:color w:val="auto"/>
                      <w:spacing w:val="0"/>
                      <w:sz w:val="21"/>
                      <w:szCs w:val="21"/>
                      <w:lang w:eastAsia="zh-CN"/>
                    </w:rPr>
                    <w:t>）</w:t>
                  </w:r>
                  <w:r>
                    <w:rPr>
                      <w:rFonts w:hint="default" w:ascii="Times New Roman" w:hAnsi="Times New Roman" w:eastAsia="宋体" w:cs="Times New Roman"/>
                      <w:color w:val="auto"/>
                      <w:spacing w:val="0"/>
                      <w:sz w:val="21"/>
                      <w:szCs w:val="21"/>
                    </w:rPr>
                    <w:t>的医疗废物包装袋中</w:t>
                  </w:r>
                  <w:r>
                    <w:rPr>
                      <w:rFonts w:hint="default" w:ascii="Times New Roman" w:hAnsi="Times New Roman" w:eastAsia="宋体" w:cs="Times New Roman"/>
                      <w:color w:val="auto"/>
                      <w:spacing w:val="0"/>
                      <w:sz w:val="21"/>
                      <w:szCs w:val="21"/>
                      <w:lang w:eastAsia="zh-CN"/>
                    </w:rPr>
                    <w:t>；</w:t>
                  </w:r>
                </w:p>
                <w:p w14:paraId="350974B3">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val="en-US" w:eastAsia="zh-CN"/>
                    </w:rPr>
                    <w:t>2.</w:t>
                  </w:r>
                  <w:r>
                    <w:rPr>
                      <w:rFonts w:hint="default" w:ascii="Times New Roman" w:hAnsi="Times New Roman" w:eastAsia="宋体" w:cs="Times New Roman"/>
                      <w:color w:val="auto"/>
                      <w:spacing w:val="0"/>
                      <w:sz w:val="21"/>
                      <w:szCs w:val="21"/>
                    </w:rPr>
                    <w:t>确诊、疑似传染病产妇或携带传染病病原体的产妇的胎盘应使用双层医疗废物包装袋盛装</w:t>
                  </w:r>
                  <w:r>
                    <w:rPr>
                      <w:rFonts w:hint="default" w:ascii="Times New Roman" w:hAnsi="Times New Roman" w:eastAsia="宋体" w:cs="Times New Roman"/>
                      <w:color w:val="auto"/>
                      <w:spacing w:val="0"/>
                      <w:sz w:val="21"/>
                      <w:szCs w:val="21"/>
                      <w:lang w:eastAsia="zh-CN"/>
                    </w:rPr>
                    <w:t>；</w:t>
                  </w:r>
                </w:p>
                <w:p w14:paraId="7383ABC7">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jc w:val="both"/>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3.可进行防腐或者低温保存。</w:t>
                  </w:r>
                </w:p>
              </w:tc>
            </w:tr>
            <w:tr w14:paraId="184217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15" w:type="dxa"/>
                  <w:tcBorders>
                    <w:tl2br w:val="nil"/>
                    <w:tr2bl w:val="nil"/>
                  </w:tcBorders>
                  <w:noWrap w:val="0"/>
                  <w:tcMar>
                    <w:top w:w="15" w:type="dxa"/>
                    <w:left w:w="15" w:type="dxa"/>
                    <w:right w:w="15" w:type="dxa"/>
                  </w:tcMar>
                  <w:vAlign w:val="center"/>
                </w:tcPr>
                <w:p w14:paraId="0278FE32">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jc w:val="center"/>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药物性废物</w:t>
                  </w:r>
                </w:p>
              </w:tc>
              <w:tc>
                <w:tcPr>
                  <w:tcW w:w="1162" w:type="dxa"/>
                  <w:tcBorders>
                    <w:tl2br w:val="nil"/>
                    <w:tr2bl w:val="nil"/>
                  </w:tcBorders>
                  <w:noWrap w:val="0"/>
                  <w:tcMar>
                    <w:top w:w="15" w:type="dxa"/>
                    <w:left w:w="15" w:type="dxa"/>
                    <w:right w:w="15" w:type="dxa"/>
                  </w:tcMar>
                  <w:vAlign w:val="center"/>
                </w:tcPr>
                <w:p w14:paraId="57D60124">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过期、淘汰、变质或者被污染的废弃的药物</w:t>
                  </w:r>
                </w:p>
              </w:tc>
              <w:tc>
                <w:tcPr>
                  <w:tcW w:w="3593" w:type="dxa"/>
                  <w:tcBorders>
                    <w:tl2br w:val="nil"/>
                    <w:tr2bl w:val="nil"/>
                  </w:tcBorders>
                  <w:noWrap w:val="0"/>
                  <w:tcMar>
                    <w:top w:w="15" w:type="dxa"/>
                    <w:left w:w="15" w:type="dxa"/>
                    <w:right w:w="15" w:type="dxa"/>
                  </w:tcMar>
                  <w:vAlign w:val="center"/>
                </w:tcPr>
                <w:p w14:paraId="765807AC">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rPr>
                    <w:t>1.废弃的一般性药物</w:t>
                  </w:r>
                  <w:r>
                    <w:rPr>
                      <w:rFonts w:hint="default" w:ascii="Times New Roman" w:hAnsi="Times New Roman" w:eastAsia="宋体" w:cs="Times New Roman"/>
                      <w:color w:val="auto"/>
                      <w:spacing w:val="0"/>
                      <w:sz w:val="21"/>
                      <w:szCs w:val="21"/>
                      <w:lang w:eastAsia="zh-CN"/>
                    </w:rPr>
                    <w:t>；</w:t>
                  </w:r>
                </w:p>
                <w:p w14:paraId="70B70709">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rPr>
                    <w:t>2.废弃的细胞毒性药物和遗传毒性药物</w:t>
                  </w:r>
                  <w:r>
                    <w:rPr>
                      <w:rFonts w:hint="default" w:ascii="Times New Roman" w:hAnsi="Times New Roman" w:eastAsia="宋体" w:cs="Times New Roman"/>
                      <w:color w:val="auto"/>
                      <w:spacing w:val="0"/>
                      <w:sz w:val="21"/>
                      <w:szCs w:val="21"/>
                      <w:lang w:eastAsia="zh-CN"/>
                    </w:rPr>
                    <w:t>；</w:t>
                  </w:r>
                </w:p>
                <w:p w14:paraId="3E462A35">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jc w:val="both"/>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3.废弃的疫苗及血液制品。</w:t>
                  </w:r>
                </w:p>
              </w:tc>
              <w:tc>
                <w:tcPr>
                  <w:tcW w:w="2768" w:type="dxa"/>
                  <w:tcBorders>
                    <w:tl2br w:val="nil"/>
                    <w:tr2bl w:val="nil"/>
                  </w:tcBorders>
                  <w:noWrap/>
                  <w:tcMar>
                    <w:top w:w="15" w:type="dxa"/>
                    <w:left w:w="15" w:type="dxa"/>
                    <w:right w:w="15" w:type="dxa"/>
                  </w:tcMar>
                  <w:vAlign w:val="center"/>
                </w:tcPr>
                <w:p w14:paraId="09A509E9">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rPr>
                    <w:t>1.少量的药物性废物可以并入感染性废物中，但应在标签中注明</w:t>
                  </w:r>
                  <w:r>
                    <w:rPr>
                      <w:rFonts w:hint="default" w:ascii="Times New Roman" w:hAnsi="Times New Roman" w:eastAsia="宋体" w:cs="Times New Roman"/>
                      <w:color w:val="auto"/>
                      <w:spacing w:val="0"/>
                      <w:sz w:val="21"/>
                      <w:szCs w:val="21"/>
                      <w:lang w:eastAsia="zh-CN"/>
                    </w:rPr>
                    <w:t>；</w:t>
                  </w:r>
                </w:p>
                <w:p w14:paraId="3F349CAC">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both"/>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2</w:t>
                  </w:r>
                  <w:r>
                    <w:rPr>
                      <w:rFonts w:hint="eastAsia" w:ascii="Times New Roman" w:hAnsi="Times New Roman" w:eastAsia="宋体" w:cs="Times New Roman"/>
                      <w:color w:val="auto"/>
                      <w:spacing w:val="0"/>
                      <w:sz w:val="21"/>
                      <w:szCs w:val="21"/>
                      <w:lang w:val="en-US" w:eastAsia="zh-CN"/>
                    </w:rPr>
                    <w:t>.</w:t>
                  </w:r>
                  <w:r>
                    <w:rPr>
                      <w:rFonts w:hint="default" w:ascii="Times New Roman" w:hAnsi="Times New Roman" w:eastAsia="宋体" w:cs="Times New Roman"/>
                      <w:color w:val="auto"/>
                      <w:spacing w:val="0"/>
                      <w:sz w:val="21"/>
                      <w:szCs w:val="21"/>
                    </w:rPr>
                    <w:t>批量废弃的药物性废物，收集后应交由具备相</w:t>
                  </w:r>
                  <w:r>
                    <w:rPr>
                      <w:rFonts w:hint="default" w:ascii="Times New Roman" w:hAnsi="Times New Roman" w:eastAsia="宋体" w:cs="Times New Roman"/>
                      <w:color w:val="auto"/>
                      <w:spacing w:val="0"/>
                      <w:sz w:val="21"/>
                      <w:szCs w:val="21"/>
                      <w:lang w:eastAsia="zh-CN"/>
                    </w:rPr>
                    <w:t>应资质的医疗</w:t>
                  </w:r>
                  <w:r>
                    <w:rPr>
                      <w:rFonts w:hint="default" w:ascii="Times New Roman" w:hAnsi="Times New Roman" w:eastAsia="宋体" w:cs="Times New Roman"/>
                      <w:color w:val="auto"/>
                      <w:spacing w:val="0"/>
                      <w:sz w:val="21"/>
                      <w:szCs w:val="21"/>
                    </w:rPr>
                    <w:t>废物处置单位或者危险废物处置单位等进行处置。</w:t>
                  </w:r>
                </w:p>
              </w:tc>
            </w:tr>
            <w:tr w14:paraId="631695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15" w:type="dxa"/>
                  <w:tcBorders>
                    <w:tl2br w:val="nil"/>
                    <w:tr2bl w:val="nil"/>
                  </w:tcBorders>
                  <w:noWrap w:val="0"/>
                  <w:tcMar>
                    <w:top w:w="15" w:type="dxa"/>
                    <w:left w:w="15" w:type="dxa"/>
                    <w:right w:w="15" w:type="dxa"/>
                  </w:tcMar>
                  <w:vAlign w:val="center"/>
                </w:tcPr>
                <w:p w14:paraId="40C0F01E">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jc w:val="center"/>
                    <w:textAlignment w:val="auto"/>
                    <w:rPr>
                      <w:rFonts w:hint="default" w:ascii="Times New Roman" w:hAnsi="Times New Roman" w:eastAsia="宋体" w:cs="Times New Roman"/>
                      <w:color w:val="auto"/>
                      <w:spacing w:val="0"/>
                      <w:sz w:val="21"/>
                      <w:szCs w:val="21"/>
                      <w:lang w:val="zh-CN" w:eastAsia="zh-CN" w:bidi="ar-SA"/>
                    </w:rPr>
                  </w:pPr>
                  <w:r>
                    <w:rPr>
                      <w:rFonts w:hint="default" w:ascii="Times New Roman" w:hAnsi="Times New Roman" w:eastAsia="宋体" w:cs="Times New Roman"/>
                      <w:color w:val="auto"/>
                      <w:spacing w:val="0"/>
                      <w:sz w:val="21"/>
                      <w:szCs w:val="21"/>
                    </w:rPr>
                    <w:t>化学性废物</w:t>
                  </w:r>
                </w:p>
              </w:tc>
              <w:tc>
                <w:tcPr>
                  <w:tcW w:w="1162" w:type="dxa"/>
                  <w:tcBorders>
                    <w:tl2br w:val="nil"/>
                    <w:tr2bl w:val="nil"/>
                  </w:tcBorders>
                  <w:noWrap w:val="0"/>
                  <w:tcMar>
                    <w:top w:w="15" w:type="dxa"/>
                    <w:left w:w="15" w:type="dxa"/>
                    <w:right w:w="15" w:type="dxa"/>
                  </w:tcMar>
                  <w:vAlign w:val="center"/>
                </w:tcPr>
                <w:p w14:paraId="0A8D38EE">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具有毒性、腐 蚀性、易燃性、反应性的废弃的</w:t>
                  </w:r>
                </w:p>
                <w:p w14:paraId="534FD8FE">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化学物品</w:t>
                  </w:r>
                </w:p>
              </w:tc>
              <w:tc>
                <w:tcPr>
                  <w:tcW w:w="3593" w:type="dxa"/>
                  <w:tcBorders>
                    <w:tl2br w:val="nil"/>
                    <w:tr2bl w:val="nil"/>
                  </w:tcBorders>
                  <w:noWrap w:val="0"/>
                  <w:tcMar>
                    <w:top w:w="15" w:type="dxa"/>
                    <w:left w:w="15" w:type="dxa"/>
                    <w:right w:w="15" w:type="dxa"/>
                  </w:tcMar>
                  <w:vAlign w:val="center"/>
                </w:tcPr>
                <w:p w14:paraId="18FDC6A0">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both"/>
                    <w:textAlignment w:val="auto"/>
                    <w:rPr>
                      <w:rFonts w:hint="default" w:ascii="Times New Roman" w:hAnsi="Times New Roman" w:eastAsia="宋体" w:cs="Times New Roman"/>
                      <w:color w:val="auto"/>
                      <w:spacing w:val="0"/>
                      <w:sz w:val="21"/>
                      <w:szCs w:val="21"/>
                      <w:lang w:val="en-US" w:eastAsia="en-US" w:bidi="ar-SA"/>
                    </w:rPr>
                  </w:pPr>
                  <w:r>
                    <w:rPr>
                      <w:rFonts w:hint="default" w:ascii="Times New Roman" w:hAnsi="Times New Roman" w:eastAsia="宋体" w:cs="Times New Roman"/>
                      <w:color w:val="auto"/>
                      <w:spacing w:val="0"/>
                      <w:sz w:val="21"/>
                      <w:szCs w:val="21"/>
                    </w:rPr>
                    <w:t>列入《国家危险废物名录》中的废弃危险化学品，如甲醛、二甲苯等</w:t>
                  </w:r>
                  <w:r>
                    <w:rPr>
                      <w:rFonts w:hint="default" w:ascii="Times New Roman" w:hAnsi="Times New Roman" w:eastAsia="宋体" w:cs="Times New Roman"/>
                      <w:color w:val="auto"/>
                      <w:spacing w:val="0"/>
                      <w:sz w:val="21"/>
                      <w:szCs w:val="21"/>
                      <w:lang w:eastAsia="zh-CN"/>
                    </w:rPr>
                    <w:t>；</w:t>
                  </w:r>
                  <w:r>
                    <w:rPr>
                      <w:rFonts w:hint="default" w:ascii="Times New Roman" w:hAnsi="Times New Roman" w:eastAsia="宋体" w:cs="Times New Roman"/>
                      <w:color w:val="auto"/>
                      <w:spacing w:val="0"/>
                      <w:sz w:val="21"/>
                      <w:szCs w:val="21"/>
                    </w:rPr>
                    <w:t>非特定行业来源的危险废物</w:t>
                  </w:r>
                  <w:r>
                    <w:rPr>
                      <w:rFonts w:hint="default" w:ascii="Times New Roman" w:hAnsi="Times New Roman" w:eastAsia="宋体" w:cs="Times New Roman"/>
                      <w:color w:val="auto"/>
                      <w:spacing w:val="0"/>
                      <w:sz w:val="21"/>
                      <w:szCs w:val="21"/>
                      <w:lang w:eastAsia="zh-CN"/>
                    </w:rPr>
                    <w:t>，</w:t>
                  </w:r>
                  <w:r>
                    <w:rPr>
                      <w:rFonts w:hint="default" w:ascii="Times New Roman" w:hAnsi="Times New Roman" w:eastAsia="宋体" w:cs="Times New Roman"/>
                      <w:color w:val="auto"/>
                      <w:spacing w:val="0"/>
                      <w:sz w:val="21"/>
                      <w:szCs w:val="21"/>
                    </w:rPr>
                    <w:t>如含汞血压计、含汞体温计，废弃的牙科汞合金材料及其残余物等。</w:t>
                  </w:r>
                </w:p>
              </w:tc>
              <w:tc>
                <w:tcPr>
                  <w:tcW w:w="2768" w:type="dxa"/>
                  <w:tcBorders>
                    <w:tl2br w:val="nil"/>
                    <w:tr2bl w:val="nil"/>
                  </w:tcBorders>
                  <w:noWrap/>
                  <w:tcMar>
                    <w:top w:w="15" w:type="dxa"/>
                    <w:left w:w="15" w:type="dxa"/>
                    <w:right w:w="15" w:type="dxa"/>
                  </w:tcMar>
                  <w:vAlign w:val="center"/>
                </w:tcPr>
                <w:p w14:paraId="6E107B9B">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rPr>
                    <w:t>1.收集于容器中</w:t>
                  </w:r>
                  <w:r>
                    <w:rPr>
                      <w:rFonts w:hint="default" w:ascii="Times New Roman" w:hAnsi="Times New Roman" w:eastAsia="宋体" w:cs="Times New Roman"/>
                      <w:color w:val="auto"/>
                      <w:spacing w:val="0"/>
                      <w:sz w:val="21"/>
                      <w:szCs w:val="21"/>
                      <w:lang w:eastAsia="zh-CN"/>
                    </w:rPr>
                    <w:t>，</w:t>
                  </w:r>
                  <w:r>
                    <w:rPr>
                      <w:rFonts w:hint="eastAsia" w:ascii="Times New Roman" w:hAnsi="Times New Roman" w:cs="Times New Roman"/>
                      <w:color w:val="auto"/>
                      <w:spacing w:val="0"/>
                      <w:sz w:val="21"/>
                      <w:szCs w:val="21"/>
                      <w:lang w:val="en-US" w:eastAsia="zh-CN"/>
                    </w:rPr>
                    <w:t>粘</w:t>
                  </w:r>
                  <w:r>
                    <w:rPr>
                      <w:rFonts w:hint="default" w:ascii="Times New Roman" w:hAnsi="Times New Roman" w:eastAsia="宋体" w:cs="Times New Roman"/>
                      <w:color w:val="auto"/>
                      <w:spacing w:val="0"/>
                      <w:sz w:val="21"/>
                      <w:szCs w:val="21"/>
                    </w:rPr>
                    <w:t>贴标签并注明主要成分</w:t>
                  </w:r>
                  <w:r>
                    <w:rPr>
                      <w:rFonts w:hint="default" w:ascii="Times New Roman" w:hAnsi="Times New Roman" w:eastAsia="宋体" w:cs="Times New Roman"/>
                      <w:color w:val="auto"/>
                      <w:spacing w:val="0"/>
                      <w:sz w:val="21"/>
                      <w:szCs w:val="21"/>
                      <w:lang w:eastAsia="zh-CN"/>
                    </w:rPr>
                    <w:t>；</w:t>
                  </w:r>
                </w:p>
                <w:p w14:paraId="128A0750">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both"/>
                    <w:textAlignment w:val="auto"/>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val="en-US" w:eastAsia="zh-CN"/>
                    </w:rPr>
                    <w:t>2.</w:t>
                  </w:r>
                  <w:r>
                    <w:rPr>
                      <w:rFonts w:hint="default" w:ascii="Times New Roman" w:hAnsi="Times New Roman" w:eastAsia="宋体" w:cs="Times New Roman"/>
                      <w:color w:val="auto"/>
                      <w:spacing w:val="0"/>
                      <w:sz w:val="21"/>
                      <w:szCs w:val="21"/>
                    </w:rPr>
                    <w:t>收集后应交由具备相应资质的医疗废物处置单位或者危险废物处置单位等进行处</w:t>
                  </w:r>
                  <w:r>
                    <w:rPr>
                      <w:rFonts w:hint="default" w:ascii="Times New Roman" w:hAnsi="Times New Roman" w:eastAsia="宋体" w:cs="Times New Roman"/>
                      <w:color w:val="auto"/>
                      <w:spacing w:val="0"/>
                      <w:sz w:val="21"/>
                      <w:szCs w:val="21"/>
                      <w:lang w:eastAsia="zh-CN"/>
                    </w:rPr>
                    <w:t>置。</w:t>
                  </w:r>
                </w:p>
              </w:tc>
            </w:tr>
          </w:tbl>
          <w:p w14:paraId="3D497742">
            <w:pPr>
              <w:pStyle w:val="45"/>
              <w:numPr>
                <w:ilvl w:val="0"/>
                <w:numId w:val="0"/>
              </w:numPr>
              <w:autoSpaceDE/>
              <w:autoSpaceDN/>
              <w:spacing w:line="520" w:lineRule="exact"/>
              <w:ind w:firstLine="480" w:firstLineChars="200"/>
              <w:jc w:val="both"/>
              <w:rPr>
                <w:rFonts w:hint="default" w:ascii="Times New Roman" w:hAnsi="Times New Roman" w:eastAsia="宋体" w:cs="Times New Roman"/>
                <w:color w:val="auto"/>
                <w:sz w:val="24"/>
                <w:szCs w:val="24"/>
                <w:lang w:val="en-US" w:eastAsia="zh-CN" w:bidi="zh-CN"/>
              </w:rPr>
            </w:pPr>
            <w:r>
              <w:rPr>
                <w:rFonts w:hint="eastAsia" w:ascii="Times New Roman" w:hAnsi="Times New Roman" w:eastAsia="宋体" w:cs="Times New Roman"/>
                <w:color w:val="auto"/>
                <w:sz w:val="24"/>
                <w:szCs w:val="24"/>
                <w:lang w:val="en-US" w:eastAsia="zh-CN" w:bidi="zh-CN"/>
              </w:rPr>
              <w:t>根据建设单位提供资料，鄂尔多斯广厦医院医疗废物</w:t>
            </w:r>
            <w:r>
              <w:rPr>
                <w:rFonts w:hint="eastAsia" w:ascii="Times New Roman" w:hAnsi="Times New Roman" w:cs="Times New Roman"/>
                <w:color w:val="auto"/>
                <w:sz w:val="24"/>
                <w:szCs w:val="24"/>
                <w:lang w:val="en-US" w:eastAsia="zh-CN" w:bidi="zh-CN"/>
              </w:rPr>
              <w:t>产生</w:t>
            </w:r>
            <w:r>
              <w:rPr>
                <w:rFonts w:hint="eastAsia" w:ascii="Times New Roman" w:hAnsi="Times New Roman" w:eastAsia="宋体" w:cs="Times New Roman"/>
                <w:color w:val="auto"/>
                <w:sz w:val="24"/>
                <w:szCs w:val="24"/>
                <w:lang w:val="en-US" w:eastAsia="zh-CN" w:bidi="zh-CN"/>
              </w:rPr>
              <w:t>量为0.07t/d（24t/a）。根据《国家危险废物名录（202</w:t>
            </w:r>
            <w:r>
              <w:rPr>
                <w:rFonts w:hint="eastAsia" w:ascii="Times New Roman" w:hAnsi="Times New Roman" w:cs="Times New Roman"/>
                <w:color w:val="auto"/>
                <w:sz w:val="24"/>
                <w:szCs w:val="24"/>
                <w:lang w:val="en-US" w:eastAsia="zh-CN" w:bidi="zh-CN"/>
              </w:rPr>
              <w:t>5</w:t>
            </w:r>
            <w:r>
              <w:rPr>
                <w:rFonts w:hint="eastAsia" w:ascii="Times New Roman" w:hAnsi="Times New Roman" w:eastAsia="宋体" w:cs="Times New Roman"/>
                <w:color w:val="auto"/>
                <w:sz w:val="24"/>
                <w:szCs w:val="24"/>
                <w:lang w:val="en-US" w:eastAsia="zh-CN" w:bidi="zh-CN"/>
              </w:rPr>
              <w:t>年版）》规定， 医疗废物属危险废物，危废编号：HW01。本项目医疗废物按规定分类收集至相应容器后暂存于危废暂存库，由鄂尔多斯市仲安医疗废物集中处置有限公司处置。</w:t>
            </w:r>
          </w:p>
          <w:p w14:paraId="68C861F6">
            <w:pPr>
              <w:pStyle w:val="45"/>
              <w:keepNext w:val="0"/>
              <w:keepLines w:val="0"/>
              <w:pageBreakBefore w:val="0"/>
              <w:widowControl w:val="0"/>
              <w:tabs>
                <w:tab w:val="left" w:pos="895"/>
              </w:tabs>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（2）栅渣、化粪池和污水处理站污泥</w:t>
            </w:r>
            <w:r>
              <w:rPr>
                <w:rFonts w:hint="eastAsia" w:ascii="Times New Roman" w:hAnsi="Times New Roman" w:cs="Times New Roman"/>
                <w:b w:val="0"/>
                <w:bCs/>
                <w:color w:val="auto"/>
                <w:sz w:val="24"/>
                <w:lang w:val="en-US" w:eastAsia="zh-CN"/>
              </w:rPr>
              <w:t>：根据《医疗机构水污染物排放标准》（GB18466-2005）的规定，栅渣、化粪池和污水处理站污泥属于危险废物，其废物类别为医疗废物中感染性废物 ，代码为841-001-01。栅渣产生量按20mg/L污水处理量计，污水处理量为19856m</w:t>
            </w:r>
            <w:r>
              <w:rPr>
                <w:rFonts w:hint="eastAsia" w:ascii="Times New Roman" w:hAnsi="Times New Roman" w:cs="Times New Roman"/>
                <w:b w:val="0"/>
                <w:bCs/>
                <w:color w:val="auto"/>
                <w:sz w:val="24"/>
                <w:vertAlign w:val="superscript"/>
                <w:lang w:val="en-US" w:eastAsia="zh-CN"/>
              </w:rPr>
              <w:t>3</w:t>
            </w:r>
            <w:r>
              <w:rPr>
                <w:rFonts w:hint="eastAsia" w:ascii="Times New Roman" w:hAnsi="Times New Roman" w:cs="Times New Roman"/>
                <w:b w:val="0"/>
                <w:bCs/>
                <w:color w:val="auto"/>
                <w:sz w:val="24"/>
                <w:lang w:val="en-US" w:eastAsia="zh-CN"/>
              </w:rPr>
              <w:t>/a，则栅渣产生量为0.40t/a。</w:t>
            </w:r>
            <w:r>
              <w:rPr>
                <w:rFonts w:hint="default" w:ascii="Times New Roman" w:hAnsi="Times New Roman" w:eastAsia="宋体" w:cs="Times New Roman"/>
                <w:b w:val="0"/>
                <w:bCs/>
                <w:color w:val="auto"/>
                <w:sz w:val="24"/>
                <w:lang w:val="en-US" w:eastAsia="zh-CN"/>
              </w:rPr>
              <w:t>化粪池和污水处理站污泥</w:t>
            </w:r>
            <w:r>
              <w:rPr>
                <w:rFonts w:hint="eastAsia" w:ascii="Times New Roman" w:hAnsi="Times New Roman" w:cs="Times New Roman"/>
                <w:b w:val="0"/>
                <w:bCs/>
                <w:color w:val="auto"/>
                <w:sz w:val="24"/>
                <w:lang w:val="en-US" w:eastAsia="zh-CN"/>
              </w:rPr>
              <w:t>产生率按0.5kg/COD处理量计，根据建设单位提供资料，进水COD含量约600mg/L，出水COD含量约250mg/L，COD处理量约为350mg/L，本项目产生的污水量为19856m</w:t>
            </w:r>
            <w:r>
              <w:rPr>
                <w:rFonts w:hint="eastAsia" w:ascii="Times New Roman" w:hAnsi="Times New Roman" w:cs="Times New Roman"/>
                <w:b w:val="0"/>
                <w:bCs/>
                <w:color w:val="auto"/>
                <w:sz w:val="24"/>
                <w:vertAlign w:val="superscript"/>
                <w:lang w:val="en-US" w:eastAsia="zh-CN"/>
              </w:rPr>
              <w:t>3</w:t>
            </w:r>
            <w:r>
              <w:rPr>
                <w:rFonts w:hint="eastAsia" w:ascii="Times New Roman" w:hAnsi="Times New Roman" w:cs="Times New Roman"/>
                <w:b w:val="0"/>
                <w:bCs/>
                <w:color w:val="auto"/>
                <w:sz w:val="24"/>
                <w:lang w:val="en-US" w:eastAsia="zh-CN"/>
              </w:rPr>
              <w:t>/a，则污泥产生量为3.47t/a。</w:t>
            </w:r>
          </w:p>
          <w:p w14:paraId="2B601A4E">
            <w:pPr>
              <w:pStyle w:val="45"/>
              <w:tabs>
                <w:tab w:val="left" w:pos="895"/>
              </w:tabs>
              <w:spacing w:line="520" w:lineRule="exact"/>
              <w:ind w:firstLine="482" w:firstLineChars="200"/>
              <w:rPr>
                <w:rFonts w:hint="default" w:ascii="Times New Roman" w:hAnsi="Times New Roman" w:cs="Times New Roman"/>
                <w:b/>
                <w:color w:val="auto"/>
                <w:sz w:val="24"/>
                <w:lang w:val="en-US"/>
              </w:rPr>
            </w:pPr>
            <w:r>
              <w:rPr>
                <w:rFonts w:hint="eastAsia" w:ascii="Times New Roman" w:hAnsi="Times New Roman" w:cs="Times New Roman"/>
                <w:b/>
                <w:color w:val="auto"/>
                <w:sz w:val="24"/>
                <w:lang w:val="en-US" w:eastAsia="zh-CN"/>
              </w:rPr>
              <w:t>8、扩建工程</w:t>
            </w:r>
            <w:r>
              <w:rPr>
                <w:rFonts w:hint="default" w:ascii="Times New Roman" w:hAnsi="Times New Roman" w:cs="Times New Roman"/>
                <w:b/>
                <w:color w:val="auto"/>
                <w:sz w:val="24"/>
              </w:rPr>
              <w:t>劳动定员及工作制度</w:t>
            </w:r>
          </w:p>
          <w:p w14:paraId="7A3C9C8B">
            <w:pPr>
              <w:pStyle w:val="45"/>
              <w:tabs>
                <w:tab w:val="left" w:pos="895"/>
              </w:tabs>
              <w:spacing w:line="520" w:lineRule="exact"/>
              <w:ind w:firstLine="480" w:firstLineChars="200"/>
              <w:jc w:val="both"/>
              <w:rPr>
                <w:rFonts w:hint="default" w:ascii="Times New Roman" w:hAnsi="Times New Roman" w:cs="Times New Roman"/>
                <w:bCs/>
                <w:color w:val="auto"/>
                <w:sz w:val="24"/>
                <w:lang w:val="en-US"/>
              </w:rPr>
            </w:pPr>
            <w:r>
              <w:rPr>
                <w:rFonts w:hint="eastAsia" w:ascii="Times New Roman" w:hAnsi="Times New Roman" w:cs="Times New Roman"/>
                <w:bCs/>
                <w:color w:val="auto"/>
                <w:sz w:val="24"/>
                <w:lang w:val="en-US" w:eastAsia="zh-CN"/>
              </w:rPr>
              <w:t>本项目不新增鄂尔多斯广厦医院工作人员</w:t>
            </w:r>
            <w:r>
              <w:rPr>
                <w:rFonts w:hint="default" w:ascii="Times New Roman" w:hAnsi="Times New Roman" w:cs="Times New Roman"/>
                <w:bCs/>
                <w:color w:val="auto"/>
                <w:sz w:val="24"/>
                <w:lang w:val="en-US"/>
              </w:rPr>
              <w:t>。</w:t>
            </w:r>
          </w:p>
          <w:p w14:paraId="65E734DA">
            <w:pPr>
              <w:pStyle w:val="45"/>
              <w:tabs>
                <w:tab w:val="left" w:pos="895"/>
              </w:tabs>
              <w:spacing w:line="520" w:lineRule="exact"/>
              <w:ind w:firstLine="480" w:firstLineChars="200"/>
              <w:jc w:val="both"/>
              <w:rPr>
                <w:rFonts w:hint="default" w:ascii="Times New Roman" w:hAnsi="Times New Roman" w:cs="Times New Roman"/>
                <w:bCs/>
                <w:color w:val="auto"/>
                <w:sz w:val="24"/>
                <w:lang w:val="en-US"/>
              </w:rPr>
            </w:pPr>
            <w:r>
              <w:rPr>
                <w:rFonts w:hint="default" w:ascii="Times New Roman" w:hAnsi="Times New Roman" w:cs="Times New Roman"/>
                <w:bCs/>
                <w:color w:val="auto"/>
                <w:sz w:val="24"/>
                <w:lang w:val="en-US"/>
              </w:rPr>
              <w:t>工作制度：全年工作天数为 365 天，</w:t>
            </w:r>
            <w:r>
              <w:rPr>
                <w:rFonts w:hint="eastAsia" w:ascii="Times New Roman" w:hAnsi="Times New Roman" w:cs="Times New Roman"/>
                <w:bCs/>
                <w:color w:val="auto"/>
                <w:sz w:val="24"/>
                <w:lang w:val="en-US" w:eastAsia="zh-CN"/>
              </w:rPr>
              <w:t>日</w:t>
            </w:r>
            <w:r>
              <w:rPr>
                <w:rFonts w:hint="default" w:ascii="Times New Roman" w:hAnsi="Times New Roman" w:cs="Times New Roman"/>
                <w:bCs/>
                <w:color w:val="auto"/>
                <w:sz w:val="24"/>
                <w:lang w:val="en-US"/>
              </w:rPr>
              <w:t>工作时间为 8 小时，夜间安排值班</w:t>
            </w:r>
            <w:r>
              <w:rPr>
                <w:rFonts w:hint="eastAsia" w:ascii="Times New Roman" w:hAnsi="Times New Roman" w:cs="Times New Roman"/>
                <w:bCs/>
                <w:color w:val="auto"/>
                <w:sz w:val="24"/>
                <w:lang w:val="en-US" w:eastAsia="zh-CN"/>
              </w:rPr>
              <w:t>，</w:t>
            </w:r>
            <w:r>
              <w:rPr>
                <w:rFonts w:hint="default" w:ascii="Times New Roman" w:hAnsi="Times New Roman" w:cs="Times New Roman"/>
                <w:bCs/>
                <w:color w:val="auto"/>
                <w:sz w:val="24"/>
                <w:lang w:val="en-US"/>
              </w:rPr>
              <w:t>不设置食堂、锅炉房，不提供食宿。</w:t>
            </w:r>
          </w:p>
          <w:p w14:paraId="604BC494">
            <w:pPr>
              <w:pStyle w:val="45"/>
              <w:tabs>
                <w:tab w:val="left" w:pos="895"/>
              </w:tabs>
              <w:spacing w:line="520" w:lineRule="exact"/>
              <w:ind w:firstLine="482" w:firstLineChars="200"/>
              <w:rPr>
                <w:rFonts w:ascii="Times New Roman" w:hAnsi="Times New Roman" w:cs="Times New Roman"/>
                <w:b/>
                <w:color w:val="auto"/>
                <w:sz w:val="24"/>
                <w:lang w:val="en-US"/>
              </w:rPr>
            </w:pPr>
            <w:r>
              <w:rPr>
                <w:rFonts w:hint="eastAsia" w:ascii="Times New Roman" w:hAnsi="Times New Roman" w:cs="Times New Roman"/>
                <w:b/>
                <w:color w:val="auto"/>
                <w:sz w:val="24"/>
                <w:lang w:val="en-US" w:eastAsia="zh-CN"/>
              </w:rPr>
              <w:t>9、扩建工程</w:t>
            </w:r>
            <w:r>
              <w:rPr>
                <w:rFonts w:ascii="Times New Roman" w:hAnsi="Times New Roman" w:cs="Times New Roman"/>
                <w:b/>
                <w:color w:val="auto"/>
                <w:sz w:val="24"/>
                <w:lang w:val="en-US"/>
              </w:rPr>
              <w:t>平面布置</w:t>
            </w:r>
          </w:p>
          <w:p w14:paraId="36AB99A4">
            <w:pPr>
              <w:pStyle w:val="45"/>
              <w:keepNext w:val="0"/>
              <w:keepLines w:val="0"/>
              <w:pageBreakBefore w:val="0"/>
              <w:widowControl w:val="0"/>
              <w:tabs>
                <w:tab w:val="left" w:pos="895"/>
              </w:tabs>
              <w:kinsoku/>
              <w:wordWrap/>
              <w:overflowPunct w:val="0"/>
              <w:topLinePunct/>
              <w:autoSpaceDE/>
              <w:autoSpaceDN/>
              <w:bidi w:val="0"/>
              <w:adjustRightInd/>
              <w:snapToGrid/>
              <w:spacing w:line="520" w:lineRule="exact"/>
              <w:ind w:left="0" w:leftChars="0" w:firstLine="480" w:firstLineChars="200"/>
              <w:jc w:val="both"/>
              <w:textAlignment w:val="auto"/>
              <w:rPr>
                <w:rFonts w:ascii="Times New Roman" w:hAnsi="Times New Roman" w:cs="Times New Roman"/>
                <w:bCs/>
                <w:color w:val="auto"/>
                <w:sz w:val="24"/>
                <w:lang w:val="en-US"/>
              </w:rPr>
            </w:pPr>
            <w:r>
              <w:rPr>
                <w:rFonts w:hint="default" w:ascii="Times New Roman" w:hAnsi="Times New Roman" w:cs="Times New Roman"/>
                <w:b w:val="0"/>
                <w:bCs/>
                <w:color w:val="auto"/>
                <w:sz w:val="24"/>
                <w:lang w:val="en-US"/>
              </w:rPr>
              <w:t>项目位于鄂尔多斯市东胜区伊化南路</w:t>
            </w:r>
            <w:r>
              <w:rPr>
                <w:rFonts w:hint="eastAsia" w:ascii="Times New Roman" w:hAnsi="Times New Roman" w:cs="Times New Roman"/>
                <w:b w:val="0"/>
                <w:bCs/>
                <w:color w:val="auto"/>
                <w:sz w:val="24"/>
                <w:lang w:val="en-US" w:eastAsia="zh-CN"/>
              </w:rPr>
              <w:t>11号鄂尔多斯广厦医院院内，项目南侧临街入口处布置门诊楼，项目北侧布置综合楼、危废暂存库，项目东侧布置污水处理站</w:t>
            </w:r>
            <w:r>
              <w:rPr>
                <w:rFonts w:hint="default" w:ascii="Times New Roman" w:hAnsi="Times New Roman" w:cs="Times New Roman"/>
                <w:b w:val="0"/>
                <w:bCs/>
                <w:color w:val="auto"/>
                <w:sz w:val="24"/>
                <w:lang w:val="en-US"/>
              </w:rPr>
              <w:t>。综合上述分析，总图布置功能分区明确、工艺紧凑、物流顺畅，充分考虑消防、环保、安全，节约投资与占地，总体布局较为合理。</w:t>
            </w:r>
            <w:r>
              <w:rPr>
                <w:rFonts w:ascii="Times New Roman" w:hAnsi="Times New Roman" w:cs="Times New Roman"/>
                <w:bCs/>
                <w:color w:val="auto"/>
                <w:sz w:val="24"/>
                <w:lang w:val="en-US"/>
              </w:rPr>
              <w:t>总平面布置见附图。</w:t>
            </w:r>
          </w:p>
        </w:tc>
      </w:tr>
      <w:tr w14:paraId="2BB2F8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trPr>
        <w:tc>
          <w:tcPr>
            <w:tcW w:w="811" w:type="dxa"/>
            <w:tcBorders>
              <w:right w:val="single" w:color="000000" w:sz="4" w:space="0"/>
            </w:tcBorders>
            <w:noWrap w:val="0"/>
            <w:vAlign w:val="center"/>
          </w:tcPr>
          <w:p w14:paraId="012F07C5">
            <w:pPr>
              <w:pStyle w:val="45"/>
              <w:spacing w:line="520" w:lineRule="exact"/>
              <w:jc w:val="center"/>
              <w:rPr>
                <w:rFonts w:ascii="Times New Roman" w:hAnsi="Times New Roman" w:cs="Times New Roman"/>
                <w:color w:val="auto"/>
                <w:sz w:val="20"/>
              </w:rPr>
            </w:pPr>
            <w:bookmarkStart w:id="3" w:name="3、生产规模及内容"/>
            <w:bookmarkEnd w:id="3"/>
            <w:r>
              <w:rPr>
                <w:rFonts w:ascii="Times New Roman" w:hAnsi="Times New Roman" w:cs="Times New Roman"/>
                <w:color w:val="auto"/>
                <w:spacing w:val="-2"/>
                <w:sz w:val="24"/>
                <w:szCs w:val="24"/>
                <w:lang w:val="en-US"/>
              </w:rPr>
              <w:t>工艺流程和产排污环节</w:t>
            </w:r>
          </w:p>
        </w:tc>
        <w:tc>
          <w:tcPr>
            <w:tcW w:w="8164" w:type="dxa"/>
            <w:tcBorders>
              <w:left w:val="single" w:color="000000" w:sz="4" w:space="0"/>
            </w:tcBorders>
            <w:noWrap w:val="0"/>
            <w:vAlign w:val="top"/>
          </w:tcPr>
          <w:p w14:paraId="25DE4F20">
            <w:pPr>
              <w:pStyle w:val="45"/>
              <w:tabs>
                <w:tab w:val="left" w:pos="895"/>
              </w:tabs>
              <w:spacing w:line="520" w:lineRule="exact"/>
              <w:ind w:firstLine="482" w:firstLineChars="200"/>
              <w:jc w:val="both"/>
              <w:rPr>
                <w:rFonts w:hint="eastAsia" w:ascii="Times New Roman" w:hAnsi="Times New Roman" w:cs="Times New Roman"/>
                <w:b/>
                <w:bCs/>
                <w:color w:val="auto"/>
                <w:sz w:val="24"/>
                <w:lang w:val="en-US"/>
              </w:rPr>
            </w:pPr>
            <w:r>
              <w:rPr>
                <w:rFonts w:hint="eastAsia" w:ascii="Times New Roman" w:hAnsi="Times New Roman" w:cs="Times New Roman"/>
                <w:b/>
                <w:bCs/>
                <w:color w:val="auto"/>
                <w:sz w:val="24"/>
                <w:lang w:val="en-US" w:eastAsia="zh-CN"/>
              </w:rPr>
              <w:t>一、</w:t>
            </w:r>
            <w:r>
              <w:rPr>
                <w:rFonts w:ascii="Times New Roman" w:hAnsi="Times New Roman" w:cs="Times New Roman"/>
                <w:b/>
                <w:bCs/>
                <w:color w:val="auto"/>
                <w:sz w:val="24"/>
                <w:lang w:val="en-US"/>
              </w:rPr>
              <w:t>施工期</w:t>
            </w:r>
          </w:p>
          <w:p w14:paraId="5C9457CA">
            <w:pPr>
              <w:pStyle w:val="45"/>
              <w:tabs>
                <w:tab w:val="left" w:pos="895"/>
              </w:tabs>
              <w:topLinePunct/>
              <w:autoSpaceDE/>
              <w:autoSpaceDN/>
              <w:spacing w:line="520" w:lineRule="exact"/>
              <w:ind w:firstLine="480" w:firstLineChars="200"/>
              <w:jc w:val="both"/>
              <w:rPr>
                <w:rFonts w:ascii="Times New Roman" w:hAnsi="Times New Roman" w:cs="Times New Roman"/>
                <w:color w:val="auto"/>
                <w:sz w:val="24"/>
                <w:lang w:val="en-US"/>
              </w:rPr>
            </w:pPr>
            <w:r>
              <w:rPr>
                <w:rFonts w:hint="eastAsia" w:ascii="Times New Roman" w:hAnsi="Times New Roman" w:cs="Times New Roman"/>
                <w:color w:val="auto"/>
                <w:sz w:val="24"/>
                <w:lang w:val="en-US"/>
              </w:rPr>
              <w:t>本项目增加开放床位数总计100张，</w:t>
            </w:r>
            <w:r>
              <w:rPr>
                <w:rFonts w:hint="eastAsia" w:ascii="Times New Roman" w:hAnsi="Times New Roman" w:cs="Times New Roman"/>
                <w:color w:val="auto"/>
                <w:sz w:val="24"/>
                <w:lang w:val="en-US" w:eastAsia="zh-CN"/>
              </w:rPr>
              <w:t>依托现有</w:t>
            </w:r>
            <w:r>
              <w:rPr>
                <w:rFonts w:hint="eastAsia" w:ascii="Times New Roman" w:hAnsi="Times New Roman" w:cs="Times New Roman"/>
                <w:color w:val="auto"/>
                <w:sz w:val="24"/>
                <w:lang w:val="en-US"/>
              </w:rPr>
              <w:t>3-</w:t>
            </w:r>
            <w:r>
              <w:rPr>
                <w:rFonts w:hint="eastAsia" w:ascii="Times New Roman" w:hAnsi="Times New Roman" w:cs="Times New Roman"/>
                <w:color w:val="auto"/>
                <w:sz w:val="24"/>
                <w:lang w:val="en-US" w:eastAsia="zh-CN"/>
              </w:rPr>
              <w:t>8</w:t>
            </w:r>
            <w:r>
              <w:rPr>
                <w:rFonts w:hint="eastAsia" w:ascii="Times New Roman" w:hAnsi="Times New Roman" w:cs="Times New Roman"/>
                <w:color w:val="auto"/>
                <w:sz w:val="24"/>
                <w:lang w:val="en-US"/>
              </w:rPr>
              <w:t>楼各科室病区</w:t>
            </w:r>
            <w:r>
              <w:rPr>
                <w:rFonts w:hint="eastAsia" w:ascii="Times New Roman" w:hAnsi="Times New Roman" w:cs="Times New Roman"/>
                <w:color w:val="auto"/>
                <w:sz w:val="24"/>
                <w:lang w:val="en-US" w:eastAsia="zh-CN"/>
              </w:rPr>
              <w:t>病房，不涉及土建施工过程。项目利用现有车库改造危废暂存库，利用原洗衣房建设污水处理站，建成后拆除现有污水处理站内设备。</w:t>
            </w:r>
            <w:r>
              <w:rPr>
                <w:rFonts w:hint="eastAsia" w:ascii="Times New Roman" w:hAnsi="Times New Roman" w:cs="Times New Roman"/>
                <w:color w:val="auto"/>
                <w:sz w:val="24"/>
                <w:lang w:val="en-US"/>
              </w:rPr>
              <w:t>项目施工期不设置施工营地。</w:t>
            </w:r>
          </w:p>
          <w:p w14:paraId="20F69652">
            <w:pPr>
              <w:pStyle w:val="45"/>
              <w:tabs>
                <w:tab w:val="left" w:pos="895"/>
              </w:tabs>
              <w:autoSpaceDE/>
              <w:autoSpaceDN/>
              <w:spacing w:line="520" w:lineRule="exact"/>
              <w:ind w:firstLine="480" w:firstLineChars="200"/>
              <w:jc w:val="both"/>
              <w:rPr>
                <w:rFonts w:ascii="Times New Roman" w:hAnsi="Times New Roman" w:cs="Times New Roman"/>
                <w:color w:val="auto"/>
                <w:sz w:val="24"/>
                <w:lang w:val="en-US"/>
              </w:rPr>
            </w:pPr>
            <w:r>
              <w:rPr>
                <w:rFonts w:hint="eastAsia" w:ascii="Times New Roman" w:hAnsi="Times New Roman" w:cs="Times New Roman"/>
                <w:color w:val="auto"/>
                <w:sz w:val="24"/>
                <w:lang w:val="en-US"/>
              </w:rPr>
              <w:t>施工期全过程按作业性质可以分为基础工程、主体工程、设备安装、工程验收等</w:t>
            </w:r>
            <w:r>
              <w:rPr>
                <w:rFonts w:hint="eastAsia" w:ascii="Times New Roman" w:hAnsi="Times New Roman" w:cs="Times New Roman"/>
                <w:color w:val="auto"/>
                <w:sz w:val="24"/>
                <w:lang w:val="en-US" w:eastAsia="zh-CN"/>
              </w:rPr>
              <w:t>四</w:t>
            </w:r>
            <w:r>
              <w:rPr>
                <w:rFonts w:hint="eastAsia" w:ascii="Times New Roman" w:hAnsi="Times New Roman" w:cs="Times New Roman"/>
                <w:color w:val="auto"/>
                <w:sz w:val="24"/>
                <w:lang w:val="en-US"/>
              </w:rPr>
              <w:t>个阶段。施工阶段伴随施工扬尘、噪声、施工废水及少量建筑垃圾等产生。</w:t>
            </w:r>
            <w:r>
              <w:rPr>
                <w:rFonts w:ascii="Times New Roman" w:hAnsi="Times New Roman" w:cs="Times New Roman"/>
                <w:color w:val="auto"/>
                <w:sz w:val="24"/>
                <w:lang w:val="en-US"/>
              </w:rPr>
              <w:t>施工期施工流程及主要污染物产生情况见图</w:t>
            </w:r>
            <w:r>
              <w:rPr>
                <w:rFonts w:hint="eastAsia" w:ascii="Times New Roman" w:hAnsi="Times New Roman" w:cs="Times New Roman"/>
                <w:color w:val="auto"/>
                <w:sz w:val="24"/>
                <w:lang w:val="en-US" w:eastAsia="zh-CN"/>
              </w:rPr>
              <w:t>2-2</w:t>
            </w:r>
            <w:r>
              <w:rPr>
                <w:rFonts w:ascii="Times New Roman" w:hAnsi="Times New Roman" w:cs="Times New Roman"/>
                <w:color w:val="auto"/>
                <w:sz w:val="24"/>
                <w:lang w:val="en-US"/>
              </w:rPr>
              <w:t>。</w:t>
            </w:r>
          </w:p>
          <w:p w14:paraId="69BF407E">
            <w:pPr>
              <w:pStyle w:val="45"/>
              <w:tabs>
                <w:tab w:val="left" w:pos="895"/>
              </w:tabs>
              <w:autoSpaceDE/>
              <w:autoSpaceDN/>
              <w:spacing w:line="52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lang w:eastAsia="zh-CN"/>
              </w:rPr>
              <w:t>项目施工期</w:t>
            </w:r>
            <w:r>
              <w:rPr>
                <w:rFonts w:ascii="Times New Roman" w:hAnsi="Times New Roman" w:cs="Times New Roman"/>
                <w:color w:val="auto"/>
                <w:sz w:val="24"/>
                <w:szCs w:val="24"/>
              </w:rPr>
              <w:t>主要污染因子包括建筑扬尘</w:t>
            </w:r>
            <w:r>
              <w:rPr>
                <w:rFonts w:hint="eastAsia" w:ascii="Times New Roman" w:hAnsi="Times New Roman" w:cs="Times New Roman"/>
                <w:color w:val="auto"/>
                <w:sz w:val="24"/>
                <w:szCs w:val="24"/>
                <w:lang w:eastAsia="zh-CN"/>
              </w:rPr>
              <w:t>、施工泥浆废水、</w:t>
            </w:r>
            <w:r>
              <w:rPr>
                <w:rFonts w:ascii="Times New Roman" w:hAnsi="Times New Roman" w:cs="Times New Roman"/>
                <w:color w:val="auto"/>
                <w:sz w:val="24"/>
                <w:szCs w:val="24"/>
              </w:rPr>
              <w:t>施工机械噪声、施工过程产生的建筑垃圾等。</w:t>
            </w:r>
          </w:p>
          <w:p w14:paraId="310AA104">
            <w:pPr>
              <w:pStyle w:val="45"/>
              <w:tabs>
                <w:tab w:val="left" w:pos="895"/>
              </w:tabs>
              <w:autoSpaceDE/>
              <w:autoSpaceDN/>
              <w:spacing w:line="52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（1）废气：建筑物料、弃土堆存等在风力作用下产生的扬尘；</w:t>
            </w:r>
          </w:p>
          <w:p w14:paraId="1B09C7E4">
            <w:pPr>
              <w:pStyle w:val="45"/>
              <w:tabs>
                <w:tab w:val="left" w:pos="895"/>
              </w:tabs>
              <w:autoSpaceDE/>
              <w:autoSpaceDN/>
              <w:spacing w:line="52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（2）废水：</w:t>
            </w:r>
            <w:r>
              <w:rPr>
                <w:rFonts w:hint="eastAsia" w:ascii="Times New Roman" w:hAnsi="Times New Roman" w:cs="Times New Roman"/>
                <w:color w:val="auto"/>
                <w:sz w:val="24"/>
                <w:szCs w:val="24"/>
                <w:lang w:val="en-US" w:eastAsia="zh-CN"/>
              </w:rPr>
              <w:t>施工人员生活污水、</w:t>
            </w:r>
            <w:r>
              <w:rPr>
                <w:rFonts w:ascii="Times New Roman" w:hAnsi="Times New Roman" w:cs="Times New Roman"/>
                <w:color w:val="auto"/>
                <w:sz w:val="24"/>
                <w:szCs w:val="24"/>
              </w:rPr>
              <w:t>施工泥浆废水；</w:t>
            </w:r>
          </w:p>
          <w:p w14:paraId="743C7A24">
            <w:pPr>
              <w:pStyle w:val="45"/>
              <w:tabs>
                <w:tab w:val="left" w:pos="895"/>
              </w:tabs>
              <w:autoSpaceDE/>
              <w:autoSpaceDN/>
              <w:spacing w:line="52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（3）噪声：建筑施工机械噪声及运输车辆噪声；</w:t>
            </w:r>
          </w:p>
          <w:p w14:paraId="0FBDB991">
            <w:pPr>
              <w:pStyle w:val="45"/>
              <w:tabs>
                <w:tab w:val="left" w:pos="895"/>
              </w:tabs>
              <w:autoSpaceDE/>
              <w:autoSpaceDN/>
              <w:spacing w:line="520" w:lineRule="exact"/>
              <w:ind w:firstLine="480" w:firstLineChars="200"/>
              <w:jc w:val="both"/>
              <w:rPr>
                <w:rFonts w:ascii="Times New Roman" w:hAnsi="Times New Roman" w:cs="Times New Roman"/>
                <w:color w:val="auto"/>
                <w:sz w:val="24"/>
                <w:lang w:val="en-US"/>
              </w:rPr>
            </w:pPr>
            <w:r>
              <w:rPr>
                <w:rFonts w:ascii="Times New Roman" w:hAnsi="Times New Roman" w:cs="Times New Roman"/>
                <w:color w:val="auto"/>
                <w:sz w:val="24"/>
                <w:szCs w:val="24"/>
              </w:rPr>
              <w:t>（4）固体废物：</w:t>
            </w:r>
            <w:r>
              <w:rPr>
                <w:rFonts w:hint="eastAsia" w:ascii="Times New Roman" w:hAnsi="Times New Roman" w:cs="Times New Roman"/>
                <w:color w:val="auto"/>
                <w:sz w:val="24"/>
                <w:szCs w:val="24"/>
                <w:lang w:val="en-US" w:eastAsia="zh-CN"/>
              </w:rPr>
              <w:t>施工人员生活垃圾、</w:t>
            </w:r>
            <w:r>
              <w:rPr>
                <w:rFonts w:ascii="Times New Roman" w:hAnsi="Times New Roman" w:cs="Times New Roman"/>
                <w:color w:val="auto"/>
                <w:sz w:val="24"/>
                <w:szCs w:val="24"/>
              </w:rPr>
              <w:t>建筑垃圾。</w:t>
            </w:r>
          </w:p>
          <w:p w14:paraId="6B5B6EB5">
            <w:pPr>
              <w:pStyle w:val="45"/>
              <w:keepNext w:val="0"/>
              <w:keepLines w:val="0"/>
              <w:pageBreakBefore w:val="0"/>
              <w:widowControl w:val="0"/>
              <w:tabs>
                <w:tab w:val="left" w:pos="895"/>
              </w:tabs>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drawing>
                <wp:inline distT="0" distB="0" distL="114300" distR="114300">
                  <wp:extent cx="4999355" cy="2442210"/>
                  <wp:effectExtent l="0" t="0" r="10795" b="15240"/>
                  <wp:docPr id="93" name="图片 23" descr="81afd97453b2a07ddcd5e0db57f3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23" descr="81afd97453b2a07ddcd5e0db57f3cc8"/>
                          <pic:cNvPicPr>
                            <a:picLocks noChangeAspect="1"/>
                          </pic:cNvPicPr>
                        </pic:nvPicPr>
                        <pic:blipFill>
                          <a:blip r:embed="rId20"/>
                          <a:stretch>
                            <a:fillRect/>
                          </a:stretch>
                        </pic:blipFill>
                        <pic:spPr>
                          <a:xfrm>
                            <a:off x="0" y="0"/>
                            <a:ext cx="4999355" cy="2442210"/>
                          </a:xfrm>
                          <a:prstGeom prst="rect">
                            <a:avLst/>
                          </a:prstGeom>
                          <a:noFill/>
                          <a:ln>
                            <a:noFill/>
                          </a:ln>
                        </pic:spPr>
                      </pic:pic>
                    </a:graphicData>
                  </a:graphic>
                </wp:inline>
              </w:drawing>
            </w:r>
          </w:p>
          <w:p w14:paraId="05ECB92C">
            <w:pPr>
              <w:pStyle w:val="45"/>
              <w:tabs>
                <w:tab w:val="left" w:pos="895"/>
              </w:tabs>
              <w:spacing w:line="520" w:lineRule="exact"/>
              <w:ind w:firstLine="1928" w:firstLineChars="800"/>
              <w:rPr>
                <w:rFonts w:ascii="Times New Roman" w:hAnsi="Times New Roman" w:cs="Times New Roman"/>
                <w:color w:val="auto"/>
                <w:sz w:val="24"/>
                <w:szCs w:val="24"/>
              </w:rPr>
            </w:pPr>
            <w:r>
              <w:rPr>
                <w:rFonts w:ascii="Times New Roman" w:hAnsi="Times New Roman" w:cs="Times New Roman"/>
                <w:b/>
                <w:bCs/>
                <w:color w:val="auto"/>
                <w:sz w:val="24"/>
                <w:lang w:val="en-US"/>
              </w:rPr>
              <w:t>图2-</w:t>
            </w:r>
            <w:r>
              <w:rPr>
                <w:rFonts w:hint="eastAsia" w:ascii="Times New Roman" w:hAnsi="Times New Roman" w:cs="Times New Roman"/>
                <w:b/>
                <w:bCs/>
                <w:color w:val="auto"/>
                <w:sz w:val="24"/>
                <w:lang w:val="en-US" w:eastAsia="zh-CN"/>
              </w:rPr>
              <w:t>2</w:t>
            </w:r>
            <w:r>
              <w:rPr>
                <w:rFonts w:hint="eastAsia" w:ascii="Times New Roman" w:hAnsi="Times New Roman" w:cs="Times New Roman"/>
                <w:b/>
                <w:bCs/>
                <w:color w:val="auto"/>
                <w:sz w:val="24"/>
                <w:lang w:val="en-US"/>
              </w:rPr>
              <w:t xml:space="preserve">         </w:t>
            </w:r>
            <w:r>
              <w:rPr>
                <w:rFonts w:ascii="Times New Roman" w:hAnsi="Times New Roman" w:cs="Times New Roman"/>
                <w:b/>
                <w:bCs/>
                <w:color w:val="auto"/>
                <w:sz w:val="24"/>
                <w:lang w:val="en-US"/>
              </w:rPr>
              <w:t>施工期施工流程及主要污染源情况简图</w:t>
            </w:r>
          </w:p>
          <w:p w14:paraId="121341B9">
            <w:pPr>
              <w:pStyle w:val="45"/>
              <w:keepNext w:val="0"/>
              <w:keepLines w:val="0"/>
              <w:pageBreakBefore w:val="0"/>
              <w:widowControl w:val="0"/>
              <w:tabs>
                <w:tab w:val="left" w:pos="895"/>
              </w:tabs>
              <w:kinsoku/>
              <w:overflowPunct/>
              <w:topLinePunct w:val="0"/>
              <w:bidi w:val="0"/>
              <w:spacing w:line="520" w:lineRule="exact"/>
              <w:ind w:right="0" w:firstLine="482" w:firstLineChars="200"/>
              <w:jc w:val="both"/>
              <w:textAlignment w:val="auto"/>
              <w:rPr>
                <w:rFonts w:ascii="Times New Roman" w:hAnsi="Times New Roman" w:cs="Times New Roman"/>
                <w:b/>
                <w:bCs/>
                <w:color w:val="auto"/>
                <w:sz w:val="24"/>
                <w:lang w:val="en-US"/>
              </w:rPr>
            </w:pPr>
            <w:r>
              <w:rPr>
                <w:rFonts w:hint="eastAsia" w:ascii="Times New Roman" w:hAnsi="Times New Roman" w:cs="Times New Roman"/>
                <w:b/>
                <w:bCs/>
                <w:color w:val="auto"/>
                <w:sz w:val="24"/>
                <w:lang w:val="en-US" w:eastAsia="zh-CN"/>
              </w:rPr>
              <w:t>二、</w:t>
            </w:r>
            <w:r>
              <w:rPr>
                <w:rFonts w:ascii="Times New Roman" w:hAnsi="Times New Roman" w:cs="Times New Roman"/>
                <w:b/>
                <w:bCs/>
                <w:color w:val="auto"/>
                <w:sz w:val="24"/>
                <w:lang w:val="en-US"/>
              </w:rPr>
              <w:t>运营期</w:t>
            </w:r>
          </w:p>
          <w:p w14:paraId="52EB3393">
            <w:pPr>
              <w:pStyle w:val="31"/>
              <w:keepNext w:val="0"/>
              <w:keepLines w:val="0"/>
              <w:pageBreakBefore w:val="0"/>
              <w:widowControl w:val="0"/>
              <w:numPr>
                <w:ilvl w:val="0"/>
                <w:numId w:val="0"/>
              </w:numPr>
              <w:kinsoku/>
              <w:overflowPunct/>
              <w:topLinePunct w:val="0"/>
              <w:autoSpaceDE/>
              <w:autoSpaceDN/>
              <w:bidi w:val="0"/>
              <w:adjustRightInd w:val="0"/>
              <w:snapToGrid w:val="0"/>
              <w:spacing w:line="520" w:lineRule="exact"/>
              <w:ind w:left="0" w:leftChars="0" w:right="0" w:firstLine="480" w:firstLineChars="200"/>
              <w:jc w:val="both"/>
              <w:textAlignment w:val="auto"/>
              <w:rPr>
                <w:rFonts w:hint="eastAsia" w:ascii="Times New Roman" w:hAnsi="Times New Roman" w:eastAsia="宋体" w:cs="Times New Roman"/>
                <w:b/>
                <w:bCs/>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本项目</w:t>
            </w:r>
            <w:r>
              <w:rPr>
                <w:rFonts w:hint="eastAsia" w:ascii="Times New Roman" w:hAnsi="Times New Roman" w:eastAsia="宋体" w:cs="Times New Roman"/>
                <w:b w:val="0"/>
                <w:bCs w:val="0"/>
                <w:color w:val="auto"/>
                <w:sz w:val="24"/>
                <w:szCs w:val="24"/>
                <w:lang w:val="en-US" w:eastAsia="zh-CN"/>
              </w:rPr>
              <w:t>建设工程主要为新增开放床位数100张，新建1座危废暂存库及1座污水处理站，项目建设主旨为更好的提供诊疗服务。项目运营期主要活动为医疗服务及员工工作。主要产污环节为医疗服务及员工工作时产生的医疗废物、医疗废水、生活垃圾等。</w:t>
            </w:r>
          </w:p>
          <w:p w14:paraId="520D106E">
            <w:pPr>
              <w:pStyle w:val="31"/>
              <w:keepNext w:val="0"/>
              <w:keepLines w:val="0"/>
              <w:pageBreakBefore w:val="0"/>
              <w:widowControl w:val="0"/>
              <w:numPr>
                <w:ilvl w:val="0"/>
                <w:numId w:val="0"/>
              </w:numPr>
              <w:kinsoku/>
              <w:overflowPunct/>
              <w:topLinePunct w:val="0"/>
              <w:autoSpaceDE/>
              <w:autoSpaceDN/>
              <w:bidi w:val="0"/>
              <w:adjustRightInd w:val="0"/>
              <w:snapToGrid w:val="0"/>
              <w:spacing w:line="520" w:lineRule="exact"/>
              <w:ind w:left="0" w:leftChars="0" w:right="0"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1、污水处理站工艺流程：</w:t>
            </w:r>
          </w:p>
          <w:p w14:paraId="5AD2FD78">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eastAsia" w:ascii="Times New Roman" w:hAnsi="Times New Roman" w:eastAsia="宋体" w:cs="Times New Roman"/>
                <w:b w:val="0"/>
                <w:bCs w:val="0"/>
                <w:caps w:val="0"/>
                <w:color w:val="auto"/>
                <w:sz w:val="24"/>
                <w:szCs w:val="24"/>
                <w:highlight w:val="none"/>
                <w:lang w:val="en-US" w:eastAsia="zh-CN"/>
              </w:rPr>
            </w:pPr>
            <w:r>
              <w:rPr>
                <w:rFonts w:hint="eastAsia" w:ascii="Times New Roman" w:hAnsi="Times New Roman" w:eastAsia="宋体" w:cs="Times New Roman"/>
                <w:b w:val="0"/>
                <w:bCs w:val="0"/>
                <w:caps w:val="0"/>
                <w:color w:val="auto"/>
                <w:sz w:val="24"/>
                <w:szCs w:val="24"/>
                <w:highlight w:val="none"/>
                <w:lang w:val="en-US" w:eastAsia="zh-CN"/>
              </w:rPr>
              <w:t>本项目污水处理站处理规模80m</w:t>
            </w:r>
            <w:r>
              <w:rPr>
                <w:rFonts w:hint="eastAsia" w:ascii="Times New Roman" w:hAnsi="Times New Roman" w:eastAsia="宋体" w:cs="Times New Roman"/>
                <w:b w:val="0"/>
                <w:bCs w:val="0"/>
                <w:caps w:val="0"/>
                <w:color w:val="auto"/>
                <w:sz w:val="24"/>
                <w:szCs w:val="24"/>
                <w:highlight w:val="none"/>
                <w:vertAlign w:val="superscript"/>
                <w:lang w:val="en-US" w:eastAsia="zh-CN"/>
              </w:rPr>
              <w:t>3</w:t>
            </w:r>
            <w:r>
              <w:rPr>
                <w:rFonts w:hint="eastAsia" w:ascii="Times New Roman" w:hAnsi="Times New Roman" w:eastAsia="宋体" w:cs="Times New Roman"/>
                <w:b w:val="0"/>
                <w:bCs w:val="0"/>
                <w:caps w:val="0"/>
                <w:color w:val="auto"/>
                <w:sz w:val="24"/>
                <w:szCs w:val="24"/>
                <w:highlight w:val="none"/>
                <w:lang w:val="en-US" w:eastAsia="zh-CN"/>
              </w:rPr>
              <w:t>/d，采用“一级处理+消毒”处理工艺，废水经处理后达到《医疗机构水污染物排放标准》（GB 18466-2005）表2 综合医疗机构和其他医疗机构水污染物排放限值（日均值）预处理标准要求后排入市政污水管网，最终进入东胜区北郊水质净化厂统一处理。医疗废水主要包括门诊、急诊、检验、住院人员生活污水，经废水管道收集至化粪池内。</w:t>
            </w:r>
          </w:p>
          <w:p w14:paraId="63E07BF8">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eastAsia" w:ascii="Times New Roman" w:hAnsi="Times New Roman" w:eastAsia="宋体" w:cs="Times New Roman"/>
                <w:b/>
                <w:bCs/>
                <w:color w:val="auto"/>
                <w:sz w:val="24"/>
                <w:szCs w:val="24"/>
                <w:lang w:val="en-US" w:eastAsia="zh-CN"/>
              </w:rPr>
            </w:pPr>
            <w:r>
              <w:rPr>
                <w:rFonts w:hint="eastAsia" w:ascii="Times New Roman" w:hAnsi="Times New Roman" w:cs="Times New Roman"/>
                <w:color w:val="auto"/>
                <w:kern w:val="0"/>
                <w:sz w:val="24"/>
                <w:szCs w:val="24"/>
                <w:lang w:val="en-US" w:eastAsia="zh-CN" w:bidi="ar"/>
              </w:rPr>
              <w:t>本项目水处理工艺可分为</w:t>
            </w:r>
            <w:r>
              <w:rPr>
                <w:rFonts w:hint="default" w:ascii="Times New Roman" w:hAnsi="Times New Roman" w:eastAsia="宋体" w:cs="Times New Roman"/>
                <w:color w:val="auto"/>
                <w:kern w:val="0"/>
                <w:sz w:val="24"/>
                <w:szCs w:val="24"/>
                <w:lang w:val="en-US" w:eastAsia="zh-CN" w:bidi="ar"/>
              </w:rPr>
              <w:t>预处理、</w:t>
            </w:r>
            <w:r>
              <w:rPr>
                <w:rFonts w:hint="eastAsia" w:ascii="Times New Roman" w:hAnsi="Times New Roman" w:eastAsia="宋体" w:cs="Times New Roman"/>
                <w:color w:val="auto"/>
                <w:kern w:val="0"/>
                <w:sz w:val="24"/>
                <w:szCs w:val="24"/>
                <w:lang w:val="en-US" w:eastAsia="zh-CN" w:bidi="ar"/>
              </w:rPr>
              <w:t>生物</w:t>
            </w:r>
            <w:r>
              <w:rPr>
                <w:rFonts w:hint="default" w:ascii="Times New Roman" w:hAnsi="Times New Roman" w:eastAsia="宋体" w:cs="Times New Roman"/>
                <w:color w:val="auto"/>
                <w:kern w:val="0"/>
                <w:sz w:val="24"/>
                <w:szCs w:val="24"/>
                <w:lang w:val="en-US" w:eastAsia="zh-CN" w:bidi="ar"/>
              </w:rPr>
              <w:t>处理</w:t>
            </w:r>
            <w:r>
              <w:rPr>
                <w:rFonts w:hint="eastAsia" w:ascii="Times New Roman" w:hAnsi="Times New Roman"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水解酸化+接触氧化+MBR）、消毒</w:t>
            </w:r>
            <w:r>
              <w:rPr>
                <w:rFonts w:hint="default" w:ascii="Times New Roman" w:hAnsi="Times New Roman" w:eastAsia="宋体" w:cs="Times New Roman"/>
                <w:color w:val="auto"/>
                <w:kern w:val="0"/>
                <w:sz w:val="24"/>
                <w:szCs w:val="24"/>
                <w:lang w:val="en-US" w:eastAsia="zh-CN" w:bidi="ar"/>
              </w:rPr>
              <w:t>等处理工段。</w:t>
            </w:r>
          </w:p>
          <w:p w14:paraId="3C80FE2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480" w:firstLineChars="200"/>
              <w:jc w:val="both"/>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szCs w:val="22"/>
                <w:lang w:val="en-US" w:eastAsia="zh-CN" w:bidi="zh-CN"/>
              </w:rPr>
              <w:t>（1）</w:t>
            </w:r>
            <w:r>
              <w:rPr>
                <w:rFonts w:hint="eastAsia" w:ascii="Times New Roman" w:hAnsi="Times New Roman" w:cs="Times New Roman"/>
                <w:color w:val="auto"/>
                <w:sz w:val="24"/>
                <w:highlight w:val="none"/>
                <w:lang w:val="en-US" w:eastAsia="zh-CN"/>
              </w:rPr>
              <w:t>预处理：检验科设小型实验室污水废水综合处理设备，废水经预处理后排入医院污水处理系统。</w:t>
            </w:r>
          </w:p>
          <w:p w14:paraId="4B4B18D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480" w:firstLineChars="200"/>
              <w:jc w:val="both"/>
              <w:textAlignment w:val="auto"/>
              <w:rPr>
                <w:color w:val="auto"/>
                <w:sz w:val="24"/>
              </w:rPr>
            </w:pPr>
            <w:r>
              <w:rPr>
                <w:rFonts w:hint="eastAsia" w:ascii="Times New Roman" w:hAnsi="Times New Roman" w:eastAsia="宋体" w:cs="Times New Roman"/>
                <w:b w:val="0"/>
                <w:bCs w:val="0"/>
                <w:caps w:val="0"/>
                <w:color w:val="auto"/>
                <w:sz w:val="24"/>
                <w:szCs w:val="24"/>
                <w:highlight w:val="none"/>
                <w:lang w:val="en-US" w:eastAsia="zh-CN"/>
              </w:rPr>
              <w:t>门诊、急诊、检验、住院人员生活污水，经废水管道收集至化粪池内，</w:t>
            </w:r>
            <w:r>
              <w:rPr>
                <w:color w:val="auto"/>
                <w:sz w:val="24"/>
              </w:rPr>
              <w:t>经格栅截留较大的固形物质，</w:t>
            </w:r>
            <w:r>
              <w:rPr>
                <w:rFonts w:hint="eastAsia"/>
                <w:color w:val="auto"/>
                <w:sz w:val="24"/>
                <w:lang w:eastAsia="zh-CN"/>
              </w:rPr>
              <w:t>通过调节池进行流量调节后</w:t>
            </w:r>
            <w:r>
              <w:rPr>
                <w:color w:val="auto"/>
                <w:sz w:val="24"/>
              </w:rPr>
              <w:t>进入</w:t>
            </w:r>
            <w:r>
              <w:rPr>
                <w:rFonts w:hint="eastAsia"/>
                <w:color w:val="auto"/>
                <w:sz w:val="24"/>
                <w:lang w:val="en-US" w:eastAsia="zh-CN"/>
              </w:rPr>
              <w:t>水解酸化池</w:t>
            </w:r>
            <w:r>
              <w:rPr>
                <w:color w:val="auto"/>
                <w:sz w:val="24"/>
              </w:rPr>
              <w:t>进行</w:t>
            </w:r>
            <w:r>
              <w:rPr>
                <w:rFonts w:hint="eastAsia"/>
                <w:color w:val="auto"/>
                <w:sz w:val="24"/>
                <w:lang w:eastAsia="zh-CN"/>
              </w:rPr>
              <w:t>生物</w:t>
            </w:r>
            <w:r>
              <w:rPr>
                <w:color w:val="auto"/>
                <w:sz w:val="24"/>
              </w:rPr>
              <w:t>处理。</w:t>
            </w:r>
          </w:p>
          <w:p w14:paraId="437BBCEB">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eastAsia" w:ascii="Times New Roman" w:hAnsi="Times New Roman" w:eastAsia="宋体" w:cs="Times New Roman"/>
                <w:b w:val="0"/>
                <w:bCs w:val="0"/>
                <w:caps w:val="0"/>
                <w:color w:val="auto"/>
                <w:sz w:val="24"/>
                <w:szCs w:val="24"/>
                <w:highlight w:val="none"/>
                <w:lang w:val="en-US" w:eastAsia="zh-CN"/>
              </w:rPr>
            </w:pPr>
            <w:r>
              <w:rPr>
                <w:rFonts w:hint="eastAsia" w:ascii="Times New Roman" w:hAnsi="Times New Roman" w:eastAsia="宋体" w:cs="Times New Roman"/>
                <w:b w:val="0"/>
                <w:bCs w:val="0"/>
                <w:caps w:val="0"/>
                <w:color w:val="auto"/>
                <w:sz w:val="24"/>
                <w:szCs w:val="24"/>
                <w:highlight w:val="none"/>
                <w:lang w:val="en-US" w:eastAsia="zh-CN"/>
              </w:rPr>
              <w:t>（2）生物处理</w:t>
            </w:r>
            <w:r>
              <w:rPr>
                <w:rFonts w:hint="eastAsia" w:ascii="Times New Roman" w:hAnsi="Times New Roman"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水解酸化+接触氧化+MBR）</w:t>
            </w:r>
            <w:r>
              <w:rPr>
                <w:rFonts w:hint="eastAsia" w:ascii="Times New Roman" w:hAnsi="Times New Roman" w:eastAsia="宋体" w:cs="Times New Roman"/>
                <w:b w:val="0"/>
                <w:bCs w:val="0"/>
                <w:caps w:val="0"/>
                <w:color w:val="auto"/>
                <w:sz w:val="24"/>
                <w:szCs w:val="24"/>
                <w:highlight w:val="none"/>
                <w:lang w:val="en-US" w:eastAsia="zh-CN"/>
              </w:rPr>
              <w:t>：水解酸化阶段是废水通过水解酸化反应池，加入适量的酸性物质，使废水中的有机物质发生水解反应，将大分子有机物分解成小分子、易于降解的有机物，提高废水的可生化性；接触氧化阶段利用好氧微生物进一步降解有机物沉淀；MBR（膜法）指利用管状中空纤维膜丝及管壁上的微孔截留住活性污泥以及绝大多数的悬浮物，出水清澈透明，将净化后的水和活性污泥进行固液分离。</w:t>
            </w:r>
          </w:p>
          <w:p w14:paraId="1530B1F9">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480" w:firstLineChars="200"/>
              <w:jc w:val="both"/>
              <w:textAlignment w:val="auto"/>
              <w:rPr>
                <w:rFonts w:hint="eastAsia" w:ascii="Times New Roman" w:hAnsi="Times New Roman" w:eastAsia="宋体" w:cs="Times New Roman"/>
                <w:b w:val="0"/>
                <w:bCs w:val="0"/>
                <w:caps w:val="0"/>
                <w:color w:val="auto"/>
                <w:sz w:val="24"/>
                <w:szCs w:val="24"/>
                <w:highlight w:val="none"/>
                <w:lang w:val="en-US" w:eastAsia="zh-CN"/>
              </w:rPr>
            </w:pPr>
            <w:r>
              <w:rPr>
                <w:rFonts w:hint="eastAsia" w:ascii="Times New Roman" w:hAnsi="Times New Roman" w:eastAsia="宋体" w:cs="Times New Roman"/>
                <w:b w:val="0"/>
                <w:bCs w:val="0"/>
                <w:caps w:val="0"/>
                <w:color w:val="auto"/>
                <w:kern w:val="0"/>
                <w:sz w:val="24"/>
                <w:szCs w:val="24"/>
                <w:lang w:val="en-US" w:eastAsia="zh-CN" w:bidi="zh-CN"/>
              </w:rPr>
              <w:t>（3）</w:t>
            </w:r>
            <w:r>
              <w:rPr>
                <w:rFonts w:hint="eastAsia" w:ascii="Times New Roman" w:hAnsi="Times New Roman" w:eastAsia="宋体" w:cs="Times New Roman"/>
                <w:b w:val="0"/>
                <w:bCs w:val="0"/>
                <w:caps w:val="0"/>
                <w:color w:val="auto"/>
                <w:sz w:val="24"/>
                <w:szCs w:val="24"/>
                <w:highlight w:val="none"/>
                <w:lang w:val="en-US" w:eastAsia="zh-CN"/>
              </w:rPr>
              <w:t>消毒：污水经上述工艺过程处理后，有机污染物的去除已达到排放标准，但仍含有大量的致病细菌和寄生虫卵，因此需进行消毒处理。本工程消毒工艺选用二氯异氰尿酸钠消毒工艺。</w:t>
            </w:r>
          </w:p>
          <w:p w14:paraId="073AD008">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eastAsia" w:ascii="Times New Roman" w:hAnsi="Times New Roman" w:eastAsia="宋体" w:cs="Times New Roman"/>
                <w:b w:val="0"/>
                <w:bCs w:val="0"/>
                <w:caps w:val="0"/>
                <w:color w:val="auto"/>
                <w:sz w:val="24"/>
                <w:szCs w:val="24"/>
                <w:highlight w:val="none"/>
                <w:lang w:val="en-US" w:eastAsia="zh-CN"/>
              </w:rPr>
            </w:pPr>
            <w:r>
              <w:rPr>
                <w:rFonts w:hint="eastAsia" w:ascii="Times New Roman" w:hAnsi="Times New Roman" w:eastAsia="宋体" w:cs="Times New Roman"/>
                <w:b w:val="0"/>
                <w:bCs w:val="0"/>
                <w:caps w:val="0"/>
                <w:color w:val="auto"/>
                <w:sz w:val="24"/>
                <w:szCs w:val="24"/>
                <w:highlight w:val="none"/>
                <w:lang w:val="en-US" w:eastAsia="zh-CN"/>
              </w:rPr>
              <w:t>（4）污泥处理工艺</w:t>
            </w:r>
          </w:p>
          <w:p w14:paraId="5BC36462">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eastAsia" w:ascii="Times New Roman" w:hAnsi="Times New Roman" w:eastAsia="宋体" w:cs="Times New Roman"/>
                <w:b w:val="0"/>
                <w:bCs w:val="0"/>
                <w:caps w:val="0"/>
                <w:color w:val="auto"/>
                <w:sz w:val="24"/>
                <w:szCs w:val="24"/>
                <w:highlight w:val="none"/>
                <w:lang w:val="en-US" w:eastAsia="zh-CN"/>
              </w:rPr>
            </w:pPr>
            <w:r>
              <w:rPr>
                <w:rFonts w:hint="eastAsia" w:ascii="Times New Roman" w:hAnsi="Times New Roman" w:eastAsia="宋体" w:cs="Times New Roman"/>
                <w:b w:val="0"/>
                <w:bCs w:val="0"/>
                <w:caps w:val="0"/>
                <w:color w:val="auto"/>
                <w:sz w:val="24"/>
                <w:szCs w:val="24"/>
                <w:highlight w:val="none"/>
                <w:lang w:val="en-US" w:eastAsia="zh-CN"/>
              </w:rPr>
              <w:t>根据《医院污水处理工程技术规范》（HJ2029-2013）要求，污泥脱水宜采用离心式脱水机，脱水污泥含水率应小于80%，医院污泥应按危险废物处理处置。污泥清掏前进行监测，达到《医疗机构水污染物排放标准》（GB 18466-2005）表4医疗机构污泥控制标准中综合医疗机构和其他医疗机构标准要求。</w:t>
            </w:r>
          </w:p>
          <w:p w14:paraId="4458934D">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eastAsia" w:ascii="Times New Roman" w:hAnsi="Times New Roman" w:eastAsia="宋体" w:cs="Times New Roman"/>
                <w:b w:val="0"/>
                <w:bCs w:val="0"/>
                <w:caps w:val="0"/>
                <w:color w:val="auto"/>
                <w:sz w:val="24"/>
                <w:szCs w:val="24"/>
                <w:highlight w:val="none"/>
                <w:lang w:val="en-US" w:eastAsia="zh-CN"/>
              </w:rPr>
            </w:pPr>
            <w:r>
              <w:rPr>
                <w:rFonts w:hint="eastAsia" w:ascii="Times New Roman" w:hAnsi="Times New Roman" w:eastAsia="宋体" w:cs="Times New Roman"/>
                <w:b w:val="0"/>
                <w:bCs w:val="0"/>
                <w:caps w:val="0"/>
                <w:color w:val="auto"/>
                <w:sz w:val="24"/>
                <w:szCs w:val="24"/>
                <w:highlight w:val="none"/>
                <w:lang w:val="en-US" w:eastAsia="zh-CN"/>
              </w:rPr>
              <w:t>本项目污泥采用离心式浓缩脱水一体机进行浓缩脱水，脱水后泥饼暂存于危废暂存库暂存，定期由鄂尔多斯市馨蕊医疗废物处置有限责任公司处置，污泥滤液返回调节池再次处理。</w:t>
            </w:r>
          </w:p>
          <w:p w14:paraId="6A2C0DC8">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val="0"/>
                <w:bCs w:val="0"/>
                <w:caps w:val="0"/>
                <w:color w:val="auto"/>
                <w:sz w:val="24"/>
                <w:szCs w:val="24"/>
                <w:highlight w:val="none"/>
                <w:lang w:val="en-US" w:eastAsia="zh-CN"/>
              </w:rPr>
              <w:t>（5）污水排放方式：项目废水为间接排放，废水经化粪池收集预处理后，排入污水处理设施处理，出水水质达到《医疗机构水污染物排放标准》（GB 18466-2005）表2 综合医疗机构和其他医疗机构水污染物排放限值（日均值）预处理标准要求后排入市政污水管网最终进入东胜区北郊水质净化厂。</w:t>
            </w:r>
          </w:p>
          <w:p w14:paraId="5610DA21">
            <w:pPr>
              <w:pStyle w:val="31"/>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ind w:left="0" w:leftChars="0" w:right="0" w:firstLine="0" w:firstLineChars="0"/>
              <w:jc w:val="center"/>
              <w:textAlignment w:val="auto"/>
              <w:rPr>
                <w:rFonts w:hint="eastAsia" w:ascii="Times New Roman" w:hAnsi="Times New Roman" w:eastAsia="宋体" w:cs="Times New Roman"/>
                <w:b w:val="0"/>
                <w:bCs w:val="0"/>
                <w:caps w:val="0"/>
                <w:color w:val="auto"/>
                <w:sz w:val="24"/>
                <w:szCs w:val="24"/>
                <w:highlight w:val="none"/>
                <w:lang w:val="en-US" w:eastAsia="zh-CN"/>
              </w:rPr>
            </w:pPr>
            <w:r>
              <w:rPr>
                <w:rFonts w:hint="eastAsia" w:ascii="Times New Roman" w:hAnsi="Times New Roman" w:eastAsia="宋体" w:cs="Times New Roman"/>
                <w:b w:val="0"/>
                <w:bCs w:val="0"/>
                <w:caps w:val="0"/>
                <w:color w:val="auto"/>
                <w:sz w:val="24"/>
                <w:szCs w:val="24"/>
                <w:highlight w:val="none"/>
                <w:lang w:val="en-US" w:eastAsia="zh-CN"/>
              </w:rPr>
              <w:drawing>
                <wp:inline distT="0" distB="0" distL="114300" distR="114300">
                  <wp:extent cx="4145280" cy="5478780"/>
                  <wp:effectExtent l="0" t="0" r="7620" b="7620"/>
                  <wp:docPr id="118" name="图片 4" descr="ace84c82a1cd52d18eb48d16f1ad5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4" descr="ace84c82a1cd52d18eb48d16f1ad55e"/>
                          <pic:cNvPicPr>
                            <a:picLocks noChangeAspect="1"/>
                          </pic:cNvPicPr>
                        </pic:nvPicPr>
                        <pic:blipFill>
                          <a:blip r:embed="rId21"/>
                          <a:stretch>
                            <a:fillRect/>
                          </a:stretch>
                        </pic:blipFill>
                        <pic:spPr>
                          <a:xfrm>
                            <a:off x="0" y="0"/>
                            <a:ext cx="4145280" cy="5478780"/>
                          </a:xfrm>
                          <a:prstGeom prst="rect">
                            <a:avLst/>
                          </a:prstGeom>
                          <a:noFill/>
                          <a:ln>
                            <a:noFill/>
                          </a:ln>
                        </pic:spPr>
                      </pic:pic>
                    </a:graphicData>
                  </a:graphic>
                </wp:inline>
              </w:drawing>
            </w:r>
          </w:p>
          <w:p w14:paraId="52041E15">
            <w:pPr>
              <w:pStyle w:val="31"/>
              <w:keepNext w:val="0"/>
              <w:keepLines w:val="0"/>
              <w:pageBreakBefore w:val="0"/>
              <w:widowControl w:val="0"/>
              <w:numPr>
                <w:ilvl w:val="0"/>
                <w:numId w:val="0"/>
              </w:numPr>
              <w:kinsoku/>
              <w:wordWrap w:val="0"/>
              <w:overflowPunct/>
              <w:topLinePunct w:val="0"/>
              <w:autoSpaceDE/>
              <w:autoSpaceDN/>
              <w:bidi w:val="0"/>
              <w:adjustRightInd w:val="0"/>
              <w:snapToGrid w:val="0"/>
              <w:spacing w:line="520" w:lineRule="exact"/>
              <w:ind w:left="0" w:leftChars="0" w:right="0" w:firstLine="0" w:firstLineChars="0"/>
              <w:jc w:val="center"/>
              <w:textAlignment w:val="auto"/>
              <w:rPr>
                <w:rFonts w:hint="eastAsia" w:ascii="Times New Roman" w:hAnsi="Times New Roman" w:eastAsia="宋体" w:cs="Times New Roman"/>
                <w:b/>
                <w:bCs/>
                <w:caps w:val="0"/>
                <w:color w:val="auto"/>
                <w:sz w:val="24"/>
                <w:szCs w:val="24"/>
                <w:highlight w:val="none"/>
                <w:lang w:val="en-US" w:eastAsia="zh-CN"/>
              </w:rPr>
            </w:pPr>
            <w:r>
              <w:rPr>
                <w:rFonts w:hint="eastAsia" w:ascii="Times New Roman" w:hAnsi="Times New Roman" w:eastAsia="宋体" w:cs="Times New Roman"/>
                <w:b/>
                <w:bCs/>
                <w:color w:val="auto"/>
                <w:sz w:val="24"/>
                <w:szCs w:val="24"/>
                <w:lang w:val="en-US" w:eastAsia="zh-CN"/>
              </w:rPr>
              <w:t>图2-</w:t>
            </w:r>
            <w:r>
              <w:rPr>
                <w:rFonts w:hint="eastAsia" w:ascii="Times New Roman" w:hAnsi="Times New Roman" w:cs="Times New Roman"/>
                <w:b/>
                <w:bCs/>
                <w:color w:val="auto"/>
                <w:sz w:val="24"/>
                <w:szCs w:val="24"/>
                <w:lang w:val="en-US" w:eastAsia="zh-CN"/>
              </w:rPr>
              <w:t>3</w:t>
            </w:r>
            <w:r>
              <w:rPr>
                <w:rFonts w:hint="eastAsia" w:ascii="Times New Roman" w:hAnsi="Times New Roman" w:eastAsia="宋体" w:cs="Times New Roman"/>
                <w:b/>
                <w:bCs/>
                <w:color w:val="auto"/>
                <w:sz w:val="24"/>
                <w:szCs w:val="24"/>
                <w:lang w:val="en-US" w:eastAsia="zh-CN"/>
              </w:rPr>
              <w:t xml:space="preserve">  污水处理站工艺流程图</w:t>
            </w:r>
          </w:p>
          <w:p w14:paraId="29192BE6">
            <w:pPr>
              <w:pStyle w:val="52"/>
              <w:keepNext w:val="0"/>
              <w:keepLines w:val="0"/>
              <w:pageBreakBefore w:val="0"/>
              <w:widowControl w:val="0"/>
              <w:numPr>
                <w:ilvl w:val="0"/>
                <w:numId w:val="0"/>
              </w:numPr>
              <w:kinsoku/>
              <w:wordWrap/>
              <w:overflowPunct/>
              <w:topLinePunct w:val="0"/>
              <w:autoSpaceDE/>
              <w:autoSpaceDN/>
              <w:bidi w:val="0"/>
              <w:adjustRightInd/>
              <w:snapToGrid/>
              <w:spacing w:before="0" w:beforeLines="0" w:afterLines="0" w:line="520" w:lineRule="exact"/>
              <w:ind w:leftChars="0" w:right="0" w:rightChars="0" w:firstLine="482" w:firstLineChars="200"/>
              <w:jc w:val="both"/>
              <w:textAlignment w:val="auto"/>
              <w:rPr>
                <w:rFonts w:hint="eastAsia" w:ascii="Times New Roman" w:hAnsi="Times New Roman" w:eastAsia="宋体" w:cs="Times New Roman"/>
                <w:b/>
                <w:bCs/>
                <w:caps w:val="0"/>
                <w:color w:val="auto"/>
                <w:sz w:val="24"/>
                <w:szCs w:val="24"/>
                <w:highlight w:val="none"/>
                <w:lang w:eastAsia="zh-CN"/>
              </w:rPr>
            </w:pPr>
            <w:r>
              <w:rPr>
                <w:rFonts w:hint="eastAsia" w:ascii="Times New Roman" w:hAnsi="Times New Roman" w:eastAsia="宋体" w:cs="Times New Roman"/>
                <w:b/>
                <w:bCs/>
                <w:caps w:val="0"/>
                <w:color w:val="auto"/>
                <w:sz w:val="24"/>
                <w:szCs w:val="24"/>
                <w:highlight w:val="none"/>
                <w:lang w:val="en-US" w:eastAsia="zh-CN"/>
              </w:rPr>
              <w:t>2、危废暂存库工艺</w:t>
            </w:r>
          </w:p>
          <w:p w14:paraId="45D931BA">
            <w:pPr>
              <w:pStyle w:val="57"/>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①医疗废物收集装车转运</w:t>
            </w:r>
          </w:p>
          <w:p w14:paraId="39EDDE03">
            <w:pPr>
              <w:pStyle w:val="57"/>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运送人员每天从医疗废物产生地点将分类包装的医疗废物按照规定的时间和路线运送至</w:t>
            </w:r>
            <w:r>
              <w:rPr>
                <w:rFonts w:hint="eastAsia" w:ascii="Times New Roman" w:hAnsi="Times New Roman" w:eastAsia="宋体" w:cs="Times New Roman"/>
                <w:b w:val="0"/>
                <w:bCs w:val="0"/>
                <w:caps w:val="0"/>
                <w:color w:val="auto"/>
                <w:sz w:val="24"/>
                <w:szCs w:val="24"/>
                <w:highlight w:val="none"/>
                <w:lang w:val="en-US" w:eastAsia="zh-CN"/>
              </w:rPr>
              <w:t>危废暂存库</w:t>
            </w:r>
            <w:r>
              <w:rPr>
                <w:rFonts w:hint="default" w:ascii="Times New Roman" w:hAnsi="Times New Roman" w:eastAsia="宋体" w:cs="Times New Roman"/>
                <w:b w:val="0"/>
                <w:bCs w:val="0"/>
                <w:caps w:val="0"/>
                <w:color w:val="auto"/>
                <w:sz w:val="24"/>
                <w:szCs w:val="24"/>
                <w:highlight w:val="none"/>
                <w:lang w:val="en-US" w:eastAsia="zh-CN"/>
              </w:rPr>
              <w:t>暂存周转箱内，其中病理性医疗废物冷藏于冷柜内。转运过程全部在医院内部进行，内部转运前填写《医疗废物厂内转运记录表》，医疗废物收集转运时综合考虑医院内的实际情况确定转运路线，尽量避开办公区、门诊大厅等人群较聚集的区域。医疗废物内部转运结束后，对转运路线进行检查和清理，确保无医疗废物遗失在转运的路线上。</w:t>
            </w:r>
          </w:p>
          <w:p w14:paraId="0D6FEF40">
            <w:pPr>
              <w:pStyle w:val="57"/>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②医疗废物卸车</w:t>
            </w:r>
          </w:p>
          <w:p w14:paraId="0BAAAEEF">
            <w:pPr>
              <w:pStyle w:val="57"/>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医疗废物经过医院内规定的转运线路运至</w:t>
            </w:r>
            <w:r>
              <w:rPr>
                <w:rFonts w:hint="eastAsia" w:ascii="Times New Roman" w:hAnsi="Times New Roman" w:eastAsia="宋体" w:cs="Times New Roman"/>
                <w:b w:val="0"/>
                <w:bCs w:val="0"/>
                <w:caps w:val="0"/>
                <w:color w:val="auto"/>
                <w:sz w:val="24"/>
                <w:szCs w:val="24"/>
                <w:highlight w:val="none"/>
                <w:lang w:val="en-US" w:eastAsia="zh-CN"/>
              </w:rPr>
              <w:t>危废暂存库</w:t>
            </w:r>
            <w:r>
              <w:rPr>
                <w:rFonts w:hint="default" w:ascii="Times New Roman" w:hAnsi="Times New Roman" w:eastAsia="宋体" w:cs="Times New Roman"/>
                <w:b w:val="0"/>
                <w:bCs w:val="0"/>
                <w:caps w:val="0"/>
                <w:color w:val="auto"/>
                <w:sz w:val="24"/>
                <w:szCs w:val="24"/>
                <w:highlight w:val="none"/>
                <w:lang w:val="en-US" w:eastAsia="zh-CN"/>
              </w:rPr>
              <w:t>，卸车前进行医疗废物登记。在卸车区域进行医疗废物的转运，转运方式为直接将车上袋装或桶装的医疗废物移至相应贮存区的周转箱内，各医疗废物均不在暂存库更换包装及容器。</w:t>
            </w:r>
          </w:p>
          <w:p w14:paraId="74B7A4C1">
            <w:pPr>
              <w:pStyle w:val="57"/>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③分区贮存</w:t>
            </w:r>
          </w:p>
          <w:p w14:paraId="6EC31D6A">
            <w:pPr>
              <w:pStyle w:val="57"/>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根据医疗废物的种类和数量，将危险医疗废物分类贮存于对应的医疗废物贮存区，避免阳光直射</w:t>
            </w:r>
            <w:r>
              <w:rPr>
                <w:rFonts w:hint="eastAsia" w:ascii="Times New Roman" w:hAnsi="Times New Roman" w:eastAsia="宋体" w:cs="Times New Roman"/>
                <w:b w:val="0"/>
                <w:bCs w:val="0"/>
                <w:caps w:val="0"/>
                <w:color w:val="auto"/>
                <w:sz w:val="24"/>
                <w:szCs w:val="24"/>
                <w:highlight w:val="none"/>
                <w:lang w:val="en-US" w:eastAsia="zh-CN"/>
              </w:rPr>
              <w:t>入危废暂存库</w:t>
            </w:r>
            <w:r>
              <w:rPr>
                <w:rFonts w:hint="default" w:ascii="Times New Roman" w:hAnsi="Times New Roman" w:eastAsia="宋体" w:cs="Times New Roman"/>
                <w:b w:val="0"/>
                <w:bCs w:val="0"/>
                <w:caps w:val="0"/>
                <w:color w:val="auto"/>
                <w:sz w:val="24"/>
                <w:szCs w:val="24"/>
                <w:highlight w:val="none"/>
                <w:lang w:val="en-US" w:eastAsia="zh-CN"/>
              </w:rPr>
              <w:t>。</w:t>
            </w:r>
            <w:r>
              <w:rPr>
                <w:rFonts w:hint="eastAsia" w:ascii="Times New Roman" w:hAnsi="Times New Roman" w:eastAsia="宋体" w:cs="Times New Roman"/>
                <w:b w:val="0"/>
                <w:bCs w:val="0"/>
                <w:caps w:val="0"/>
                <w:color w:val="auto"/>
                <w:sz w:val="24"/>
                <w:szCs w:val="24"/>
                <w:highlight w:val="none"/>
                <w:lang w:val="en-US" w:eastAsia="zh-CN"/>
              </w:rPr>
              <w:t>危废暂存库</w:t>
            </w:r>
            <w:r>
              <w:rPr>
                <w:rFonts w:hint="default" w:ascii="Times New Roman" w:hAnsi="Times New Roman" w:eastAsia="宋体" w:cs="Times New Roman"/>
                <w:b w:val="0"/>
                <w:bCs w:val="0"/>
                <w:caps w:val="0"/>
                <w:color w:val="auto"/>
                <w:sz w:val="24"/>
                <w:szCs w:val="24"/>
                <w:highlight w:val="none"/>
                <w:lang w:val="en-US" w:eastAsia="zh-CN"/>
              </w:rPr>
              <w:t>内设置有安全照明设施，设置高度为30cm的门槛。化学性废物周转箱置于托盘上，以截留泄漏液体。</w:t>
            </w:r>
          </w:p>
          <w:p w14:paraId="72296DEC">
            <w:pPr>
              <w:pStyle w:val="57"/>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④医疗废物运出及最终处置</w:t>
            </w:r>
          </w:p>
          <w:p w14:paraId="2A652A03">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eastAsia" w:ascii="Times New Roman" w:hAnsi="Times New Roman" w:eastAsia="宋体" w:cs="Times New Roman"/>
                <w:b/>
                <w:bCs/>
                <w:color w:val="auto"/>
                <w:sz w:val="24"/>
                <w:szCs w:val="24"/>
                <w:lang w:val="en-US" w:eastAsia="zh-CN"/>
              </w:rPr>
            </w:pPr>
            <w:r>
              <w:rPr>
                <w:rFonts w:hint="default" w:ascii="Times New Roman" w:hAnsi="Times New Roman" w:eastAsia="宋体" w:cs="Times New Roman"/>
                <w:b w:val="0"/>
                <w:bCs w:val="0"/>
                <w:caps w:val="0"/>
                <w:color w:val="auto"/>
                <w:sz w:val="24"/>
                <w:szCs w:val="24"/>
                <w:highlight w:val="none"/>
                <w:lang w:val="en-US" w:eastAsia="zh-CN"/>
              </w:rPr>
              <w:t>本项目不进行医疗废物的运输和处置，由鄂尔多斯市仲安医疗废物集中处置有限公司拉运处置</w:t>
            </w:r>
            <w:r>
              <w:rPr>
                <w:rFonts w:hint="eastAsia" w:ascii="Times New Roman" w:hAnsi="Times New Roman" w:eastAsia="宋体" w:cs="Times New Roman"/>
                <w:b w:val="0"/>
                <w:bCs w:val="0"/>
                <w:caps w:val="0"/>
                <w:color w:val="auto"/>
                <w:sz w:val="24"/>
                <w:szCs w:val="24"/>
                <w:highlight w:val="none"/>
                <w:lang w:val="en-US" w:eastAsia="zh-CN"/>
              </w:rPr>
              <w:t>。</w:t>
            </w:r>
          </w:p>
          <w:p w14:paraId="7B622DB6">
            <w:pPr>
              <w:pStyle w:val="57"/>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ascii="Times New Roman" w:hAnsi="Times New Roman" w:eastAsia="宋体" w:cs="Times New Roman"/>
                <w:b w:val="0"/>
                <w:bCs w:val="0"/>
                <w:caps w:val="0"/>
                <w:color w:val="auto"/>
                <w:sz w:val="24"/>
                <w:szCs w:val="24"/>
                <w:highlight w:val="none"/>
                <w:lang w:val="en-US" w:eastAsia="zh-CN"/>
              </w:rPr>
            </w:pPr>
            <w:r>
              <w:rPr>
                <w:color w:val="auto"/>
                <w:sz w:val="24"/>
              </w:rPr>
              <mc:AlternateContent>
                <mc:Choice Requires="wpg">
                  <w:drawing>
                    <wp:inline distT="0" distB="0" distL="114300" distR="114300">
                      <wp:extent cx="3999230" cy="1910715"/>
                      <wp:effectExtent l="4445" t="0" r="15875" b="12700"/>
                      <wp:docPr id="131" name="组合 131"/>
                      <wp:cNvGraphicFramePr/>
                      <a:graphic xmlns:a="http://schemas.openxmlformats.org/drawingml/2006/main">
                        <a:graphicData uri="http://schemas.microsoft.com/office/word/2010/wordprocessingGroup">
                          <wpg:wgp>
                            <wpg:cNvGrpSpPr/>
                            <wpg:grpSpPr>
                              <a:xfrm>
                                <a:off x="0" y="0"/>
                                <a:ext cx="3999230" cy="1910715"/>
                                <a:chOff x="6601" y="543588"/>
                                <a:chExt cx="6298" cy="3009"/>
                              </a:xfrm>
                            </wpg:grpSpPr>
                            <wps:wsp>
                              <wps:cNvPr id="119" name="文本框 119"/>
                              <wps:cNvSpPr txBox="1"/>
                              <wps:spPr>
                                <a:xfrm>
                                  <a:off x="6601" y="544033"/>
                                  <a:ext cx="1185" cy="6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CBEC1BC">
                                    <w:pPr>
                                      <w:jc w:val="center"/>
                                      <w:rPr>
                                        <w:rFonts w:hint="eastAsia"/>
                                        <w:lang w:val="en-US" w:eastAsia="zh-CN"/>
                                      </w:rPr>
                                    </w:pPr>
                                    <w:r>
                                      <w:rPr>
                                        <w:rFonts w:hint="eastAsia"/>
                                        <w:lang w:val="en-US" w:eastAsia="zh-CN"/>
                                      </w:rPr>
                                      <w:t>医疗</w:t>
                                    </w:r>
                                  </w:p>
                                  <w:p w14:paraId="002634E3">
                                    <w:pPr>
                                      <w:jc w:val="center"/>
                                      <w:rPr>
                                        <w:rFonts w:hint="eastAsia" w:eastAsia="宋体"/>
                                        <w:lang w:val="en-US" w:eastAsia="zh-CN"/>
                                      </w:rPr>
                                    </w:pPr>
                                    <w:r>
                                      <w:rPr>
                                        <w:rFonts w:hint="eastAsia"/>
                                        <w:lang w:val="en-US" w:eastAsia="zh-CN"/>
                                      </w:rPr>
                                      <w:t>废物</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0" name="文本框 120"/>
                              <wps:cNvSpPr txBox="1"/>
                              <wps:spPr>
                                <a:xfrm>
                                  <a:off x="8851" y="544033"/>
                                  <a:ext cx="1185" cy="6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417A2D3">
                                    <w:pPr>
                                      <w:jc w:val="center"/>
                                      <w:rPr>
                                        <w:rFonts w:hint="default" w:eastAsia="宋体"/>
                                        <w:lang w:val="en-US" w:eastAsia="zh-CN"/>
                                      </w:rPr>
                                    </w:pPr>
                                    <w:r>
                                      <w:rPr>
                                        <w:rFonts w:hint="eastAsia" w:eastAsia="宋体"/>
                                        <w:lang w:val="en-US" w:eastAsia="zh-CN"/>
                                      </w:rPr>
                                      <w:t>转运至危废暂存库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1" name="文本框 121"/>
                              <wps:cNvSpPr txBox="1"/>
                              <wps:spPr>
                                <a:xfrm>
                                  <a:off x="11371" y="543868"/>
                                  <a:ext cx="1529" cy="10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5216325">
                                    <w:pPr>
                                      <w:jc w:val="center"/>
                                      <w:rPr>
                                        <w:rFonts w:hint="default" w:eastAsia="宋体"/>
                                        <w:lang w:val="en-US" w:eastAsia="zh-CN"/>
                                      </w:rPr>
                                    </w:pPr>
                                    <w:r>
                                      <w:rPr>
                                        <w:rFonts w:hint="eastAsia" w:eastAsia="宋体"/>
                                        <w:lang w:val="en-US" w:eastAsia="zh-CN"/>
                                      </w:rPr>
                                      <w:t>入库登记、办理危废转移联单</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2" name="文本框 122"/>
                              <wps:cNvSpPr txBox="1"/>
                              <wps:spPr>
                                <a:xfrm>
                                  <a:off x="11543" y="545735"/>
                                  <a:ext cx="1185" cy="6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A551517">
                                    <w:pPr>
                                      <w:jc w:val="center"/>
                                      <w:rPr>
                                        <w:rFonts w:hint="eastAsia"/>
                                        <w:lang w:val="en-US" w:eastAsia="zh-CN"/>
                                      </w:rPr>
                                    </w:pPr>
                                    <w:r>
                                      <w:rPr>
                                        <w:rFonts w:hint="eastAsia"/>
                                        <w:lang w:val="en-US" w:eastAsia="zh-CN"/>
                                      </w:rPr>
                                      <w:t>移交</w:t>
                                    </w:r>
                                  </w:p>
                                  <w:p w14:paraId="024E8F71">
                                    <w:pPr>
                                      <w:jc w:val="center"/>
                                      <w:rPr>
                                        <w:rFonts w:hint="default" w:eastAsia="宋体"/>
                                        <w:lang w:val="en-US" w:eastAsia="zh-CN"/>
                                      </w:rPr>
                                    </w:pPr>
                                    <w:r>
                                      <w:rPr>
                                        <w:rFonts w:hint="eastAsia"/>
                                        <w:lang w:val="en-US" w:eastAsia="zh-CN"/>
                                      </w:rPr>
                                      <w:t>登记</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3" name="文本框 123"/>
                              <wps:cNvSpPr txBox="1"/>
                              <wps:spPr>
                                <a:xfrm>
                                  <a:off x="8116" y="545563"/>
                                  <a:ext cx="1920" cy="1034"/>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A1DCC2D">
                                    <w:pPr>
                                      <w:jc w:val="center"/>
                                      <w:rPr>
                                        <w:rFonts w:hint="eastAsia" w:eastAsia="宋体"/>
                                        <w:lang w:val="en-US" w:eastAsia="zh-CN"/>
                                      </w:rPr>
                                    </w:pPr>
                                    <w:r>
                                      <w:rPr>
                                        <w:rFonts w:hint="eastAsia"/>
                                        <w:lang w:val="en-US" w:eastAsia="zh-CN"/>
                                      </w:rPr>
                                      <w:t>鄂尔多斯市仲安医疗废物集中处置有限公司</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4" name="直接箭头连接符 124"/>
                              <wps:cNvCnPr>
                                <a:stCxn id="119" idx="3"/>
                                <a:endCxn id="120" idx="1"/>
                              </wps:cNvCnPr>
                              <wps:spPr>
                                <a:xfrm>
                                  <a:off x="7786" y="544378"/>
                                  <a:ext cx="1065" cy="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25" name="直接箭头连接符 125"/>
                              <wps:cNvCnPr>
                                <a:stCxn id="120" idx="3"/>
                                <a:endCxn id="121" idx="1"/>
                              </wps:cNvCnPr>
                              <wps:spPr>
                                <a:xfrm>
                                  <a:off x="10036" y="544378"/>
                                  <a:ext cx="1335" cy="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26" name="直接箭头连接符 126"/>
                              <wps:cNvCnPr>
                                <a:stCxn id="121" idx="2"/>
                                <a:endCxn id="122" idx="0"/>
                              </wps:cNvCnPr>
                              <wps:spPr>
                                <a:xfrm>
                                  <a:off x="12136" y="544888"/>
                                  <a:ext cx="0" cy="847"/>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27" name="直接箭头连接符 127"/>
                              <wps:cNvCnPr>
                                <a:stCxn id="122" idx="1"/>
                                <a:endCxn id="123" idx="3"/>
                              </wps:cNvCnPr>
                              <wps:spPr>
                                <a:xfrm flipH="1">
                                  <a:off x="10036" y="546080"/>
                                  <a:ext cx="1507" cy="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28" name="文本框 128"/>
                              <wps:cNvSpPr txBox="1"/>
                              <wps:spPr>
                                <a:xfrm>
                                  <a:off x="8987" y="543588"/>
                                  <a:ext cx="1200" cy="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D600FE">
                                    <w:pP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G、N、S</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inline>
                  </w:drawing>
                </mc:Choice>
                <mc:Fallback>
                  <w:pict>
                    <v:group id="_x0000_s1026" o:spid="_x0000_s1026" o:spt="203" style="height:150.45pt;width:314.9pt;" coordorigin="6601,543588" coordsize="6298,3009" o:gfxdata="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">
                      <o:lock v:ext="edit" aspectratio="f"/>
                      <v:shape id="_x0000_s1026" o:spid="_x0000_s1026" o:spt="202" type="#_x0000_t202" style="position:absolute;left:6601;top:544033;height:690;width:1185;" fillcolor="#FFFFFF [3201]" filled="t" stroked="t" coordsize="21600,21600" o:gfxdata="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ZEcpdrUAAADc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0CBEC1BC">
                              <w:pPr>
                                <w:jc w:val="center"/>
                                <w:rPr>
                                  <w:rFonts w:hint="eastAsia"/>
                                  <w:lang w:val="en-US" w:eastAsia="zh-CN"/>
                                </w:rPr>
                              </w:pPr>
                              <w:r>
                                <w:rPr>
                                  <w:rFonts w:hint="eastAsia"/>
                                  <w:lang w:val="en-US" w:eastAsia="zh-CN"/>
                                </w:rPr>
                                <w:t>医疗</w:t>
                              </w:r>
                            </w:p>
                            <w:p w14:paraId="002634E3">
                              <w:pPr>
                                <w:jc w:val="center"/>
                                <w:rPr>
                                  <w:rFonts w:hint="eastAsia" w:eastAsia="宋体"/>
                                  <w:lang w:val="en-US" w:eastAsia="zh-CN"/>
                                </w:rPr>
                              </w:pPr>
                              <w:r>
                                <w:rPr>
                                  <w:rFonts w:hint="eastAsia"/>
                                  <w:lang w:val="en-US" w:eastAsia="zh-CN"/>
                                </w:rPr>
                                <w:t>废物</w:t>
                              </w:r>
                            </w:p>
                          </w:txbxContent>
                        </v:textbox>
                      </v:shape>
                      <v:shape id="_x0000_s1026" o:spid="_x0000_s1026" o:spt="202" type="#_x0000_t202" style="position:absolute;left:8851;top:544033;height:690;width:1185;" fillcolor="#FFFFFF [3201]" filled="t" stroked="t" coordsize="21600,21600" o:gfxdata="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7EUpWugAAANwA&#10;AAAPAAAAAAAAAAEAIAAAACIAAABkcnMvZG93bnJldi54bWxQSwECFAAUAAAACACHTuJAMy8FnjsA&#10;AAA5AAAAEAAAAAAAAAABACAAAAAJAQAAZHJzL3NoYXBleG1sLnhtbFBLBQYAAAAABgAGAFsBAACz&#10;AwAAAAA=&#10;">
                        <v:fill on="t" focussize="0,0"/>
                        <v:stroke weight="0.5pt" color="#000000 [3204]" joinstyle="round"/>
                        <v:imagedata o:title=""/>
                        <o:lock v:ext="edit" aspectratio="f"/>
                        <v:textbox>
                          <w:txbxContent>
                            <w:p w14:paraId="4417A2D3">
                              <w:pPr>
                                <w:jc w:val="center"/>
                                <w:rPr>
                                  <w:rFonts w:hint="default" w:eastAsia="宋体"/>
                                  <w:lang w:val="en-US" w:eastAsia="zh-CN"/>
                                </w:rPr>
                              </w:pPr>
                              <w:r>
                                <w:rPr>
                                  <w:rFonts w:hint="eastAsia" w:eastAsia="宋体"/>
                                  <w:lang w:val="en-US" w:eastAsia="zh-CN"/>
                                </w:rPr>
                                <w:t>转运至危废暂存库</w:t>
                              </w:r>
                            </w:p>
                          </w:txbxContent>
                        </v:textbox>
                      </v:shape>
                      <v:shape id="_x0000_s1026" o:spid="_x0000_s1026" o:spt="202" type="#_x0000_t202" style="position:absolute;left:11371;top:543868;height:1020;width:1529;" fillcolor="#FFFFFF [3201]" filled="t" stroked="t" coordsize="21600,21600" o:gfxdata="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VF3vzbUAAADc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55216325">
                              <w:pPr>
                                <w:jc w:val="center"/>
                                <w:rPr>
                                  <w:rFonts w:hint="default" w:eastAsia="宋体"/>
                                  <w:lang w:val="en-US" w:eastAsia="zh-CN"/>
                                </w:rPr>
                              </w:pPr>
                              <w:r>
                                <w:rPr>
                                  <w:rFonts w:hint="eastAsia" w:eastAsia="宋体"/>
                                  <w:lang w:val="en-US" w:eastAsia="zh-CN"/>
                                </w:rPr>
                                <w:t>入库登记、办理危废转移联单</w:t>
                              </w:r>
                            </w:p>
                          </w:txbxContent>
                        </v:textbox>
                      </v:shape>
                      <v:shape id="_x0000_s1026" o:spid="_x0000_s1026" o:spt="202" type="#_x0000_t202" style="position:absolute;left:11543;top:545735;height:690;width:1185;" fillcolor="#FFFFFF [3201]" filled="t" stroked="t" coordsize="21600,21600" o:gfxdata="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pI9xurUAAADc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3A551517">
                              <w:pPr>
                                <w:jc w:val="center"/>
                                <w:rPr>
                                  <w:rFonts w:hint="eastAsia"/>
                                  <w:lang w:val="en-US" w:eastAsia="zh-CN"/>
                                </w:rPr>
                              </w:pPr>
                              <w:r>
                                <w:rPr>
                                  <w:rFonts w:hint="eastAsia"/>
                                  <w:lang w:val="en-US" w:eastAsia="zh-CN"/>
                                </w:rPr>
                                <w:t>移交</w:t>
                              </w:r>
                            </w:p>
                            <w:p w14:paraId="024E8F71">
                              <w:pPr>
                                <w:jc w:val="center"/>
                                <w:rPr>
                                  <w:rFonts w:hint="default" w:eastAsia="宋体"/>
                                  <w:lang w:val="en-US" w:eastAsia="zh-CN"/>
                                </w:rPr>
                              </w:pPr>
                              <w:r>
                                <w:rPr>
                                  <w:rFonts w:hint="eastAsia"/>
                                  <w:lang w:val="en-US" w:eastAsia="zh-CN"/>
                                </w:rPr>
                                <w:t>登记</w:t>
                              </w:r>
                            </w:p>
                          </w:txbxContent>
                        </v:textbox>
                      </v:shape>
                      <v:shape id="_x0000_s1026" o:spid="_x0000_s1026" o:spt="202" type="#_x0000_t202" style="position:absolute;left:8116;top:545563;height:1034;width:1920;" fillcolor="#FFFFFF [3201]" filled="t" stroked="t" coordsize="21600,21600" o:gfxdata="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y8PUIbUAAADc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7A1DCC2D">
                              <w:pPr>
                                <w:jc w:val="center"/>
                                <w:rPr>
                                  <w:rFonts w:hint="eastAsia" w:eastAsia="宋体"/>
                                  <w:lang w:val="en-US" w:eastAsia="zh-CN"/>
                                </w:rPr>
                              </w:pPr>
                              <w:r>
                                <w:rPr>
                                  <w:rFonts w:hint="eastAsia"/>
                                  <w:lang w:val="en-US" w:eastAsia="zh-CN"/>
                                </w:rPr>
                                <w:t>鄂尔多斯市仲安医疗废物集中处置有限公司</w:t>
                              </w:r>
                            </w:p>
                          </w:txbxContent>
                        </v:textbox>
                      </v:shape>
                      <v:shape id="_x0000_s1026" o:spid="_x0000_s1026" o:spt="32" type="#_x0000_t32" style="position:absolute;left:7786;top:544378;height:0;width:1065;" filled="f" stroked="t" coordsize="21600,21600" o:gfxdata="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kHUIvQAA&#10;ANwAAAAPAAAAAAAAAAEAIAAAACIAAABkcnMvZG93bnJldi54bWxQSwECFAAUAAAACACHTuJAMy8F&#10;njsAAAA5AAAAEAAAAAAAAAABACAAAAAMAQAAZHJzL3NoYXBleG1sLnhtbFBLBQYAAAAABgAGAFsB&#10;AAC2AwAAAAA=&#10;">
                        <v:fill on="f" focussize="0,0"/>
                        <v:stroke weight="0.5pt" color="#000000 [3213]" joinstyle="round" endarrow="open"/>
                        <v:imagedata o:title=""/>
                        <o:lock v:ext="edit" aspectratio="f"/>
                      </v:shape>
                      <v:shape id="_x0000_s1026" o:spid="_x0000_s1026" o:spt="32" type="#_x0000_t32" style="position:absolute;left:10036;top:544378;height:0;width:1335;" filled="f" stroked="t" coordsize="21600,21600" o:gfxdata="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3NCTvQAA&#10;ANwAAAAPAAAAAAAAAAEAIAAAACIAAABkcnMvZG93bnJldi54bWxQSwECFAAUAAAACACHTuJAMy8F&#10;njsAAAA5AAAAEAAAAAAAAAABACAAAAAMAQAAZHJzL3NoYXBleG1sLnhtbFBLBQYAAAAABgAGAFsB&#10;AAC2AwAAAAA=&#10;">
                        <v:fill on="f" focussize="0,0"/>
                        <v:stroke weight="0.5pt" color="#000000 [3213]" joinstyle="round" endarrow="open"/>
                        <v:imagedata o:title=""/>
                        <o:lock v:ext="edit" aspectratio="f"/>
                      </v:shape>
                      <v:shape id="_x0000_s1026" o:spid="_x0000_s1026" o:spt="32" type="#_x0000_t32" style="position:absolute;left:12136;top:544888;height:847;width:0;" filled="f" stroked="t" coordsize="21600,21600" o:gfxdata="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Dk7kvQAA&#10;ANwAAAAPAAAAAAAAAAEAIAAAACIAAABkcnMvZG93bnJldi54bWxQSwECFAAUAAAACACHTuJAMy8F&#10;njsAAAA5AAAAEAAAAAAAAAABACAAAAAMAQAAZHJzL3NoYXBleG1sLnhtbFBLBQYAAAAABgAGAFsB&#10;AAC2AwAAAAA=&#10;">
                        <v:fill on="f" focussize="0,0"/>
                        <v:stroke weight="0.5pt" color="#000000 [3213]" joinstyle="round" endarrow="open"/>
                        <v:imagedata o:title=""/>
                        <o:lock v:ext="edit" aspectratio="f"/>
                      </v:shape>
                      <v:shape id="_x0000_s1026" o:spid="_x0000_s1026" o:spt="32" type="#_x0000_t32" style="position:absolute;left:10036;top:546080;flip:x;height:0;width:1507;" filled="f" stroked="t" coordsize="21600,21600" o:gfxdata="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RXPOvQAA&#10;ANwAAAAPAAAAAAAAAAEAIAAAACIAAABkcnMvZG93bnJldi54bWxQSwECFAAUAAAACACHTuJAMy8F&#10;njsAAAA5AAAAEAAAAAAAAAABACAAAAAMAQAAZHJzL3NoYXBleG1sLnhtbFBLBQYAAAAABgAGAFsB&#10;AAC2AwAAAAA=&#10;">
                        <v:fill on="f" focussize="0,0"/>
                        <v:stroke weight="0.5pt" color="#000000 [3213]" joinstyle="round" endarrow="open"/>
                        <v:imagedata o:title=""/>
                        <o:lock v:ext="edit" aspectratio="f"/>
                      </v:shape>
                      <v:shape id="_x0000_s1026" o:spid="_x0000_s1026" o:spt="202" type="#_x0000_t202" style="position:absolute;left:8987;top:543588;height:450;width:1200;" filled="f" stroked="f" coordsize="21600,21600" o:gfxdata="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aCV3o&#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35D600FE">
                              <w:pP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G、N、S</w:t>
                              </w:r>
                            </w:p>
                          </w:txbxContent>
                        </v:textbox>
                      </v:shape>
                      <w10:wrap type="none"/>
                      <w10:anchorlock/>
                    </v:group>
                  </w:pict>
                </mc:Fallback>
              </mc:AlternateContent>
            </w:r>
          </w:p>
          <w:p w14:paraId="2D979582">
            <w:pPr>
              <w:pStyle w:val="45"/>
              <w:keepNext w:val="0"/>
              <w:keepLines w:val="0"/>
              <w:pageBreakBefore w:val="0"/>
              <w:widowControl w:val="0"/>
              <w:tabs>
                <w:tab w:val="left" w:pos="895"/>
              </w:tabs>
              <w:kinsoku/>
              <w:wordWrap/>
              <w:overflowPunct/>
              <w:topLinePunct w:val="0"/>
              <w:autoSpaceDE w:val="0"/>
              <w:autoSpaceDN w:val="0"/>
              <w:bidi w:val="0"/>
              <w:adjustRightInd/>
              <w:snapToGrid/>
              <w:spacing w:line="520" w:lineRule="exact"/>
              <w:ind w:firstLine="0" w:firstLineChars="0"/>
              <w:jc w:val="right"/>
              <w:textAlignment w:val="auto"/>
              <w:rPr>
                <w:rFonts w:hint="eastAsia" w:ascii="Times New Roman" w:hAnsi="Times New Roman" w:cs="Times New Roman"/>
                <w:b/>
                <w:bCs/>
                <w:color w:val="auto"/>
                <w:sz w:val="24"/>
                <w:lang w:val="en-US" w:eastAsia="zh-CN"/>
              </w:rPr>
            </w:pPr>
            <w:r>
              <w:rPr>
                <w:color w:val="auto"/>
                <w:sz w:val="21"/>
              </w:rPr>
              <mc:AlternateContent>
                <mc:Choice Requires="wps">
                  <w:drawing>
                    <wp:inline distT="0" distB="0" distL="0" distR="0">
                      <wp:extent cx="2322830" cy="287655"/>
                      <wp:effectExtent l="0" t="0" r="0" b="0"/>
                      <wp:docPr id="1063" name="文本框 40"/>
                      <wp:cNvGraphicFramePr/>
                      <a:graphic xmlns:a="http://schemas.openxmlformats.org/drawingml/2006/main">
                        <a:graphicData uri="http://schemas.microsoft.com/office/word/2010/wordprocessingShape">
                          <wps:wsp>
                            <wps:cNvSpPr/>
                            <wps:spPr>
                              <a:xfrm>
                                <a:off x="5014595" y="4472305"/>
                                <a:ext cx="2322830" cy="287655"/>
                              </a:xfrm>
                              <a:prstGeom prst="rect">
                                <a:avLst/>
                              </a:prstGeom>
                              <a:noFill/>
                              <a:ln w="9525" cap="flat" cmpd="sng">
                                <a:noFill/>
                                <a:prstDash val="solid"/>
                                <a:miter/>
                                <a:headEnd type="none" w="med" len="med"/>
                                <a:tailEnd type="none" w="med" len="med"/>
                              </a:ln>
                              <a:effectLst/>
                            </wps:spPr>
                            <wps:txbx>
                              <w:txbxContent>
                                <w:p w14:paraId="405B0B9C">
                                  <w:pPr>
                                    <w:jc w:val="center"/>
                                    <w:rPr>
                                      <w:rFonts w:hint="default" w:ascii="Times New Roman" w:hAnsi="Times New Roman" w:eastAsia="宋体" w:cs="Times New Roman"/>
                                      <w:lang w:val="en-US" w:eastAsia="zh-CN"/>
                                    </w:rPr>
                                  </w:pPr>
                                  <w:r>
                                    <w:rPr>
                                      <w:rFonts w:hint="default" w:ascii="Times New Roman" w:hAnsi="Times New Roman" w:eastAsia="宋体" w:cs="Times New Roman"/>
                                      <w:lang w:eastAsia="zh-CN"/>
                                    </w:rPr>
                                    <w:t>图例</w:t>
                                  </w:r>
                                  <w:r>
                                    <w:rPr>
                                      <w:rFonts w:hint="eastAsia" w:ascii="Times New Roman" w:hAnsi="Times New Roman" w:eastAsia="宋体" w:cs="Times New Roman"/>
                                      <w:lang w:eastAsia="zh-CN"/>
                                    </w:rPr>
                                    <w:t>：</w:t>
                                  </w:r>
                                  <w:r>
                                    <w:rPr>
                                      <w:rFonts w:hint="default" w:ascii="Times New Roman" w:hAnsi="Times New Roman" w:eastAsia="宋体" w:cs="Times New Roman"/>
                                      <w:lang w:val="en-US" w:eastAsia="zh-CN"/>
                                    </w:rPr>
                                    <w:t>G废气</w:t>
                                  </w:r>
                                  <w:r>
                                    <w:rPr>
                                      <w:rFonts w:hint="eastAsia" w:cs="Times New Roman"/>
                                      <w:lang w:val="en-US" w:eastAsia="zh-CN"/>
                                    </w:rPr>
                                    <w:t xml:space="preserve">  </w:t>
                                  </w:r>
                                  <w:r>
                                    <w:rPr>
                                      <w:rFonts w:hint="default" w:ascii="Times New Roman" w:hAnsi="Times New Roman" w:eastAsia="宋体" w:cs="Times New Roman"/>
                                      <w:lang w:val="en-US" w:eastAsia="zh-CN"/>
                                    </w:rPr>
                                    <w:t xml:space="preserve">  N噪声 </w:t>
                                  </w:r>
                                  <w:r>
                                    <w:rPr>
                                      <w:rFonts w:hint="eastAsia" w:ascii="Times New Roman" w:hAnsi="Times New Roman" w:cs="Times New Roman"/>
                                      <w:lang w:val="en-US" w:eastAsia="zh-CN"/>
                                    </w:rPr>
                                    <w:t xml:space="preserve">   </w:t>
                                  </w:r>
                                  <w:r>
                                    <w:rPr>
                                      <w:rFonts w:hint="default" w:ascii="Times New Roman" w:hAnsi="Times New Roman" w:eastAsia="宋体" w:cs="Times New Roman"/>
                                      <w:lang w:val="en-US" w:eastAsia="zh-CN"/>
                                    </w:rPr>
                                    <w:t>S固废</w:t>
                                  </w:r>
                                </w:p>
                              </w:txbxContent>
                            </wps:txbx>
                            <wps:bodyPr vert="horz" wrap="square" anchor="t" anchorCtr="0" upright="1"/>
                          </wps:wsp>
                        </a:graphicData>
                      </a:graphic>
                    </wp:inline>
                  </w:drawing>
                </mc:Choice>
                <mc:Fallback>
                  <w:pict>
                    <v:rect id="文本框 40" o:spid="_x0000_s1026" o:spt="1" style="height:22.65pt;width:182.9pt;" filled="f" stroked="f" coordsize="21600,21600" o:gfxdata="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uYVzd&#10;1gAAAAQBAAAPAAAAAAAAAAEAIAAAACIAAABkcnMvZG93bnJldi54bWxQSwECFAAUAAAACACHTuJA&#10;87z8biMCAAArBAAADgAAAAAAAAABACAAAAAlAQAAZHJzL2Uyb0RvYy54bWxQSwUGAAAAAAYABgBZ&#10;AQAAugUAAAAA&#10;">
                      <v:fill on="f" focussize="0,0"/>
                      <v:stroke on="f" joinstyle="miter"/>
                      <v:imagedata o:title=""/>
                      <o:lock v:ext="edit" aspectratio="f"/>
                      <v:textbox>
                        <w:txbxContent>
                          <w:p w14:paraId="405B0B9C">
                            <w:pPr>
                              <w:jc w:val="center"/>
                              <w:rPr>
                                <w:rFonts w:hint="default" w:ascii="Times New Roman" w:hAnsi="Times New Roman" w:eastAsia="宋体" w:cs="Times New Roman"/>
                                <w:lang w:val="en-US" w:eastAsia="zh-CN"/>
                              </w:rPr>
                            </w:pPr>
                            <w:r>
                              <w:rPr>
                                <w:rFonts w:hint="default" w:ascii="Times New Roman" w:hAnsi="Times New Roman" w:eastAsia="宋体" w:cs="Times New Roman"/>
                                <w:lang w:eastAsia="zh-CN"/>
                              </w:rPr>
                              <w:t>图例</w:t>
                            </w:r>
                            <w:r>
                              <w:rPr>
                                <w:rFonts w:hint="eastAsia" w:ascii="Times New Roman" w:hAnsi="Times New Roman" w:eastAsia="宋体" w:cs="Times New Roman"/>
                                <w:lang w:eastAsia="zh-CN"/>
                              </w:rPr>
                              <w:t>：</w:t>
                            </w:r>
                            <w:r>
                              <w:rPr>
                                <w:rFonts w:hint="default" w:ascii="Times New Roman" w:hAnsi="Times New Roman" w:eastAsia="宋体" w:cs="Times New Roman"/>
                                <w:lang w:val="en-US" w:eastAsia="zh-CN"/>
                              </w:rPr>
                              <w:t>G废气</w:t>
                            </w:r>
                            <w:r>
                              <w:rPr>
                                <w:rFonts w:hint="eastAsia" w:cs="Times New Roman"/>
                                <w:lang w:val="en-US" w:eastAsia="zh-CN"/>
                              </w:rPr>
                              <w:t xml:space="preserve">  </w:t>
                            </w:r>
                            <w:r>
                              <w:rPr>
                                <w:rFonts w:hint="default" w:ascii="Times New Roman" w:hAnsi="Times New Roman" w:eastAsia="宋体" w:cs="Times New Roman"/>
                                <w:lang w:val="en-US" w:eastAsia="zh-CN"/>
                              </w:rPr>
                              <w:t xml:space="preserve">  N噪声 </w:t>
                            </w:r>
                            <w:r>
                              <w:rPr>
                                <w:rFonts w:hint="eastAsia" w:ascii="Times New Roman" w:hAnsi="Times New Roman" w:cs="Times New Roman"/>
                                <w:lang w:val="en-US" w:eastAsia="zh-CN"/>
                              </w:rPr>
                              <w:t xml:space="preserve">   </w:t>
                            </w:r>
                            <w:r>
                              <w:rPr>
                                <w:rFonts w:hint="default" w:ascii="Times New Roman" w:hAnsi="Times New Roman" w:eastAsia="宋体" w:cs="Times New Roman"/>
                                <w:lang w:val="en-US" w:eastAsia="zh-CN"/>
                              </w:rPr>
                              <w:t>S固废</w:t>
                            </w:r>
                          </w:p>
                        </w:txbxContent>
                      </v:textbox>
                      <w10:wrap type="none"/>
                      <w10:anchorlock/>
                    </v:rect>
                  </w:pict>
                </mc:Fallback>
              </mc:AlternateContent>
            </w:r>
          </w:p>
          <w:p w14:paraId="3D6D8ADB">
            <w:pPr>
              <w:pStyle w:val="31"/>
              <w:keepNext w:val="0"/>
              <w:keepLines w:val="0"/>
              <w:pageBreakBefore w:val="0"/>
              <w:widowControl w:val="0"/>
              <w:numPr>
                <w:ilvl w:val="0"/>
                <w:numId w:val="0"/>
              </w:numPr>
              <w:kinsoku/>
              <w:overflowPunct/>
              <w:topLinePunct w:val="0"/>
              <w:autoSpaceDE/>
              <w:autoSpaceDN/>
              <w:bidi w:val="0"/>
              <w:adjustRightInd w:val="0"/>
              <w:snapToGrid w:val="0"/>
              <w:spacing w:line="520" w:lineRule="exact"/>
              <w:ind w:right="0"/>
              <w:jc w:val="center"/>
              <w:textAlignment w:val="auto"/>
              <w:rPr>
                <w:rFonts w:hint="eastAsia" w:ascii="Times New Roman" w:hAnsi="Times New Roman" w:eastAsia="宋体" w:cs="Times New Roman"/>
                <w:b/>
                <w:bCs/>
                <w:color w:val="auto"/>
                <w:sz w:val="24"/>
                <w:szCs w:val="24"/>
                <w:lang w:val="en-US" w:eastAsia="zh-CN"/>
              </w:rPr>
            </w:pPr>
            <w:r>
              <w:rPr>
                <w:rFonts w:hint="eastAsia" w:ascii="Times New Roman" w:hAnsi="Times New Roman" w:cs="Times New Roman"/>
                <w:b/>
                <w:bCs/>
                <w:color w:val="auto"/>
                <w:sz w:val="24"/>
                <w:lang w:val="en-US" w:eastAsia="zh-CN"/>
              </w:rPr>
              <w:t>图</w:t>
            </w:r>
            <w:r>
              <w:rPr>
                <w:rFonts w:ascii="Times New Roman" w:hAnsi="Times New Roman" w:cs="Times New Roman"/>
                <w:b/>
                <w:bCs/>
                <w:color w:val="auto"/>
                <w:sz w:val="24"/>
                <w:lang w:val="en-US"/>
              </w:rPr>
              <w:t>2-</w:t>
            </w:r>
            <w:r>
              <w:rPr>
                <w:rFonts w:hint="eastAsia" w:ascii="Times New Roman" w:hAnsi="Times New Roman" w:cs="Times New Roman"/>
                <w:b/>
                <w:bCs/>
                <w:color w:val="auto"/>
                <w:sz w:val="24"/>
                <w:lang w:val="en-US" w:eastAsia="zh-CN"/>
              </w:rPr>
              <w:t>4</w:t>
            </w:r>
            <w:r>
              <w:rPr>
                <w:rFonts w:hint="eastAsia" w:ascii="Times New Roman" w:hAnsi="Times New Roman" w:cs="Times New Roman"/>
                <w:b/>
                <w:bCs/>
                <w:color w:val="auto"/>
                <w:sz w:val="24"/>
                <w:lang w:val="en-US"/>
              </w:rPr>
              <w:t xml:space="preserve">    </w:t>
            </w:r>
            <w:r>
              <w:rPr>
                <w:rFonts w:hint="eastAsia" w:ascii="Times New Roman" w:hAnsi="Times New Roman" w:cs="Times New Roman"/>
                <w:b/>
                <w:bCs/>
                <w:color w:val="auto"/>
                <w:sz w:val="24"/>
                <w:lang w:val="en-US" w:eastAsia="zh-CN"/>
              </w:rPr>
              <w:t>危废暂存库工艺流程及产排污</w:t>
            </w:r>
            <w:r>
              <w:rPr>
                <w:rFonts w:ascii="Times New Roman" w:hAnsi="Times New Roman" w:cs="Times New Roman"/>
                <w:b/>
                <w:bCs/>
                <w:color w:val="auto"/>
                <w:sz w:val="24"/>
                <w:lang w:val="en-US"/>
              </w:rPr>
              <w:t>图</w:t>
            </w:r>
          </w:p>
          <w:p w14:paraId="0099ACE9">
            <w:pPr>
              <w:pStyle w:val="31"/>
              <w:keepNext w:val="0"/>
              <w:keepLines w:val="0"/>
              <w:pageBreakBefore w:val="0"/>
              <w:widowControl w:val="0"/>
              <w:numPr>
                <w:ilvl w:val="0"/>
                <w:numId w:val="0"/>
              </w:numPr>
              <w:kinsoku/>
              <w:overflowPunct/>
              <w:topLinePunct w:val="0"/>
              <w:autoSpaceDE/>
              <w:autoSpaceDN/>
              <w:bidi w:val="0"/>
              <w:adjustRightInd w:val="0"/>
              <w:snapToGrid w:val="0"/>
              <w:spacing w:line="240" w:lineRule="auto"/>
              <w:ind w:left="0" w:leftChars="0" w:right="0" w:firstLine="0" w:firstLineChars="0"/>
              <w:jc w:val="center"/>
              <w:textAlignment w:val="auto"/>
              <w:rPr>
                <w:rFonts w:hint="eastAsia" w:ascii="Times New Roman" w:hAnsi="Times New Roman" w:eastAsia="宋体" w:cs="Times New Roman"/>
                <w:b/>
                <w:bCs/>
                <w:color w:val="auto"/>
                <w:sz w:val="24"/>
                <w:szCs w:val="24"/>
                <w:lang w:val="en-US" w:eastAsia="zh-CN"/>
              </w:rPr>
            </w:pPr>
            <w:r>
              <w:rPr>
                <w:color w:val="auto"/>
              </w:rPr>
              <w:drawing>
                <wp:inline distT="0" distB="0" distL="114300" distR="114300">
                  <wp:extent cx="3513455" cy="4841875"/>
                  <wp:effectExtent l="0" t="0" r="10795" b="15875"/>
                  <wp:docPr id="62"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32"/>
                          <pic:cNvPicPr>
                            <a:picLocks noChangeAspect="1"/>
                          </pic:cNvPicPr>
                        </pic:nvPicPr>
                        <pic:blipFill>
                          <a:blip r:embed="rId22"/>
                          <a:stretch>
                            <a:fillRect/>
                          </a:stretch>
                        </pic:blipFill>
                        <pic:spPr>
                          <a:xfrm>
                            <a:off x="0" y="0"/>
                            <a:ext cx="3513455" cy="4841875"/>
                          </a:xfrm>
                          <a:prstGeom prst="rect">
                            <a:avLst/>
                          </a:prstGeom>
                          <a:noFill/>
                          <a:ln>
                            <a:noFill/>
                          </a:ln>
                        </pic:spPr>
                      </pic:pic>
                    </a:graphicData>
                  </a:graphic>
                </wp:inline>
              </w:drawing>
            </w:r>
          </w:p>
          <w:p w14:paraId="409749EB">
            <w:pPr>
              <w:pStyle w:val="31"/>
              <w:keepNext w:val="0"/>
              <w:keepLines w:val="0"/>
              <w:pageBreakBefore w:val="0"/>
              <w:widowControl w:val="0"/>
              <w:numPr>
                <w:ilvl w:val="0"/>
                <w:numId w:val="0"/>
              </w:numPr>
              <w:kinsoku/>
              <w:wordWrap w:val="0"/>
              <w:overflowPunct/>
              <w:topLinePunct w:val="0"/>
              <w:autoSpaceDE/>
              <w:autoSpaceDN/>
              <w:bidi w:val="0"/>
              <w:adjustRightInd w:val="0"/>
              <w:snapToGrid w:val="0"/>
              <w:spacing w:line="520" w:lineRule="exact"/>
              <w:ind w:left="0" w:leftChars="0" w:right="0" w:firstLine="0" w:firstLineChars="0"/>
              <w:jc w:val="center"/>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eastAsia" w:ascii="Times New Roman" w:hAnsi="Times New Roman" w:eastAsia="宋体" w:cs="Times New Roman"/>
                <w:b/>
                <w:bCs/>
                <w:color w:val="auto"/>
                <w:sz w:val="24"/>
                <w:szCs w:val="24"/>
                <w:lang w:val="en-US" w:eastAsia="zh-CN"/>
              </w:rPr>
              <w:t>图2-</w:t>
            </w:r>
            <w:r>
              <w:rPr>
                <w:rFonts w:hint="eastAsia" w:ascii="Times New Roman" w:hAnsi="Times New Roman" w:cs="Times New Roman"/>
                <w:b/>
                <w:bCs/>
                <w:color w:val="auto"/>
                <w:sz w:val="24"/>
                <w:szCs w:val="24"/>
                <w:lang w:val="en-US" w:eastAsia="zh-CN"/>
              </w:rPr>
              <w:t>5</w:t>
            </w:r>
            <w:r>
              <w:rPr>
                <w:rFonts w:hint="eastAsia" w:ascii="Times New Roman" w:hAnsi="Times New Roman" w:eastAsia="宋体" w:cs="Times New Roman"/>
                <w:b/>
                <w:bCs/>
                <w:color w:val="auto"/>
                <w:sz w:val="24"/>
                <w:szCs w:val="24"/>
                <w:lang w:val="en-US" w:eastAsia="zh-CN"/>
              </w:rPr>
              <w:t xml:space="preserve">     运营期诊疗流程及产污环节图</w:t>
            </w:r>
          </w:p>
        </w:tc>
      </w:tr>
      <w:tr w14:paraId="1AB20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trPr>
        <w:tc>
          <w:tcPr>
            <w:tcW w:w="811" w:type="dxa"/>
            <w:tcBorders>
              <w:right w:val="single" w:color="000000" w:sz="4" w:space="0"/>
            </w:tcBorders>
            <w:noWrap w:val="0"/>
            <w:vAlign w:val="center"/>
          </w:tcPr>
          <w:p w14:paraId="695DF5AF">
            <w:pPr>
              <w:pStyle w:val="4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ascii="Times New Roman" w:hAnsi="Times New Roman" w:cs="Times New Roman"/>
                <w:color w:val="auto"/>
                <w:spacing w:val="-2"/>
                <w:sz w:val="24"/>
                <w:szCs w:val="24"/>
                <w:lang w:val="en-US"/>
              </w:rPr>
            </w:pPr>
            <w:r>
              <w:rPr>
                <w:rFonts w:ascii="Times New Roman" w:hAnsi="Times New Roman" w:cs="Times New Roman"/>
                <w:color w:val="auto"/>
                <w:spacing w:val="-2"/>
                <w:sz w:val="24"/>
                <w:szCs w:val="24"/>
                <w:lang w:val="en-US"/>
              </w:rPr>
              <w:t>与项目有关的</w:t>
            </w:r>
            <w:r>
              <w:rPr>
                <w:rFonts w:hint="eastAsia" w:ascii="Times New Roman" w:hAnsi="Times New Roman" w:cs="Times New Roman"/>
                <w:color w:val="auto"/>
                <w:spacing w:val="-2"/>
                <w:sz w:val="24"/>
                <w:szCs w:val="24"/>
                <w:lang w:val="en-US" w:eastAsia="zh-CN"/>
              </w:rPr>
              <w:t>现有</w:t>
            </w:r>
            <w:r>
              <w:rPr>
                <w:rFonts w:ascii="Times New Roman" w:hAnsi="Times New Roman" w:cs="Times New Roman"/>
                <w:color w:val="auto"/>
                <w:spacing w:val="-2"/>
                <w:sz w:val="24"/>
                <w:szCs w:val="24"/>
                <w:lang w:val="en-US"/>
              </w:rPr>
              <w:t>环境污染问题</w:t>
            </w:r>
          </w:p>
        </w:tc>
        <w:tc>
          <w:tcPr>
            <w:tcW w:w="8164" w:type="dxa"/>
            <w:tcBorders>
              <w:left w:val="single" w:color="000000" w:sz="4" w:space="0"/>
            </w:tcBorders>
            <w:noWrap w:val="0"/>
            <w:vAlign w:val="center"/>
          </w:tcPr>
          <w:p w14:paraId="66A63B74">
            <w:pPr>
              <w:pStyle w:val="45"/>
              <w:autoSpaceDE/>
              <w:autoSpaceDN/>
              <w:spacing w:line="520" w:lineRule="exact"/>
              <w:ind w:firstLine="482" w:firstLineChars="200"/>
              <w:jc w:val="both"/>
              <w:rPr>
                <w:rFonts w:hint="eastAsia" w:ascii="Times New Roman" w:hAnsi="Times New Roman" w:cs="Times New Roman"/>
                <w:b/>
                <w:bCs w:val="0"/>
                <w:color w:val="auto"/>
                <w:sz w:val="24"/>
                <w:lang w:val="en-US" w:eastAsia="zh-CN"/>
              </w:rPr>
            </w:pPr>
            <w:r>
              <w:rPr>
                <w:rFonts w:hint="eastAsia" w:ascii="Times New Roman" w:hAnsi="Times New Roman" w:cs="Times New Roman"/>
                <w:b/>
                <w:bCs w:val="0"/>
                <w:color w:val="auto"/>
                <w:sz w:val="24"/>
                <w:lang w:val="en-US" w:eastAsia="zh-CN"/>
              </w:rPr>
              <w:t>一、鄂尔多斯广厦医院现有工程污染物排放情况如下：</w:t>
            </w:r>
          </w:p>
          <w:p w14:paraId="6325C8A7">
            <w:pPr>
              <w:pStyle w:val="45"/>
              <w:autoSpaceDE/>
              <w:autoSpaceDN/>
              <w:spacing w:line="520" w:lineRule="exact"/>
              <w:ind w:firstLine="480" w:firstLineChars="200"/>
              <w:jc w:val="both"/>
              <w:rPr>
                <w:rFonts w:hint="eastAsia" w:ascii="Times New Roman" w:hAnsi="Times New Roman" w:cs="Times New Roman"/>
                <w:b w:val="0"/>
                <w:bCs/>
                <w:color w:val="auto"/>
                <w:sz w:val="24"/>
                <w:lang w:val="en-US" w:eastAsia="zh-CN"/>
              </w:rPr>
            </w:pPr>
            <w:r>
              <w:rPr>
                <w:rFonts w:hint="eastAsia" w:ascii="Times New Roman" w:hAnsi="Times New Roman" w:cs="Times New Roman"/>
                <w:b w:val="0"/>
                <w:bCs/>
                <w:color w:val="auto"/>
                <w:sz w:val="24"/>
                <w:lang w:val="en-US" w:eastAsia="zh-CN"/>
              </w:rPr>
              <w:t>鄂尔多斯广厦医院现有工程主要包括1栋门诊楼、1栋综合楼、1座处理规模为50m</w:t>
            </w:r>
            <w:r>
              <w:rPr>
                <w:rFonts w:hint="eastAsia" w:ascii="Times New Roman" w:hAnsi="Times New Roman" w:cs="Times New Roman"/>
                <w:b w:val="0"/>
                <w:bCs/>
                <w:color w:val="auto"/>
                <w:sz w:val="24"/>
                <w:vertAlign w:val="superscript"/>
                <w:lang w:val="en-US" w:eastAsia="zh-CN"/>
              </w:rPr>
              <w:t>3</w:t>
            </w:r>
            <w:r>
              <w:rPr>
                <w:rFonts w:hint="eastAsia" w:ascii="Times New Roman" w:hAnsi="Times New Roman" w:cs="Times New Roman"/>
                <w:b w:val="0"/>
                <w:bCs/>
                <w:color w:val="auto"/>
                <w:sz w:val="24"/>
                <w:vertAlign w:val="baseline"/>
                <w:lang w:val="en-US" w:eastAsia="zh-CN"/>
              </w:rPr>
              <w:t>的</w:t>
            </w:r>
            <w:r>
              <w:rPr>
                <w:rFonts w:hint="eastAsia" w:ascii="Times New Roman" w:hAnsi="Times New Roman" w:cs="Times New Roman"/>
                <w:b w:val="0"/>
                <w:bCs/>
                <w:color w:val="auto"/>
                <w:sz w:val="24"/>
                <w:lang w:val="en-US" w:eastAsia="zh-CN"/>
              </w:rPr>
              <w:t>污水处理站及其他附属设施，医院内不设食堂。主要污染源为污水处理站恶臭气体及废水，污染物排放包括污水处理站无组织废气、污水处理站出水、通风设施风机等设备产生的设备噪声、人员噪声、汽车噪声等、医疗废物、污水处理站污泥、生活垃圾。</w:t>
            </w:r>
          </w:p>
          <w:p w14:paraId="70D41CDD">
            <w:pPr>
              <w:pStyle w:val="45"/>
              <w:autoSpaceDE/>
              <w:autoSpaceDN/>
              <w:spacing w:line="520" w:lineRule="exact"/>
              <w:ind w:firstLine="482" w:firstLineChars="200"/>
              <w:jc w:val="both"/>
              <w:rPr>
                <w:rFonts w:hint="eastAsia" w:ascii="Times New Roman" w:hAnsi="Times New Roman" w:cs="Times New Roman"/>
                <w:b/>
                <w:bCs w:val="0"/>
                <w:color w:val="auto"/>
                <w:sz w:val="24"/>
                <w:lang w:val="en-US" w:eastAsia="zh-CN"/>
              </w:rPr>
            </w:pPr>
            <w:r>
              <w:rPr>
                <w:rFonts w:hint="eastAsia" w:ascii="Times New Roman" w:hAnsi="Times New Roman" w:cs="Times New Roman"/>
                <w:b/>
                <w:bCs w:val="0"/>
                <w:color w:val="auto"/>
                <w:sz w:val="24"/>
                <w:lang w:val="en-US" w:eastAsia="zh-CN"/>
              </w:rPr>
              <w:t>1、大气环境</w:t>
            </w:r>
          </w:p>
          <w:p w14:paraId="7899EBE7">
            <w:pPr>
              <w:pStyle w:val="57"/>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cs="Times New Roman"/>
                <w:b w:val="0"/>
                <w:bCs/>
                <w:color w:val="auto"/>
                <w:sz w:val="24"/>
                <w:highlight w:val="none"/>
                <w:lang w:val="en-US" w:eastAsia="zh-CN"/>
              </w:rPr>
            </w:pPr>
            <w:r>
              <w:rPr>
                <w:rFonts w:hint="eastAsia" w:ascii="Times New Roman" w:hAnsi="Times New Roman" w:cs="Times New Roman"/>
                <w:b w:val="0"/>
                <w:bCs/>
                <w:color w:val="auto"/>
                <w:sz w:val="24"/>
                <w:highlight w:val="none"/>
                <w:lang w:val="en-US" w:eastAsia="zh-CN"/>
              </w:rPr>
              <w:t>根据</w:t>
            </w:r>
            <w:r>
              <w:rPr>
                <w:rFonts w:hint="default" w:ascii="Times New Roman" w:hAnsi="Times New Roman" w:cs="Times New Roman"/>
                <w:b w:val="0"/>
                <w:bCs/>
                <w:color w:val="auto"/>
                <w:sz w:val="24"/>
                <w:highlight w:val="none"/>
                <w:lang w:eastAsia="zh-CN"/>
              </w:rPr>
              <w:t>内蒙古碧蓝环境科技有限公司2025年7月17日出具的</w:t>
            </w:r>
            <w:r>
              <w:rPr>
                <w:rFonts w:hint="eastAsia" w:ascii="Times New Roman" w:hAnsi="Times New Roman" w:cs="Times New Roman"/>
                <w:b w:val="0"/>
                <w:bCs/>
                <w:color w:val="auto"/>
                <w:sz w:val="24"/>
                <w:highlight w:val="none"/>
                <w:lang w:val="en-US" w:eastAsia="zh-CN"/>
              </w:rPr>
              <w:t>《鄂尔多斯广厦医院第</w:t>
            </w:r>
            <w:r>
              <w:rPr>
                <w:rFonts w:hint="default" w:ascii="Times New Roman" w:hAnsi="Times New Roman" w:cs="Times New Roman"/>
                <w:b w:val="0"/>
                <w:bCs/>
                <w:color w:val="auto"/>
                <w:sz w:val="24"/>
                <w:highlight w:val="none"/>
                <w:lang w:eastAsia="zh-CN"/>
              </w:rPr>
              <w:t>三</w:t>
            </w:r>
            <w:r>
              <w:rPr>
                <w:rFonts w:hint="eastAsia" w:ascii="Times New Roman" w:hAnsi="Times New Roman" w:cs="Times New Roman"/>
                <w:b w:val="0"/>
                <w:bCs/>
                <w:color w:val="auto"/>
                <w:sz w:val="24"/>
                <w:highlight w:val="none"/>
                <w:lang w:val="en-US" w:eastAsia="zh-CN"/>
              </w:rPr>
              <w:t>季度废气及噪声检测》报告，无组织</w:t>
            </w:r>
            <w:r>
              <w:rPr>
                <w:rFonts w:hint="default" w:ascii="Times New Roman" w:hAnsi="Times New Roman" w:cs="Times New Roman"/>
                <w:b w:val="0"/>
                <w:bCs/>
                <w:color w:val="auto"/>
                <w:sz w:val="24"/>
                <w:highlight w:val="none"/>
                <w:lang w:eastAsia="zh-CN"/>
              </w:rPr>
              <w:t>废气</w:t>
            </w:r>
            <w:r>
              <w:rPr>
                <w:rFonts w:hint="eastAsia" w:ascii="Times New Roman" w:hAnsi="Times New Roman" w:cs="Times New Roman"/>
                <w:b w:val="0"/>
                <w:bCs/>
                <w:color w:val="auto"/>
                <w:sz w:val="24"/>
                <w:highlight w:val="none"/>
                <w:lang w:val="en-US" w:eastAsia="zh-CN"/>
              </w:rPr>
              <w:t>氨、硫化氢、甲烷</w:t>
            </w:r>
            <w:r>
              <w:rPr>
                <w:rFonts w:hint="default" w:ascii="Times New Roman" w:hAnsi="Times New Roman" w:cs="Times New Roman"/>
                <w:b w:val="0"/>
                <w:bCs/>
                <w:color w:val="auto"/>
                <w:sz w:val="24"/>
                <w:highlight w:val="none"/>
                <w:lang w:eastAsia="zh-CN"/>
              </w:rPr>
              <w:t>最大</w:t>
            </w:r>
            <w:r>
              <w:rPr>
                <w:rFonts w:hint="eastAsia" w:ascii="Times New Roman" w:hAnsi="Times New Roman" w:cs="Times New Roman"/>
                <w:b w:val="0"/>
                <w:bCs/>
                <w:color w:val="auto"/>
                <w:sz w:val="24"/>
                <w:highlight w:val="none"/>
                <w:lang w:val="en-US" w:eastAsia="zh-CN"/>
              </w:rPr>
              <w:t>排放浓度分别为0.</w:t>
            </w:r>
            <w:r>
              <w:rPr>
                <w:rFonts w:hint="default" w:ascii="Times New Roman" w:hAnsi="Times New Roman" w:cs="Times New Roman"/>
                <w:b w:val="0"/>
                <w:bCs/>
                <w:color w:val="auto"/>
                <w:sz w:val="24"/>
                <w:highlight w:val="none"/>
                <w:lang w:eastAsia="zh-CN"/>
              </w:rPr>
              <w:t>063</w:t>
            </w:r>
            <w:r>
              <w:rPr>
                <w:rFonts w:hint="eastAsia" w:ascii="Times New Roman" w:hAnsi="Times New Roman" w:cs="Times New Roman"/>
                <w:b w:val="0"/>
                <w:bCs/>
                <w:color w:val="auto"/>
                <w:sz w:val="24"/>
                <w:highlight w:val="none"/>
                <w:lang w:val="en-US" w:eastAsia="zh-CN"/>
              </w:rPr>
              <w:t>mg/m</w:t>
            </w:r>
            <w:r>
              <w:rPr>
                <w:rFonts w:hint="eastAsia" w:ascii="Times New Roman" w:hAnsi="Times New Roman" w:cs="Times New Roman"/>
                <w:b w:val="0"/>
                <w:bCs/>
                <w:color w:val="auto"/>
                <w:sz w:val="24"/>
                <w:highlight w:val="none"/>
                <w:vertAlign w:val="superscript"/>
                <w:lang w:val="en-US" w:eastAsia="zh-CN"/>
              </w:rPr>
              <w:t>3</w:t>
            </w:r>
            <w:r>
              <w:rPr>
                <w:rFonts w:hint="eastAsia" w:ascii="Times New Roman" w:hAnsi="Times New Roman" w:cs="Times New Roman"/>
                <w:b w:val="0"/>
                <w:bCs/>
                <w:color w:val="auto"/>
                <w:sz w:val="24"/>
                <w:highlight w:val="none"/>
                <w:lang w:val="en-US" w:eastAsia="zh-CN"/>
              </w:rPr>
              <w:t>、0.00</w:t>
            </w:r>
            <w:r>
              <w:rPr>
                <w:rFonts w:hint="default" w:ascii="Times New Roman" w:hAnsi="Times New Roman" w:cs="Times New Roman"/>
                <w:b w:val="0"/>
                <w:bCs/>
                <w:color w:val="auto"/>
                <w:sz w:val="24"/>
                <w:highlight w:val="none"/>
                <w:lang w:eastAsia="zh-CN"/>
              </w:rPr>
              <w:t>3</w:t>
            </w:r>
            <w:r>
              <w:rPr>
                <w:rFonts w:hint="eastAsia" w:ascii="Times New Roman" w:hAnsi="Times New Roman" w:cs="Times New Roman"/>
                <w:b w:val="0"/>
                <w:bCs/>
                <w:color w:val="auto"/>
                <w:sz w:val="24"/>
                <w:highlight w:val="none"/>
                <w:lang w:val="en-US" w:eastAsia="zh-CN"/>
              </w:rPr>
              <w:t>mg/m</w:t>
            </w:r>
            <w:r>
              <w:rPr>
                <w:rFonts w:hint="eastAsia" w:ascii="Times New Roman" w:hAnsi="Times New Roman" w:cs="Times New Roman"/>
                <w:b w:val="0"/>
                <w:bCs/>
                <w:color w:val="auto"/>
                <w:sz w:val="24"/>
                <w:highlight w:val="none"/>
                <w:vertAlign w:val="superscript"/>
                <w:lang w:val="en-US" w:eastAsia="zh-CN"/>
              </w:rPr>
              <w:t>3</w:t>
            </w:r>
            <w:r>
              <w:rPr>
                <w:rFonts w:hint="eastAsia" w:ascii="Times New Roman" w:hAnsi="Times New Roman" w:cs="Times New Roman"/>
                <w:b w:val="0"/>
                <w:bCs/>
                <w:color w:val="auto"/>
                <w:sz w:val="24"/>
                <w:highlight w:val="none"/>
                <w:lang w:val="en-US" w:eastAsia="zh-CN"/>
              </w:rPr>
              <w:t>、</w:t>
            </w:r>
            <w:r>
              <w:rPr>
                <w:rFonts w:hint="default" w:ascii="Times New Roman" w:hAnsi="Times New Roman" w:cs="Times New Roman"/>
                <w:b w:val="0"/>
                <w:bCs/>
                <w:color w:val="auto"/>
                <w:sz w:val="24"/>
                <w:highlight w:val="none"/>
                <w:lang w:eastAsia="zh-CN"/>
              </w:rPr>
              <w:t>1.28</w:t>
            </w:r>
            <w:r>
              <w:rPr>
                <w:rFonts w:hint="eastAsia" w:ascii="Times New Roman" w:hAnsi="Times New Roman" w:cs="Times New Roman"/>
                <w:b w:val="0"/>
                <w:bCs/>
                <w:color w:val="auto"/>
                <w:sz w:val="24"/>
                <w:highlight w:val="none"/>
                <w:lang w:val="en-US" w:eastAsia="zh-CN"/>
              </w:rPr>
              <w:t>mg/m</w:t>
            </w:r>
            <w:r>
              <w:rPr>
                <w:rFonts w:hint="eastAsia" w:ascii="Times New Roman" w:hAnsi="Times New Roman" w:cs="Times New Roman"/>
                <w:b w:val="0"/>
                <w:bCs/>
                <w:color w:val="auto"/>
                <w:sz w:val="24"/>
                <w:highlight w:val="none"/>
                <w:vertAlign w:val="superscript"/>
                <w:lang w:val="en-US" w:eastAsia="zh-CN"/>
              </w:rPr>
              <w:t>3</w:t>
            </w:r>
            <w:r>
              <w:rPr>
                <w:rFonts w:hint="eastAsia" w:ascii="Times New Roman" w:hAnsi="Times New Roman" w:cs="Times New Roman"/>
                <w:b w:val="0"/>
                <w:bCs/>
                <w:color w:val="auto"/>
                <w:sz w:val="24"/>
                <w:highlight w:val="none"/>
                <w:lang w:val="en-US" w:eastAsia="zh-CN"/>
              </w:rPr>
              <w:t>，氯气未检出，臭气浓度小于10（无量纲）。均满足《医疗机构水污染物排放标准》（GB18466-2005）表3</w:t>
            </w:r>
            <w:r>
              <w:rPr>
                <w:rFonts w:hint="eastAsia" w:ascii="Times New Roman" w:hAnsi="Times New Roman" w:eastAsia="宋体" w:cs="Times New Roman"/>
                <w:b w:val="0"/>
                <w:bCs w:val="0"/>
                <w:caps w:val="0"/>
                <w:color w:val="auto"/>
                <w:sz w:val="24"/>
                <w:szCs w:val="24"/>
                <w:highlight w:val="none"/>
                <w:lang w:val="en-US" w:eastAsia="zh-CN"/>
              </w:rPr>
              <w:t>污水处理站周边大气污染物最高允许浓度</w:t>
            </w:r>
            <w:r>
              <w:rPr>
                <w:rFonts w:hint="eastAsia" w:ascii="Times New Roman" w:hAnsi="Times New Roman" w:cs="Times New Roman"/>
                <w:b w:val="0"/>
                <w:bCs/>
                <w:color w:val="auto"/>
                <w:sz w:val="24"/>
                <w:highlight w:val="none"/>
                <w:lang w:val="en-US" w:eastAsia="zh-CN"/>
              </w:rPr>
              <w:t>排放限值要求。</w:t>
            </w:r>
          </w:p>
          <w:p w14:paraId="50B7BF32">
            <w:pPr>
              <w:pStyle w:val="45"/>
              <w:numPr>
                <w:ilvl w:val="0"/>
                <w:numId w:val="0"/>
              </w:numPr>
              <w:autoSpaceDE/>
              <w:autoSpaceDN/>
              <w:spacing w:line="520" w:lineRule="exact"/>
              <w:ind w:firstLine="482" w:firstLineChars="200"/>
              <w:jc w:val="both"/>
              <w:rPr>
                <w:rFonts w:hint="eastAsia" w:ascii="Times New Roman" w:hAnsi="Times New Roman" w:eastAsia="宋体" w:cs="Times New Roman"/>
                <w:b/>
                <w:bCs w:val="0"/>
                <w:color w:val="auto"/>
                <w:sz w:val="24"/>
                <w:highlight w:val="none"/>
                <w:lang w:val="en-US" w:eastAsia="zh-CN"/>
              </w:rPr>
            </w:pPr>
            <w:r>
              <w:rPr>
                <w:rFonts w:hint="eastAsia" w:ascii="Times New Roman" w:hAnsi="Times New Roman" w:eastAsia="宋体" w:cs="Times New Roman"/>
                <w:b/>
                <w:bCs w:val="0"/>
                <w:color w:val="auto"/>
                <w:sz w:val="24"/>
                <w:szCs w:val="22"/>
                <w:highlight w:val="none"/>
                <w:lang w:val="en-US" w:eastAsia="zh-CN" w:bidi="zh-CN"/>
              </w:rPr>
              <w:t>2、</w:t>
            </w:r>
            <w:r>
              <w:rPr>
                <w:rFonts w:hint="eastAsia" w:ascii="Times New Roman" w:hAnsi="Times New Roman" w:cs="Times New Roman"/>
                <w:b/>
                <w:bCs w:val="0"/>
                <w:color w:val="auto"/>
                <w:sz w:val="24"/>
                <w:highlight w:val="none"/>
                <w:lang w:val="en-US" w:eastAsia="zh-CN"/>
              </w:rPr>
              <w:t>声环境</w:t>
            </w:r>
          </w:p>
          <w:p w14:paraId="320D1F13">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both"/>
              <w:textAlignment w:val="auto"/>
              <w:rPr>
                <w:rFonts w:ascii="Times New Roman" w:hAnsi="Times New Roman" w:eastAsia="宋体" w:cs="Times New Roman"/>
                <w:color w:val="auto"/>
                <w:sz w:val="24"/>
                <w:szCs w:val="24"/>
              </w:rPr>
            </w:pPr>
            <w:r>
              <w:rPr>
                <w:rFonts w:hint="default" w:ascii="Times New Roman" w:hAnsi="Times New Roman" w:eastAsia="宋体" w:cs="Times New Roman"/>
                <w:b w:val="0"/>
                <w:bCs/>
                <w:color w:val="auto"/>
                <w:sz w:val="24"/>
                <w:szCs w:val="24"/>
                <w:highlight w:val="none"/>
                <w:lang w:val="en-US" w:eastAsia="zh-CN"/>
              </w:rPr>
              <w:t>根据内蒙古碧蓝环境科技有限公司2025年7月17日出具的《鄂尔多斯广厦医院第三季度废气及噪声检测》报告，</w:t>
            </w:r>
            <w:r>
              <w:rPr>
                <w:rFonts w:hint="default" w:ascii="Times New Roman" w:hAnsi="Times New Roman" w:eastAsia="宋体" w:cs="Times New Roman"/>
                <w:color w:val="auto"/>
                <w:sz w:val="24"/>
                <w:szCs w:val="24"/>
                <w:highlight w:val="none"/>
              </w:rPr>
              <w:t>厂界昼间噪声值在5</w:t>
            </w:r>
            <w:r>
              <w:rPr>
                <w:rFonts w:hint="default" w:ascii="Times New Roman" w:hAnsi="Times New Roman" w:eastAsia="宋体" w:cs="Times New Roman"/>
                <w:color w:val="auto"/>
                <w:sz w:val="24"/>
                <w:szCs w:val="24"/>
                <w:highlight w:val="none"/>
                <w:lang w:val="en-US" w:eastAsia="zh-CN"/>
              </w:rPr>
              <w:t>0.5</w:t>
            </w:r>
            <w:r>
              <w:rPr>
                <w:rFonts w:hint="default" w:ascii="Times New Roman" w:hAnsi="Times New Roman" w:eastAsia="宋体" w:cs="Times New Roman"/>
                <w:color w:val="auto"/>
                <w:sz w:val="24"/>
                <w:szCs w:val="24"/>
                <w:highlight w:val="none"/>
              </w:rPr>
              <w:t>dB(A)-5</w:t>
            </w:r>
            <w:r>
              <w:rPr>
                <w:rFonts w:hint="default" w:ascii="Times New Roman" w:hAnsi="Times New Roman" w:eastAsia="宋体" w:cs="Times New Roman"/>
                <w:color w:val="auto"/>
                <w:sz w:val="24"/>
                <w:szCs w:val="24"/>
                <w:highlight w:val="none"/>
                <w:lang w:val="en-US" w:eastAsia="zh-CN"/>
              </w:rPr>
              <w:t>4.6</w:t>
            </w:r>
            <w:r>
              <w:rPr>
                <w:rFonts w:hint="default" w:ascii="Times New Roman" w:hAnsi="Times New Roman" w:eastAsia="宋体" w:cs="Times New Roman"/>
                <w:color w:val="auto"/>
                <w:sz w:val="24"/>
                <w:szCs w:val="24"/>
                <w:highlight w:val="none"/>
              </w:rPr>
              <w:t>dB(A)</w:t>
            </w:r>
            <w:r>
              <w:rPr>
                <w:rFonts w:hint="default" w:ascii="Times New Roman" w:hAnsi="Times New Roman" w:eastAsia="宋体" w:cs="Times New Roman"/>
                <w:color w:val="auto"/>
                <w:sz w:val="24"/>
                <w:szCs w:val="24"/>
                <w:highlight w:val="none"/>
                <w:lang w:val="en-US" w:eastAsia="zh-CN"/>
              </w:rPr>
              <w:t>之间</w:t>
            </w:r>
            <w:r>
              <w:rPr>
                <w:rFonts w:hint="default" w:ascii="Times New Roman" w:hAnsi="Times New Roman" w:eastAsia="宋体" w:cs="Times New Roman"/>
                <w:color w:val="auto"/>
                <w:sz w:val="24"/>
                <w:szCs w:val="24"/>
                <w:highlight w:val="none"/>
              </w:rPr>
              <w:t>，夜间噪声值在</w:t>
            </w:r>
            <w:r>
              <w:rPr>
                <w:rFonts w:hint="default" w:ascii="Times New Roman" w:hAnsi="Times New Roman" w:eastAsia="宋体" w:cs="Times New Roman"/>
                <w:color w:val="auto"/>
                <w:sz w:val="24"/>
                <w:szCs w:val="24"/>
                <w:highlight w:val="none"/>
                <w:lang w:val="en-US" w:eastAsia="zh-CN"/>
              </w:rPr>
              <w:t>39.2</w:t>
            </w:r>
            <w:r>
              <w:rPr>
                <w:rFonts w:hint="default" w:ascii="Times New Roman" w:hAnsi="Times New Roman" w:eastAsia="宋体" w:cs="Times New Roman"/>
                <w:color w:val="auto"/>
                <w:sz w:val="24"/>
                <w:szCs w:val="24"/>
                <w:highlight w:val="none"/>
              </w:rPr>
              <w:t>dB(A)-4</w:t>
            </w:r>
            <w:r>
              <w:rPr>
                <w:rFonts w:hint="default" w:ascii="Times New Roman" w:hAnsi="Times New Roman" w:eastAsia="宋体" w:cs="Times New Roman"/>
                <w:color w:val="auto"/>
                <w:sz w:val="24"/>
                <w:szCs w:val="24"/>
                <w:highlight w:val="none"/>
                <w:lang w:val="en-US" w:eastAsia="zh-CN"/>
              </w:rPr>
              <w:t>3.9</w:t>
            </w:r>
            <w:r>
              <w:rPr>
                <w:rFonts w:hint="default" w:ascii="Times New Roman" w:hAnsi="Times New Roman" w:eastAsia="宋体" w:cs="Times New Roman"/>
                <w:color w:val="auto"/>
                <w:sz w:val="24"/>
                <w:szCs w:val="24"/>
                <w:highlight w:val="none"/>
              </w:rPr>
              <w:t>dB(A)</w:t>
            </w:r>
            <w:r>
              <w:rPr>
                <w:rFonts w:hint="default" w:ascii="Times New Roman" w:hAnsi="Times New Roman" w:eastAsia="宋体" w:cs="Times New Roman"/>
                <w:color w:val="auto"/>
                <w:sz w:val="24"/>
                <w:szCs w:val="24"/>
                <w:highlight w:val="none"/>
                <w:lang w:val="en-US" w:eastAsia="zh-CN"/>
              </w:rPr>
              <w:t>之间</w:t>
            </w:r>
            <w:r>
              <w:rPr>
                <w:rFonts w:hint="default" w:ascii="Times New Roman" w:hAnsi="Times New Roman" w:eastAsia="宋体" w:cs="Times New Roman"/>
                <w:color w:val="auto"/>
                <w:sz w:val="24"/>
                <w:szCs w:val="24"/>
              </w:rPr>
              <w:t>，均满足《</w:t>
            </w:r>
            <w:r>
              <w:rPr>
                <w:rFonts w:hint="default" w:ascii="Times New Roman" w:hAnsi="Times New Roman" w:eastAsia="宋体" w:cs="Times New Roman"/>
                <w:color w:val="auto"/>
                <w:sz w:val="24"/>
                <w:szCs w:val="24"/>
                <w:lang w:eastAsia="zh-CN"/>
              </w:rPr>
              <w:t>声环境质量</w:t>
            </w:r>
            <w:r>
              <w:rPr>
                <w:rFonts w:hint="default" w:ascii="Times New Roman" w:hAnsi="Times New Roman" w:eastAsia="宋体" w:cs="Times New Roman"/>
                <w:color w:val="auto"/>
                <w:sz w:val="24"/>
                <w:szCs w:val="24"/>
              </w:rPr>
              <w:t>标准》</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GB12348-2008</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类标准限值要求。</w:t>
            </w:r>
          </w:p>
          <w:p w14:paraId="32DF15A2">
            <w:pPr>
              <w:pStyle w:val="45"/>
              <w:autoSpaceDE/>
              <w:autoSpaceDN/>
              <w:spacing w:line="520" w:lineRule="exact"/>
              <w:ind w:firstLine="482" w:firstLineChars="200"/>
              <w:jc w:val="both"/>
              <w:rPr>
                <w:rFonts w:hint="default" w:ascii="Times New Roman" w:hAnsi="Times New Roman"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3、废水</w:t>
            </w:r>
          </w:p>
          <w:p w14:paraId="70941F1E">
            <w:pPr>
              <w:pStyle w:val="45"/>
              <w:autoSpaceDE/>
              <w:autoSpaceDN/>
              <w:spacing w:line="520" w:lineRule="exact"/>
              <w:ind w:firstLine="480" w:firstLineChars="200"/>
              <w:jc w:val="both"/>
              <w:rPr>
                <w:rFonts w:hint="eastAsia" w:ascii="Times New Roman" w:hAnsi="Times New Roman" w:cs="Times New Roman"/>
                <w:b w:val="0"/>
                <w:bCs/>
                <w:color w:val="auto"/>
                <w:sz w:val="24"/>
                <w:lang w:val="en-US" w:eastAsia="zh-CN"/>
              </w:rPr>
            </w:pPr>
            <w:r>
              <w:rPr>
                <w:rFonts w:hint="eastAsia" w:ascii="Times New Roman" w:hAnsi="Times New Roman" w:cs="Times New Roman"/>
                <w:b w:val="0"/>
                <w:bCs/>
                <w:color w:val="auto"/>
                <w:sz w:val="24"/>
                <w:lang w:val="en-US" w:eastAsia="zh-CN"/>
              </w:rPr>
              <w:t>鄂尔多斯广厦医院无传染病菌废水；试验室废液不含重金属；血液、血清化学检查废水不含有重金属；无洗印废水；口腔科污水中不含有重金属。根据建设单位提供的资料，项目检验科使用药剂均为外购成品化验盒，不进行配制。检验科设专用桶收集酸性废水，采用石灰中和法中和pH至7~8后排入医院污水处理系统，医院检验科废水产生量约0.24m</w:t>
            </w:r>
            <w:r>
              <w:rPr>
                <w:rFonts w:hint="eastAsia" w:ascii="Times New Roman" w:hAnsi="Times New Roman" w:cs="Times New Roman"/>
                <w:b w:val="0"/>
                <w:bCs/>
                <w:color w:val="auto"/>
                <w:sz w:val="24"/>
                <w:vertAlign w:val="superscript"/>
                <w:lang w:val="en-US" w:eastAsia="zh-CN"/>
              </w:rPr>
              <w:t>3</w:t>
            </w:r>
            <w:r>
              <w:rPr>
                <w:rFonts w:hint="eastAsia" w:ascii="Times New Roman" w:hAnsi="Times New Roman" w:cs="Times New Roman"/>
                <w:b w:val="0"/>
                <w:bCs/>
                <w:color w:val="auto"/>
                <w:sz w:val="24"/>
                <w:lang w:val="en-US" w:eastAsia="zh-CN"/>
              </w:rPr>
              <w:t>/d（87.6m</w:t>
            </w:r>
            <w:r>
              <w:rPr>
                <w:rFonts w:hint="eastAsia" w:ascii="Times New Roman" w:hAnsi="Times New Roman" w:cs="Times New Roman"/>
                <w:b w:val="0"/>
                <w:bCs/>
                <w:color w:val="auto"/>
                <w:sz w:val="24"/>
                <w:vertAlign w:val="superscript"/>
                <w:lang w:val="en-US" w:eastAsia="zh-CN"/>
              </w:rPr>
              <w:t>3</w:t>
            </w:r>
            <w:r>
              <w:rPr>
                <w:rFonts w:hint="eastAsia" w:ascii="Times New Roman" w:hAnsi="Times New Roman" w:cs="Times New Roman"/>
                <w:b w:val="0"/>
                <w:bCs/>
                <w:color w:val="auto"/>
                <w:sz w:val="24"/>
                <w:lang w:val="en-US" w:eastAsia="zh-CN"/>
              </w:rPr>
              <w:t>/a）。</w:t>
            </w:r>
          </w:p>
          <w:p w14:paraId="25E9F1CB">
            <w:pPr>
              <w:pStyle w:val="45"/>
              <w:autoSpaceDE/>
              <w:autoSpaceDN/>
              <w:spacing w:line="520" w:lineRule="exact"/>
              <w:ind w:firstLine="480" w:firstLineChars="200"/>
              <w:jc w:val="both"/>
              <w:rPr>
                <w:rFonts w:hint="eastAsia" w:ascii="Times New Roman" w:hAnsi="Times New Roman" w:cs="Times New Roman"/>
                <w:b w:val="0"/>
                <w:bCs/>
                <w:color w:val="auto"/>
                <w:sz w:val="24"/>
                <w:lang w:val="en-US" w:eastAsia="zh-CN"/>
              </w:rPr>
            </w:pPr>
            <w:r>
              <w:rPr>
                <w:rFonts w:hint="eastAsia" w:ascii="Times New Roman" w:hAnsi="Times New Roman" w:cs="Times New Roman"/>
                <w:b w:val="0"/>
                <w:bCs/>
                <w:color w:val="auto"/>
                <w:sz w:val="24"/>
                <w:lang w:val="en-US" w:eastAsia="zh-CN"/>
              </w:rPr>
              <w:t>根据鄂尔多斯广厦医院提供的在线数据分析，鄂尔多斯广厦医院</w:t>
            </w:r>
            <w:r>
              <w:rPr>
                <w:rFonts w:hint="eastAsia" w:ascii="Times New Roman" w:hAnsi="Times New Roman" w:cs="Times New Roman"/>
                <w:color w:val="auto"/>
                <w:sz w:val="24"/>
                <w:highlight w:val="none"/>
                <w:lang w:val="en-US" w:eastAsia="zh-CN"/>
              </w:rPr>
              <w:t>产生流量平均值为0.4m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/h，污水产生量约为9.6m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/d（3504m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/a）</w:t>
            </w:r>
            <w:r>
              <w:rPr>
                <w:rFonts w:hint="eastAsia" w:ascii="Times New Roman" w:hAnsi="Times New Roman" w:cs="Times New Roman"/>
                <w:b w:val="0"/>
                <w:bCs/>
                <w:color w:val="auto"/>
                <w:sz w:val="24"/>
                <w:lang w:val="en-US" w:eastAsia="zh-CN"/>
              </w:rPr>
              <w:t>，运行负荷约20%。污水处理站设计规模50m</w:t>
            </w:r>
            <w:r>
              <w:rPr>
                <w:rFonts w:hint="eastAsia" w:ascii="Times New Roman" w:hAnsi="Times New Roman" w:cs="Times New Roman"/>
                <w:b w:val="0"/>
                <w:bCs/>
                <w:color w:val="auto"/>
                <w:sz w:val="24"/>
                <w:vertAlign w:val="superscript"/>
                <w:lang w:val="en-US" w:eastAsia="zh-CN"/>
              </w:rPr>
              <w:t>3</w:t>
            </w:r>
            <w:r>
              <w:rPr>
                <w:rFonts w:hint="eastAsia" w:ascii="Times New Roman" w:hAnsi="Times New Roman" w:cs="Times New Roman"/>
                <w:b w:val="0"/>
                <w:bCs/>
                <w:color w:val="auto"/>
                <w:sz w:val="24"/>
                <w:lang w:val="en-US" w:eastAsia="zh-CN"/>
              </w:rPr>
              <w:t>/d，采用“沉淀+消毒”工艺，污水处理站出水达到《医疗机构水污染物排放标准》（GB 18466-2005）表2 综合医疗机构和其他医疗机构水污染物排放限值（日均值）预处理标准要求后排入市政污水管网，最终进入东胜区北郊水质净化厂。</w:t>
            </w:r>
          </w:p>
          <w:p w14:paraId="1607DFA9">
            <w:pPr>
              <w:pStyle w:val="45"/>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cs="Times New Roman"/>
                <w:b w:val="0"/>
                <w:bCs/>
                <w:color w:val="auto"/>
                <w:sz w:val="24"/>
                <w:lang w:val="en-US" w:eastAsia="zh-CN"/>
              </w:rPr>
            </w:pPr>
            <w:r>
              <w:rPr>
                <w:rFonts w:hint="default" w:ascii="Times New Roman" w:hAnsi="Times New Roman" w:eastAsia="宋体" w:cs="Times New Roman"/>
                <w:b w:val="0"/>
                <w:bCs/>
                <w:color w:val="auto"/>
                <w:sz w:val="24"/>
                <w:szCs w:val="24"/>
                <w:highlight w:val="none"/>
                <w:lang w:val="en-US" w:eastAsia="zh-CN"/>
              </w:rPr>
              <w:t>根据内蒙古碧蓝环境科技有限公司2025年7月21日出具的</w:t>
            </w:r>
            <w:r>
              <w:rPr>
                <w:rFonts w:hint="default" w:ascii="Times New Roman" w:hAnsi="Times New Roman" w:eastAsia="宋体" w:cs="Times New Roman"/>
                <w:b w:val="0"/>
                <w:bCs/>
                <w:color w:val="auto"/>
                <w:sz w:val="24"/>
                <w:lang w:val="en-US" w:eastAsia="zh-CN"/>
              </w:rPr>
              <w:t>《鄂尔多斯广厦医院第三季度废水检测》报告，医疗废水各因子检测结果均满足《医疗机构水污染物排放标准》（GB 18466-2005）表2 综合医疗机构和其他医疗机构水污染物排放限值（日均值）预处理标准。</w:t>
            </w:r>
          </w:p>
          <w:p w14:paraId="0A6141B6">
            <w:pPr>
              <w:pStyle w:val="45"/>
              <w:autoSpaceDE/>
              <w:autoSpaceDN/>
              <w:spacing w:line="520" w:lineRule="exact"/>
              <w:ind w:firstLine="482" w:firstLineChars="200"/>
              <w:jc w:val="both"/>
              <w:rPr>
                <w:rFonts w:hint="eastAsia" w:ascii="Times New Roman" w:hAnsi="Times New Roman" w:eastAsia="宋体" w:cs="Times New Roman"/>
                <w:b w:val="0"/>
                <w:bCs/>
                <w:color w:val="auto"/>
                <w:sz w:val="24"/>
                <w:lang w:val="en-US" w:eastAsia="zh-CN"/>
              </w:rPr>
            </w:pPr>
            <w:r>
              <w:rPr>
                <w:rFonts w:hint="default" w:ascii="Times New Roman" w:hAnsi="Times New Roman" w:cs="Times New Roman"/>
                <w:b/>
                <w:bCs/>
                <w:color w:val="auto"/>
                <w:sz w:val="24"/>
                <w:szCs w:val="24"/>
                <w:lang w:val="en-US" w:eastAsia="zh-CN"/>
              </w:rPr>
              <w:t>4、固体废物</w:t>
            </w:r>
          </w:p>
          <w:p w14:paraId="49483FD1">
            <w:pPr>
              <w:pStyle w:val="45"/>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cs="Times New Roman"/>
                <w:b w:val="0"/>
                <w:bCs/>
                <w:color w:val="auto"/>
                <w:sz w:val="24"/>
                <w:lang w:val="en-US" w:eastAsia="zh-CN"/>
              </w:rPr>
            </w:pPr>
            <w:r>
              <w:rPr>
                <w:rFonts w:hint="default" w:ascii="Times New Roman" w:hAnsi="Times New Roman" w:eastAsia="宋体" w:cs="Times New Roman"/>
                <w:b w:val="0"/>
                <w:bCs/>
                <w:color w:val="auto"/>
                <w:sz w:val="24"/>
                <w:szCs w:val="24"/>
                <w:lang w:val="en-US" w:eastAsia="zh-CN" w:bidi="zh-CN"/>
              </w:rPr>
              <w:t>①</w:t>
            </w:r>
            <w:r>
              <w:rPr>
                <w:rFonts w:hint="eastAsia" w:ascii="Times New Roman" w:hAnsi="Times New Roman" w:cs="Times New Roman"/>
                <w:b w:val="0"/>
                <w:bCs/>
                <w:color w:val="auto"/>
                <w:sz w:val="24"/>
                <w:lang w:val="en-US" w:eastAsia="zh-CN"/>
              </w:rPr>
              <w:t>医疗废物产生量2t每月，定期由鄂尔多斯市仲安医疗废物集中处置有限公司处置。</w:t>
            </w:r>
          </w:p>
          <w:p w14:paraId="46BEA95F">
            <w:pPr>
              <w:pStyle w:val="45"/>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szCs w:val="24"/>
                <w:lang w:val="en-US" w:eastAsia="zh-CN" w:bidi="zh-CN"/>
              </w:rPr>
              <w:t>②</w:t>
            </w:r>
            <w:r>
              <w:rPr>
                <w:rFonts w:hint="eastAsia" w:ascii="Times New Roman" w:hAnsi="Times New Roman" w:cs="Times New Roman"/>
                <w:b w:val="0"/>
                <w:bCs/>
                <w:color w:val="auto"/>
                <w:sz w:val="24"/>
                <w:lang w:val="en-US" w:eastAsia="zh-CN"/>
              </w:rPr>
              <w:t>污水处理站污泥产生量0.02t/d，每月抽吸一次，定期由鄂尔多斯市馨蕊医疗废物处置有限责任公司处置。</w:t>
            </w:r>
          </w:p>
          <w:p w14:paraId="2484BD00">
            <w:pPr>
              <w:pStyle w:val="45"/>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szCs w:val="24"/>
                <w:lang w:val="en-US" w:eastAsia="zh-CN" w:bidi="zh-CN"/>
              </w:rPr>
              <w:t>③</w:t>
            </w:r>
            <w:r>
              <w:rPr>
                <w:rFonts w:hint="eastAsia" w:ascii="Times New Roman" w:hAnsi="Times New Roman" w:cs="Times New Roman"/>
                <w:b w:val="0"/>
                <w:bCs/>
                <w:color w:val="auto"/>
                <w:sz w:val="24"/>
                <w:lang w:val="en-US" w:eastAsia="zh-CN"/>
              </w:rPr>
              <w:t>生活垃圾产生量0.09t/d，由环卫部门定期清运处置。</w:t>
            </w:r>
          </w:p>
          <w:p w14:paraId="30811E2C">
            <w:pPr>
              <w:pStyle w:val="29"/>
              <w:keepNext w:val="0"/>
              <w:keepLines w:val="0"/>
              <w:pageBreakBefore w:val="0"/>
              <w:tabs>
                <w:tab w:val="left" w:pos="0"/>
              </w:tabs>
              <w:kinsoku/>
              <w:wordWrap/>
              <w:overflowPunct/>
              <w:topLinePunct w:val="0"/>
              <w:autoSpaceDE/>
              <w:autoSpaceDN/>
              <w:bidi w:val="0"/>
              <w:spacing w:line="520" w:lineRule="exact"/>
              <w:ind w:left="0" w:firstLine="482" w:firstLineChars="200"/>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5</w:t>
            </w:r>
            <w:r>
              <w:rPr>
                <w:rFonts w:hint="default" w:ascii="Times New Roman" w:hAnsi="Times New Roman" w:eastAsia="宋体" w:cs="Times New Roman"/>
                <w:b/>
                <w:bCs/>
                <w:color w:val="auto"/>
                <w:sz w:val="24"/>
                <w:szCs w:val="24"/>
                <w:lang w:val="en-US" w:eastAsia="zh-CN"/>
              </w:rPr>
              <w:t>、总量控制</w:t>
            </w:r>
          </w:p>
          <w:p w14:paraId="40CDB27C">
            <w:pPr>
              <w:pStyle w:val="60"/>
              <w:keepNext w:val="0"/>
              <w:keepLines w:val="0"/>
              <w:pageBreakBefore w:val="0"/>
              <w:kinsoku/>
              <w:wordWrap/>
              <w:overflowPunct/>
              <w:topLinePunct w:val="0"/>
              <w:autoSpaceDE/>
              <w:autoSpaceDN/>
              <w:bidi w:val="0"/>
              <w:spacing w:line="520" w:lineRule="exact"/>
              <w:ind w:left="0" w:firstLine="480" w:firstLineChars="200"/>
              <w:rPr>
                <w:rFonts w:hint="eastAsia" w:cs="Times New Roman"/>
                <w:color w:val="auto"/>
                <w:sz w:val="24"/>
                <w:szCs w:val="24"/>
                <w:lang w:val="en-US" w:eastAsia="zh-CN"/>
              </w:rPr>
            </w:pPr>
            <w:r>
              <w:rPr>
                <w:rFonts w:hint="eastAsia" w:cs="Times New Roman"/>
                <w:color w:val="auto"/>
                <w:sz w:val="24"/>
                <w:szCs w:val="24"/>
                <w:lang w:val="en-US" w:eastAsia="zh-CN"/>
              </w:rPr>
              <w:t>现有工程不涉及总量控制。</w:t>
            </w:r>
          </w:p>
          <w:p w14:paraId="77F22698">
            <w:pPr>
              <w:pStyle w:val="60"/>
              <w:keepNext w:val="0"/>
              <w:keepLines w:val="0"/>
              <w:pageBreakBefore w:val="0"/>
              <w:kinsoku/>
              <w:wordWrap/>
              <w:overflowPunct/>
              <w:topLinePunct w:val="0"/>
              <w:autoSpaceDE/>
              <w:autoSpaceDN/>
              <w:bidi w:val="0"/>
              <w:spacing w:line="520" w:lineRule="exact"/>
              <w:ind w:left="0" w:firstLine="480" w:firstLineChars="200"/>
              <w:rPr>
                <w:rFonts w:hint="default" w:ascii="Times New Roman" w:hAnsi="Times New Roman" w:eastAsia="宋体" w:cs="Times New Roman"/>
                <w:color w:val="auto"/>
                <w:kern w:val="0"/>
                <w:sz w:val="24"/>
                <w:szCs w:val="24"/>
                <w:lang w:val="en-US" w:eastAsia="zh-CN" w:bidi="ar-SA"/>
              </w:rPr>
            </w:pPr>
            <w:r>
              <w:rPr>
                <w:rFonts w:hint="eastAsia" w:cs="Times New Roman"/>
                <w:color w:val="auto"/>
                <w:sz w:val="24"/>
                <w:szCs w:val="24"/>
                <w:lang w:val="en-US" w:eastAsia="zh-CN"/>
              </w:rPr>
              <w:t>综上所述，</w:t>
            </w:r>
            <w:r>
              <w:rPr>
                <w:rFonts w:hint="default" w:ascii="Times New Roman" w:hAnsi="Times New Roman" w:eastAsia="宋体" w:cs="Times New Roman"/>
                <w:color w:val="auto"/>
                <w:kern w:val="0"/>
                <w:sz w:val="24"/>
                <w:szCs w:val="24"/>
                <w:lang w:val="en-US" w:eastAsia="zh-CN" w:bidi="ar-SA"/>
              </w:rPr>
              <w:t>项目落实了环评及批复决定要求，各项目环保措施按要求落实，</w:t>
            </w:r>
            <w:r>
              <w:rPr>
                <w:rFonts w:hint="eastAsia" w:cs="Times New Roman"/>
                <w:color w:val="auto"/>
                <w:kern w:val="0"/>
                <w:sz w:val="24"/>
                <w:szCs w:val="24"/>
                <w:lang w:val="en-US" w:eastAsia="zh-CN" w:bidi="ar-SA"/>
              </w:rPr>
              <w:t>废气、</w:t>
            </w:r>
            <w:r>
              <w:rPr>
                <w:rFonts w:hint="default" w:ascii="Times New Roman" w:hAnsi="Times New Roman" w:eastAsia="宋体" w:cs="Times New Roman"/>
                <w:color w:val="auto"/>
                <w:kern w:val="0"/>
                <w:sz w:val="24"/>
                <w:szCs w:val="24"/>
                <w:lang w:val="en-US" w:eastAsia="zh-CN" w:bidi="ar-SA"/>
              </w:rPr>
              <w:t>废水及固废合理处置，污染物均实现达标排放。</w:t>
            </w:r>
          </w:p>
          <w:p w14:paraId="72346941">
            <w:pPr>
              <w:pStyle w:val="4"/>
              <w:pageBreakBefore w:val="0"/>
              <w:wordWrap/>
              <w:overflowPunct/>
              <w:topLinePunct w:val="0"/>
              <w:bidi w:val="0"/>
              <w:spacing w:line="520" w:lineRule="exact"/>
              <w:ind w:firstLine="482" w:firstLineChars="200"/>
              <w:rPr>
                <w:rFonts w:hint="default"/>
                <w:color w:val="auto"/>
                <w:lang w:val="en-US" w:eastAsia="zh-CN"/>
              </w:rPr>
            </w:pPr>
            <w:r>
              <w:rPr>
                <w:rFonts w:hint="default" w:ascii="Times New Roman" w:hAnsi="Times New Roman" w:eastAsia="宋体" w:cs="Times New Roman"/>
                <w:b/>
                <w:bCs/>
                <w:color w:val="auto"/>
                <w:sz w:val="24"/>
                <w:szCs w:val="24"/>
                <w:lang w:val="en-US"/>
              </w:rPr>
              <w:t xml:space="preserve">二、存在的环境问题 </w:t>
            </w:r>
          </w:p>
          <w:p w14:paraId="73115D72">
            <w:pPr>
              <w:pStyle w:val="45"/>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color w:val="auto"/>
                <w:sz w:val="24"/>
                <w:szCs w:val="24"/>
                <w:lang w:val="en-US" w:eastAsia="zh-CN"/>
              </w:rPr>
              <w:t>1、医疗废物</w:t>
            </w:r>
            <w:r>
              <w:rPr>
                <w:rFonts w:hint="eastAsia" w:ascii="Times New Roman" w:hAnsi="Times New Roman" w:cs="Times New Roman"/>
                <w:b w:val="0"/>
                <w:bCs w:val="0"/>
                <w:color w:val="auto"/>
                <w:sz w:val="24"/>
                <w:szCs w:val="24"/>
                <w:lang w:val="en-US" w:eastAsia="zh-CN"/>
              </w:rPr>
              <w:t>贮存设施</w:t>
            </w:r>
            <w:r>
              <w:rPr>
                <w:rFonts w:hint="eastAsia" w:ascii="Times New Roman" w:hAnsi="Times New Roman" w:eastAsia="宋体" w:cs="Times New Roman"/>
                <w:color w:val="auto"/>
                <w:sz w:val="24"/>
                <w:szCs w:val="24"/>
                <w:lang w:val="en-US" w:eastAsia="zh-CN"/>
              </w:rPr>
              <w:t>未按照</w:t>
            </w:r>
            <w:r>
              <w:rPr>
                <w:rFonts w:hint="eastAsia" w:ascii="Times New Roman" w:hAnsi="Times New Roman" w:cs="Times New Roman"/>
                <w:b w:val="0"/>
                <w:bCs w:val="0"/>
                <w:color w:val="auto"/>
                <w:sz w:val="24"/>
                <w:szCs w:val="24"/>
                <w:lang w:val="en-US"/>
              </w:rPr>
              <w:t>《危险废物贮存污染控制标准》（GB18597—2023）</w:t>
            </w:r>
            <w:r>
              <w:rPr>
                <w:rFonts w:hint="eastAsia" w:ascii="Times New Roman" w:hAnsi="Times New Roman" w:cs="Times New Roman"/>
                <w:b w:val="0"/>
                <w:bCs w:val="0"/>
                <w:color w:val="auto"/>
                <w:sz w:val="24"/>
                <w:szCs w:val="24"/>
                <w:lang w:val="en-US" w:eastAsia="zh-CN"/>
              </w:rPr>
              <w:t>建设。</w:t>
            </w:r>
          </w:p>
          <w:p w14:paraId="6C6CC53B">
            <w:pPr>
              <w:pStyle w:val="52"/>
              <w:keepNext w:val="0"/>
              <w:keepLines w:val="0"/>
              <w:pageBreakBefore w:val="0"/>
              <w:widowControl w:val="0"/>
              <w:numPr>
                <w:ilvl w:val="0"/>
                <w:numId w:val="0"/>
              </w:numPr>
              <w:kinsoku/>
              <w:wordWrap/>
              <w:overflowPunct/>
              <w:topLinePunct w:val="0"/>
              <w:autoSpaceDE w:val="0"/>
              <w:autoSpaceDN w:val="0"/>
              <w:bidi w:val="0"/>
              <w:adjustRightInd/>
              <w:snapToGrid/>
              <w:spacing w:before="0" w:beforeLines="0" w:afterLines="0" w:line="520" w:lineRule="exact"/>
              <w:ind w:leftChars="0" w:right="0" w:firstLine="480" w:firstLineChars="200"/>
              <w:jc w:val="both"/>
              <w:textAlignment w:val="auto"/>
              <w:rPr>
                <w:rFonts w:hint="eastAsia" w:ascii="Times New Roman" w:hAnsi="Times New Roman" w:eastAsia="宋体" w:cs="Times New Roman"/>
                <w:b w:val="0"/>
                <w:bCs w:val="0"/>
                <w:caps w:val="0"/>
                <w:color w:val="auto"/>
                <w:sz w:val="24"/>
                <w:szCs w:val="24"/>
                <w:highlight w:val="none"/>
                <w:lang w:val="en-US" w:eastAsia="zh-CN"/>
              </w:rPr>
            </w:pPr>
            <w:r>
              <w:rPr>
                <w:rFonts w:hint="eastAsia" w:ascii="Times New Roman" w:hAnsi="Times New Roman" w:eastAsia="宋体" w:cs="Times New Roman"/>
                <w:color w:val="auto"/>
                <w:sz w:val="24"/>
                <w:szCs w:val="24"/>
                <w:lang w:val="en-US" w:eastAsia="zh-CN"/>
              </w:rPr>
              <w:t>2、污水处理设备老化。</w:t>
            </w:r>
          </w:p>
          <w:p w14:paraId="233E2B11">
            <w:pPr>
              <w:pStyle w:val="45"/>
              <w:autoSpaceDE/>
              <w:autoSpaceDN/>
              <w:spacing w:line="520" w:lineRule="exact"/>
              <w:ind w:firstLine="480" w:firstLineChars="200"/>
              <w:jc w:val="both"/>
              <w:rPr>
                <w:rFonts w:hint="default" w:ascii="Times New Roman" w:hAnsi="Times New Roman" w:eastAsia="宋体" w:cs="Times New Roman"/>
                <w:b w:val="0"/>
                <w:bCs/>
                <w:color w:val="auto"/>
                <w:sz w:val="24"/>
                <w:lang w:val="en-US" w:eastAsia="zh-CN"/>
              </w:rPr>
            </w:pPr>
            <w:r>
              <w:rPr>
                <w:rFonts w:hint="eastAsia" w:ascii="Times New Roman" w:hAnsi="Times New Roman" w:cs="Times New Roman"/>
                <w:b w:val="0"/>
                <w:bCs/>
                <w:color w:val="auto"/>
                <w:sz w:val="24"/>
                <w:lang w:val="en-US" w:eastAsia="zh-CN"/>
              </w:rPr>
              <w:t>2002年，鄂尔多斯广厦医院委托鄂尔多斯市东胜区环境监测站完成《鄂尔多斯市广厦肿瘤医院建设项目环境影响报告表》并通过审查；2009年10月15日鄂尔多斯市东胜区环境监测站完成《鄂尔多斯市广厦医院建设项目环境保护专项验收》（东环监发〔2009〕149号），通过验收。</w:t>
            </w:r>
          </w:p>
          <w:p w14:paraId="1C71EA94">
            <w:pPr>
              <w:pStyle w:val="4"/>
              <w:pageBreakBefore w:val="0"/>
              <w:wordWrap/>
              <w:overflowPunct/>
              <w:topLinePunct w:val="0"/>
              <w:bidi w:val="0"/>
              <w:spacing w:line="520" w:lineRule="exact"/>
              <w:ind w:firstLine="482" w:firstLineChars="200"/>
              <w:rPr>
                <w:rFonts w:hint="default"/>
                <w:color w:val="auto"/>
                <w:lang w:val="en-US" w:eastAsia="zh-CN"/>
              </w:rPr>
            </w:pPr>
            <w:r>
              <w:rPr>
                <w:rFonts w:hint="eastAsia" w:ascii="Times New Roman" w:hAnsi="Times New Roman" w:eastAsia="宋体" w:cs="Times New Roman"/>
                <w:b/>
                <w:bCs/>
                <w:color w:val="auto"/>
                <w:sz w:val="24"/>
                <w:szCs w:val="24"/>
                <w:lang w:val="en-US" w:eastAsia="zh-CN"/>
              </w:rPr>
              <w:t>三</w:t>
            </w:r>
            <w:r>
              <w:rPr>
                <w:rFonts w:hint="default" w:ascii="Times New Roman" w:hAnsi="Times New Roman" w:eastAsia="宋体" w:cs="Times New Roman"/>
                <w:b/>
                <w:bCs/>
                <w:color w:val="auto"/>
                <w:sz w:val="24"/>
                <w:szCs w:val="24"/>
                <w:lang w:val="en-US"/>
              </w:rPr>
              <w:t xml:space="preserve">、整改措施 </w:t>
            </w:r>
          </w:p>
          <w:p w14:paraId="61963331">
            <w:pPr>
              <w:pStyle w:val="45"/>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color w:val="auto"/>
                <w:sz w:val="24"/>
                <w:szCs w:val="24"/>
                <w:lang w:val="en-US" w:eastAsia="zh-CN"/>
              </w:rPr>
              <w:t>1、</w:t>
            </w:r>
            <w:r>
              <w:rPr>
                <w:rFonts w:hint="eastAsia" w:ascii="Times New Roman" w:hAnsi="Times New Roman" w:cs="Times New Roman"/>
                <w:b w:val="0"/>
                <w:bCs w:val="0"/>
                <w:color w:val="auto"/>
                <w:sz w:val="24"/>
                <w:szCs w:val="24"/>
                <w:lang w:val="en-US" w:eastAsia="zh-CN"/>
              </w:rPr>
              <w:t>本项目新建危废暂存库1座，严格按照</w:t>
            </w:r>
            <w:r>
              <w:rPr>
                <w:rFonts w:hint="eastAsia" w:ascii="Times New Roman" w:hAnsi="Times New Roman" w:cs="Times New Roman"/>
                <w:b w:val="0"/>
                <w:bCs w:val="0"/>
                <w:color w:val="auto"/>
                <w:sz w:val="24"/>
                <w:szCs w:val="24"/>
                <w:lang w:val="en-US"/>
              </w:rPr>
              <w:t>《危险废物贮存污染控制标准》（GB 18597—2023）</w:t>
            </w:r>
            <w:r>
              <w:rPr>
                <w:rFonts w:hint="eastAsia" w:ascii="Times New Roman" w:hAnsi="Times New Roman" w:cs="Times New Roman"/>
                <w:b w:val="0"/>
                <w:bCs w:val="0"/>
                <w:color w:val="auto"/>
                <w:sz w:val="24"/>
                <w:szCs w:val="24"/>
                <w:lang w:val="en-US" w:eastAsia="zh-CN"/>
              </w:rPr>
              <w:t>要求建设，医疗废物贮存满足</w:t>
            </w:r>
            <w:r>
              <w:rPr>
                <w:rFonts w:hint="eastAsia" w:ascii="Times New Roman" w:hAnsi="Times New Roman" w:cs="Times New Roman"/>
                <w:b w:val="0"/>
                <w:bCs w:val="0"/>
                <w:color w:val="auto"/>
                <w:sz w:val="24"/>
                <w:szCs w:val="24"/>
                <w:lang w:val="en-US"/>
              </w:rPr>
              <w:t>《危险废物贮存污染控制标准》（GB 18597—2023）</w:t>
            </w:r>
            <w:r>
              <w:rPr>
                <w:rFonts w:hint="eastAsia" w:ascii="Times New Roman" w:hAnsi="Times New Roman" w:cs="Times New Roman"/>
                <w:b w:val="0"/>
                <w:bCs w:val="0"/>
                <w:color w:val="auto"/>
                <w:sz w:val="24"/>
                <w:szCs w:val="24"/>
                <w:lang w:val="en-US" w:eastAsia="zh-CN"/>
              </w:rPr>
              <w:t>要求。</w:t>
            </w:r>
          </w:p>
          <w:p w14:paraId="543BC69D">
            <w:pPr>
              <w:pStyle w:val="52"/>
              <w:keepNext w:val="0"/>
              <w:keepLines w:val="0"/>
              <w:pageBreakBefore w:val="0"/>
              <w:widowControl w:val="0"/>
              <w:numPr>
                <w:ilvl w:val="0"/>
                <w:numId w:val="0"/>
              </w:numPr>
              <w:kinsoku/>
              <w:wordWrap/>
              <w:overflowPunct/>
              <w:topLinePunct w:val="0"/>
              <w:autoSpaceDE/>
              <w:autoSpaceDN/>
              <w:bidi w:val="0"/>
              <w:adjustRightInd/>
              <w:snapToGrid/>
              <w:spacing w:before="0" w:beforeLines="0" w:afterLines="0" w:line="520" w:lineRule="exact"/>
              <w:ind w:leftChars="0" w:right="0" w:firstLine="480" w:firstLineChars="200"/>
              <w:jc w:val="both"/>
              <w:textAlignment w:val="auto"/>
              <w:rPr>
                <w:rFonts w:hint="eastAsia"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color w:val="auto"/>
                <w:sz w:val="24"/>
                <w:szCs w:val="24"/>
                <w:lang w:val="en-US" w:eastAsia="zh-CN"/>
              </w:rPr>
              <w:t>2、本项目利用原洗衣房</w:t>
            </w:r>
            <w:r>
              <w:rPr>
                <w:rFonts w:hint="eastAsia" w:ascii="Times New Roman" w:hAnsi="Times New Roman" w:eastAsia="宋体" w:cs="Times New Roman"/>
                <w:color w:val="auto"/>
                <w:sz w:val="24"/>
                <w:szCs w:val="24"/>
                <w:lang w:val="en-US" w:eastAsia="zh-CN"/>
              </w:rPr>
              <w:t>改</w:t>
            </w:r>
            <w:r>
              <w:rPr>
                <w:rFonts w:hint="default" w:ascii="Times New Roman" w:hAnsi="Times New Roman" w:eastAsia="宋体" w:cs="Times New Roman"/>
                <w:b w:val="0"/>
                <w:bCs w:val="0"/>
                <w:caps w:val="0"/>
                <w:color w:val="auto"/>
                <w:sz w:val="24"/>
                <w:szCs w:val="24"/>
                <w:highlight w:val="none"/>
                <w:lang w:val="en-US" w:eastAsia="zh-CN"/>
              </w:rPr>
              <w:t>建1座处理规模为80m</w:t>
            </w:r>
            <w:r>
              <w:rPr>
                <w:rFonts w:hint="default" w:ascii="Times New Roman" w:hAnsi="Times New Roman" w:eastAsia="宋体" w:cs="Times New Roman"/>
                <w:b w:val="0"/>
                <w:bCs w:val="0"/>
                <w:caps w:val="0"/>
                <w:color w:val="auto"/>
                <w:sz w:val="24"/>
                <w:szCs w:val="24"/>
                <w:highlight w:val="none"/>
                <w:vertAlign w:val="superscript"/>
                <w:lang w:val="en-US" w:eastAsia="zh-CN"/>
              </w:rPr>
              <w:t>3</w:t>
            </w:r>
            <w:r>
              <w:rPr>
                <w:rFonts w:hint="default" w:ascii="Times New Roman" w:hAnsi="Times New Roman" w:eastAsia="宋体" w:cs="Times New Roman"/>
                <w:b w:val="0"/>
                <w:bCs w:val="0"/>
                <w:caps w:val="0"/>
                <w:color w:val="auto"/>
                <w:sz w:val="24"/>
                <w:szCs w:val="24"/>
                <w:highlight w:val="none"/>
                <w:lang w:val="en-US" w:eastAsia="zh-CN"/>
              </w:rPr>
              <w:t>/d的一体化污水处理装置，采用“一级处理+消毒”处理工艺，建成后</w:t>
            </w:r>
            <w:r>
              <w:rPr>
                <w:rFonts w:hint="default" w:ascii="Times New Roman" w:hAnsi="Times New Roman" w:eastAsia="宋体" w:cs="Times New Roman"/>
                <w:color w:val="auto"/>
                <w:sz w:val="24"/>
                <w:szCs w:val="24"/>
                <w:lang w:val="en-US" w:eastAsia="zh-CN"/>
              </w:rPr>
              <w:t>拆除现有污水处理设备</w:t>
            </w:r>
            <w:r>
              <w:rPr>
                <w:rFonts w:hint="default" w:ascii="Times New Roman" w:hAnsi="Times New Roman" w:eastAsia="宋体" w:cs="Times New Roman"/>
                <w:b w:val="0"/>
                <w:bCs w:val="0"/>
                <w:caps w:val="0"/>
                <w:color w:val="auto"/>
                <w:sz w:val="24"/>
                <w:szCs w:val="24"/>
                <w:highlight w:val="none"/>
                <w:lang w:val="en-US" w:eastAsia="zh-CN"/>
              </w:rPr>
              <w:t>。废水经处理后达到《医疗机构水污染物排放标准》（GB 18466-2005）表2 综合医疗机构和其他医疗机构水污染物排放限值（日均值）预处理标准要求后排入市政管网，最终进入东胜区北郊水质净化厂统一处理。</w:t>
            </w:r>
          </w:p>
        </w:tc>
      </w:tr>
    </w:tbl>
    <w:p w14:paraId="61A65D1D">
      <w:pPr>
        <w:pStyle w:val="17"/>
        <w:jc w:val="center"/>
        <w:outlineLvl w:val="0"/>
        <w:rPr>
          <w:color w:val="auto"/>
        </w:rPr>
      </w:pPr>
      <w:r>
        <w:rPr>
          <w:rFonts w:hint="eastAsia" w:ascii="黑体" w:hAnsi="黑体" w:eastAsia="黑体"/>
          <w:snapToGrid w:val="0"/>
          <w:color w:val="auto"/>
          <w:sz w:val="30"/>
          <w:szCs w:val="30"/>
        </w:rPr>
        <w:t>三、区域环境质量现状、环境保护目标及评价标准</w:t>
      </w:r>
    </w:p>
    <w:tbl>
      <w:tblPr>
        <w:tblStyle w:val="20"/>
        <w:tblW w:w="9090" w:type="dxa"/>
        <w:tblInd w:w="-11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74"/>
        <w:gridCol w:w="8416"/>
      </w:tblGrid>
      <w:tr w14:paraId="3C1905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663" w:type="dxa"/>
            <w:tcBorders>
              <w:right w:val="single" w:color="000000" w:sz="4" w:space="0"/>
            </w:tcBorders>
            <w:noWrap w:val="0"/>
            <w:vAlign w:val="center"/>
          </w:tcPr>
          <w:p w14:paraId="10EDBB85">
            <w:pPr>
              <w:pStyle w:val="45"/>
              <w:spacing w:line="520" w:lineRule="exact"/>
              <w:jc w:val="center"/>
              <w:rPr>
                <w:rFonts w:ascii="Times New Roman" w:hAnsi="Times New Roman" w:cs="Times New Roman"/>
                <w:color w:val="auto"/>
                <w:spacing w:val="-2"/>
                <w:sz w:val="24"/>
                <w:szCs w:val="24"/>
                <w:lang w:val="en-US"/>
              </w:rPr>
            </w:pPr>
            <w:r>
              <w:rPr>
                <w:rFonts w:hint="eastAsia" w:ascii="Times New Roman" w:hAnsi="Times New Roman" w:cs="Times New Roman"/>
                <w:color w:val="auto"/>
                <w:spacing w:val="-2"/>
                <w:sz w:val="24"/>
                <w:szCs w:val="24"/>
                <w:lang w:val="en-US"/>
              </w:rPr>
              <w:t>区域环境质量现状</w:t>
            </w:r>
          </w:p>
        </w:tc>
        <w:tc>
          <w:tcPr>
            <w:tcW w:w="8280" w:type="dxa"/>
            <w:tcBorders>
              <w:left w:val="single" w:color="000000" w:sz="4" w:space="0"/>
            </w:tcBorders>
            <w:noWrap w:val="0"/>
            <w:vAlign w:val="top"/>
          </w:tcPr>
          <w:p w14:paraId="18B7BBBF">
            <w:pPr>
              <w:spacing w:line="520" w:lineRule="exact"/>
              <w:ind w:firstLine="482" w:firstLineChars="200"/>
              <w:rPr>
                <w:rFonts w:ascii="Times New Roman" w:hAnsi="Times New Roman" w:cs="Times New Roman"/>
                <w:b/>
                <w:bCs/>
                <w:color w:val="auto"/>
                <w:sz w:val="24"/>
              </w:rPr>
            </w:pPr>
            <w:r>
              <w:rPr>
                <w:rFonts w:ascii="Times New Roman" w:hAnsi="Times New Roman" w:cs="Times New Roman"/>
                <w:b/>
                <w:bCs/>
                <w:color w:val="auto"/>
                <w:sz w:val="24"/>
              </w:rPr>
              <w:t>1、</w:t>
            </w:r>
            <w:r>
              <w:rPr>
                <w:rFonts w:hint="eastAsia" w:ascii="Times New Roman" w:hAnsi="Times New Roman" w:cs="Times New Roman"/>
                <w:b/>
                <w:bCs/>
                <w:color w:val="auto"/>
                <w:sz w:val="24"/>
                <w:lang w:val="en-US" w:eastAsia="zh-CN"/>
              </w:rPr>
              <w:t>大气</w:t>
            </w:r>
            <w:r>
              <w:rPr>
                <w:rFonts w:ascii="Times New Roman" w:hAnsi="Times New Roman" w:cs="Times New Roman"/>
                <w:b/>
                <w:bCs/>
                <w:color w:val="auto"/>
                <w:sz w:val="24"/>
              </w:rPr>
              <w:t>环境质量现状</w:t>
            </w:r>
          </w:p>
          <w:p w14:paraId="4A51CE75">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color w:val="auto"/>
                <w:sz w:val="24"/>
                <w:highlight w:val="none"/>
                <w:lang w:eastAsia="zh-CN"/>
              </w:rPr>
            </w:pPr>
            <w:r>
              <w:rPr>
                <w:rFonts w:hint="default" w:ascii="Times New Roman" w:hAnsi="Times New Roman" w:cs="Times New Roman"/>
                <w:color w:val="auto"/>
                <w:kern w:val="0"/>
                <w:sz w:val="24"/>
              </w:rPr>
              <w:t>根据《建设项目环境影响报告表编制技术指南（污染影响类）（试行）》中的要求，常规污染物应引用与建设项目距离近的有效数据，包括近3年的规划环境影响评价的监测数据，国家、地方环境空气质量监测网数据或生态环境主管部门公开发布的质量数据等。</w:t>
            </w:r>
            <w:r>
              <w:rPr>
                <w:rFonts w:hint="default" w:ascii="Times New Roman" w:hAnsi="Times New Roman" w:cs="Times New Roman"/>
                <w:color w:val="auto"/>
                <w:kern w:val="0"/>
                <w:sz w:val="24"/>
                <w:lang w:eastAsia="zh-CN"/>
              </w:rPr>
              <w:t>根据</w:t>
            </w:r>
            <w:r>
              <w:rPr>
                <w:rFonts w:hint="default" w:ascii="Times New Roman" w:hAnsi="Times New Roman" w:cs="Times New Roman"/>
                <w:color w:val="auto"/>
                <w:sz w:val="24"/>
                <w:highlight w:val="none"/>
                <w:lang w:eastAsia="zh-CN"/>
              </w:rPr>
              <w:t>内蒙古自治区生态环境厅网站发布的</w:t>
            </w:r>
            <w:r>
              <w:rPr>
                <w:rFonts w:hint="default" w:ascii="Times New Roman" w:hAnsi="Times New Roman" w:cs="Times New Roman"/>
                <w:color w:val="auto"/>
                <w:sz w:val="24"/>
                <w:szCs w:val="24"/>
                <w:highlight w:val="none"/>
                <w:lang w:eastAsia="zh-CN"/>
              </w:rPr>
              <w:t>202</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eastAsia="zh-CN"/>
              </w:rPr>
              <w:t>年《内蒙古自治区生态环境状况公报》</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“202</w:t>
            </w:r>
            <w:r>
              <w:rPr>
                <w:rFonts w:hint="default" w:ascii="Times New Roman" w:hAnsi="Times New Roman" w:cs="Times New Roman"/>
                <w:color w:val="auto"/>
                <w:sz w:val="24"/>
                <w:highlight w:val="none"/>
                <w:lang w:val="en-US" w:eastAsia="zh-CN"/>
              </w:rPr>
              <w:t>4</w:t>
            </w:r>
            <w:r>
              <w:rPr>
                <w:rFonts w:hint="default" w:ascii="Times New Roman" w:hAnsi="Times New Roman" w:cs="Times New Roman"/>
                <w:color w:val="auto"/>
                <w:sz w:val="24"/>
                <w:highlight w:val="none"/>
                <w:lang w:eastAsia="zh-CN"/>
              </w:rPr>
              <w:t>年，全区</w:t>
            </w:r>
            <w:r>
              <w:rPr>
                <w:rFonts w:hint="default" w:ascii="Times New Roman" w:hAnsi="Times New Roman" w:cs="Times New Roman"/>
                <w:color w:val="auto"/>
                <w:sz w:val="24"/>
                <w:highlight w:val="none"/>
                <w:lang w:val="en-US" w:eastAsia="zh-CN"/>
              </w:rPr>
              <w:t>环境空气六项污染物年均浓度均达标</w:t>
            </w:r>
            <w:r>
              <w:rPr>
                <w:rFonts w:hint="default" w:ascii="Times New Roman" w:hAnsi="Times New Roman" w:cs="Times New Roman"/>
                <w:color w:val="auto"/>
                <w:sz w:val="24"/>
                <w:highlight w:val="none"/>
                <w:lang w:eastAsia="zh-CN"/>
              </w:rPr>
              <w:t>”。本项目位于鄂尔多斯市</w:t>
            </w:r>
            <w:r>
              <w:rPr>
                <w:rFonts w:hint="eastAsia" w:ascii="Times New Roman" w:hAnsi="Times New Roman" w:cs="Times New Roman"/>
                <w:color w:val="auto"/>
                <w:sz w:val="24"/>
                <w:highlight w:val="none"/>
                <w:lang w:val="en-US" w:eastAsia="zh-CN"/>
              </w:rPr>
              <w:t>东胜</w:t>
            </w:r>
            <w:r>
              <w:rPr>
                <w:rFonts w:hint="default" w:ascii="Times New Roman" w:hAnsi="Times New Roman" w:cs="Times New Roman"/>
                <w:color w:val="auto"/>
                <w:sz w:val="24"/>
                <w:highlight w:val="none"/>
                <w:lang w:val="en-US" w:eastAsia="zh-CN"/>
              </w:rPr>
              <w:t>区</w:t>
            </w:r>
            <w:r>
              <w:rPr>
                <w:rFonts w:hint="default" w:ascii="Times New Roman" w:hAnsi="Times New Roman" w:cs="Times New Roman"/>
                <w:color w:val="auto"/>
                <w:sz w:val="24"/>
                <w:highlight w:val="none"/>
                <w:lang w:eastAsia="zh-CN"/>
              </w:rPr>
              <w:t>，项目所在区域为环境空气质量达标区。</w:t>
            </w:r>
          </w:p>
          <w:p w14:paraId="609292B5">
            <w:pPr>
              <w:spacing w:line="520" w:lineRule="exact"/>
              <w:ind w:firstLine="482" w:firstLineChars="200"/>
              <w:jc w:val="both"/>
              <w:rPr>
                <w:rFonts w:ascii="Times New Roman" w:hAnsi="Times New Roman" w:cs="Times New Roman"/>
                <w:b/>
                <w:bCs/>
                <w:color w:val="auto"/>
                <w:sz w:val="24"/>
                <w:szCs w:val="24"/>
                <w:lang w:val="en-US"/>
              </w:rPr>
            </w:pPr>
            <w:r>
              <w:rPr>
                <w:rFonts w:hint="eastAsia" w:ascii="Times New Roman" w:hAnsi="Times New Roman" w:cs="Times New Roman"/>
                <w:b/>
                <w:bCs/>
                <w:color w:val="auto"/>
                <w:sz w:val="24"/>
                <w:szCs w:val="24"/>
                <w:lang w:val="en-US"/>
              </w:rPr>
              <w:t>2</w:t>
            </w:r>
            <w:r>
              <w:rPr>
                <w:rFonts w:ascii="Times New Roman" w:hAnsi="Times New Roman" w:cs="Times New Roman"/>
                <w:b/>
                <w:bCs/>
                <w:color w:val="auto"/>
                <w:sz w:val="24"/>
                <w:szCs w:val="24"/>
                <w:lang w:val="en-US"/>
              </w:rPr>
              <w:t>、</w:t>
            </w:r>
            <w:r>
              <w:rPr>
                <w:rFonts w:hint="eastAsia" w:ascii="Times New Roman" w:hAnsi="Times New Roman" w:cs="Times New Roman"/>
                <w:b/>
                <w:bCs/>
                <w:color w:val="auto"/>
                <w:sz w:val="24"/>
                <w:szCs w:val="24"/>
                <w:lang w:val="en-US"/>
              </w:rPr>
              <w:t>声环境质量现状</w:t>
            </w:r>
          </w:p>
          <w:p w14:paraId="0CE893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rPr>
              <w:t>项目声环境质量现状由内蒙古碧蓝环境科技有限公司于20</w:t>
            </w:r>
            <w:r>
              <w:rPr>
                <w:rFonts w:hint="default" w:ascii="Times New Roman" w:hAnsi="Times New Roman" w:eastAsia="宋体" w:cs="Times New Roman"/>
                <w:color w:val="auto"/>
                <w:sz w:val="24"/>
                <w:szCs w:val="24"/>
                <w:lang w:val="en-US" w:eastAsia="zh-CN"/>
              </w:rPr>
              <w:t>24</w:t>
            </w:r>
            <w:r>
              <w:rPr>
                <w:rFonts w:hint="default" w:ascii="Times New Roman" w:hAnsi="Times New Roman" w:eastAsia="宋体" w:cs="Times New Roman"/>
                <w:color w:val="auto"/>
                <w:sz w:val="24"/>
                <w:szCs w:val="24"/>
                <w:lang w:val="en-US"/>
              </w:rPr>
              <w:t>年</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val="en-US"/>
              </w:rPr>
              <w:t>月</w:t>
            </w:r>
            <w:r>
              <w:rPr>
                <w:rFonts w:hint="default" w:ascii="Times New Roman" w:hAnsi="Times New Roman" w:eastAsia="宋体" w:cs="Times New Roman"/>
                <w:color w:val="auto"/>
                <w:sz w:val="24"/>
                <w:szCs w:val="24"/>
                <w:lang w:val="en-US" w:eastAsia="zh-CN"/>
              </w:rPr>
              <w:t>29</w:t>
            </w:r>
            <w:r>
              <w:rPr>
                <w:rFonts w:hint="default" w:ascii="Times New Roman" w:hAnsi="Times New Roman" w:eastAsia="宋体" w:cs="Times New Roman"/>
                <w:color w:val="auto"/>
                <w:sz w:val="24"/>
                <w:szCs w:val="24"/>
                <w:lang w:val="en-US"/>
              </w:rPr>
              <w:t>日、</w:t>
            </w:r>
            <w:r>
              <w:rPr>
                <w:rFonts w:hint="default" w:ascii="Times New Roman" w:hAnsi="Times New Roman" w:eastAsia="宋体" w:cs="Times New Roman"/>
                <w:color w:val="auto"/>
                <w:sz w:val="24"/>
                <w:szCs w:val="24"/>
                <w:lang w:val="en-US" w:eastAsia="zh-CN"/>
              </w:rPr>
              <w:t>30</w:t>
            </w:r>
            <w:r>
              <w:rPr>
                <w:rFonts w:hint="default" w:ascii="Times New Roman" w:hAnsi="Times New Roman" w:eastAsia="宋体" w:cs="Times New Roman"/>
                <w:color w:val="auto"/>
                <w:sz w:val="24"/>
                <w:szCs w:val="24"/>
                <w:lang w:val="en-US"/>
              </w:rPr>
              <w:t>日进行监测</w:t>
            </w:r>
            <w:r>
              <w:rPr>
                <w:rFonts w:hint="default" w:ascii="Times New Roman" w:hAnsi="Times New Roman" w:eastAsia="宋体" w:cs="Times New Roman"/>
                <w:color w:val="auto"/>
                <w:sz w:val="24"/>
                <w:szCs w:val="24"/>
                <w:lang w:val="en-US" w:eastAsia="zh-CN"/>
              </w:rPr>
              <w:t>，声环境敏感目标现状监测由</w:t>
            </w:r>
            <w:r>
              <w:rPr>
                <w:rFonts w:hint="default" w:ascii="Times New Roman" w:hAnsi="Times New Roman" w:eastAsia="宋体" w:cs="Times New Roman"/>
                <w:color w:val="auto"/>
                <w:sz w:val="24"/>
                <w:szCs w:val="24"/>
                <w:lang w:val="en-US"/>
              </w:rPr>
              <w:t>内蒙古碧蓝环境科技有限公司于20</w:t>
            </w:r>
            <w:r>
              <w:rPr>
                <w:rFonts w:hint="default" w:ascii="Times New Roman" w:hAnsi="Times New Roman" w:eastAsia="宋体" w:cs="Times New Roman"/>
                <w:color w:val="auto"/>
                <w:sz w:val="24"/>
                <w:szCs w:val="24"/>
                <w:lang w:val="en-US" w:eastAsia="zh-CN"/>
              </w:rPr>
              <w:t>24</w:t>
            </w:r>
            <w:r>
              <w:rPr>
                <w:rFonts w:hint="default" w:ascii="Times New Roman" w:hAnsi="Times New Roman" w:eastAsia="宋体" w:cs="Times New Roman"/>
                <w:color w:val="auto"/>
                <w:sz w:val="24"/>
                <w:szCs w:val="24"/>
                <w:lang w:val="en-US"/>
              </w:rPr>
              <w:t>年</w:t>
            </w:r>
            <w:r>
              <w:rPr>
                <w:rFonts w:hint="default" w:ascii="Times New Roman" w:hAnsi="Times New Roman" w:eastAsia="宋体" w:cs="Times New Roman"/>
                <w:color w:val="auto"/>
                <w:sz w:val="24"/>
                <w:szCs w:val="24"/>
                <w:lang w:val="en-US" w:eastAsia="zh-CN"/>
              </w:rPr>
              <w:t>8</w:t>
            </w:r>
            <w:r>
              <w:rPr>
                <w:rFonts w:hint="default" w:ascii="Times New Roman" w:hAnsi="Times New Roman" w:eastAsia="宋体" w:cs="Times New Roman"/>
                <w:color w:val="auto"/>
                <w:sz w:val="24"/>
                <w:szCs w:val="24"/>
                <w:lang w:val="en-US"/>
              </w:rPr>
              <w:t>月</w:t>
            </w:r>
            <w:r>
              <w:rPr>
                <w:rFonts w:hint="default" w:ascii="Times New Roman" w:hAnsi="Times New Roman" w:eastAsia="宋体" w:cs="Times New Roman"/>
                <w:color w:val="auto"/>
                <w:sz w:val="24"/>
                <w:szCs w:val="24"/>
                <w:lang w:val="en-US" w:eastAsia="zh-CN"/>
              </w:rPr>
              <w:t>7</w:t>
            </w:r>
            <w:r>
              <w:rPr>
                <w:rFonts w:hint="default" w:ascii="Times New Roman" w:hAnsi="Times New Roman" w:eastAsia="宋体" w:cs="Times New Roman"/>
                <w:color w:val="auto"/>
                <w:sz w:val="24"/>
                <w:szCs w:val="24"/>
                <w:lang w:val="en-US"/>
              </w:rPr>
              <w:t>日、</w:t>
            </w:r>
            <w:r>
              <w:rPr>
                <w:rFonts w:hint="default" w:ascii="Times New Roman" w:hAnsi="Times New Roman" w:eastAsia="宋体" w:cs="Times New Roman"/>
                <w:color w:val="auto"/>
                <w:sz w:val="24"/>
                <w:szCs w:val="24"/>
                <w:lang w:val="en-US" w:eastAsia="zh-CN"/>
              </w:rPr>
              <w:t>8</w:t>
            </w:r>
            <w:r>
              <w:rPr>
                <w:rFonts w:hint="default" w:ascii="Times New Roman" w:hAnsi="Times New Roman" w:eastAsia="宋体" w:cs="Times New Roman"/>
                <w:color w:val="auto"/>
                <w:sz w:val="24"/>
                <w:szCs w:val="24"/>
                <w:lang w:val="en-US"/>
              </w:rPr>
              <w:t>日进行监测</w:t>
            </w:r>
            <w:r>
              <w:rPr>
                <w:rFonts w:hint="default" w:ascii="Times New Roman" w:hAnsi="Times New Roman" w:eastAsia="宋体" w:cs="Times New Roman"/>
                <w:color w:val="auto"/>
                <w:sz w:val="24"/>
                <w:szCs w:val="24"/>
                <w:lang w:val="en-US" w:eastAsia="zh-CN"/>
              </w:rPr>
              <w:t>。</w:t>
            </w:r>
          </w:p>
          <w:p w14:paraId="2904385E">
            <w:pPr>
              <w:pStyle w:val="30"/>
              <w:keepNext w:val="0"/>
              <w:keepLines w:val="0"/>
              <w:pageBreakBefore w:val="0"/>
              <w:widowControl w:val="0"/>
              <w:kinsoku/>
              <w:wordWrap/>
              <w:overflowPunct/>
              <w:topLinePunct w:val="0"/>
              <w:autoSpaceDE/>
              <w:autoSpaceDN/>
              <w:bidi w:val="0"/>
              <w:adjustRightInd/>
              <w:snapToGrid/>
              <w:spacing w:line="520" w:lineRule="exact"/>
              <w:ind w:firstLine="480"/>
              <w:jc w:val="both"/>
              <w:textAlignment w:val="auto"/>
              <w:rPr>
                <w:rFonts w:hint="default" w:ascii="Times New Roman" w:hAnsi="Times New Roman" w:eastAsia="宋体" w:cs="Times New Roman"/>
                <w:color w:val="auto"/>
                <w:sz w:val="24"/>
                <w:szCs w:val="24"/>
                <w:lang w:bidi="zh-CN"/>
              </w:rPr>
            </w:pPr>
            <w:r>
              <w:rPr>
                <w:rFonts w:hint="default" w:ascii="Times New Roman" w:hAnsi="Times New Roman" w:eastAsia="宋体" w:cs="Times New Roman"/>
                <w:color w:val="auto"/>
                <w:sz w:val="24"/>
                <w:szCs w:val="24"/>
                <w:lang w:bidi="zh-CN"/>
              </w:rPr>
              <w:t>（1）</w:t>
            </w:r>
            <w:r>
              <w:rPr>
                <w:rFonts w:hint="default" w:ascii="Times New Roman" w:hAnsi="Times New Roman" w:eastAsia="宋体" w:cs="Times New Roman"/>
                <w:color w:val="auto"/>
                <w:sz w:val="24"/>
                <w:szCs w:val="24"/>
              </w:rPr>
              <w:t>监测点位</w:t>
            </w:r>
          </w:p>
          <w:p w14:paraId="012EF551">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本次监测设置</w:t>
            </w:r>
            <w:r>
              <w:rPr>
                <w:rFonts w:hint="default"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lang w:val="en-US"/>
              </w:rPr>
              <w:t>个监测点。</w:t>
            </w:r>
          </w:p>
          <w:p w14:paraId="19C651C4">
            <w:pPr>
              <w:pStyle w:val="30"/>
              <w:keepNext w:val="0"/>
              <w:keepLines w:val="0"/>
              <w:pageBreakBefore w:val="0"/>
              <w:widowControl w:val="0"/>
              <w:kinsoku/>
              <w:wordWrap/>
              <w:overflowPunct/>
              <w:topLinePunct w:val="0"/>
              <w:autoSpaceDE/>
              <w:autoSpaceDN/>
              <w:bidi w:val="0"/>
              <w:adjustRightInd/>
              <w:snapToGrid/>
              <w:spacing w:line="520" w:lineRule="exact"/>
              <w:ind w:firstLine="480"/>
              <w:jc w:val="both"/>
              <w:textAlignment w:val="auto"/>
              <w:rPr>
                <w:rFonts w:hint="default" w:ascii="Times New Roman" w:hAnsi="Times New Roman" w:eastAsia="宋体" w:cs="Times New Roman"/>
                <w:color w:val="auto"/>
                <w:sz w:val="24"/>
                <w:szCs w:val="24"/>
                <w:lang w:bidi="zh-CN"/>
              </w:rPr>
            </w:pPr>
            <w:r>
              <w:rPr>
                <w:rFonts w:hint="default" w:ascii="Times New Roman" w:hAnsi="Times New Roman" w:eastAsia="宋体" w:cs="Times New Roman"/>
                <w:color w:val="auto"/>
                <w:sz w:val="24"/>
                <w:szCs w:val="24"/>
                <w:lang w:bidi="zh-CN"/>
              </w:rPr>
              <w:t>（2）</w:t>
            </w:r>
            <w:r>
              <w:rPr>
                <w:rFonts w:hint="default" w:ascii="Times New Roman" w:hAnsi="Times New Roman" w:eastAsia="宋体" w:cs="Times New Roman"/>
                <w:color w:val="auto"/>
                <w:sz w:val="24"/>
                <w:szCs w:val="24"/>
              </w:rPr>
              <w:t>监测项目</w:t>
            </w:r>
          </w:p>
          <w:p w14:paraId="6E605CE0">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等效连续A声级（Leq）。</w:t>
            </w:r>
          </w:p>
          <w:p w14:paraId="37E796AB">
            <w:pPr>
              <w:pStyle w:val="30"/>
              <w:keepNext w:val="0"/>
              <w:keepLines w:val="0"/>
              <w:pageBreakBefore w:val="0"/>
              <w:widowControl w:val="0"/>
              <w:kinsoku/>
              <w:wordWrap/>
              <w:overflowPunct/>
              <w:topLinePunct w:val="0"/>
              <w:autoSpaceDE/>
              <w:autoSpaceDN/>
              <w:bidi w:val="0"/>
              <w:adjustRightInd/>
              <w:snapToGrid/>
              <w:spacing w:line="520" w:lineRule="exact"/>
              <w:ind w:firstLine="480"/>
              <w:jc w:val="both"/>
              <w:textAlignment w:val="auto"/>
              <w:rPr>
                <w:rFonts w:hint="default" w:ascii="Times New Roman" w:hAnsi="Times New Roman" w:eastAsia="宋体" w:cs="Times New Roman"/>
                <w:color w:val="auto"/>
                <w:sz w:val="24"/>
                <w:szCs w:val="24"/>
                <w:lang w:bidi="zh-CN"/>
              </w:rPr>
            </w:pPr>
            <w:r>
              <w:rPr>
                <w:rFonts w:hint="default" w:ascii="Times New Roman" w:hAnsi="Times New Roman" w:eastAsia="宋体" w:cs="Times New Roman"/>
                <w:color w:val="auto"/>
                <w:sz w:val="24"/>
                <w:szCs w:val="24"/>
                <w:lang w:bidi="zh-CN"/>
              </w:rPr>
              <w:t>（3）</w:t>
            </w:r>
            <w:r>
              <w:rPr>
                <w:rFonts w:hint="default" w:ascii="Times New Roman" w:hAnsi="Times New Roman" w:eastAsia="宋体" w:cs="Times New Roman"/>
                <w:color w:val="auto"/>
                <w:sz w:val="24"/>
                <w:szCs w:val="24"/>
              </w:rPr>
              <w:t>监测时间</w:t>
            </w:r>
          </w:p>
          <w:p w14:paraId="33D7095D">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rPr>
              <w:t>202</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val="en-US"/>
              </w:rPr>
              <w:t>年</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val="en-US"/>
              </w:rPr>
              <w:t>月</w:t>
            </w:r>
            <w:r>
              <w:rPr>
                <w:rFonts w:hint="default" w:ascii="Times New Roman" w:hAnsi="Times New Roman" w:eastAsia="宋体" w:cs="Times New Roman"/>
                <w:color w:val="auto"/>
                <w:sz w:val="24"/>
                <w:szCs w:val="24"/>
                <w:lang w:val="en-US" w:eastAsia="zh-CN"/>
              </w:rPr>
              <w:t>29</w:t>
            </w:r>
            <w:r>
              <w:rPr>
                <w:rFonts w:hint="default" w:ascii="Times New Roman" w:hAnsi="Times New Roman" w:eastAsia="宋体" w:cs="Times New Roman"/>
                <w:color w:val="auto"/>
                <w:sz w:val="24"/>
                <w:szCs w:val="24"/>
                <w:lang w:val="en-US"/>
              </w:rPr>
              <w:t>日到20</w:t>
            </w:r>
            <w:r>
              <w:rPr>
                <w:rFonts w:hint="default" w:ascii="Times New Roman" w:hAnsi="Times New Roman" w:eastAsia="宋体" w:cs="Times New Roman"/>
                <w:color w:val="auto"/>
                <w:sz w:val="24"/>
                <w:szCs w:val="24"/>
                <w:lang w:val="en-US" w:eastAsia="zh-CN"/>
              </w:rPr>
              <w:t>24</w:t>
            </w:r>
            <w:r>
              <w:rPr>
                <w:rFonts w:hint="default" w:ascii="Times New Roman" w:hAnsi="Times New Roman" w:eastAsia="宋体" w:cs="Times New Roman"/>
                <w:color w:val="auto"/>
                <w:sz w:val="24"/>
                <w:szCs w:val="24"/>
                <w:lang w:val="en-US"/>
              </w:rPr>
              <w:t>年</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val="en-US"/>
              </w:rPr>
              <w:t>月</w:t>
            </w:r>
            <w:r>
              <w:rPr>
                <w:rFonts w:hint="default" w:ascii="Times New Roman" w:hAnsi="Times New Roman" w:eastAsia="宋体" w:cs="Times New Roman"/>
                <w:color w:val="auto"/>
                <w:sz w:val="24"/>
                <w:szCs w:val="24"/>
                <w:lang w:val="en-US" w:eastAsia="zh-CN"/>
              </w:rPr>
              <w:t>30</w:t>
            </w:r>
            <w:r>
              <w:rPr>
                <w:rFonts w:hint="default" w:ascii="Times New Roman" w:hAnsi="Times New Roman" w:eastAsia="宋体" w:cs="Times New Roman"/>
                <w:color w:val="auto"/>
                <w:sz w:val="24"/>
                <w:szCs w:val="24"/>
                <w:lang w:val="en-US"/>
              </w:rPr>
              <w:t>日进行监测2天，分昼间（06：00-22：00）和夜间（22：00-06：00）两个时段进行，昼夜各监测一次</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rPr>
              <w:t>202</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val="en-US"/>
              </w:rPr>
              <w:t>年</w:t>
            </w:r>
            <w:r>
              <w:rPr>
                <w:rFonts w:hint="default" w:ascii="Times New Roman" w:hAnsi="Times New Roman" w:eastAsia="宋体" w:cs="Times New Roman"/>
                <w:color w:val="auto"/>
                <w:sz w:val="24"/>
                <w:szCs w:val="24"/>
                <w:lang w:val="en-US" w:eastAsia="zh-CN"/>
              </w:rPr>
              <w:t>8</w:t>
            </w:r>
            <w:r>
              <w:rPr>
                <w:rFonts w:hint="default" w:ascii="Times New Roman" w:hAnsi="Times New Roman" w:eastAsia="宋体" w:cs="Times New Roman"/>
                <w:color w:val="auto"/>
                <w:sz w:val="24"/>
                <w:szCs w:val="24"/>
                <w:lang w:val="en-US"/>
              </w:rPr>
              <w:t>月</w:t>
            </w:r>
            <w:r>
              <w:rPr>
                <w:rFonts w:hint="default" w:ascii="Times New Roman" w:hAnsi="Times New Roman" w:eastAsia="宋体" w:cs="Times New Roman"/>
                <w:color w:val="auto"/>
                <w:sz w:val="24"/>
                <w:szCs w:val="24"/>
                <w:lang w:val="en-US" w:eastAsia="zh-CN"/>
              </w:rPr>
              <w:t>7</w:t>
            </w:r>
            <w:r>
              <w:rPr>
                <w:rFonts w:hint="default" w:ascii="Times New Roman" w:hAnsi="Times New Roman" w:eastAsia="宋体" w:cs="Times New Roman"/>
                <w:color w:val="auto"/>
                <w:sz w:val="24"/>
                <w:szCs w:val="24"/>
                <w:lang w:val="en-US"/>
              </w:rPr>
              <w:t>日到20</w:t>
            </w:r>
            <w:r>
              <w:rPr>
                <w:rFonts w:hint="default" w:ascii="Times New Roman" w:hAnsi="Times New Roman" w:eastAsia="宋体" w:cs="Times New Roman"/>
                <w:color w:val="auto"/>
                <w:sz w:val="24"/>
                <w:szCs w:val="24"/>
                <w:lang w:val="en-US" w:eastAsia="zh-CN"/>
              </w:rPr>
              <w:t>24</w:t>
            </w:r>
            <w:r>
              <w:rPr>
                <w:rFonts w:hint="default" w:ascii="Times New Roman" w:hAnsi="Times New Roman" w:eastAsia="宋体" w:cs="Times New Roman"/>
                <w:color w:val="auto"/>
                <w:sz w:val="24"/>
                <w:szCs w:val="24"/>
                <w:lang w:val="en-US"/>
              </w:rPr>
              <w:t>年</w:t>
            </w:r>
            <w:r>
              <w:rPr>
                <w:rFonts w:hint="default" w:ascii="Times New Roman" w:hAnsi="Times New Roman" w:eastAsia="宋体" w:cs="Times New Roman"/>
                <w:color w:val="auto"/>
                <w:sz w:val="24"/>
                <w:szCs w:val="24"/>
                <w:lang w:val="en-US" w:eastAsia="zh-CN"/>
              </w:rPr>
              <w:t>8</w:t>
            </w:r>
            <w:r>
              <w:rPr>
                <w:rFonts w:hint="default" w:ascii="Times New Roman" w:hAnsi="Times New Roman" w:eastAsia="宋体" w:cs="Times New Roman"/>
                <w:color w:val="auto"/>
                <w:sz w:val="24"/>
                <w:szCs w:val="24"/>
                <w:lang w:val="en-US"/>
              </w:rPr>
              <w:t>月</w:t>
            </w:r>
            <w:r>
              <w:rPr>
                <w:rFonts w:hint="default" w:ascii="Times New Roman" w:hAnsi="Times New Roman" w:eastAsia="宋体" w:cs="Times New Roman"/>
                <w:color w:val="auto"/>
                <w:sz w:val="24"/>
                <w:szCs w:val="24"/>
                <w:lang w:val="en-US" w:eastAsia="zh-CN"/>
              </w:rPr>
              <w:t>8</w:t>
            </w:r>
            <w:r>
              <w:rPr>
                <w:rFonts w:hint="default" w:ascii="Times New Roman" w:hAnsi="Times New Roman" w:eastAsia="宋体" w:cs="Times New Roman"/>
                <w:color w:val="auto"/>
                <w:sz w:val="24"/>
                <w:szCs w:val="24"/>
                <w:lang w:val="en-US"/>
              </w:rPr>
              <w:t>日进行监测2天，分昼间（06：00-22：00）和夜间（22：00-06：00）两个时段进行，昼夜各监测一次</w:t>
            </w:r>
            <w:r>
              <w:rPr>
                <w:rFonts w:hint="default" w:ascii="Times New Roman" w:hAnsi="Times New Roman" w:eastAsia="宋体" w:cs="Times New Roman"/>
                <w:color w:val="auto"/>
                <w:sz w:val="24"/>
                <w:szCs w:val="24"/>
                <w:lang w:val="en-US" w:eastAsia="zh-CN"/>
              </w:rPr>
              <w:t>。</w:t>
            </w:r>
          </w:p>
          <w:p w14:paraId="6DB86D35">
            <w:pPr>
              <w:pStyle w:val="30"/>
              <w:keepNext w:val="0"/>
              <w:keepLines w:val="0"/>
              <w:pageBreakBefore w:val="0"/>
              <w:widowControl w:val="0"/>
              <w:kinsoku/>
              <w:wordWrap/>
              <w:overflowPunct/>
              <w:topLinePunct w:val="0"/>
              <w:autoSpaceDE/>
              <w:autoSpaceDN/>
              <w:bidi w:val="0"/>
              <w:adjustRightInd/>
              <w:snapToGrid/>
              <w:spacing w:line="520" w:lineRule="exact"/>
              <w:ind w:firstLine="480"/>
              <w:jc w:val="both"/>
              <w:textAlignment w:val="auto"/>
              <w:rPr>
                <w:rFonts w:hint="default" w:ascii="Times New Roman" w:hAnsi="Times New Roman" w:eastAsia="宋体" w:cs="Times New Roman"/>
                <w:color w:val="auto"/>
                <w:sz w:val="24"/>
                <w:szCs w:val="24"/>
                <w:lang w:bidi="zh-CN"/>
              </w:rPr>
            </w:pPr>
            <w:r>
              <w:rPr>
                <w:rFonts w:hint="default" w:ascii="Times New Roman" w:hAnsi="Times New Roman" w:eastAsia="宋体" w:cs="Times New Roman"/>
                <w:color w:val="auto"/>
                <w:sz w:val="24"/>
                <w:szCs w:val="24"/>
                <w:lang w:bidi="zh-CN"/>
              </w:rPr>
              <w:t>（4）执行标准</w:t>
            </w:r>
          </w:p>
          <w:p w14:paraId="13C5D49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eastAsia="zh-CN"/>
              </w:rPr>
              <w:t>执行</w:t>
            </w:r>
            <w:r>
              <w:rPr>
                <w:rFonts w:hint="default" w:ascii="Times New Roman" w:hAnsi="Times New Roman" w:eastAsia="宋体" w:cs="Times New Roman"/>
                <w:color w:val="auto"/>
                <w:sz w:val="24"/>
                <w:szCs w:val="24"/>
                <w:lang w:val="en-US"/>
              </w:rPr>
              <w:t>《声环境质量标准》（GB3096-2008）中</w:t>
            </w:r>
            <w:r>
              <w:rPr>
                <w:rFonts w:hint="default" w:ascii="Times New Roman" w:hAnsi="Times New Roman" w:eastAsia="宋体" w:cs="Times New Roman"/>
                <w:color w:val="auto"/>
                <w:sz w:val="24"/>
                <w:szCs w:val="24"/>
                <w:lang w:val="en-US" w:eastAsia="zh-CN"/>
              </w:rPr>
              <w:t>1类声环境功能区环境噪声限值</w:t>
            </w:r>
            <w:r>
              <w:rPr>
                <w:rFonts w:hint="default" w:ascii="Times New Roman" w:hAnsi="Times New Roman" w:eastAsia="宋体" w:cs="Times New Roman"/>
                <w:color w:val="auto"/>
                <w:sz w:val="24"/>
                <w:szCs w:val="24"/>
                <w:lang w:val="en-US"/>
              </w:rPr>
              <w:t>。</w:t>
            </w:r>
          </w:p>
          <w:p w14:paraId="42B2AE4C">
            <w:pPr>
              <w:pStyle w:val="3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bidi="zh-CN"/>
              </w:rPr>
            </w:pPr>
            <w:r>
              <w:rPr>
                <w:color w:val="auto"/>
                <w:sz w:val="24"/>
              </w:rPr>
              <mc:AlternateContent>
                <mc:Choice Requires="wps">
                  <w:drawing>
                    <wp:anchor distT="0" distB="0" distL="114300" distR="114300" simplePos="0" relativeHeight="251703296" behindDoc="0" locked="0" layoutInCell="1" allowOverlap="1">
                      <wp:simplePos x="0" y="0"/>
                      <wp:positionH relativeFrom="column">
                        <wp:posOffset>3263900</wp:posOffset>
                      </wp:positionH>
                      <wp:positionV relativeFrom="paragraph">
                        <wp:posOffset>471170</wp:posOffset>
                      </wp:positionV>
                      <wp:extent cx="984885" cy="301625"/>
                      <wp:effectExtent l="286385" t="4445" r="5080" b="398780"/>
                      <wp:wrapNone/>
                      <wp:docPr id="171" name="自选图形 16"/>
                      <wp:cNvGraphicFramePr/>
                      <a:graphic xmlns:a="http://schemas.openxmlformats.org/drawingml/2006/main">
                        <a:graphicData uri="http://schemas.microsoft.com/office/word/2010/wordprocessingShape">
                          <wps:wsp>
                            <wps:cNvSpPr/>
                            <wps:spPr>
                              <a:xfrm rot="10800000">
                                <a:off x="0" y="0"/>
                                <a:ext cx="984885" cy="301625"/>
                              </a:xfrm>
                              <a:prstGeom prst="wedgeRoundRectCallout">
                                <a:avLst>
                                  <a:gd name="adj1" fmla="val 75854"/>
                                  <a:gd name="adj2" fmla="val -170210"/>
                                  <a:gd name="adj3" fmla="val 16667"/>
                                </a:avLst>
                              </a:prstGeom>
                              <a:solidFill>
                                <a:srgbClr val="FFFF00">
                                  <a:alpha val="89999"/>
                                </a:srgbClr>
                              </a:solidFill>
                              <a:ln w="9525" cap="flat" cmpd="sng">
                                <a:solidFill>
                                  <a:srgbClr val="000000"/>
                                </a:solidFill>
                                <a:prstDash val="solid"/>
                                <a:miter/>
                                <a:headEnd type="none" w="med" len="med"/>
                                <a:tailEnd type="none" w="med" len="med"/>
                              </a:ln>
                            </wps:spPr>
                            <wps:txbx>
                              <w:txbxContent>
                                <w:p w14:paraId="32525FD2">
                                  <w:pPr>
                                    <w:jc w:val="center"/>
                                    <w:rPr>
                                      <w:rFonts w:hint="eastAsia" w:eastAsia="宋体"/>
                                      <w:b/>
                                      <w:color w:val="FF0000"/>
                                      <w:sz w:val="21"/>
                                      <w:szCs w:val="21"/>
                                      <w:lang w:eastAsia="zh-CN"/>
                                    </w:rPr>
                                  </w:pPr>
                                  <w:r>
                                    <w:rPr>
                                      <w:rFonts w:hint="eastAsia"/>
                                      <w:b/>
                                      <w:color w:val="FF0000"/>
                                      <w:sz w:val="21"/>
                                      <w:szCs w:val="21"/>
                                      <w:lang w:val="en-US" w:eastAsia="zh-CN"/>
                                    </w:rPr>
                                    <w:t>本</w:t>
                                  </w:r>
                                  <w:r>
                                    <w:rPr>
                                      <w:rFonts w:hint="eastAsia"/>
                                      <w:b/>
                                      <w:color w:val="FF0000"/>
                                      <w:sz w:val="21"/>
                                      <w:szCs w:val="21"/>
                                      <w:lang w:eastAsia="zh-CN"/>
                                    </w:rPr>
                                    <w:t>项目</w:t>
                                  </w:r>
                                  <w:r>
                                    <w:rPr>
                                      <w:rFonts w:hint="eastAsia"/>
                                      <w:b/>
                                      <w:color w:val="FF0000"/>
                                      <w:sz w:val="21"/>
                                      <w:szCs w:val="21"/>
                                      <w:lang w:val="en-US" w:eastAsia="zh-CN"/>
                                    </w:rPr>
                                    <w:t>位置</w:t>
                                  </w:r>
                                </w:p>
                                <w:p w14:paraId="7002522A">
                                  <w:pPr>
                                    <w:jc w:val="center"/>
                                    <w:rPr>
                                      <w:rFonts w:hint="eastAsia"/>
                                      <w:b/>
                                      <w:color w:val="FF0000"/>
                                      <w:sz w:val="21"/>
                                      <w:szCs w:val="21"/>
                                    </w:rPr>
                                  </w:pPr>
                                  <w:r>
                                    <w:rPr>
                                      <w:rFonts w:hint="eastAsia"/>
                                      <w:b/>
                                      <w:color w:val="FF0000"/>
                                      <w:sz w:val="21"/>
                                      <w:szCs w:val="21"/>
                                    </w:rPr>
                                    <w:t>本项目所在地</w:t>
                                  </w:r>
                                </w:p>
                              </w:txbxContent>
                            </wps:txbx>
                            <wps:bodyPr vert="horz" wrap="square" anchor="t" anchorCtr="0" upright="1"/>
                          </wps:wsp>
                        </a:graphicData>
                      </a:graphic>
                    </wp:anchor>
                  </w:drawing>
                </mc:Choice>
                <mc:Fallback>
                  <w:pict>
                    <v:shape id="自选图形 16" o:spid="_x0000_s1026" o:spt="62" type="#_x0000_t62" style="position:absolute;left:0pt;margin-left:257pt;margin-top:37.1pt;height:23.75pt;width:77.55pt;rotation:11796480f;z-index:251703296;mso-width-relative:page;mso-height-relative:page;" fillcolor="#FFFF00" filled="t" stroked="t" coordsize="21600,21600" o:gfxdata="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HPHvq2gAAAAoBAAAPAAAA&#10;AAAAAAEAIAAAACIAAABkcnMvZG93bnJldi54bWxQSwECFAAUAAAACACHTuJAZH8eY4UCAAAcBQAA&#10;DgAAAAAAAAABACAAAAApAQAAZHJzL2Uyb0RvYy54bWxQSwUGAAAAAAYABgBZAQAAIAYAAAAA&#10;" adj="27184,-25965,14400">
                      <v:fill on="t" opacity="58981f" focussize="0,0"/>
                      <v:stroke color="#000000" joinstyle="miter"/>
                      <v:imagedata o:title=""/>
                      <o:lock v:ext="edit" aspectratio="f"/>
                      <v:textbox>
                        <w:txbxContent>
                          <w:p w14:paraId="32525FD2">
                            <w:pPr>
                              <w:jc w:val="center"/>
                              <w:rPr>
                                <w:rFonts w:hint="eastAsia" w:eastAsia="宋体"/>
                                <w:b/>
                                <w:color w:val="FF0000"/>
                                <w:sz w:val="21"/>
                                <w:szCs w:val="21"/>
                                <w:lang w:eastAsia="zh-CN"/>
                              </w:rPr>
                            </w:pPr>
                            <w:r>
                              <w:rPr>
                                <w:rFonts w:hint="eastAsia"/>
                                <w:b/>
                                <w:color w:val="FF0000"/>
                                <w:sz w:val="21"/>
                                <w:szCs w:val="21"/>
                                <w:lang w:val="en-US" w:eastAsia="zh-CN"/>
                              </w:rPr>
                              <w:t>本</w:t>
                            </w:r>
                            <w:r>
                              <w:rPr>
                                <w:rFonts w:hint="eastAsia"/>
                                <w:b/>
                                <w:color w:val="FF0000"/>
                                <w:sz w:val="21"/>
                                <w:szCs w:val="21"/>
                                <w:lang w:eastAsia="zh-CN"/>
                              </w:rPr>
                              <w:t>项目</w:t>
                            </w:r>
                            <w:r>
                              <w:rPr>
                                <w:rFonts w:hint="eastAsia"/>
                                <w:b/>
                                <w:color w:val="FF0000"/>
                                <w:sz w:val="21"/>
                                <w:szCs w:val="21"/>
                                <w:lang w:val="en-US" w:eastAsia="zh-CN"/>
                              </w:rPr>
                              <w:t>位置</w:t>
                            </w:r>
                          </w:p>
                          <w:p w14:paraId="7002522A">
                            <w:pPr>
                              <w:jc w:val="center"/>
                              <w:rPr>
                                <w:rFonts w:hint="eastAsia"/>
                                <w:b/>
                                <w:color w:val="FF0000"/>
                                <w:sz w:val="21"/>
                                <w:szCs w:val="21"/>
                              </w:rPr>
                            </w:pPr>
                            <w:r>
                              <w:rPr>
                                <w:rFonts w:hint="eastAsia"/>
                                <w:b/>
                                <w:color w:val="FF0000"/>
                                <w:sz w:val="21"/>
                                <w:szCs w:val="21"/>
                              </w:rPr>
                              <w:t>本项目所在地</w:t>
                            </w:r>
                          </w:p>
                        </w:txbxContent>
                      </v:textbox>
                    </v:shape>
                  </w:pict>
                </mc:Fallback>
              </mc:AlternateContent>
            </w:r>
            <w:r>
              <w:rPr>
                <w:rFonts w:hint="default" w:ascii="Times New Roman" w:hAnsi="Times New Roman" w:eastAsia="宋体" w:cs="Times New Roman"/>
                <w:color w:val="auto"/>
                <w:sz w:val="24"/>
                <w:szCs w:val="24"/>
                <w:lang w:bidi="zh-CN"/>
              </w:rPr>
              <w:drawing>
                <wp:inline distT="0" distB="0" distL="114300" distR="114300">
                  <wp:extent cx="5038725" cy="3352800"/>
                  <wp:effectExtent l="9525" t="9525" r="19050" b="9525"/>
                  <wp:docPr id="169" name="图片 169" descr="鄂尔多斯市（东胜区、康巴什区）声环境功能区划分示意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9" descr="鄂尔多斯市（东胜区、康巴什区）声环境功能区划分示意图(1)"/>
                          <pic:cNvPicPr>
                            <a:picLocks noChangeAspect="1"/>
                          </pic:cNvPicPr>
                        </pic:nvPicPr>
                        <pic:blipFill>
                          <a:blip r:embed="rId23"/>
                          <a:srcRect l="3015" t="7763" r="2058" b="2943"/>
                          <a:stretch>
                            <a:fillRect/>
                          </a:stretch>
                        </pic:blipFill>
                        <pic:spPr>
                          <a:xfrm>
                            <a:off x="0" y="0"/>
                            <a:ext cx="5038725" cy="3352800"/>
                          </a:xfrm>
                          <a:prstGeom prst="rect">
                            <a:avLst/>
                          </a:prstGeom>
                          <a:ln>
                            <a:solidFill>
                              <a:schemeClr val="tx1"/>
                            </a:solidFill>
                          </a:ln>
                        </pic:spPr>
                      </pic:pic>
                    </a:graphicData>
                  </a:graphic>
                </wp:inline>
              </w:drawing>
            </w:r>
          </w:p>
          <w:p w14:paraId="13A841F4">
            <w:pPr>
              <w:pStyle w:val="30"/>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default" w:ascii="Times New Roman" w:hAnsi="Times New Roman" w:eastAsia="宋体" w:cs="Times New Roman"/>
                <w:color w:val="auto"/>
                <w:sz w:val="24"/>
                <w:szCs w:val="24"/>
                <w:lang w:bidi="zh-CN"/>
              </w:rPr>
            </w:pPr>
            <w:r>
              <w:rPr>
                <w:rFonts w:hint="default" w:ascii="Times New Roman" w:hAnsi="Times New Roman" w:cs="Times New Roman"/>
                <w:b/>
                <w:bCs/>
                <w:color w:val="auto"/>
                <w:sz w:val="24"/>
                <w:szCs w:val="24"/>
                <w:lang w:val="en-US"/>
              </w:rPr>
              <w:t>图</w:t>
            </w:r>
            <w:r>
              <w:rPr>
                <w:rFonts w:hint="eastAsia" w:ascii="Times New Roman" w:hAnsi="Times New Roman" w:cs="Times New Roman"/>
                <w:b/>
                <w:bCs/>
                <w:color w:val="auto"/>
                <w:sz w:val="24"/>
                <w:szCs w:val="24"/>
                <w:lang w:val="en-US" w:eastAsia="zh-CN"/>
              </w:rPr>
              <w:t>3</w:t>
            </w:r>
            <w:r>
              <w:rPr>
                <w:rFonts w:hint="default" w:ascii="Times New Roman" w:hAnsi="Times New Roman" w:cs="Times New Roman"/>
                <w:b/>
                <w:bCs/>
                <w:color w:val="auto"/>
                <w:sz w:val="24"/>
                <w:szCs w:val="24"/>
                <w:lang w:val="en-US"/>
              </w:rPr>
              <w:t>-1    本项目在</w:t>
            </w:r>
            <w:r>
              <w:rPr>
                <w:rFonts w:hint="eastAsia" w:ascii="Times New Roman" w:hAnsi="Times New Roman" w:cs="Times New Roman"/>
                <w:b/>
                <w:bCs/>
                <w:color w:val="auto"/>
                <w:sz w:val="24"/>
                <w:szCs w:val="24"/>
                <w:lang w:val="en-US" w:eastAsia="zh-CN"/>
              </w:rPr>
              <w:t>声环境功能区划图</w:t>
            </w:r>
            <w:r>
              <w:rPr>
                <w:rFonts w:hint="default" w:ascii="Times New Roman" w:hAnsi="Times New Roman" w:cs="Times New Roman"/>
                <w:b/>
                <w:bCs/>
                <w:color w:val="auto"/>
                <w:sz w:val="24"/>
                <w:szCs w:val="24"/>
                <w:lang w:val="en-US"/>
              </w:rPr>
              <w:t>中位置示意图</w:t>
            </w:r>
          </w:p>
          <w:p w14:paraId="30C5C13D">
            <w:pPr>
              <w:pStyle w:val="30"/>
              <w:keepNext w:val="0"/>
              <w:keepLines w:val="0"/>
              <w:pageBreakBefore w:val="0"/>
              <w:widowControl w:val="0"/>
              <w:kinsoku/>
              <w:wordWrap/>
              <w:overflowPunct/>
              <w:topLinePunct w:val="0"/>
              <w:autoSpaceDE/>
              <w:autoSpaceDN/>
              <w:bidi w:val="0"/>
              <w:adjustRightInd/>
              <w:snapToGrid/>
              <w:spacing w:line="520" w:lineRule="exact"/>
              <w:ind w:firstLine="480"/>
              <w:jc w:val="both"/>
              <w:textAlignment w:val="auto"/>
              <w:rPr>
                <w:rFonts w:hint="default" w:ascii="Times New Roman" w:hAnsi="Times New Roman" w:eastAsia="宋体" w:cs="Times New Roman"/>
                <w:color w:val="auto"/>
                <w:sz w:val="24"/>
                <w:szCs w:val="24"/>
                <w:lang w:bidi="zh-CN"/>
              </w:rPr>
            </w:pPr>
            <w:r>
              <w:rPr>
                <w:rFonts w:hint="default" w:ascii="Times New Roman" w:hAnsi="Times New Roman" w:eastAsia="宋体" w:cs="Times New Roman"/>
                <w:color w:val="auto"/>
                <w:sz w:val="24"/>
                <w:szCs w:val="24"/>
                <w:lang w:bidi="zh-CN"/>
              </w:rPr>
              <w:t>（5）监测结果</w:t>
            </w:r>
          </w:p>
          <w:p w14:paraId="71B0C95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ascii="Times New Roman" w:hAnsi="Times New Roman" w:cs="Times New Roman"/>
                <w:color w:val="auto"/>
                <w:sz w:val="24"/>
                <w:szCs w:val="24"/>
                <w:lang w:val="en-US"/>
              </w:rPr>
            </w:pPr>
            <w:r>
              <w:rPr>
                <w:rFonts w:hint="default" w:ascii="Times New Roman" w:hAnsi="Times New Roman" w:eastAsia="宋体" w:cs="Times New Roman"/>
                <w:color w:val="auto"/>
                <w:sz w:val="24"/>
                <w:szCs w:val="24"/>
                <w:lang w:val="en-US"/>
              </w:rPr>
              <w:t>声环境监测及评价结果见表3-</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rPr>
              <w:t>。</w:t>
            </w:r>
          </w:p>
          <w:p w14:paraId="1B841EAF">
            <w:pPr>
              <w:spacing w:line="520" w:lineRule="exact"/>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表 3-</w:t>
            </w:r>
            <w:r>
              <w:rPr>
                <w:rFonts w:hint="eastAsia" w:ascii="Times New Roman" w:hAnsi="Times New Roman" w:cs="Times New Roman"/>
                <w:b/>
                <w:bCs/>
                <w:color w:val="auto"/>
                <w:sz w:val="24"/>
                <w:szCs w:val="24"/>
                <w:lang w:val="en-US" w:eastAsia="zh-CN"/>
              </w:rPr>
              <w:t xml:space="preserve">1            </w:t>
            </w:r>
            <w:r>
              <w:rPr>
                <w:rFonts w:hint="eastAsia" w:ascii="Times New Roman" w:hAnsi="Times New Roman" w:cs="Times New Roman"/>
                <w:b/>
                <w:bCs/>
                <w:color w:val="auto"/>
                <w:sz w:val="24"/>
                <w:szCs w:val="24"/>
                <w:lang w:val="en-US"/>
              </w:rPr>
              <w:t xml:space="preserve">  </w:t>
            </w:r>
            <w:r>
              <w:rPr>
                <w:rFonts w:ascii="Times New Roman" w:hAnsi="Times New Roman" w:cs="Times New Roman"/>
                <w:b/>
                <w:bCs/>
                <w:color w:val="auto"/>
                <w:sz w:val="24"/>
                <w:szCs w:val="24"/>
              </w:rPr>
              <w:t>声环境监测结果</w:t>
            </w:r>
            <w:r>
              <w:rPr>
                <w:rFonts w:ascii="Times New Roman" w:hAnsi="Times New Roman" w:cs="Times New Roman"/>
                <w:b/>
                <w:bCs/>
                <w:color w:val="auto"/>
                <w:sz w:val="24"/>
                <w:szCs w:val="24"/>
                <w:lang w:val="en-US"/>
              </w:rPr>
              <w:t xml:space="preserve">  </w:t>
            </w:r>
            <w:r>
              <w:rPr>
                <w:rFonts w:hint="eastAsia" w:ascii="Times New Roman" w:hAnsi="Times New Roman" w:cs="Times New Roman"/>
                <w:b/>
                <w:bCs/>
                <w:color w:val="auto"/>
                <w:sz w:val="24"/>
                <w:szCs w:val="24"/>
                <w:lang w:val="en-US" w:eastAsia="zh-CN"/>
              </w:rPr>
              <w:t xml:space="preserve">         </w:t>
            </w:r>
            <w:r>
              <w:rPr>
                <w:rFonts w:hint="eastAsia" w:ascii="Times New Roman" w:hAnsi="Times New Roman" w:cs="Times New Roman"/>
                <w:b/>
                <w:bCs/>
                <w:color w:val="auto"/>
                <w:sz w:val="24"/>
                <w:szCs w:val="24"/>
                <w:lang w:val="en-US"/>
              </w:rPr>
              <w:t xml:space="preserve">  </w:t>
            </w:r>
            <w:r>
              <w:rPr>
                <w:rFonts w:hint="eastAsia" w:ascii="Times New Roman" w:hAnsi="Times New Roman" w:cs="Times New Roman"/>
                <w:b/>
                <w:bCs/>
                <w:color w:val="auto"/>
                <w:sz w:val="24"/>
                <w:szCs w:val="24"/>
                <w:lang w:val="en-US" w:eastAsia="zh-CN"/>
              </w:rPr>
              <w:t xml:space="preserve"> </w:t>
            </w:r>
            <w:r>
              <w:rPr>
                <w:rFonts w:hint="eastAsia" w:ascii="Times New Roman" w:hAnsi="Times New Roman" w:cs="Times New Roman"/>
                <w:b/>
                <w:bCs/>
                <w:color w:val="auto"/>
                <w:sz w:val="24"/>
                <w:szCs w:val="24"/>
                <w:lang w:val="en-US"/>
              </w:rPr>
              <w:t xml:space="preserve"> </w:t>
            </w:r>
            <w:r>
              <w:rPr>
                <w:rFonts w:ascii="Times New Roman" w:hAnsi="Times New Roman" w:cs="Times New Roman"/>
                <w:b/>
                <w:bCs/>
                <w:color w:val="auto"/>
                <w:sz w:val="24"/>
                <w:szCs w:val="24"/>
                <w:lang w:val="en-US"/>
              </w:rPr>
              <w:t>单位：dB(A)</w:t>
            </w:r>
          </w:p>
          <w:tbl>
            <w:tblPr>
              <w:tblStyle w:val="20"/>
              <w:tblW w:w="495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00"/>
              <w:gridCol w:w="1500"/>
              <w:gridCol w:w="932"/>
              <w:gridCol w:w="899"/>
              <w:gridCol w:w="1082"/>
              <w:gridCol w:w="899"/>
              <w:gridCol w:w="899"/>
              <w:gridCol w:w="1112"/>
            </w:tblGrid>
            <w:tr w14:paraId="7F5946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jc w:val="center"/>
              </w:trPr>
              <w:tc>
                <w:tcPr>
                  <w:tcW w:w="600" w:type="pct"/>
                  <w:vMerge w:val="restart"/>
                  <w:noWrap w:val="0"/>
                  <w:vAlign w:val="center"/>
                </w:tcPr>
                <w:p w14:paraId="39F5CD8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监测</w:t>
                  </w:r>
                </w:p>
                <w:p w14:paraId="7C3A688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时间</w:t>
                  </w:r>
                </w:p>
              </w:tc>
              <w:tc>
                <w:tcPr>
                  <w:tcW w:w="901" w:type="pct"/>
                  <w:vMerge w:val="restart"/>
                  <w:noWrap w:val="0"/>
                  <w:vAlign w:val="center"/>
                </w:tcPr>
                <w:p w14:paraId="6C6B9DF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监测点位</w:t>
                  </w:r>
                </w:p>
              </w:tc>
              <w:tc>
                <w:tcPr>
                  <w:tcW w:w="1749" w:type="pct"/>
                  <w:gridSpan w:val="3"/>
                  <w:noWrap w:val="0"/>
                  <w:vAlign w:val="center"/>
                </w:tcPr>
                <w:p w14:paraId="304B14E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昼间</w:t>
                  </w:r>
                </w:p>
              </w:tc>
              <w:tc>
                <w:tcPr>
                  <w:tcW w:w="1748" w:type="pct"/>
                  <w:gridSpan w:val="3"/>
                  <w:noWrap w:val="0"/>
                  <w:vAlign w:val="center"/>
                </w:tcPr>
                <w:p w14:paraId="1D9E74F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夜间</w:t>
                  </w:r>
                </w:p>
              </w:tc>
            </w:tr>
            <w:tr w14:paraId="05594B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noWrap w:val="0"/>
                  <w:vAlign w:val="center"/>
                </w:tcPr>
                <w:p w14:paraId="3962451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rPr>
                  </w:pPr>
                </w:p>
              </w:tc>
              <w:tc>
                <w:tcPr>
                  <w:tcW w:w="901" w:type="pct"/>
                  <w:vMerge w:val="continue"/>
                  <w:noWrap w:val="0"/>
                  <w:vAlign w:val="center"/>
                </w:tcPr>
                <w:p w14:paraId="7282E7D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rPr>
                  </w:pPr>
                </w:p>
              </w:tc>
              <w:tc>
                <w:tcPr>
                  <w:tcW w:w="559" w:type="pct"/>
                  <w:noWrap w:val="0"/>
                  <w:vAlign w:val="center"/>
                </w:tcPr>
                <w:p w14:paraId="44C89DC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监测值</w:t>
                  </w:r>
                </w:p>
              </w:tc>
              <w:tc>
                <w:tcPr>
                  <w:tcW w:w="540" w:type="pct"/>
                  <w:noWrap w:val="0"/>
                  <w:vAlign w:val="center"/>
                </w:tcPr>
                <w:p w14:paraId="4F24111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标准值</w:t>
                  </w:r>
                </w:p>
              </w:tc>
              <w:tc>
                <w:tcPr>
                  <w:tcW w:w="650" w:type="pct"/>
                  <w:noWrap w:val="0"/>
                  <w:vAlign w:val="center"/>
                </w:tcPr>
                <w:p w14:paraId="1C63AA8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达标情况</w:t>
                  </w:r>
                </w:p>
              </w:tc>
              <w:tc>
                <w:tcPr>
                  <w:tcW w:w="540" w:type="pct"/>
                  <w:noWrap w:val="0"/>
                  <w:vAlign w:val="center"/>
                </w:tcPr>
                <w:p w14:paraId="449B5DA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监测值</w:t>
                  </w:r>
                </w:p>
              </w:tc>
              <w:tc>
                <w:tcPr>
                  <w:tcW w:w="540" w:type="pct"/>
                  <w:noWrap w:val="0"/>
                  <w:vAlign w:val="center"/>
                </w:tcPr>
                <w:p w14:paraId="594E95D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标准值</w:t>
                  </w:r>
                </w:p>
              </w:tc>
              <w:tc>
                <w:tcPr>
                  <w:tcW w:w="668" w:type="pct"/>
                  <w:noWrap w:val="0"/>
                  <w:vAlign w:val="center"/>
                </w:tcPr>
                <w:p w14:paraId="18F2300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达标情况</w:t>
                  </w:r>
                </w:p>
              </w:tc>
            </w:tr>
            <w:tr w14:paraId="2BFF2D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restart"/>
                  <w:noWrap w:val="0"/>
                  <w:vAlign w:val="center"/>
                </w:tcPr>
                <w:p w14:paraId="74EAAA24">
                  <w:pPr>
                    <w:pStyle w:val="44"/>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val="en-US" w:eastAsia="zh-CN"/>
                    </w:rPr>
                    <w:t>24</w:t>
                  </w:r>
                  <w:r>
                    <w:rPr>
                      <w:rFonts w:hint="default" w:ascii="Times New Roman" w:hAnsi="Times New Roman" w:eastAsia="宋体" w:cs="Times New Roman"/>
                      <w:color w:val="auto"/>
                      <w:sz w:val="21"/>
                      <w:szCs w:val="21"/>
                    </w:rPr>
                    <w:t>年</w:t>
                  </w:r>
                </w:p>
                <w:p w14:paraId="4F8EED4A">
                  <w:pPr>
                    <w:pStyle w:val="44"/>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rPr>
                    <w:t>月</w:t>
                  </w:r>
                </w:p>
                <w:p w14:paraId="057F8C8B">
                  <w:pPr>
                    <w:pStyle w:val="44"/>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29</w:t>
                  </w:r>
                  <w:r>
                    <w:rPr>
                      <w:rFonts w:hint="default" w:ascii="Times New Roman" w:hAnsi="Times New Roman" w:eastAsia="宋体" w:cs="Times New Roman"/>
                      <w:color w:val="auto"/>
                      <w:sz w:val="21"/>
                      <w:szCs w:val="21"/>
                    </w:rPr>
                    <w:t>日</w:t>
                  </w:r>
                </w:p>
              </w:tc>
              <w:tc>
                <w:tcPr>
                  <w:tcW w:w="901" w:type="pct"/>
                  <w:noWrap w:val="0"/>
                  <w:vAlign w:val="center"/>
                </w:tcPr>
                <w:p w14:paraId="6E5B5087">
                  <w:pPr>
                    <w:keepNext w:val="0"/>
                    <w:keepLines w:val="0"/>
                    <w:pageBreakBefore w:val="0"/>
                    <w:tabs>
                      <w:tab w:val="left" w:pos="2552"/>
                      <w:tab w:val="left" w:pos="5387"/>
                    </w:tabs>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东场界</w:t>
                  </w:r>
                </w:p>
              </w:tc>
              <w:tc>
                <w:tcPr>
                  <w:tcW w:w="559" w:type="pct"/>
                  <w:noWrap w:val="0"/>
                  <w:vAlign w:val="center"/>
                </w:tcPr>
                <w:p w14:paraId="3B42AC51">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51.6 </w:t>
                  </w:r>
                </w:p>
              </w:tc>
              <w:tc>
                <w:tcPr>
                  <w:tcW w:w="540" w:type="pct"/>
                  <w:vMerge w:val="restart"/>
                  <w:noWrap w:val="0"/>
                  <w:vAlign w:val="center"/>
                </w:tcPr>
                <w:p w14:paraId="737397A5">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55</w:t>
                  </w:r>
                </w:p>
              </w:tc>
              <w:tc>
                <w:tcPr>
                  <w:tcW w:w="650" w:type="pct"/>
                  <w:noWrap w:val="0"/>
                  <w:vAlign w:val="center"/>
                </w:tcPr>
                <w:p w14:paraId="0A201EED">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c>
                <w:tcPr>
                  <w:tcW w:w="540" w:type="pct"/>
                  <w:noWrap w:val="0"/>
                  <w:vAlign w:val="center"/>
                </w:tcPr>
                <w:p w14:paraId="3F9021D6">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41.1 </w:t>
                  </w:r>
                </w:p>
              </w:tc>
              <w:tc>
                <w:tcPr>
                  <w:tcW w:w="540" w:type="pct"/>
                  <w:vMerge w:val="restart"/>
                  <w:noWrap w:val="0"/>
                  <w:vAlign w:val="center"/>
                </w:tcPr>
                <w:p w14:paraId="75D6C23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45</w:t>
                  </w:r>
                </w:p>
              </w:tc>
              <w:tc>
                <w:tcPr>
                  <w:tcW w:w="668" w:type="pct"/>
                  <w:noWrap w:val="0"/>
                  <w:vAlign w:val="center"/>
                </w:tcPr>
                <w:p w14:paraId="43FFCC16">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6C0C52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noWrap w:val="0"/>
                  <w:vAlign w:val="center"/>
                </w:tcPr>
                <w:p w14:paraId="2237E92B">
                  <w:pPr>
                    <w:pStyle w:val="44"/>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auto"/>
                      <w:sz w:val="21"/>
                      <w:szCs w:val="21"/>
                    </w:rPr>
                  </w:pPr>
                </w:p>
              </w:tc>
              <w:tc>
                <w:tcPr>
                  <w:tcW w:w="901" w:type="pct"/>
                  <w:noWrap w:val="0"/>
                  <w:vAlign w:val="center"/>
                </w:tcPr>
                <w:p w14:paraId="53D606C9">
                  <w:pPr>
                    <w:keepNext w:val="0"/>
                    <w:keepLines w:val="0"/>
                    <w:pageBreakBefore w:val="0"/>
                    <w:tabs>
                      <w:tab w:val="left" w:pos="2552"/>
                      <w:tab w:val="left" w:pos="5387"/>
                    </w:tabs>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南场界</w:t>
                  </w:r>
                </w:p>
              </w:tc>
              <w:tc>
                <w:tcPr>
                  <w:tcW w:w="559" w:type="pct"/>
                  <w:noWrap w:val="0"/>
                  <w:vAlign w:val="center"/>
                </w:tcPr>
                <w:p w14:paraId="05F0F467">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53.5 </w:t>
                  </w:r>
                </w:p>
              </w:tc>
              <w:tc>
                <w:tcPr>
                  <w:tcW w:w="540" w:type="pct"/>
                  <w:vMerge w:val="continue"/>
                  <w:noWrap w:val="0"/>
                  <w:vAlign w:val="center"/>
                </w:tcPr>
                <w:p w14:paraId="234853E2">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50" w:type="pct"/>
                  <w:noWrap w:val="0"/>
                  <w:vAlign w:val="center"/>
                </w:tcPr>
                <w:p w14:paraId="55A9725F">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c>
                <w:tcPr>
                  <w:tcW w:w="540" w:type="pct"/>
                  <w:noWrap w:val="0"/>
                  <w:vAlign w:val="center"/>
                </w:tcPr>
                <w:p w14:paraId="504FC477">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44.5 </w:t>
                  </w:r>
                </w:p>
              </w:tc>
              <w:tc>
                <w:tcPr>
                  <w:tcW w:w="540" w:type="pct"/>
                  <w:vMerge w:val="continue"/>
                  <w:noWrap w:val="0"/>
                  <w:vAlign w:val="center"/>
                </w:tcPr>
                <w:p w14:paraId="703D50A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68" w:type="pct"/>
                  <w:noWrap w:val="0"/>
                  <w:vAlign w:val="center"/>
                </w:tcPr>
                <w:p w14:paraId="55C950E8">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2024AD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noWrap w:val="0"/>
                  <w:vAlign w:val="center"/>
                </w:tcPr>
                <w:p w14:paraId="3620E841">
                  <w:pPr>
                    <w:pStyle w:val="44"/>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auto"/>
                      <w:sz w:val="21"/>
                      <w:szCs w:val="21"/>
                    </w:rPr>
                  </w:pPr>
                </w:p>
              </w:tc>
              <w:tc>
                <w:tcPr>
                  <w:tcW w:w="901" w:type="pct"/>
                  <w:noWrap w:val="0"/>
                  <w:vAlign w:val="center"/>
                </w:tcPr>
                <w:p w14:paraId="07837C86">
                  <w:pPr>
                    <w:keepNext w:val="0"/>
                    <w:keepLines w:val="0"/>
                    <w:pageBreakBefore w:val="0"/>
                    <w:tabs>
                      <w:tab w:val="left" w:pos="2552"/>
                      <w:tab w:val="left" w:pos="5387"/>
                    </w:tabs>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西场界</w:t>
                  </w:r>
                </w:p>
              </w:tc>
              <w:tc>
                <w:tcPr>
                  <w:tcW w:w="559" w:type="pct"/>
                  <w:noWrap w:val="0"/>
                  <w:vAlign w:val="center"/>
                </w:tcPr>
                <w:p w14:paraId="038394A0">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54.1 </w:t>
                  </w:r>
                </w:p>
              </w:tc>
              <w:tc>
                <w:tcPr>
                  <w:tcW w:w="540" w:type="pct"/>
                  <w:vMerge w:val="continue"/>
                  <w:noWrap w:val="0"/>
                  <w:vAlign w:val="center"/>
                </w:tcPr>
                <w:p w14:paraId="32AD89C3">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50" w:type="pct"/>
                  <w:noWrap w:val="0"/>
                  <w:vAlign w:val="center"/>
                </w:tcPr>
                <w:p w14:paraId="0603B4FD">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c>
                <w:tcPr>
                  <w:tcW w:w="540" w:type="pct"/>
                  <w:noWrap w:val="0"/>
                  <w:vAlign w:val="center"/>
                </w:tcPr>
                <w:p w14:paraId="49438CA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42.4 </w:t>
                  </w:r>
                </w:p>
              </w:tc>
              <w:tc>
                <w:tcPr>
                  <w:tcW w:w="540" w:type="pct"/>
                  <w:vMerge w:val="continue"/>
                  <w:noWrap w:val="0"/>
                  <w:vAlign w:val="center"/>
                </w:tcPr>
                <w:p w14:paraId="23CF20E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68" w:type="pct"/>
                  <w:noWrap w:val="0"/>
                  <w:vAlign w:val="center"/>
                </w:tcPr>
                <w:p w14:paraId="449A4EA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46CF40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noWrap w:val="0"/>
                  <w:vAlign w:val="center"/>
                </w:tcPr>
                <w:p w14:paraId="4890FE08">
                  <w:pPr>
                    <w:pStyle w:val="44"/>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auto"/>
                      <w:sz w:val="21"/>
                      <w:szCs w:val="21"/>
                    </w:rPr>
                  </w:pPr>
                </w:p>
              </w:tc>
              <w:tc>
                <w:tcPr>
                  <w:tcW w:w="901" w:type="pct"/>
                  <w:noWrap w:val="0"/>
                  <w:vAlign w:val="center"/>
                </w:tcPr>
                <w:p w14:paraId="4C40CCC0">
                  <w:pPr>
                    <w:keepNext w:val="0"/>
                    <w:keepLines w:val="0"/>
                    <w:pageBreakBefore w:val="0"/>
                    <w:tabs>
                      <w:tab w:val="left" w:pos="2552"/>
                      <w:tab w:val="left" w:pos="5387"/>
                    </w:tabs>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北场界</w:t>
                  </w:r>
                </w:p>
              </w:tc>
              <w:tc>
                <w:tcPr>
                  <w:tcW w:w="559" w:type="pct"/>
                  <w:noWrap w:val="0"/>
                  <w:vAlign w:val="center"/>
                </w:tcPr>
                <w:p w14:paraId="3A8401EF">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52.7 </w:t>
                  </w:r>
                </w:p>
              </w:tc>
              <w:tc>
                <w:tcPr>
                  <w:tcW w:w="540" w:type="pct"/>
                  <w:vMerge w:val="continue"/>
                  <w:noWrap w:val="0"/>
                  <w:vAlign w:val="center"/>
                </w:tcPr>
                <w:p w14:paraId="01E4008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50" w:type="pct"/>
                  <w:noWrap w:val="0"/>
                  <w:vAlign w:val="center"/>
                </w:tcPr>
                <w:p w14:paraId="3BC05B70">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c>
                <w:tcPr>
                  <w:tcW w:w="540" w:type="pct"/>
                  <w:noWrap w:val="0"/>
                  <w:vAlign w:val="center"/>
                </w:tcPr>
                <w:p w14:paraId="1B012BC4">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42.8 </w:t>
                  </w:r>
                </w:p>
              </w:tc>
              <w:tc>
                <w:tcPr>
                  <w:tcW w:w="540" w:type="pct"/>
                  <w:vMerge w:val="continue"/>
                  <w:noWrap w:val="0"/>
                  <w:vAlign w:val="center"/>
                </w:tcPr>
                <w:p w14:paraId="2C887B1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68" w:type="pct"/>
                  <w:noWrap w:val="0"/>
                  <w:vAlign w:val="center"/>
                </w:tcPr>
                <w:p w14:paraId="467175B6">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1FFDFA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restart"/>
                  <w:noWrap w:val="0"/>
                  <w:vAlign w:val="center"/>
                </w:tcPr>
                <w:p w14:paraId="6F9B344B">
                  <w:pPr>
                    <w:pStyle w:val="44"/>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val="en-US" w:eastAsia="zh-CN"/>
                    </w:rPr>
                    <w:t>24</w:t>
                  </w:r>
                  <w:r>
                    <w:rPr>
                      <w:rFonts w:hint="default" w:ascii="Times New Roman" w:hAnsi="Times New Roman" w:eastAsia="宋体" w:cs="Times New Roman"/>
                      <w:color w:val="auto"/>
                      <w:sz w:val="21"/>
                      <w:szCs w:val="21"/>
                    </w:rPr>
                    <w:t>年</w:t>
                  </w:r>
                </w:p>
                <w:p w14:paraId="61241EED">
                  <w:pPr>
                    <w:pStyle w:val="44"/>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rPr>
                    <w:t>月</w:t>
                  </w:r>
                </w:p>
                <w:p w14:paraId="5BB775C0">
                  <w:pPr>
                    <w:pStyle w:val="44"/>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30</w:t>
                  </w:r>
                  <w:r>
                    <w:rPr>
                      <w:rFonts w:hint="default" w:ascii="Times New Roman" w:hAnsi="Times New Roman" w:eastAsia="宋体" w:cs="Times New Roman"/>
                      <w:color w:val="auto"/>
                      <w:sz w:val="21"/>
                      <w:szCs w:val="21"/>
                    </w:rPr>
                    <w:t>日</w:t>
                  </w:r>
                </w:p>
              </w:tc>
              <w:tc>
                <w:tcPr>
                  <w:tcW w:w="901" w:type="pct"/>
                  <w:noWrap w:val="0"/>
                  <w:vAlign w:val="center"/>
                </w:tcPr>
                <w:p w14:paraId="05F3FD37">
                  <w:pPr>
                    <w:keepNext w:val="0"/>
                    <w:keepLines w:val="0"/>
                    <w:pageBreakBefore w:val="0"/>
                    <w:tabs>
                      <w:tab w:val="left" w:pos="2552"/>
                      <w:tab w:val="left" w:pos="5387"/>
                    </w:tabs>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东场界</w:t>
                  </w:r>
                </w:p>
              </w:tc>
              <w:tc>
                <w:tcPr>
                  <w:tcW w:w="559" w:type="pct"/>
                  <w:noWrap w:val="0"/>
                  <w:vAlign w:val="center"/>
                </w:tcPr>
                <w:p w14:paraId="7D6A373F">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53.7 </w:t>
                  </w:r>
                </w:p>
              </w:tc>
              <w:tc>
                <w:tcPr>
                  <w:tcW w:w="540" w:type="pct"/>
                  <w:vMerge w:val="continue"/>
                  <w:noWrap w:val="0"/>
                  <w:vAlign w:val="center"/>
                </w:tcPr>
                <w:p w14:paraId="7F4B648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50" w:type="pct"/>
                  <w:noWrap w:val="0"/>
                  <w:vAlign w:val="center"/>
                </w:tcPr>
                <w:p w14:paraId="7D816B97">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c>
                <w:tcPr>
                  <w:tcW w:w="540" w:type="pct"/>
                  <w:noWrap w:val="0"/>
                  <w:vAlign w:val="center"/>
                </w:tcPr>
                <w:p w14:paraId="167DC6B0">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43.3 </w:t>
                  </w:r>
                </w:p>
              </w:tc>
              <w:tc>
                <w:tcPr>
                  <w:tcW w:w="540" w:type="pct"/>
                  <w:vMerge w:val="continue"/>
                  <w:noWrap w:val="0"/>
                  <w:vAlign w:val="center"/>
                </w:tcPr>
                <w:p w14:paraId="69E7994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68" w:type="pct"/>
                  <w:noWrap w:val="0"/>
                  <w:vAlign w:val="center"/>
                </w:tcPr>
                <w:p w14:paraId="198AECF7">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71FD60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noWrap w:val="0"/>
                  <w:vAlign w:val="center"/>
                </w:tcPr>
                <w:p w14:paraId="4470F11A">
                  <w:pPr>
                    <w:pStyle w:val="44"/>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auto"/>
                      <w:sz w:val="21"/>
                      <w:szCs w:val="21"/>
                    </w:rPr>
                  </w:pPr>
                </w:p>
              </w:tc>
              <w:tc>
                <w:tcPr>
                  <w:tcW w:w="901" w:type="pct"/>
                  <w:noWrap w:val="0"/>
                  <w:vAlign w:val="center"/>
                </w:tcPr>
                <w:p w14:paraId="28E00E4F">
                  <w:pPr>
                    <w:keepNext w:val="0"/>
                    <w:keepLines w:val="0"/>
                    <w:pageBreakBefore w:val="0"/>
                    <w:tabs>
                      <w:tab w:val="left" w:pos="2552"/>
                      <w:tab w:val="left" w:pos="5387"/>
                    </w:tabs>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南场界</w:t>
                  </w:r>
                </w:p>
              </w:tc>
              <w:tc>
                <w:tcPr>
                  <w:tcW w:w="559" w:type="pct"/>
                  <w:noWrap w:val="0"/>
                  <w:vAlign w:val="center"/>
                </w:tcPr>
                <w:p w14:paraId="4EF4A602">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51.0 </w:t>
                  </w:r>
                </w:p>
              </w:tc>
              <w:tc>
                <w:tcPr>
                  <w:tcW w:w="540" w:type="pct"/>
                  <w:vMerge w:val="continue"/>
                  <w:noWrap w:val="0"/>
                  <w:vAlign w:val="center"/>
                </w:tcPr>
                <w:p w14:paraId="21B6B488">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50" w:type="pct"/>
                  <w:noWrap w:val="0"/>
                  <w:vAlign w:val="center"/>
                </w:tcPr>
                <w:p w14:paraId="322DD7F3">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c>
                <w:tcPr>
                  <w:tcW w:w="540" w:type="pct"/>
                  <w:noWrap w:val="0"/>
                  <w:vAlign w:val="center"/>
                </w:tcPr>
                <w:p w14:paraId="21FC72DC">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44.0 </w:t>
                  </w:r>
                </w:p>
              </w:tc>
              <w:tc>
                <w:tcPr>
                  <w:tcW w:w="540" w:type="pct"/>
                  <w:vMerge w:val="continue"/>
                  <w:noWrap w:val="0"/>
                  <w:vAlign w:val="center"/>
                </w:tcPr>
                <w:p w14:paraId="28699EB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68" w:type="pct"/>
                  <w:noWrap w:val="0"/>
                  <w:vAlign w:val="center"/>
                </w:tcPr>
                <w:p w14:paraId="12ACDBE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4CBE16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noWrap w:val="0"/>
                  <w:vAlign w:val="center"/>
                </w:tcPr>
                <w:p w14:paraId="6728C50D">
                  <w:pPr>
                    <w:pStyle w:val="44"/>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auto"/>
                      <w:sz w:val="21"/>
                      <w:szCs w:val="21"/>
                    </w:rPr>
                  </w:pPr>
                </w:p>
              </w:tc>
              <w:tc>
                <w:tcPr>
                  <w:tcW w:w="901" w:type="pct"/>
                  <w:noWrap w:val="0"/>
                  <w:vAlign w:val="center"/>
                </w:tcPr>
                <w:p w14:paraId="22B48B07">
                  <w:pPr>
                    <w:keepNext w:val="0"/>
                    <w:keepLines w:val="0"/>
                    <w:pageBreakBefore w:val="0"/>
                    <w:tabs>
                      <w:tab w:val="left" w:pos="2552"/>
                      <w:tab w:val="left" w:pos="5387"/>
                    </w:tabs>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西场界</w:t>
                  </w:r>
                </w:p>
              </w:tc>
              <w:tc>
                <w:tcPr>
                  <w:tcW w:w="559" w:type="pct"/>
                  <w:noWrap w:val="0"/>
                  <w:vAlign w:val="center"/>
                </w:tcPr>
                <w:p w14:paraId="66F138AF">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52.0 </w:t>
                  </w:r>
                </w:p>
              </w:tc>
              <w:tc>
                <w:tcPr>
                  <w:tcW w:w="540" w:type="pct"/>
                  <w:vMerge w:val="continue"/>
                  <w:noWrap w:val="0"/>
                  <w:vAlign w:val="center"/>
                </w:tcPr>
                <w:p w14:paraId="4A2E1BA5">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50" w:type="pct"/>
                  <w:noWrap w:val="0"/>
                  <w:vAlign w:val="center"/>
                </w:tcPr>
                <w:p w14:paraId="65D1FC0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c>
                <w:tcPr>
                  <w:tcW w:w="540" w:type="pct"/>
                  <w:noWrap w:val="0"/>
                  <w:vAlign w:val="center"/>
                </w:tcPr>
                <w:p w14:paraId="57CF91F6">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43.8 </w:t>
                  </w:r>
                </w:p>
              </w:tc>
              <w:tc>
                <w:tcPr>
                  <w:tcW w:w="540" w:type="pct"/>
                  <w:vMerge w:val="continue"/>
                  <w:noWrap w:val="0"/>
                  <w:vAlign w:val="center"/>
                </w:tcPr>
                <w:p w14:paraId="03EE42C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68" w:type="pct"/>
                  <w:noWrap w:val="0"/>
                  <w:vAlign w:val="center"/>
                </w:tcPr>
                <w:p w14:paraId="7185079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694D08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noWrap w:val="0"/>
                  <w:vAlign w:val="center"/>
                </w:tcPr>
                <w:p w14:paraId="3B807145">
                  <w:pPr>
                    <w:pStyle w:val="44"/>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auto"/>
                      <w:sz w:val="21"/>
                      <w:szCs w:val="21"/>
                    </w:rPr>
                  </w:pPr>
                </w:p>
              </w:tc>
              <w:tc>
                <w:tcPr>
                  <w:tcW w:w="901" w:type="pct"/>
                  <w:noWrap w:val="0"/>
                  <w:vAlign w:val="center"/>
                </w:tcPr>
                <w:p w14:paraId="5A89C473">
                  <w:pPr>
                    <w:keepNext w:val="0"/>
                    <w:keepLines w:val="0"/>
                    <w:pageBreakBefore w:val="0"/>
                    <w:tabs>
                      <w:tab w:val="left" w:pos="2552"/>
                      <w:tab w:val="left" w:pos="5387"/>
                    </w:tabs>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北场界</w:t>
                  </w:r>
                </w:p>
              </w:tc>
              <w:tc>
                <w:tcPr>
                  <w:tcW w:w="559" w:type="pct"/>
                  <w:noWrap w:val="0"/>
                  <w:vAlign w:val="center"/>
                </w:tcPr>
                <w:p w14:paraId="0E309C50">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52.3 </w:t>
                  </w:r>
                </w:p>
              </w:tc>
              <w:tc>
                <w:tcPr>
                  <w:tcW w:w="540" w:type="pct"/>
                  <w:vMerge w:val="continue"/>
                  <w:noWrap w:val="0"/>
                  <w:vAlign w:val="center"/>
                </w:tcPr>
                <w:p w14:paraId="05D88378">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50" w:type="pct"/>
                  <w:noWrap w:val="0"/>
                  <w:vAlign w:val="center"/>
                </w:tcPr>
                <w:p w14:paraId="4DCEB9BC">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c>
                <w:tcPr>
                  <w:tcW w:w="540" w:type="pct"/>
                  <w:noWrap w:val="0"/>
                  <w:vAlign w:val="center"/>
                </w:tcPr>
                <w:p w14:paraId="7279AC10">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42.6 </w:t>
                  </w:r>
                </w:p>
              </w:tc>
              <w:tc>
                <w:tcPr>
                  <w:tcW w:w="540" w:type="pct"/>
                  <w:vMerge w:val="continue"/>
                  <w:noWrap w:val="0"/>
                  <w:vAlign w:val="center"/>
                </w:tcPr>
                <w:p w14:paraId="08DC77B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68" w:type="pct"/>
                  <w:noWrap w:val="0"/>
                  <w:vAlign w:val="center"/>
                </w:tcPr>
                <w:p w14:paraId="3A44CC13">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04EF9E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restart"/>
                  <w:noWrap w:val="0"/>
                  <w:vAlign w:val="center"/>
                </w:tcPr>
                <w:p w14:paraId="020631D1">
                  <w:pPr>
                    <w:pStyle w:val="44"/>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val="en-US" w:eastAsia="zh-CN"/>
                    </w:rPr>
                    <w:t>24</w:t>
                  </w:r>
                  <w:r>
                    <w:rPr>
                      <w:rFonts w:hint="default" w:ascii="Times New Roman" w:hAnsi="Times New Roman" w:eastAsia="宋体" w:cs="Times New Roman"/>
                      <w:color w:val="auto"/>
                      <w:sz w:val="21"/>
                      <w:szCs w:val="21"/>
                    </w:rPr>
                    <w:t>年</w:t>
                  </w:r>
                </w:p>
                <w:p w14:paraId="02231ADD">
                  <w:pPr>
                    <w:pStyle w:val="44"/>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rPr>
                    <w:t>月</w:t>
                  </w:r>
                  <w:r>
                    <w:rPr>
                      <w:rFonts w:hint="default" w:ascii="Times New Roman" w:hAnsi="Times New Roman" w:eastAsia="宋体" w:cs="Times New Roman"/>
                      <w:color w:val="auto"/>
                      <w:sz w:val="21"/>
                      <w:szCs w:val="21"/>
                      <w:lang w:val="en-US" w:eastAsia="zh-CN"/>
                    </w:rPr>
                    <w:t>7</w:t>
                  </w:r>
                  <w:r>
                    <w:rPr>
                      <w:rFonts w:hint="default" w:ascii="Times New Roman" w:hAnsi="Times New Roman" w:eastAsia="宋体" w:cs="Times New Roman"/>
                      <w:color w:val="auto"/>
                      <w:sz w:val="21"/>
                      <w:szCs w:val="21"/>
                    </w:rPr>
                    <w:t>日</w:t>
                  </w:r>
                </w:p>
              </w:tc>
              <w:tc>
                <w:tcPr>
                  <w:tcW w:w="901" w:type="pct"/>
                  <w:noWrap w:val="0"/>
                  <w:vAlign w:val="center"/>
                </w:tcPr>
                <w:p w14:paraId="1C4A4770">
                  <w:pPr>
                    <w:keepNext w:val="0"/>
                    <w:keepLines w:val="0"/>
                    <w:pageBreakBefore w:val="0"/>
                    <w:tabs>
                      <w:tab w:val="left" w:pos="2552"/>
                      <w:tab w:val="left" w:pos="5387"/>
                    </w:tabs>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龙湾</w:t>
                  </w:r>
                </w:p>
              </w:tc>
              <w:tc>
                <w:tcPr>
                  <w:tcW w:w="559" w:type="pct"/>
                  <w:noWrap w:val="0"/>
                  <w:vAlign w:val="center"/>
                </w:tcPr>
                <w:p w14:paraId="05BB0BB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50.8</w:t>
                  </w:r>
                </w:p>
              </w:tc>
              <w:tc>
                <w:tcPr>
                  <w:tcW w:w="540" w:type="pct"/>
                  <w:vMerge w:val="continue"/>
                  <w:noWrap w:val="0"/>
                  <w:vAlign w:val="center"/>
                </w:tcPr>
                <w:p w14:paraId="7356415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50" w:type="pct"/>
                  <w:noWrap w:val="0"/>
                  <w:vAlign w:val="center"/>
                </w:tcPr>
                <w:p w14:paraId="32BD3FE8">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lang w:val="zh-CN" w:eastAsia="zh-CN" w:bidi="zh-CN"/>
                    </w:rPr>
                  </w:pPr>
                  <w:r>
                    <w:rPr>
                      <w:rFonts w:hint="default" w:ascii="Times New Roman" w:hAnsi="Times New Roman" w:eastAsia="宋体" w:cs="Times New Roman"/>
                      <w:bCs/>
                      <w:color w:val="auto"/>
                      <w:sz w:val="21"/>
                      <w:szCs w:val="21"/>
                    </w:rPr>
                    <w:t>达标</w:t>
                  </w:r>
                </w:p>
              </w:tc>
              <w:tc>
                <w:tcPr>
                  <w:tcW w:w="540" w:type="pct"/>
                  <w:noWrap w:val="0"/>
                  <w:vAlign w:val="center"/>
                </w:tcPr>
                <w:p w14:paraId="5D4E8C38">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44.0</w:t>
                  </w:r>
                </w:p>
              </w:tc>
              <w:tc>
                <w:tcPr>
                  <w:tcW w:w="540" w:type="pct"/>
                  <w:vMerge w:val="continue"/>
                  <w:noWrap w:val="0"/>
                  <w:vAlign w:val="center"/>
                </w:tcPr>
                <w:p w14:paraId="4817F4D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68" w:type="pct"/>
                  <w:noWrap w:val="0"/>
                  <w:vAlign w:val="center"/>
                </w:tcPr>
                <w:p w14:paraId="22E38CA5">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lang w:val="zh-CN" w:eastAsia="zh-CN" w:bidi="zh-CN"/>
                    </w:rPr>
                  </w:pPr>
                  <w:r>
                    <w:rPr>
                      <w:rFonts w:hint="default" w:ascii="Times New Roman" w:hAnsi="Times New Roman" w:eastAsia="宋体" w:cs="Times New Roman"/>
                      <w:bCs/>
                      <w:color w:val="auto"/>
                      <w:sz w:val="21"/>
                      <w:szCs w:val="21"/>
                    </w:rPr>
                    <w:t>达标</w:t>
                  </w:r>
                </w:p>
              </w:tc>
            </w:tr>
            <w:tr w14:paraId="429521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noWrap w:val="0"/>
                  <w:vAlign w:val="center"/>
                </w:tcPr>
                <w:p w14:paraId="5C9B6536">
                  <w:pPr>
                    <w:pStyle w:val="44"/>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auto"/>
                      <w:sz w:val="21"/>
                      <w:szCs w:val="21"/>
                    </w:rPr>
                  </w:pPr>
                </w:p>
              </w:tc>
              <w:tc>
                <w:tcPr>
                  <w:tcW w:w="901" w:type="pct"/>
                  <w:noWrap w:val="0"/>
                  <w:vAlign w:val="center"/>
                </w:tcPr>
                <w:p w14:paraId="4F5550BF">
                  <w:pPr>
                    <w:keepNext w:val="0"/>
                    <w:keepLines w:val="0"/>
                    <w:pageBreakBefore w:val="0"/>
                    <w:tabs>
                      <w:tab w:val="left" w:pos="2552"/>
                      <w:tab w:val="left" w:pos="5387"/>
                    </w:tabs>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大兴花园小区</w:t>
                  </w:r>
                </w:p>
              </w:tc>
              <w:tc>
                <w:tcPr>
                  <w:tcW w:w="559" w:type="pct"/>
                  <w:noWrap w:val="0"/>
                  <w:vAlign w:val="center"/>
                </w:tcPr>
                <w:p w14:paraId="3CA065C7">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51.5</w:t>
                  </w:r>
                </w:p>
              </w:tc>
              <w:tc>
                <w:tcPr>
                  <w:tcW w:w="540" w:type="pct"/>
                  <w:vMerge w:val="continue"/>
                  <w:noWrap w:val="0"/>
                  <w:vAlign w:val="center"/>
                </w:tcPr>
                <w:p w14:paraId="64E6B0C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50" w:type="pct"/>
                  <w:noWrap w:val="0"/>
                  <w:vAlign w:val="center"/>
                </w:tcPr>
                <w:p w14:paraId="53B0BD9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lang w:val="zh-CN" w:eastAsia="zh-CN" w:bidi="zh-CN"/>
                    </w:rPr>
                  </w:pPr>
                  <w:r>
                    <w:rPr>
                      <w:rFonts w:hint="default" w:ascii="Times New Roman" w:hAnsi="Times New Roman" w:eastAsia="宋体" w:cs="Times New Roman"/>
                      <w:bCs/>
                      <w:color w:val="auto"/>
                      <w:sz w:val="21"/>
                      <w:szCs w:val="21"/>
                    </w:rPr>
                    <w:t>达标</w:t>
                  </w:r>
                </w:p>
              </w:tc>
              <w:tc>
                <w:tcPr>
                  <w:tcW w:w="540" w:type="pct"/>
                  <w:noWrap w:val="0"/>
                  <w:vAlign w:val="center"/>
                </w:tcPr>
                <w:p w14:paraId="1F40A70D">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42.4</w:t>
                  </w:r>
                </w:p>
              </w:tc>
              <w:tc>
                <w:tcPr>
                  <w:tcW w:w="540" w:type="pct"/>
                  <w:vMerge w:val="continue"/>
                  <w:noWrap w:val="0"/>
                  <w:vAlign w:val="center"/>
                </w:tcPr>
                <w:p w14:paraId="20D1A6D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68" w:type="pct"/>
                  <w:noWrap w:val="0"/>
                  <w:vAlign w:val="center"/>
                </w:tcPr>
                <w:p w14:paraId="5C0FEB7A">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lang w:val="zh-CN" w:eastAsia="zh-CN" w:bidi="zh-CN"/>
                    </w:rPr>
                  </w:pPr>
                  <w:r>
                    <w:rPr>
                      <w:rFonts w:hint="default" w:ascii="Times New Roman" w:hAnsi="Times New Roman" w:eastAsia="宋体" w:cs="Times New Roman"/>
                      <w:bCs/>
                      <w:color w:val="auto"/>
                      <w:sz w:val="21"/>
                      <w:szCs w:val="21"/>
                    </w:rPr>
                    <w:t>达标</w:t>
                  </w:r>
                </w:p>
              </w:tc>
            </w:tr>
            <w:tr w14:paraId="3E9936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restart"/>
                  <w:noWrap w:val="0"/>
                  <w:vAlign w:val="center"/>
                </w:tcPr>
                <w:p w14:paraId="02416D00">
                  <w:pPr>
                    <w:pStyle w:val="44"/>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val="en-US" w:eastAsia="zh-CN"/>
                    </w:rPr>
                    <w:t>24</w:t>
                  </w:r>
                  <w:r>
                    <w:rPr>
                      <w:rFonts w:hint="default" w:ascii="Times New Roman" w:hAnsi="Times New Roman" w:eastAsia="宋体" w:cs="Times New Roman"/>
                      <w:color w:val="auto"/>
                      <w:sz w:val="21"/>
                      <w:szCs w:val="21"/>
                    </w:rPr>
                    <w:t>年</w:t>
                  </w:r>
                </w:p>
                <w:p w14:paraId="000B7AD5">
                  <w:pPr>
                    <w:pStyle w:val="44"/>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rPr>
                    <w:t>月</w:t>
                  </w:r>
                  <w:r>
                    <w:rPr>
                      <w:rFonts w:hint="default"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rPr>
                    <w:t>日</w:t>
                  </w:r>
                </w:p>
              </w:tc>
              <w:tc>
                <w:tcPr>
                  <w:tcW w:w="901" w:type="pct"/>
                  <w:noWrap w:val="0"/>
                  <w:vAlign w:val="center"/>
                </w:tcPr>
                <w:p w14:paraId="769888D2">
                  <w:pPr>
                    <w:keepNext w:val="0"/>
                    <w:keepLines w:val="0"/>
                    <w:pageBreakBefore w:val="0"/>
                    <w:tabs>
                      <w:tab w:val="left" w:pos="2552"/>
                      <w:tab w:val="left" w:pos="5387"/>
                    </w:tabs>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zh-CN" w:eastAsia="zh-CN" w:bidi="zh-CN"/>
                    </w:rPr>
                  </w:pPr>
                  <w:r>
                    <w:rPr>
                      <w:rFonts w:hint="default" w:ascii="Times New Roman" w:hAnsi="Times New Roman" w:eastAsia="宋体" w:cs="Times New Roman"/>
                      <w:color w:val="auto"/>
                      <w:sz w:val="21"/>
                      <w:szCs w:val="21"/>
                      <w:lang w:eastAsia="zh-CN"/>
                    </w:rPr>
                    <w:t>龙湾</w:t>
                  </w:r>
                </w:p>
              </w:tc>
              <w:tc>
                <w:tcPr>
                  <w:tcW w:w="559" w:type="pct"/>
                  <w:noWrap w:val="0"/>
                  <w:vAlign w:val="center"/>
                </w:tcPr>
                <w:p w14:paraId="28D6E83F">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51.1</w:t>
                  </w:r>
                </w:p>
              </w:tc>
              <w:tc>
                <w:tcPr>
                  <w:tcW w:w="540" w:type="pct"/>
                  <w:vMerge w:val="continue"/>
                  <w:noWrap w:val="0"/>
                  <w:vAlign w:val="center"/>
                </w:tcPr>
                <w:p w14:paraId="2E01F1F0">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50" w:type="pct"/>
                  <w:noWrap w:val="0"/>
                  <w:vAlign w:val="center"/>
                </w:tcPr>
                <w:p w14:paraId="46BDD4FF">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lang w:val="zh-CN" w:eastAsia="zh-CN" w:bidi="zh-CN"/>
                    </w:rPr>
                  </w:pPr>
                  <w:r>
                    <w:rPr>
                      <w:rFonts w:hint="default" w:ascii="Times New Roman" w:hAnsi="Times New Roman" w:eastAsia="宋体" w:cs="Times New Roman"/>
                      <w:bCs/>
                      <w:color w:val="auto"/>
                      <w:sz w:val="21"/>
                      <w:szCs w:val="21"/>
                    </w:rPr>
                    <w:t>达标</w:t>
                  </w:r>
                </w:p>
              </w:tc>
              <w:tc>
                <w:tcPr>
                  <w:tcW w:w="540" w:type="pct"/>
                  <w:noWrap w:val="0"/>
                  <w:vAlign w:val="center"/>
                </w:tcPr>
                <w:p w14:paraId="4588BD45">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43.6</w:t>
                  </w:r>
                </w:p>
              </w:tc>
              <w:tc>
                <w:tcPr>
                  <w:tcW w:w="540" w:type="pct"/>
                  <w:vMerge w:val="continue"/>
                  <w:noWrap w:val="0"/>
                  <w:vAlign w:val="center"/>
                </w:tcPr>
                <w:p w14:paraId="28295D3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68" w:type="pct"/>
                  <w:noWrap w:val="0"/>
                  <w:vAlign w:val="center"/>
                </w:tcPr>
                <w:p w14:paraId="184FCB3A">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lang w:val="zh-CN" w:eastAsia="zh-CN" w:bidi="zh-CN"/>
                    </w:rPr>
                  </w:pPr>
                  <w:r>
                    <w:rPr>
                      <w:rFonts w:hint="default" w:ascii="Times New Roman" w:hAnsi="Times New Roman" w:eastAsia="宋体" w:cs="Times New Roman"/>
                      <w:bCs/>
                      <w:color w:val="auto"/>
                      <w:sz w:val="21"/>
                      <w:szCs w:val="21"/>
                    </w:rPr>
                    <w:t>达标</w:t>
                  </w:r>
                </w:p>
              </w:tc>
            </w:tr>
            <w:tr w14:paraId="5BBF81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noWrap w:val="0"/>
                  <w:vAlign w:val="center"/>
                </w:tcPr>
                <w:p w14:paraId="0071433B">
                  <w:pPr>
                    <w:pStyle w:val="44"/>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auto"/>
                      <w:sz w:val="21"/>
                      <w:szCs w:val="21"/>
                    </w:rPr>
                  </w:pPr>
                </w:p>
              </w:tc>
              <w:tc>
                <w:tcPr>
                  <w:tcW w:w="901" w:type="pct"/>
                  <w:noWrap w:val="0"/>
                  <w:vAlign w:val="center"/>
                </w:tcPr>
                <w:p w14:paraId="60F614A5">
                  <w:pPr>
                    <w:keepNext w:val="0"/>
                    <w:keepLines w:val="0"/>
                    <w:pageBreakBefore w:val="0"/>
                    <w:tabs>
                      <w:tab w:val="left" w:pos="2552"/>
                      <w:tab w:val="left" w:pos="5387"/>
                    </w:tabs>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zh-CN" w:eastAsia="zh-CN" w:bidi="zh-CN"/>
                    </w:rPr>
                  </w:pPr>
                  <w:r>
                    <w:rPr>
                      <w:rFonts w:hint="default" w:ascii="Times New Roman" w:hAnsi="Times New Roman" w:eastAsia="宋体" w:cs="Times New Roman"/>
                      <w:color w:val="auto"/>
                      <w:sz w:val="21"/>
                      <w:szCs w:val="21"/>
                      <w:lang w:eastAsia="zh-CN"/>
                    </w:rPr>
                    <w:t>大兴花园小区</w:t>
                  </w:r>
                </w:p>
              </w:tc>
              <w:tc>
                <w:tcPr>
                  <w:tcW w:w="559" w:type="pct"/>
                  <w:noWrap w:val="0"/>
                  <w:vAlign w:val="center"/>
                </w:tcPr>
                <w:p w14:paraId="26F11487">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52.3</w:t>
                  </w:r>
                </w:p>
              </w:tc>
              <w:tc>
                <w:tcPr>
                  <w:tcW w:w="540" w:type="pct"/>
                  <w:vMerge w:val="continue"/>
                  <w:noWrap w:val="0"/>
                  <w:vAlign w:val="center"/>
                </w:tcPr>
                <w:p w14:paraId="1865C2EA">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50" w:type="pct"/>
                  <w:noWrap w:val="0"/>
                  <w:vAlign w:val="center"/>
                </w:tcPr>
                <w:p w14:paraId="738DC146">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lang w:val="zh-CN" w:eastAsia="zh-CN" w:bidi="zh-CN"/>
                    </w:rPr>
                  </w:pPr>
                  <w:r>
                    <w:rPr>
                      <w:rFonts w:hint="default" w:ascii="Times New Roman" w:hAnsi="Times New Roman" w:eastAsia="宋体" w:cs="Times New Roman"/>
                      <w:bCs/>
                      <w:color w:val="auto"/>
                      <w:sz w:val="21"/>
                      <w:szCs w:val="21"/>
                    </w:rPr>
                    <w:t>达标</w:t>
                  </w:r>
                </w:p>
              </w:tc>
              <w:tc>
                <w:tcPr>
                  <w:tcW w:w="540" w:type="pct"/>
                  <w:noWrap w:val="0"/>
                  <w:vAlign w:val="center"/>
                </w:tcPr>
                <w:p w14:paraId="13339A80">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42.7</w:t>
                  </w:r>
                </w:p>
              </w:tc>
              <w:tc>
                <w:tcPr>
                  <w:tcW w:w="540" w:type="pct"/>
                  <w:vMerge w:val="continue"/>
                  <w:noWrap w:val="0"/>
                  <w:vAlign w:val="center"/>
                </w:tcPr>
                <w:p w14:paraId="528D92E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rPr>
                  </w:pPr>
                </w:p>
              </w:tc>
              <w:tc>
                <w:tcPr>
                  <w:tcW w:w="668" w:type="pct"/>
                  <w:noWrap w:val="0"/>
                  <w:vAlign w:val="center"/>
                </w:tcPr>
                <w:p w14:paraId="4873AFB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sz w:val="21"/>
                      <w:szCs w:val="21"/>
                      <w:lang w:val="zh-CN" w:eastAsia="zh-CN" w:bidi="zh-CN"/>
                    </w:rPr>
                  </w:pPr>
                  <w:r>
                    <w:rPr>
                      <w:rFonts w:hint="default" w:ascii="Times New Roman" w:hAnsi="Times New Roman" w:eastAsia="宋体" w:cs="Times New Roman"/>
                      <w:bCs/>
                      <w:color w:val="auto"/>
                      <w:sz w:val="21"/>
                      <w:szCs w:val="21"/>
                    </w:rPr>
                    <w:t>达标</w:t>
                  </w:r>
                </w:p>
              </w:tc>
            </w:tr>
          </w:tbl>
          <w:p w14:paraId="4FF6A16A">
            <w:pPr>
              <w:spacing w:line="520" w:lineRule="exact"/>
              <w:ind w:firstLine="480" w:firstLineChars="200"/>
              <w:jc w:val="both"/>
              <w:rPr>
                <w:rFonts w:hint="eastAsia"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根据监测统计结果，项目昼间、夜间值均符合《声环境质量标准》（GB3096-2008）</w:t>
            </w:r>
            <w:r>
              <w:rPr>
                <w:rFonts w:hint="eastAsia" w:ascii="Times New Roman" w:hAnsi="Times New Roman" w:cs="Times New Roman"/>
                <w:color w:val="auto"/>
                <w:sz w:val="24"/>
                <w:szCs w:val="24"/>
                <w:lang w:val="en-US" w:eastAsia="zh-CN"/>
              </w:rPr>
              <w:t>1</w:t>
            </w:r>
            <w:r>
              <w:rPr>
                <w:rFonts w:hint="eastAsia" w:ascii="Times New Roman" w:hAnsi="Times New Roman" w:cs="Times New Roman"/>
                <w:color w:val="auto"/>
                <w:sz w:val="24"/>
                <w:szCs w:val="24"/>
                <w:lang w:val="en-US"/>
              </w:rPr>
              <w:t>类标准值。</w:t>
            </w:r>
          </w:p>
          <w:p w14:paraId="69B10305">
            <w:pPr>
              <w:pStyle w:val="10"/>
              <w:keepNext w:val="0"/>
              <w:keepLines w:val="0"/>
              <w:pageBreakBefore w:val="0"/>
              <w:kinsoku/>
              <w:wordWrap/>
              <w:overflowPunct/>
              <w:topLinePunct w:val="0"/>
              <w:autoSpaceDE/>
              <w:autoSpaceDN/>
              <w:bidi w:val="0"/>
              <w:adjustRightInd/>
              <w:spacing w:before="0" w:after="0" w:line="520" w:lineRule="exact"/>
              <w:ind w:right="0" w:firstLine="482" w:firstLineChars="200"/>
              <w:jc w:val="both"/>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rPr>
              <w:t>、土壤</w:t>
            </w:r>
            <w:r>
              <w:rPr>
                <w:rFonts w:hint="default" w:ascii="Times New Roman" w:hAnsi="Times New Roman" w:eastAsia="宋体" w:cs="Times New Roman"/>
                <w:b/>
                <w:bCs/>
                <w:color w:val="auto"/>
                <w:sz w:val="24"/>
                <w:szCs w:val="24"/>
                <w:lang w:eastAsia="zh-CN"/>
              </w:rPr>
              <w:t>、地下水</w:t>
            </w:r>
            <w:r>
              <w:rPr>
                <w:rFonts w:hint="default" w:ascii="Times New Roman" w:hAnsi="Times New Roman" w:eastAsia="宋体" w:cs="Times New Roman"/>
                <w:b/>
                <w:bCs/>
                <w:color w:val="auto"/>
                <w:sz w:val="24"/>
                <w:szCs w:val="24"/>
              </w:rPr>
              <w:t>环境质量现状</w:t>
            </w:r>
          </w:p>
          <w:p w14:paraId="22C0D133">
            <w:pPr>
              <w:spacing w:line="520" w:lineRule="exact"/>
              <w:ind w:firstLine="480" w:firstLineChars="200"/>
              <w:jc w:val="both"/>
              <w:rPr>
                <w:rFonts w:hint="eastAsia"/>
                <w:color w:val="auto"/>
                <w:sz w:val="24"/>
                <w:szCs w:val="24"/>
                <w:lang w:val="en-US"/>
              </w:rPr>
            </w:pPr>
            <w:r>
              <w:rPr>
                <w:rFonts w:hint="default" w:ascii="Times New Roman" w:hAnsi="Times New Roman" w:eastAsia="宋体" w:cs="Times New Roman"/>
                <w:color w:val="auto"/>
                <w:sz w:val="24"/>
                <w:szCs w:val="24"/>
              </w:rPr>
              <w:t>依照《建设项目环境影响报告表编制技术指南</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污染影响类</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试行</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，地下水、土壤环境原则上不开展环境质量现状调查。建设项目存在土壤、地下水污染途径的，应结合污染源、保护目标分布情况开展现状调查以留作背景值。</w:t>
            </w:r>
            <w:r>
              <w:rPr>
                <w:rFonts w:hint="eastAsia" w:ascii="Times New Roman" w:hAnsi="Times New Roman" w:eastAsia="宋体" w:cs="Times New Roman"/>
                <w:color w:val="auto"/>
                <w:sz w:val="24"/>
                <w:szCs w:val="24"/>
                <w:lang w:eastAsia="zh-CN"/>
              </w:rPr>
              <w:t>本项目周边居民区均采用市政供水管道供水，无</w:t>
            </w:r>
            <w:r>
              <w:rPr>
                <w:rFonts w:hint="eastAsia" w:ascii="Times New Roman" w:hAnsi="Times New Roman" w:eastAsia="宋体" w:cs="Times New Roman"/>
                <w:color w:val="auto"/>
                <w:kern w:val="2"/>
                <w:sz w:val="24"/>
                <w:szCs w:val="24"/>
                <w:lang w:val="en-US" w:eastAsia="zh-CN" w:bidi="ar-SA"/>
              </w:rPr>
              <w:t>地下水集中式饮用水水源和热水、矿泉水、温泉等保护目标，</w:t>
            </w:r>
            <w:r>
              <w:rPr>
                <w:rFonts w:hint="default" w:ascii="Times New Roman" w:hAnsi="Times New Roman" w:eastAsia="宋体" w:cs="Times New Roman"/>
                <w:color w:val="auto"/>
                <w:sz w:val="24"/>
                <w:szCs w:val="24"/>
                <w:lang w:eastAsia="zh-CN"/>
              </w:rPr>
              <w:t>同时对照《建设项目环境影响评价技术导则</w:t>
            </w:r>
            <w:r>
              <w:rPr>
                <w:rFonts w:hint="default" w:ascii="Times New Roman" w:hAnsi="Times New Roman" w:eastAsia="宋体" w:cs="Times New Roman"/>
                <w:color w:val="auto"/>
                <w:sz w:val="24"/>
                <w:szCs w:val="24"/>
                <w:lang w:val="en-US" w:eastAsia="zh-CN"/>
              </w:rPr>
              <w:t xml:space="preserve">  地下水</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HJ610-2016</w:t>
            </w:r>
            <w:r>
              <w:rPr>
                <w:rFonts w:hint="default" w:ascii="Times New Roman" w:hAnsi="Times New Roman" w:eastAsia="宋体" w:cs="Times New Roman"/>
                <w:color w:val="auto"/>
                <w:sz w:val="24"/>
                <w:szCs w:val="24"/>
                <w:lang w:eastAsia="zh-CN"/>
              </w:rPr>
              <w:t>）附录</w:t>
            </w:r>
            <w:r>
              <w:rPr>
                <w:rFonts w:hint="default" w:ascii="Times New Roman" w:hAnsi="Times New Roman" w:eastAsia="宋体" w:cs="Times New Roman"/>
                <w:color w:val="auto"/>
                <w:sz w:val="24"/>
                <w:szCs w:val="24"/>
                <w:lang w:val="en-US" w:eastAsia="zh-CN"/>
              </w:rPr>
              <w:t>A及《建设项目环境影响评价技术导则  土壤环境》（HJ964-2018）附录A，项目为</w:t>
            </w:r>
            <w:r>
              <w:rPr>
                <w:rFonts w:hint="default" w:ascii="Times New Roman" w:hAnsi="Times New Roman" w:eastAsia="宋体" w:cs="Times New Roman"/>
                <w:color w:val="auto"/>
                <w:sz w:val="24"/>
                <w:szCs w:val="24"/>
                <w:lang w:val="en-US" w:eastAsia="zh-CN"/>
              </w:rPr>
              <w:fldChar w:fldCharType="begin"/>
            </w:r>
            <w:r>
              <w:rPr>
                <w:rFonts w:hint="default" w:ascii="Times New Roman" w:hAnsi="Times New Roman" w:eastAsia="宋体" w:cs="Times New Roman"/>
                <w:color w:val="auto"/>
                <w:sz w:val="24"/>
                <w:szCs w:val="24"/>
                <w:lang w:val="en-US" w:eastAsia="zh-CN"/>
              </w:rPr>
              <w:instrText xml:space="preserve"> = 4 \* ROMAN \* MERGEFORMAT </w:instrText>
            </w:r>
            <w:r>
              <w:rPr>
                <w:rFonts w:hint="default" w:ascii="Times New Roman" w:hAnsi="Times New Roman" w:eastAsia="宋体" w:cs="Times New Roman"/>
                <w:color w:val="auto"/>
                <w:sz w:val="24"/>
                <w:szCs w:val="24"/>
                <w:lang w:val="en-US" w:eastAsia="zh-CN"/>
              </w:rPr>
              <w:fldChar w:fldCharType="separate"/>
            </w:r>
            <w:r>
              <w:rPr>
                <w:rFonts w:hint="default" w:ascii="Times New Roman" w:hAnsi="Times New Roman" w:eastAsia="宋体" w:cs="Times New Roman"/>
                <w:color w:val="auto"/>
                <w:sz w:val="24"/>
                <w:szCs w:val="24"/>
              </w:rPr>
              <w:t>IV</w:t>
            </w:r>
            <w:r>
              <w:rPr>
                <w:rFonts w:hint="default" w:ascii="Times New Roman" w:hAnsi="Times New Roman" w:eastAsia="宋体" w:cs="Times New Roman"/>
                <w:color w:val="auto"/>
                <w:sz w:val="24"/>
                <w:szCs w:val="24"/>
                <w:lang w:val="en-US" w:eastAsia="zh-CN"/>
              </w:rPr>
              <w:fldChar w:fldCharType="end"/>
            </w:r>
            <w:r>
              <w:rPr>
                <w:rFonts w:hint="default" w:ascii="Times New Roman" w:hAnsi="Times New Roman" w:eastAsia="宋体" w:cs="Times New Roman"/>
                <w:color w:val="auto"/>
                <w:sz w:val="24"/>
                <w:szCs w:val="24"/>
                <w:lang w:val="en-US" w:eastAsia="zh-CN"/>
              </w:rPr>
              <w:t>类项目，可不开展土壤和地下水现状调查与评价</w:t>
            </w:r>
            <w:r>
              <w:rPr>
                <w:rFonts w:hint="eastAsia" w:ascii="Times New Roman" w:hAnsi="Times New Roman" w:eastAsia="宋体" w:cs="Times New Roman"/>
                <w:color w:val="auto"/>
                <w:sz w:val="24"/>
                <w:szCs w:val="24"/>
                <w:lang w:val="en-US" w:eastAsia="zh-CN"/>
              </w:rPr>
              <w:t>，故</w:t>
            </w:r>
            <w:r>
              <w:rPr>
                <w:rFonts w:hint="default" w:ascii="Times New Roman" w:hAnsi="Times New Roman" w:eastAsia="宋体" w:cs="Times New Roman"/>
                <w:color w:val="auto"/>
                <w:sz w:val="24"/>
                <w:szCs w:val="24"/>
                <w:lang w:val="en-US" w:eastAsia="zh-CN"/>
              </w:rPr>
              <w:t>本次评价不进行土壤及地下水的现状监测与评价。</w:t>
            </w:r>
          </w:p>
        </w:tc>
      </w:tr>
      <w:tr w14:paraId="04358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663" w:type="dxa"/>
            <w:tcBorders>
              <w:right w:val="single" w:color="000000" w:sz="4" w:space="0"/>
            </w:tcBorders>
            <w:noWrap w:val="0"/>
            <w:vAlign w:val="center"/>
          </w:tcPr>
          <w:p w14:paraId="4D053263">
            <w:pPr>
              <w:pStyle w:val="45"/>
              <w:spacing w:line="520" w:lineRule="exact"/>
              <w:jc w:val="center"/>
              <w:rPr>
                <w:rFonts w:ascii="Times New Roman" w:hAnsi="Times New Roman" w:cs="Times New Roman"/>
                <w:color w:val="auto"/>
                <w:spacing w:val="-2"/>
                <w:sz w:val="24"/>
                <w:szCs w:val="24"/>
                <w:lang w:val="en-US"/>
              </w:rPr>
            </w:pPr>
            <w:r>
              <w:rPr>
                <w:rFonts w:hint="eastAsia" w:ascii="Times New Roman" w:hAnsi="Times New Roman" w:cs="Times New Roman"/>
                <w:color w:val="auto"/>
                <w:spacing w:val="-2"/>
                <w:sz w:val="24"/>
                <w:szCs w:val="24"/>
                <w:lang w:val="en-US"/>
              </w:rPr>
              <w:t>环境保护目标</w:t>
            </w:r>
          </w:p>
        </w:tc>
        <w:tc>
          <w:tcPr>
            <w:tcW w:w="8280" w:type="dxa"/>
            <w:tcBorders>
              <w:left w:val="single" w:color="000000" w:sz="4" w:space="0"/>
            </w:tcBorders>
            <w:noWrap w:val="0"/>
            <w:vAlign w:val="top"/>
          </w:tcPr>
          <w:p w14:paraId="2B27220A">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ascii="Times New Roman" w:hAnsi="Times New Roman" w:cs="Times New Roman"/>
                <w:color w:val="auto"/>
                <w:sz w:val="24"/>
              </w:rPr>
            </w:pPr>
            <w:r>
              <w:rPr>
                <w:rFonts w:hint="eastAsia" w:ascii="Times New Roman" w:hAnsi="Times New Roman" w:cs="Times New Roman"/>
                <w:color w:val="auto"/>
                <w:sz w:val="24"/>
              </w:rPr>
              <w:t>项目位于</w:t>
            </w:r>
            <w:r>
              <w:rPr>
                <w:rFonts w:hint="eastAsia" w:ascii="Times New Roman" w:hAnsi="Times New Roman" w:cs="Times New Roman"/>
                <w:color w:val="auto"/>
                <w:sz w:val="24"/>
                <w:lang w:val="en-US"/>
              </w:rPr>
              <w:t>鄂尔多斯市东胜区伊化南路</w:t>
            </w:r>
            <w:r>
              <w:rPr>
                <w:rFonts w:hint="eastAsia" w:ascii="Times New Roman" w:hAnsi="Times New Roman" w:cs="Times New Roman"/>
                <w:color w:val="auto"/>
                <w:sz w:val="24"/>
                <w:lang w:val="en-US" w:eastAsia="zh-CN"/>
              </w:rPr>
              <w:t>11号鄂尔多斯广厦医院院内</w:t>
            </w:r>
            <w:r>
              <w:rPr>
                <w:rFonts w:hint="eastAsia" w:ascii="Times New Roman" w:hAnsi="Times New Roman" w:cs="Times New Roman"/>
                <w:color w:val="auto"/>
                <w:sz w:val="24"/>
              </w:rPr>
              <w:t>，项目</w:t>
            </w:r>
            <w:r>
              <w:rPr>
                <w:rFonts w:hint="eastAsia" w:ascii="Times New Roman" w:hAnsi="Times New Roman" w:cs="Times New Roman"/>
                <w:color w:val="auto"/>
                <w:sz w:val="24"/>
                <w:lang w:eastAsia="zh-CN"/>
              </w:rPr>
              <w:t>北</w:t>
            </w:r>
            <w:r>
              <w:rPr>
                <w:rFonts w:hint="eastAsia" w:ascii="Times New Roman" w:hAnsi="Times New Roman" w:cs="Times New Roman"/>
                <w:color w:val="auto"/>
                <w:sz w:val="24"/>
              </w:rPr>
              <w:t>侧</w:t>
            </w:r>
            <w:r>
              <w:rPr>
                <w:rFonts w:hint="eastAsia" w:ascii="Times New Roman" w:hAnsi="Times New Roman" w:cs="Times New Roman"/>
                <w:color w:val="auto"/>
                <w:sz w:val="24"/>
                <w:lang w:eastAsia="zh-CN"/>
              </w:rPr>
              <w:t>、西侧为龙湾</w:t>
            </w:r>
            <w:r>
              <w:rPr>
                <w:rFonts w:hint="eastAsia" w:ascii="Times New Roman" w:hAnsi="Times New Roman" w:cs="Times New Roman"/>
                <w:color w:val="auto"/>
                <w:sz w:val="24"/>
                <w:lang w:val="en-US" w:eastAsia="zh-CN"/>
              </w:rPr>
              <w:t>小区</w:t>
            </w:r>
            <w:r>
              <w:rPr>
                <w:rFonts w:hint="eastAsia" w:ascii="Times New Roman" w:hAnsi="Times New Roman" w:cs="Times New Roman"/>
                <w:color w:val="auto"/>
                <w:sz w:val="24"/>
                <w:lang w:eastAsia="zh-CN"/>
              </w:rPr>
              <w:t>，项目南侧、东侧临街。项目北侧距大兴花园小区27</w:t>
            </w:r>
            <w:r>
              <w:rPr>
                <w:rFonts w:hint="eastAsia" w:ascii="Times New Roman" w:hAnsi="Times New Roman" w:cs="Times New Roman"/>
                <w:color w:val="auto"/>
                <w:sz w:val="24"/>
                <w:lang w:val="en-US" w:eastAsia="zh-CN"/>
              </w:rPr>
              <w:t>m</w:t>
            </w:r>
            <w:r>
              <w:rPr>
                <w:rFonts w:hint="eastAsia" w:ascii="Times New Roman" w:hAnsi="Times New Roman" w:cs="Times New Roman"/>
                <w:color w:val="auto"/>
                <w:sz w:val="24"/>
                <w:lang w:eastAsia="zh-CN"/>
              </w:rPr>
              <w:t>、距育苗楼小区318</w:t>
            </w:r>
            <w:r>
              <w:rPr>
                <w:rFonts w:hint="eastAsia" w:ascii="Times New Roman" w:hAnsi="Times New Roman" w:cs="Times New Roman"/>
                <w:color w:val="auto"/>
                <w:sz w:val="24"/>
                <w:lang w:val="en-US" w:eastAsia="zh-CN"/>
              </w:rPr>
              <w:t>m</w:t>
            </w:r>
            <w:r>
              <w:rPr>
                <w:rFonts w:hint="eastAsia" w:ascii="Times New Roman" w:hAnsi="Times New Roman" w:cs="Times New Roman"/>
                <w:color w:val="auto"/>
                <w:sz w:val="24"/>
                <w:lang w:eastAsia="zh-CN"/>
              </w:rPr>
              <w:t>、距万福小区572</w:t>
            </w:r>
            <w:r>
              <w:rPr>
                <w:rFonts w:hint="eastAsia" w:ascii="Times New Roman" w:hAnsi="Times New Roman" w:cs="Times New Roman"/>
                <w:color w:val="auto"/>
                <w:sz w:val="24"/>
                <w:lang w:val="en-US" w:eastAsia="zh-CN"/>
              </w:rPr>
              <w:t>m</w:t>
            </w:r>
            <w:r>
              <w:rPr>
                <w:rFonts w:hint="eastAsia" w:ascii="Times New Roman" w:hAnsi="Times New Roman" w:cs="Times New Roman"/>
                <w:color w:val="auto"/>
                <w:sz w:val="24"/>
                <w:lang w:eastAsia="zh-CN"/>
              </w:rPr>
              <w:t>、距凯威茗都486</w:t>
            </w:r>
            <w:r>
              <w:rPr>
                <w:rFonts w:hint="eastAsia" w:ascii="Times New Roman" w:hAnsi="Times New Roman" w:cs="Times New Roman"/>
                <w:color w:val="auto"/>
                <w:sz w:val="24"/>
                <w:lang w:val="en-US" w:eastAsia="zh-CN"/>
              </w:rPr>
              <w:t>m</w:t>
            </w:r>
            <w:r>
              <w:rPr>
                <w:rFonts w:hint="eastAsia" w:ascii="Times New Roman" w:hAnsi="Times New Roman" w:cs="Times New Roman"/>
                <w:color w:val="auto"/>
                <w:sz w:val="24"/>
                <w:lang w:eastAsia="zh-CN"/>
              </w:rPr>
              <w:t>、距怡馨花园469</w:t>
            </w:r>
            <w:r>
              <w:rPr>
                <w:rFonts w:hint="eastAsia" w:ascii="Times New Roman" w:hAnsi="Times New Roman" w:cs="Times New Roman"/>
                <w:color w:val="auto"/>
                <w:sz w:val="24"/>
                <w:lang w:val="en-US" w:eastAsia="zh-CN"/>
              </w:rPr>
              <w:t>m</w:t>
            </w:r>
            <w:r>
              <w:rPr>
                <w:rFonts w:hint="eastAsia" w:ascii="Times New Roman" w:hAnsi="Times New Roman" w:cs="Times New Roman"/>
                <w:color w:val="auto"/>
                <w:sz w:val="24"/>
                <w:lang w:eastAsia="zh-CN"/>
              </w:rPr>
              <w:t>、距第七小学</w:t>
            </w:r>
            <w:r>
              <w:rPr>
                <w:rFonts w:hint="eastAsia" w:ascii="Times New Roman" w:hAnsi="Times New Roman" w:cs="Times New Roman"/>
                <w:color w:val="auto"/>
                <w:sz w:val="24"/>
                <w:lang w:val="en-US" w:eastAsia="zh-CN"/>
              </w:rPr>
              <w:t>372m</w:t>
            </w:r>
            <w:r>
              <w:rPr>
                <w:rFonts w:hint="eastAsia" w:ascii="Times New Roman" w:hAnsi="Times New Roman" w:cs="Times New Roman"/>
                <w:color w:val="auto"/>
                <w:sz w:val="24"/>
                <w:lang w:eastAsia="zh-CN"/>
              </w:rPr>
              <w:t>、距泰欣小区</w:t>
            </w:r>
            <w:r>
              <w:rPr>
                <w:rFonts w:hint="eastAsia" w:ascii="Times New Roman" w:hAnsi="Times New Roman" w:cs="Times New Roman"/>
                <w:color w:val="auto"/>
                <w:sz w:val="24"/>
                <w:lang w:val="en-US" w:eastAsia="zh-CN"/>
              </w:rPr>
              <w:t>391m</w:t>
            </w:r>
            <w:r>
              <w:rPr>
                <w:rFonts w:hint="eastAsia" w:ascii="Times New Roman" w:hAnsi="Times New Roman" w:cs="Times New Roman"/>
                <w:color w:val="auto"/>
                <w:sz w:val="24"/>
                <w:lang w:eastAsia="zh-CN"/>
              </w:rPr>
              <w:t>、距老干</w:t>
            </w:r>
            <w:r>
              <w:rPr>
                <w:rFonts w:hint="eastAsia" w:ascii="Times New Roman" w:hAnsi="Times New Roman" w:cs="Times New Roman"/>
                <w:color w:val="auto"/>
                <w:sz w:val="24"/>
                <w:lang w:val="en-US" w:eastAsia="zh-CN"/>
              </w:rPr>
              <w:t>部</w:t>
            </w:r>
            <w:r>
              <w:rPr>
                <w:rFonts w:hint="eastAsia" w:ascii="Times New Roman" w:hAnsi="Times New Roman" w:cs="Times New Roman"/>
                <w:color w:val="auto"/>
                <w:sz w:val="24"/>
                <w:lang w:eastAsia="zh-CN"/>
              </w:rPr>
              <w:t>家属楼</w:t>
            </w:r>
            <w:r>
              <w:rPr>
                <w:rFonts w:hint="eastAsia" w:ascii="Times New Roman" w:hAnsi="Times New Roman" w:cs="Times New Roman"/>
                <w:color w:val="auto"/>
                <w:sz w:val="24"/>
                <w:lang w:val="en-US" w:eastAsia="zh-CN"/>
              </w:rPr>
              <w:t>469m</w:t>
            </w:r>
            <w:r>
              <w:rPr>
                <w:rFonts w:hint="eastAsia" w:ascii="Times New Roman" w:hAnsi="Times New Roman" w:cs="Times New Roman"/>
                <w:color w:val="auto"/>
                <w:sz w:val="24"/>
                <w:lang w:eastAsia="zh-CN"/>
              </w:rPr>
              <w:t>，项目东北侧距华宇名门</w:t>
            </w:r>
            <w:r>
              <w:rPr>
                <w:rFonts w:hint="eastAsia" w:ascii="Times New Roman" w:hAnsi="Times New Roman" w:cs="Times New Roman"/>
                <w:color w:val="auto"/>
                <w:sz w:val="24"/>
                <w:lang w:val="en-US" w:eastAsia="zh-CN"/>
              </w:rPr>
              <w:t>497m</w:t>
            </w:r>
            <w:r>
              <w:rPr>
                <w:rFonts w:hint="eastAsia" w:ascii="Times New Roman" w:hAnsi="Times New Roman" w:cs="Times New Roman"/>
                <w:color w:val="auto"/>
                <w:sz w:val="24"/>
                <w:lang w:eastAsia="zh-CN"/>
              </w:rPr>
              <w:t>、距满达小区</w:t>
            </w:r>
            <w:r>
              <w:rPr>
                <w:rFonts w:hint="eastAsia" w:ascii="Times New Roman" w:hAnsi="Times New Roman" w:cs="Times New Roman"/>
                <w:color w:val="auto"/>
                <w:sz w:val="24"/>
                <w:lang w:val="en-US" w:eastAsia="zh-CN"/>
              </w:rPr>
              <w:t>638m</w:t>
            </w:r>
            <w:r>
              <w:rPr>
                <w:rFonts w:hint="eastAsia" w:ascii="Times New Roman" w:hAnsi="Times New Roman" w:cs="Times New Roman"/>
                <w:color w:val="auto"/>
                <w:sz w:val="24"/>
                <w:lang w:eastAsia="zh-CN"/>
              </w:rPr>
              <w:t>，项目东侧距亿利城市华庭</w:t>
            </w:r>
            <w:r>
              <w:rPr>
                <w:rFonts w:hint="eastAsia" w:ascii="Times New Roman" w:hAnsi="Times New Roman" w:cs="Times New Roman"/>
                <w:color w:val="auto"/>
                <w:sz w:val="24"/>
                <w:lang w:val="en-US" w:eastAsia="zh-CN"/>
              </w:rPr>
              <w:t>332m</w:t>
            </w:r>
            <w:r>
              <w:rPr>
                <w:rFonts w:hint="eastAsia" w:ascii="Times New Roman" w:hAnsi="Times New Roman" w:cs="Times New Roman"/>
                <w:color w:val="auto"/>
                <w:sz w:val="24"/>
                <w:lang w:eastAsia="zh-CN"/>
              </w:rPr>
              <w:t>，项目东南侧距华滋居</w:t>
            </w:r>
            <w:r>
              <w:rPr>
                <w:rFonts w:hint="eastAsia" w:ascii="Times New Roman" w:hAnsi="Times New Roman" w:cs="Times New Roman"/>
                <w:color w:val="auto"/>
                <w:sz w:val="24"/>
                <w:lang w:val="en-US" w:eastAsia="zh-CN"/>
              </w:rPr>
              <w:t>438m</w:t>
            </w:r>
            <w:r>
              <w:rPr>
                <w:rFonts w:hint="eastAsia" w:ascii="Times New Roman" w:hAnsi="Times New Roman" w:cs="Times New Roman"/>
                <w:color w:val="auto"/>
                <w:sz w:val="24"/>
                <w:lang w:eastAsia="zh-CN"/>
              </w:rPr>
              <w:t>、距育英社区</w:t>
            </w:r>
            <w:r>
              <w:rPr>
                <w:rFonts w:hint="eastAsia" w:ascii="Times New Roman" w:hAnsi="Times New Roman" w:cs="Times New Roman"/>
                <w:color w:val="auto"/>
                <w:sz w:val="24"/>
                <w:lang w:val="en-US" w:eastAsia="zh-CN"/>
              </w:rPr>
              <w:t>442m</w:t>
            </w:r>
            <w:r>
              <w:rPr>
                <w:rFonts w:hint="eastAsia" w:ascii="Times New Roman" w:hAnsi="Times New Roman" w:cs="Times New Roman"/>
                <w:color w:val="auto"/>
                <w:sz w:val="24"/>
                <w:lang w:eastAsia="zh-CN"/>
              </w:rPr>
              <w:t>，项目南侧距华府世家</w:t>
            </w:r>
            <w:r>
              <w:rPr>
                <w:rFonts w:hint="eastAsia" w:ascii="Times New Roman" w:hAnsi="Times New Roman" w:cs="Times New Roman"/>
                <w:color w:val="auto"/>
                <w:sz w:val="24"/>
                <w:lang w:val="en-US" w:eastAsia="zh-CN"/>
              </w:rPr>
              <w:t>302m</w:t>
            </w:r>
            <w:r>
              <w:rPr>
                <w:rFonts w:hint="eastAsia" w:ascii="Times New Roman" w:hAnsi="Times New Roman" w:cs="Times New Roman"/>
                <w:color w:val="auto"/>
                <w:sz w:val="24"/>
                <w:lang w:eastAsia="zh-CN"/>
              </w:rPr>
              <w:t>，项目西南侧距欧陆风情</w:t>
            </w:r>
            <w:r>
              <w:rPr>
                <w:rFonts w:hint="eastAsia" w:ascii="Times New Roman" w:hAnsi="Times New Roman" w:cs="Times New Roman"/>
                <w:color w:val="auto"/>
                <w:sz w:val="24"/>
                <w:lang w:val="en-US" w:eastAsia="zh-CN"/>
              </w:rPr>
              <w:t>438m、距拆迁区403m</w:t>
            </w:r>
            <w:r>
              <w:rPr>
                <w:rFonts w:hint="eastAsia" w:ascii="Times New Roman" w:hAnsi="Times New Roman" w:cs="Times New Roman"/>
                <w:color w:val="auto"/>
                <w:sz w:val="24"/>
                <w:lang w:eastAsia="zh-CN"/>
              </w:rPr>
              <w:t>，项目西侧距龙湾</w:t>
            </w:r>
            <w:r>
              <w:rPr>
                <w:rFonts w:hint="eastAsia" w:ascii="Times New Roman" w:hAnsi="Times New Roman" w:cs="Times New Roman"/>
                <w:color w:val="auto"/>
                <w:sz w:val="24"/>
                <w:lang w:val="en-US" w:eastAsia="zh-CN"/>
              </w:rPr>
              <w:t>8m</w:t>
            </w:r>
            <w:r>
              <w:rPr>
                <w:rFonts w:hint="eastAsia" w:ascii="Times New Roman" w:hAnsi="Times New Roman" w:cs="Times New Roman"/>
                <w:color w:val="auto"/>
                <w:sz w:val="24"/>
                <w:lang w:eastAsia="zh-CN"/>
              </w:rPr>
              <w:t>、距亿利城滨河湾</w:t>
            </w:r>
            <w:r>
              <w:rPr>
                <w:rFonts w:hint="eastAsia" w:ascii="Times New Roman" w:hAnsi="Times New Roman" w:cs="Times New Roman"/>
                <w:color w:val="auto"/>
                <w:sz w:val="24"/>
                <w:lang w:val="en-US" w:eastAsia="zh-CN"/>
              </w:rPr>
              <w:t>293m</w:t>
            </w:r>
            <w:r>
              <w:rPr>
                <w:rFonts w:hint="eastAsia" w:ascii="Times New Roman" w:hAnsi="Times New Roman" w:cs="Times New Roman"/>
                <w:color w:val="auto"/>
                <w:sz w:val="24"/>
                <w:lang w:eastAsia="zh-CN"/>
              </w:rPr>
              <w:t>、距传祥苑</w:t>
            </w:r>
            <w:r>
              <w:rPr>
                <w:rFonts w:hint="eastAsia" w:ascii="Times New Roman" w:hAnsi="Times New Roman" w:cs="Times New Roman"/>
                <w:color w:val="auto"/>
                <w:sz w:val="24"/>
                <w:lang w:val="en-US" w:eastAsia="zh-CN"/>
              </w:rPr>
              <w:t>402m</w:t>
            </w:r>
            <w:r>
              <w:rPr>
                <w:rFonts w:hint="eastAsia" w:ascii="Times New Roman" w:hAnsi="Times New Roman" w:cs="Times New Roman"/>
                <w:color w:val="auto"/>
                <w:sz w:val="24"/>
                <w:lang w:eastAsia="zh-CN"/>
              </w:rPr>
              <w:t>、距亿利广场家园</w:t>
            </w:r>
            <w:r>
              <w:rPr>
                <w:rFonts w:hint="eastAsia" w:ascii="Times New Roman" w:hAnsi="Times New Roman" w:cs="Times New Roman"/>
                <w:color w:val="auto"/>
                <w:sz w:val="24"/>
                <w:lang w:val="en-US" w:eastAsia="zh-CN"/>
              </w:rPr>
              <w:t>378m</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距离项目最近的敏感点为西侧</w:t>
            </w:r>
            <w:r>
              <w:rPr>
                <w:rFonts w:hint="eastAsia" w:ascii="Times New Roman" w:hAnsi="Times New Roman" w:cs="Times New Roman"/>
                <w:color w:val="auto"/>
                <w:sz w:val="24"/>
                <w:lang w:val="en-US" w:eastAsia="zh-CN"/>
              </w:rPr>
              <w:t>8</w:t>
            </w:r>
            <w:r>
              <w:rPr>
                <w:rFonts w:hint="eastAsia" w:ascii="Times New Roman" w:hAnsi="Times New Roman" w:cs="Times New Roman"/>
                <w:color w:val="auto"/>
                <w:sz w:val="24"/>
              </w:rPr>
              <w:t>m处</w:t>
            </w:r>
            <w:r>
              <w:rPr>
                <w:rFonts w:hint="eastAsia" w:ascii="Times New Roman" w:hAnsi="Times New Roman" w:cs="Times New Roman"/>
                <w:color w:val="auto"/>
                <w:sz w:val="24"/>
                <w:lang w:eastAsia="zh-CN"/>
              </w:rPr>
              <w:t>的</w:t>
            </w:r>
            <w:r>
              <w:rPr>
                <w:rFonts w:hint="eastAsia" w:ascii="Times New Roman" w:hAnsi="Times New Roman" w:cs="Times New Roman"/>
                <w:color w:val="auto"/>
                <w:sz w:val="24"/>
                <w:lang w:val="en-US" w:eastAsia="zh-CN"/>
              </w:rPr>
              <w:t>龙湾</w:t>
            </w:r>
            <w:r>
              <w:rPr>
                <w:rFonts w:ascii="Times New Roman" w:hAnsi="Times New Roman" w:cs="Times New Roman"/>
                <w:color w:val="auto"/>
                <w:sz w:val="24"/>
              </w:rPr>
              <w:t>。</w:t>
            </w:r>
            <w:r>
              <w:rPr>
                <w:rFonts w:hint="eastAsia" w:ascii="Times New Roman" w:hAnsi="Times New Roman" w:cs="Times New Roman"/>
                <w:color w:val="auto"/>
                <w:sz w:val="24"/>
              </w:rPr>
              <w:t>根据《建设项目环境影响报告表编制技术指南（污染影响类）》，项目</w:t>
            </w:r>
            <w:r>
              <w:rPr>
                <w:rFonts w:hint="eastAsia" w:ascii="Times New Roman" w:hAnsi="Times New Roman" w:cs="Times New Roman"/>
                <w:color w:val="auto"/>
                <w:sz w:val="24"/>
                <w:lang w:val="en-US" w:eastAsia="zh-CN"/>
              </w:rPr>
              <w:t>周边</w:t>
            </w:r>
            <w:r>
              <w:rPr>
                <w:rFonts w:hint="eastAsia" w:ascii="Times New Roman" w:hAnsi="Times New Roman" w:cs="Times New Roman"/>
                <w:color w:val="auto"/>
                <w:sz w:val="24"/>
                <w:lang w:val="en-US"/>
              </w:rPr>
              <w:t>500米范围内无自然保护区、风景名胜区</w:t>
            </w:r>
            <w:r>
              <w:rPr>
                <w:rFonts w:hint="eastAsia" w:ascii="Times New Roman" w:hAnsi="Times New Roman" w:cs="Times New Roman"/>
                <w:color w:val="auto"/>
                <w:sz w:val="24"/>
                <w:lang w:val="en-US" w:eastAsia="zh-CN"/>
              </w:rPr>
              <w:t>、</w:t>
            </w:r>
            <w:r>
              <w:rPr>
                <w:rFonts w:hint="eastAsia" w:ascii="Times New Roman" w:hAnsi="Times New Roman" w:cs="Times New Roman"/>
                <w:color w:val="auto"/>
                <w:sz w:val="24"/>
                <w:lang w:val="en-US"/>
              </w:rPr>
              <w:t>重点保护文物</w:t>
            </w:r>
            <w:r>
              <w:rPr>
                <w:rFonts w:hint="eastAsia" w:ascii="Times New Roman" w:hAnsi="Times New Roman" w:cs="Times New Roman"/>
                <w:color w:val="auto"/>
                <w:sz w:val="24"/>
                <w:lang w:val="en-US" w:eastAsia="zh-CN"/>
              </w:rPr>
              <w:t>、</w:t>
            </w:r>
            <w:r>
              <w:rPr>
                <w:rFonts w:hint="eastAsia" w:ascii="Times New Roman" w:hAnsi="Times New Roman" w:cs="Times New Roman"/>
                <w:color w:val="auto"/>
                <w:sz w:val="24"/>
                <w:lang w:val="en-US"/>
              </w:rPr>
              <w:t>饮用水水源保护区</w:t>
            </w:r>
            <w:r>
              <w:rPr>
                <w:rFonts w:hint="eastAsia" w:ascii="Times New Roman" w:hAnsi="Times New Roman" w:cs="Times New Roman"/>
                <w:color w:val="auto"/>
                <w:sz w:val="24"/>
                <w:lang w:val="en-US" w:eastAsia="zh-CN"/>
              </w:rPr>
              <w:t>、</w:t>
            </w:r>
            <w:r>
              <w:rPr>
                <w:rFonts w:hint="eastAsia" w:ascii="Times New Roman" w:hAnsi="Times New Roman" w:cs="Times New Roman"/>
                <w:color w:val="auto"/>
                <w:sz w:val="24"/>
                <w:lang w:val="en-US"/>
              </w:rPr>
              <w:t>珍稀动植物资源等环境敏感点。</w:t>
            </w:r>
            <w:r>
              <w:rPr>
                <w:rFonts w:ascii="Times New Roman" w:hAnsi="Times New Roman" w:cs="Times New Roman"/>
                <w:color w:val="auto"/>
                <w:sz w:val="24"/>
              </w:rPr>
              <w:t>根据项目工程特点、评价区域环境特征，确定本项目环境保护目标及保护级别，见表</w:t>
            </w:r>
            <w:r>
              <w:rPr>
                <w:rFonts w:hint="eastAsia" w:ascii="Times New Roman" w:hAnsi="Times New Roman" w:cs="Times New Roman"/>
                <w:color w:val="auto"/>
                <w:sz w:val="24"/>
                <w:lang w:val="en-US"/>
              </w:rPr>
              <w:t>3-</w:t>
            </w:r>
            <w:r>
              <w:rPr>
                <w:rFonts w:hint="eastAsia" w:ascii="Times New Roman" w:hAnsi="Times New Roman" w:cs="Times New Roman"/>
                <w:color w:val="auto"/>
                <w:sz w:val="24"/>
                <w:lang w:val="en-US" w:eastAsia="zh-CN"/>
              </w:rPr>
              <w:t>2</w:t>
            </w:r>
            <w:r>
              <w:rPr>
                <w:rFonts w:ascii="Times New Roman" w:hAnsi="Times New Roman" w:cs="Times New Roman"/>
                <w:color w:val="auto"/>
                <w:sz w:val="24"/>
              </w:rPr>
              <w:t>。</w:t>
            </w:r>
          </w:p>
          <w:p w14:paraId="7284B4B4">
            <w:pPr>
              <w:keepNext w:val="0"/>
              <w:keepLines w:val="0"/>
              <w:pageBreakBefore w:val="0"/>
              <w:tabs>
                <w:tab w:val="left" w:pos="0"/>
              </w:tabs>
              <w:wordWrap/>
              <w:topLinePunct w:val="0"/>
              <w:autoSpaceDE/>
              <w:autoSpaceDN/>
              <w:bidi w:val="0"/>
              <w:spacing w:line="520" w:lineRule="exact"/>
              <w:ind w:left="0" w:leftChars="0" w:right="0" w:rightChars="0"/>
              <w:jc w:val="center"/>
              <w:rPr>
                <w:rFonts w:hint="default" w:ascii="Times New Roman" w:hAnsi="Times New Roman" w:eastAsia="宋体" w:cs="Times New Roman"/>
                <w:b/>
                <w:bCs/>
                <w:color w:val="auto"/>
                <w:kern w:val="2"/>
                <w:sz w:val="24"/>
                <w:szCs w:val="24"/>
                <w:lang w:val="en-US" w:bidi="ar-SA"/>
              </w:rPr>
            </w:pPr>
            <w:r>
              <w:rPr>
                <w:rFonts w:hint="default" w:ascii="Times New Roman" w:hAnsi="Times New Roman" w:eastAsia="宋体" w:cs="Times New Roman"/>
                <w:b/>
                <w:bCs/>
                <w:color w:val="auto"/>
                <w:kern w:val="2"/>
                <w:sz w:val="24"/>
                <w:szCs w:val="24"/>
                <w:lang w:val="en-US" w:bidi="ar-SA"/>
              </w:rPr>
              <w:t>表</w:t>
            </w:r>
            <w:r>
              <w:rPr>
                <w:rFonts w:hint="eastAsia" w:ascii="Times New Roman" w:hAnsi="Times New Roman" w:eastAsia="宋体" w:cs="Times New Roman"/>
                <w:b/>
                <w:bCs/>
                <w:color w:val="auto"/>
                <w:kern w:val="2"/>
                <w:sz w:val="24"/>
                <w:szCs w:val="24"/>
                <w:lang w:val="en-US" w:eastAsia="zh-CN" w:bidi="ar-SA"/>
              </w:rPr>
              <w:t>3-</w:t>
            </w:r>
            <w:r>
              <w:rPr>
                <w:rFonts w:hint="eastAsia" w:ascii="Times New Roman" w:hAnsi="Times New Roman" w:cs="Times New Roman"/>
                <w:b/>
                <w:bCs/>
                <w:color w:val="auto"/>
                <w:kern w:val="2"/>
                <w:sz w:val="24"/>
                <w:szCs w:val="24"/>
                <w:lang w:val="en-US" w:eastAsia="zh-CN" w:bidi="ar-SA"/>
              </w:rPr>
              <w:t>2</w:t>
            </w:r>
            <w:r>
              <w:rPr>
                <w:rFonts w:hint="default" w:ascii="Times New Roman" w:hAnsi="Times New Roman" w:eastAsia="宋体" w:cs="Times New Roman"/>
                <w:b/>
                <w:bCs/>
                <w:color w:val="auto"/>
                <w:kern w:val="2"/>
                <w:sz w:val="24"/>
                <w:szCs w:val="24"/>
                <w:lang w:val="en-US" w:bidi="ar-SA"/>
              </w:rPr>
              <w:t xml:space="preserve">  项目周围环境保护目标一览表</w:t>
            </w:r>
          </w:p>
          <w:tbl>
            <w:tblPr>
              <w:tblStyle w:val="20"/>
              <w:tblW w:w="485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01"/>
              <w:gridCol w:w="1330"/>
              <w:gridCol w:w="2941"/>
              <w:gridCol w:w="405"/>
              <w:gridCol w:w="539"/>
              <w:gridCol w:w="509"/>
              <w:gridCol w:w="648"/>
              <w:gridCol w:w="1189"/>
            </w:tblGrid>
            <w:tr w14:paraId="7BEFEC8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restart"/>
                  <w:noWrap w:val="0"/>
                  <w:tcMar>
                    <w:top w:w="0" w:type="dxa"/>
                    <w:left w:w="28" w:type="dxa"/>
                    <w:bottom w:w="0" w:type="dxa"/>
                    <w:right w:w="28" w:type="dxa"/>
                  </w:tcMar>
                  <w:vAlign w:val="center"/>
                </w:tcPr>
                <w:p w14:paraId="2CD8DBAB">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r>
                    <w:rPr>
                      <w:rFonts w:hint="default" w:ascii="Times New Roman" w:hAnsi="Times New Roman" w:eastAsia="宋体" w:cs="Times New Roman"/>
                      <w:color w:val="auto"/>
                      <w:kern w:val="2"/>
                      <w:sz w:val="21"/>
                      <w:szCs w:val="21"/>
                      <w:lang w:val="en-US" w:bidi="ar-SA"/>
                    </w:rPr>
                    <w:t>环境</w:t>
                  </w:r>
                </w:p>
                <w:p w14:paraId="676F8688">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r>
                    <w:rPr>
                      <w:rFonts w:hint="default" w:ascii="Times New Roman" w:hAnsi="Times New Roman" w:eastAsia="宋体" w:cs="Times New Roman"/>
                      <w:color w:val="auto"/>
                      <w:kern w:val="2"/>
                      <w:sz w:val="21"/>
                      <w:szCs w:val="21"/>
                      <w:lang w:val="en-US" w:bidi="ar-SA"/>
                    </w:rPr>
                    <w:t>要素</w:t>
                  </w:r>
                </w:p>
              </w:tc>
              <w:tc>
                <w:tcPr>
                  <w:tcW w:w="2615" w:type="pct"/>
                  <w:gridSpan w:val="2"/>
                  <w:noWrap w:val="0"/>
                  <w:tcMar>
                    <w:top w:w="0" w:type="dxa"/>
                    <w:left w:w="28" w:type="dxa"/>
                    <w:bottom w:w="0" w:type="dxa"/>
                    <w:right w:w="28" w:type="dxa"/>
                  </w:tcMar>
                  <w:vAlign w:val="center"/>
                </w:tcPr>
                <w:p w14:paraId="4FDEF130">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r>
                    <w:rPr>
                      <w:rFonts w:hint="default" w:ascii="Times New Roman" w:hAnsi="Times New Roman" w:eastAsia="宋体" w:cs="Times New Roman"/>
                      <w:color w:val="auto"/>
                      <w:kern w:val="2"/>
                      <w:sz w:val="21"/>
                      <w:szCs w:val="21"/>
                      <w:lang w:val="en-US" w:bidi="ar-SA"/>
                    </w:rPr>
                    <w:t>环境保护对象</w:t>
                  </w:r>
                </w:p>
              </w:tc>
              <w:tc>
                <w:tcPr>
                  <w:tcW w:w="248" w:type="pct"/>
                  <w:vMerge w:val="restart"/>
                  <w:noWrap w:val="0"/>
                  <w:tcMar>
                    <w:top w:w="0" w:type="dxa"/>
                    <w:left w:w="28" w:type="dxa"/>
                    <w:bottom w:w="0" w:type="dxa"/>
                    <w:right w:w="28" w:type="dxa"/>
                  </w:tcMar>
                  <w:vAlign w:val="center"/>
                </w:tcPr>
                <w:p w14:paraId="590A7AF8">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r>
                    <w:rPr>
                      <w:rFonts w:hint="default" w:ascii="Times New Roman" w:hAnsi="Times New Roman" w:eastAsia="宋体" w:cs="Times New Roman"/>
                      <w:color w:val="auto"/>
                      <w:kern w:val="2"/>
                      <w:sz w:val="21"/>
                      <w:szCs w:val="21"/>
                      <w:lang w:val="en-US" w:bidi="ar-SA"/>
                    </w:rPr>
                    <w:t>方位</w:t>
                  </w:r>
                </w:p>
              </w:tc>
              <w:tc>
                <w:tcPr>
                  <w:tcW w:w="330" w:type="pct"/>
                  <w:vMerge w:val="restart"/>
                  <w:noWrap w:val="0"/>
                  <w:tcMar>
                    <w:top w:w="0" w:type="dxa"/>
                    <w:left w:w="28" w:type="dxa"/>
                    <w:bottom w:w="0" w:type="dxa"/>
                    <w:right w:w="28" w:type="dxa"/>
                  </w:tcMar>
                  <w:vAlign w:val="center"/>
                </w:tcPr>
                <w:p w14:paraId="00F5D7E7">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r>
                    <w:rPr>
                      <w:rFonts w:hint="default" w:ascii="Times New Roman" w:hAnsi="Times New Roman" w:eastAsia="宋体" w:cs="Times New Roman"/>
                      <w:color w:val="auto"/>
                      <w:kern w:val="2"/>
                      <w:sz w:val="21"/>
                      <w:szCs w:val="21"/>
                      <w:lang w:val="en-US" w:bidi="ar-SA"/>
                    </w:rPr>
                    <w:t>户数</w:t>
                  </w:r>
                </w:p>
              </w:tc>
              <w:tc>
                <w:tcPr>
                  <w:tcW w:w="312" w:type="pct"/>
                  <w:vMerge w:val="restart"/>
                  <w:noWrap w:val="0"/>
                  <w:tcMar>
                    <w:top w:w="0" w:type="dxa"/>
                    <w:left w:w="28" w:type="dxa"/>
                    <w:bottom w:w="0" w:type="dxa"/>
                    <w:right w:w="28" w:type="dxa"/>
                  </w:tcMar>
                  <w:vAlign w:val="center"/>
                </w:tcPr>
                <w:p w14:paraId="2B61063E">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r>
                    <w:rPr>
                      <w:rFonts w:hint="default" w:ascii="Times New Roman" w:hAnsi="Times New Roman" w:eastAsia="宋体" w:cs="Times New Roman"/>
                      <w:color w:val="auto"/>
                      <w:kern w:val="2"/>
                      <w:sz w:val="21"/>
                      <w:szCs w:val="21"/>
                      <w:lang w:val="en-US" w:bidi="ar-SA"/>
                    </w:rPr>
                    <w:t>人数</w:t>
                  </w:r>
                </w:p>
              </w:tc>
              <w:tc>
                <w:tcPr>
                  <w:tcW w:w="395" w:type="pct"/>
                  <w:vMerge w:val="restart"/>
                  <w:noWrap w:val="0"/>
                  <w:tcMar>
                    <w:top w:w="0" w:type="dxa"/>
                    <w:left w:w="28" w:type="dxa"/>
                    <w:bottom w:w="0" w:type="dxa"/>
                    <w:right w:w="28" w:type="dxa"/>
                  </w:tcMar>
                  <w:vAlign w:val="center"/>
                </w:tcPr>
                <w:p w14:paraId="6024A177">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r>
                    <w:rPr>
                      <w:rFonts w:hint="default" w:ascii="Times New Roman" w:hAnsi="Times New Roman" w:eastAsia="宋体" w:cs="Times New Roman"/>
                      <w:color w:val="auto"/>
                      <w:kern w:val="2"/>
                      <w:sz w:val="21"/>
                      <w:szCs w:val="21"/>
                      <w:lang w:val="en-US" w:bidi="ar-SA"/>
                    </w:rPr>
                    <w:t>距离</w:t>
                  </w:r>
                </w:p>
                <w:p w14:paraId="1DBF0C6D">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r>
                    <w:rPr>
                      <w:rFonts w:hint="default" w:ascii="Times New Roman" w:hAnsi="Times New Roman" w:eastAsia="宋体" w:cs="Times New Roman"/>
                      <w:color w:val="auto"/>
                      <w:kern w:val="2"/>
                      <w:sz w:val="21"/>
                      <w:szCs w:val="21"/>
                      <w:lang w:val="en-US" w:bidi="ar-SA"/>
                    </w:rPr>
                    <w:t>（m）</w:t>
                  </w:r>
                </w:p>
              </w:tc>
              <w:tc>
                <w:tcPr>
                  <w:tcW w:w="728" w:type="pct"/>
                  <w:vMerge w:val="restart"/>
                  <w:noWrap w:val="0"/>
                  <w:tcMar>
                    <w:top w:w="0" w:type="dxa"/>
                    <w:left w:w="28" w:type="dxa"/>
                    <w:bottom w:w="0" w:type="dxa"/>
                    <w:right w:w="28" w:type="dxa"/>
                  </w:tcMar>
                  <w:vAlign w:val="center"/>
                </w:tcPr>
                <w:p w14:paraId="0E82F70B">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r>
                    <w:rPr>
                      <w:rFonts w:hint="default" w:ascii="Times New Roman" w:hAnsi="Times New Roman" w:eastAsia="宋体" w:cs="Times New Roman"/>
                      <w:color w:val="auto"/>
                      <w:kern w:val="2"/>
                      <w:sz w:val="21"/>
                      <w:szCs w:val="21"/>
                      <w:lang w:val="en-US" w:bidi="ar-SA"/>
                    </w:rPr>
                    <w:t>环境功能目标</w:t>
                  </w:r>
                </w:p>
              </w:tc>
            </w:tr>
            <w:tr w14:paraId="6419632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28C5F6BD">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p>
              </w:tc>
              <w:tc>
                <w:tcPr>
                  <w:tcW w:w="814" w:type="pct"/>
                  <w:noWrap w:val="0"/>
                  <w:tcMar>
                    <w:top w:w="0" w:type="dxa"/>
                    <w:left w:w="28" w:type="dxa"/>
                    <w:bottom w:w="0" w:type="dxa"/>
                    <w:right w:w="28" w:type="dxa"/>
                  </w:tcMar>
                  <w:vAlign w:val="center"/>
                </w:tcPr>
                <w:p w14:paraId="064B5D62">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r>
                    <w:rPr>
                      <w:rFonts w:hint="default" w:ascii="Times New Roman" w:hAnsi="Times New Roman" w:eastAsia="宋体" w:cs="Times New Roman"/>
                      <w:color w:val="auto"/>
                      <w:kern w:val="2"/>
                      <w:sz w:val="21"/>
                      <w:szCs w:val="21"/>
                      <w:lang w:val="en-US" w:bidi="ar-SA"/>
                    </w:rPr>
                    <w:t>名称</w:t>
                  </w:r>
                </w:p>
              </w:tc>
              <w:tc>
                <w:tcPr>
                  <w:tcW w:w="1801" w:type="pct"/>
                  <w:noWrap w:val="0"/>
                  <w:tcMar>
                    <w:top w:w="0" w:type="dxa"/>
                    <w:left w:w="28" w:type="dxa"/>
                    <w:bottom w:w="0" w:type="dxa"/>
                    <w:right w:w="28" w:type="dxa"/>
                  </w:tcMar>
                  <w:vAlign w:val="center"/>
                </w:tcPr>
                <w:p w14:paraId="7490BCEB">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经纬度</w:t>
                  </w:r>
                </w:p>
              </w:tc>
              <w:tc>
                <w:tcPr>
                  <w:tcW w:w="248" w:type="pct"/>
                  <w:vMerge w:val="continue"/>
                  <w:noWrap w:val="0"/>
                  <w:tcMar>
                    <w:top w:w="0" w:type="dxa"/>
                    <w:left w:w="28" w:type="dxa"/>
                    <w:bottom w:w="0" w:type="dxa"/>
                    <w:right w:w="28" w:type="dxa"/>
                  </w:tcMar>
                  <w:vAlign w:val="center"/>
                </w:tcPr>
                <w:p w14:paraId="6D14D903">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p>
              </w:tc>
              <w:tc>
                <w:tcPr>
                  <w:tcW w:w="330" w:type="pct"/>
                  <w:vMerge w:val="continue"/>
                  <w:noWrap w:val="0"/>
                  <w:tcMar>
                    <w:top w:w="0" w:type="dxa"/>
                    <w:left w:w="28" w:type="dxa"/>
                    <w:bottom w:w="0" w:type="dxa"/>
                    <w:right w:w="28" w:type="dxa"/>
                  </w:tcMar>
                  <w:vAlign w:val="center"/>
                </w:tcPr>
                <w:p w14:paraId="6B769CB7">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p>
              </w:tc>
              <w:tc>
                <w:tcPr>
                  <w:tcW w:w="312" w:type="pct"/>
                  <w:vMerge w:val="continue"/>
                  <w:noWrap w:val="0"/>
                  <w:tcMar>
                    <w:top w:w="0" w:type="dxa"/>
                    <w:left w:w="28" w:type="dxa"/>
                    <w:bottom w:w="0" w:type="dxa"/>
                    <w:right w:w="28" w:type="dxa"/>
                  </w:tcMar>
                  <w:vAlign w:val="center"/>
                </w:tcPr>
                <w:p w14:paraId="045CFEC8">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p>
              </w:tc>
              <w:tc>
                <w:tcPr>
                  <w:tcW w:w="395" w:type="pct"/>
                  <w:vMerge w:val="continue"/>
                  <w:noWrap w:val="0"/>
                  <w:tcMar>
                    <w:top w:w="0" w:type="dxa"/>
                    <w:left w:w="28" w:type="dxa"/>
                    <w:bottom w:w="0" w:type="dxa"/>
                    <w:right w:w="28" w:type="dxa"/>
                  </w:tcMar>
                  <w:vAlign w:val="center"/>
                </w:tcPr>
                <w:p w14:paraId="3B98D507">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p>
              </w:tc>
              <w:tc>
                <w:tcPr>
                  <w:tcW w:w="728" w:type="pct"/>
                  <w:vMerge w:val="continue"/>
                  <w:noWrap w:val="0"/>
                  <w:tcMar>
                    <w:top w:w="0" w:type="dxa"/>
                    <w:left w:w="28" w:type="dxa"/>
                    <w:bottom w:w="0" w:type="dxa"/>
                    <w:right w:w="28" w:type="dxa"/>
                  </w:tcMar>
                  <w:vAlign w:val="center"/>
                </w:tcPr>
                <w:p w14:paraId="561224EF">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p>
              </w:tc>
            </w:tr>
            <w:tr w14:paraId="701E816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restart"/>
                  <w:noWrap w:val="0"/>
                  <w:tcMar>
                    <w:top w:w="0" w:type="dxa"/>
                    <w:left w:w="28" w:type="dxa"/>
                    <w:bottom w:w="0" w:type="dxa"/>
                    <w:right w:w="28" w:type="dxa"/>
                  </w:tcMar>
                  <w:vAlign w:val="center"/>
                </w:tcPr>
                <w:p w14:paraId="19A4DBEE">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r>
                    <w:rPr>
                      <w:rFonts w:hint="default" w:ascii="Times New Roman" w:hAnsi="Times New Roman" w:eastAsia="宋体" w:cs="Times New Roman"/>
                      <w:color w:val="auto"/>
                      <w:kern w:val="2"/>
                      <w:sz w:val="21"/>
                      <w:szCs w:val="21"/>
                      <w:lang w:val="en-US" w:bidi="ar-SA"/>
                    </w:rPr>
                    <w:t>大气</w:t>
                  </w:r>
                </w:p>
                <w:p w14:paraId="47FA1937">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r>
                    <w:rPr>
                      <w:rFonts w:hint="default" w:ascii="Times New Roman" w:hAnsi="Times New Roman" w:eastAsia="宋体" w:cs="Times New Roman"/>
                      <w:color w:val="auto"/>
                      <w:kern w:val="2"/>
                      <w:sz w:val="21"/>
                      <w:szCs w:val="21"/>
                      <w:lang w:val="en-US" w:bidi="ar-SA"/>
                    </w:rPr>
                    <w:t>环境</w:t>
                  </w:r>
                </w:p>
              </w:tc>
              <w:tc>
                <w:tcPr>
                  <w:tcW w:w="814" w:type="pct"/>
                  <w:noWrap w:val="0"/>
                  <w:tcMar>
                    <w:top w:w="0" w:type="dxa"/>
                    <w:left w:w="28" w:type="dxa"/>
                    <w:bottom w:w="0" w:type="dxa"/>
                    <w:right w:w="28" w:type="dxa"/>
                  </w:tcMar>
                  <w:vAlign w:val="center"/>
                </w:tcPr>
                <w:p w14:paraId="01EAD7B7">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大兴花园小区</w:t>
                  </w:r>
                </w:p>
              </w:tc>
              <w:tc>
                <w:tcPr>
                  <w:tcW w:w="1801" w:type="pct"/>
                  <w:noWrap w:val="0"/>
                  <w:tcMar>
                    <w:top w:w="0" w:type="dxa"/>
                    <w:left w:w="28" w:type="dxa"/>
                    <w:bottom w:w="0" w:type="dxa"/>
                    <w:right w:w="28" w:type="dxa"/>
                  </w:tcMar>
                  <w:vAlign w:val="center"/>
                </w:tcPr>
                <w:p w14:paraId="3392CF7D">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w:t>
                  </w:r>
                  <w:r>
                    <w:rPr>
                      <w:rFonts w:hint="default" w:ascii="Times New Roman" w:hAnsi="Times New Roman" w:eastAsia="宋体" w:cs="Times New Roman"/>
                      <w:color w:val="auto"/>
                      <w:kern w:val="2"/>
                      <w:sz w:val="21"/>
                      <w:szCs w:val="21"/>
                      <w:lang w:val="en-US" w:bidi="ar-SA"/>
                    </w:rPr>
                    <w:t>1</w:t>
                  </w:r>
                  <w:r>
                    <w:rPr>
                      <w:rFonts w:hint="default" w:ascii="Times New Roman" w:hAnsi="Times New Roman" w:eastAsia="宋体" w:cs="Times New Roman"/>
                      <w:color w:val="auto"/>
                      <w:kern w:val="2"/>
                      <w:sz w:val="21"/>
                      <w:szCs w:val="21"/>
                      <w:lang w:val="en-US" w:eastAsia="zh-CN" w:bidi="ar-SA"/>
                    </w:rPr>
                    <w:t>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32</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67</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35.63</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7A1ADF0E">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N</w:t>
                  </w:r>
                </w:p>
              </w:tc>
              <w:tc>
                <w:tcPr>
                  <w:tcW w:w="330" w:type="pct"/>
                  <w:noWrap w:val="0"/>
                  <w:tcMar>
                    <w:top w:w="0" w:type="dxa"/>
                    <w:left w:w="28" w:type="dxa"/>
                    <w:bottom w:w="0" w:type="dxa"/>
                    <w:right w:w="28" w:type="dxa"/>
                  </w:tcMar>
                  <w:vAlign w:val="center"/>
                </w:tcPr>
                <w:p w14:paraId="73C2FEB2">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689</w:t>
                  </w:r>
                </w:p>
              </w:tc>
              <w:tc>
                <w:tcPr>
                  <w:tcW w:w="312" w:type="pct"/>
                  <w:noWrap w:val="0"/>
                  <w:tcMar>
                    <w:top w:w="0" w:type="dxa"/>
                    <w:left w:w="28" w:type="dxa"/>
                    <w:bottom w:w="0" w:type="dxa"/>
                    <w:right w:w="28" w:type="dxa"/>
                  </w:tcMar>
                  <w:vAlign w:val="center"/>
                </w:tcPr>
                <w:p w14:paraId="65098765">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1728</w:t>
                  </w:r>
                </w:p>
              </w:tc>
              <w:tc>
                <w:tcPr>
                  <w:tcW w:w="395" w:type="pct"/>
                  <w:noWrap w:val="0"/>
                  <w:tcMar>
                    <w:top w:w="0" w:type="dxa"/>
                    <w:left w:w="28" w:type="dxa"/>
                    <w:bottom w:w="0" w:type="dxa"/>
                    <w:right w:w="28" w:type="dxa"/>
                  </w:tcMar>
                  <w:vAlign w:val="center"/>
                </w:tcPr>
                <w:p w14:paraId="1EC7FB0B">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27</w:t>
                  </w:r>
                </w:p>
              </w:tc>
              <w:tc>
                <w:tcPr>
                  <w:tcW w:w="728" w:type="pct"/>
                  <w:vMerge w:val="restart"/>
                  <w:noWrap w:val="0"/>
                  <w:tcMar>
                    <w:top w:w="0" w:type="dxa"/>
                    <w:left w:w="28" w:type="dxa"/>
                    <w:bottom w:w="0" w:type="dxa"/>
                    <w:right w:w="28" w:type="dxa"/>
                  </w:tcMar>
                  <w:vAlign w:val="center"/>
                </w:tcPr>
                <w:p w14:paraId="70E5F08D">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《环境空气质量标准》</w:t>
                  </w:r>
                </w:p>
                <w:p w14:paraId="4EAD43FC">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GB3095-2012</w:t>
                  </w:r>
                  <w:r>
                    <w:rPr>
                      <w:rFonts w:hint="default" w:ascii="Times New Roman" w:hAnsi="Times New Roman"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及其修改单二级标准</w:t>
                  </w:r>
                </w:p>
              </w:tc>
            </w:tr>
            <w:tr w14:paraId="3025C86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6ECE1D8E">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p>
              </w:tc>
              <w:tc>
                <w:tcPr>
                  <w:tcW w:w="814" w:type="pct"/>
                  <w:noWrap w:val="0"/>
                  <w:tcMar>
                    <w:top w:w="0" w:type="dxa"/>
                    <w:left w:w="28" w:type="dxa"/>
                    <w:bottom w:w="0" w:type="dxa"/>
                    <w:right w:w="28" w:type="dxa"/>
                  </w:tcMar>
                  <w:vAlign w:val="center"/>
                </w:tcPr>
                <w:p w14:paraId="53FF8ADE">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育苗小区</w:t>
                  </w:r>
                </w:p>
              </w:tc>
              <w:tc>
                <w:tcPr>
                  <w:tcW w:w="1801" w:type="pct"/>
                  <w:noWrap w:val="0"/>
                  <w:tcMar>
                    <w:top w:w="0" w:type="dxa"/>
                    <w:left w:w="28" w:type="dxa"/>
                    <w:bottom w:w="0" w:type="dxa"/>
                    <w:right w:w="28" w:type="dxa"/>
                  </w:tcMar>
                  <w:vAlign w:val="center"/>
                </w:tcPr>
                <w:p w14:paraId="540DF2B8">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r>
                    <w:rPr>
                      <w:rFonts w:hint="default" w:ascii="Times New Roman" w:hAnsi="Times New Roman" w:eastAsia="宋体" w:cs="Times New Roman"/>
                      <w:color w:val="auto"/>
                      <w:kern w:val="2"/>
                      <w:sz w:val="21"/>
                      <w:szCs w:val="21"/>
                      <w:lang w:val="en-US" w:eastAsia="zh-CN" w:bidi="ar-SA"/>
                    </w:rPr>
                    <w:t>E</w:t>
                  </w:r>
                  <w:r>
                    <w:rPr>
                      <w:rFonts w:hint="default" w:ascii="Times New Roman" w:hAnsi="Times New Roman" w:eastAsia="宋体" w:cs="Times New Roman"/>
                      <w:color w:val="auto"/>
                      <w:kern w:val="2"/>
                      <w:sz w:val="21"/>
                      <w:szCs w:val="21"/>
                      <w:lang w:val="en-US" w:bidi="ar-SA"/>
                    </w:rPr>
                    <w:t>1</w:t>
                  </w:r>
                  <w:r>
                    <w:rPr>
                      <w:rFonts w:hint="default" w:ascii="Times New Roman" w:hAnsi="Times New Roman" w:eastAsia="宋体" w:cs="Times New Roman"/>
                      <w:color w:val="auto"/>
                      <w:kern w:val="2"/>
                      <w:sz w:val="21"/>
                      <w:szCs w:val="21"/>
                      <w:lang w:val="en-US" w:eastAsia="zh-CN" w:bidi="ar-SA"/>
                    </w:rPr>
                    <w:t>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31</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39.26</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7E730187">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r>
                    <w:rPr>
                      <w:rFonts w:hint="default" w:ascii="Times New Roman" w:hAnsi="Times New Roman" w:eastAsia="宋体" w:cs="Times New Roman"/>
                      <w:color w:val="auto"/>
                      <w:kern w:val="2"/>
                      <w:sz w:val="21"/>
                      <w:szCs w:val="21"/>
                      <w:lang w:val="en-US" w:eastAsia="zh-CN" w:bidi="ar-SA"/>
                    </w:rPr>
                    <w:t>N</w:t>
                  </w:r>
                </w:p>
              </w:tc>
              <w:tc>
                <w:tcPr>
                  <w:tcW w:w="330" w:type="pct"/>
                  <w:noWrap w:val="0"/>
                  <w:tcMar>
                    <w:top w:w="0" w:type="dxa"/>
                    <w:left w:w="28" w:type="dxa"/>
                    <w:bottom w:w="0" w:type="dxa"/>
                    <w:right w:w="28" w:type="dxa"/>
                  </w:tcMar>
                  <w:vAlign w:val="center"/>
                </w:tcPr>
                <w:p w14:paraId="5C8A1D1C">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54</w:t>
                  </w:r>
                </w:p>
              </w:tc>
              <w:tc>
                <w:tcPr>
                  <w:tcW w:w="312" w:type="pct"/>
                  <w:noWrap w:val="0"/>
                  <w:tcMar>
                    <w:top w:w="0" w:type="dxa"/>
                    <w:left w:w="28" w:type="dxa"/>
                    <w:bottom w:w="0" w:type="dxa"/>
                    <w:right w:w="28" w:type="dxa"/>
                  </w:tcMar>
                  <w:vAlign w:val="center"/>
                </w:tcPr>
                <w:p w14:paraId="3964FD7A">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r>
                    <w:rPr>
                      <w:rFonts w:hint="default" w:ascii="Times New Roman" w:hAnsi="Times New Roman" w:eastAsia="宋体" w:cs="Times New Roman"/>
                      <w:color w:val="auto"/>
                      <w:kern w:val="2"/>
                      <w:sz w:val="21"/>
                      <w:szCs w:val="21"/>
                      <w:lang w:val="en-US" w:eastAsia="zh-CN" w:bidi="ar-SA"/>
                    </w:rPr>
                    <w:t>147</w:t>
                  </w:r>
                </w:p>
              </w:tc>
              <w:tc>
                <w:tcPr>
                  <w:tcW w:w="395" w:type="pct"/>
                  <w:noWrap w:val="0"/>
                  <w:tcMar>
                    <w:top w:w="0" w:type="dxa"/>
                    <w:left w:w="28" w:type="dxa"/>
                    <w:bottom w:w="0" w:type="dxa"/>
                    <w:right w:w="28" w:type="dxa"/>
                  </w:tcMar>
                  <w:vAlign w:val="center"/>
                </w:tcPr>
                <w:p w14:paraId="3ECF7C9E">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318</w:t>
                  </w:r>
                </w:p>
              </w:tc>
              <w:tc>
                <w:tcPr>
                  <w:tcW w:w="728" w:type="pct"/>
                  <w:vMerge w:val="continue"/>
                  <w:noWrap w:val="0"/>
                  <w:tcMar>
                    <w:top w:w="0" w:type="dxa"/>
                    <w:left w:w="28" w:type="dxa"/>
                    <w:bottom w:w="0" w:type="dxa"/>
                    <w:right w:w="28" w:type="dxa"/>
                  </w:tcMar>
                  <w:vAlign w:val="center"/>
                </w:tcPr>
                <w:p w14:paraId="1DF281C8">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3272C27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12005B9B">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814" w:type="pct"/>
                  <w:noWrap w:val="0"/>
                  <w:tcMar>
                    <w:top w:w="0" w:type="dxa"/>
                    <w:left w:w="28" w:type="dxa"/>
                    <w:bottom w:w="0" w:type="dxa"/>
                    <w:right w:w="28" w:type="dxa"/>
                  </w:tcMar>
                  <w:vAlign w:val="center"/>
                </w:tcPr>
                <w:p w14:paraId="23D6AD2A">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万福小区</w:t>
                  </w:r>
                </w:p>
              </w:tc>
              <w:tc>
                <w:tcPr>
                  <w:tcW w:w="1801" w:type="pct"/>
                  <w:noWrap w:val="0"/>
                  <w:tcMar>
                    <w:top w:w="0" w:type="dxa"/>
                    <w:left w:w="28" w:type="dxa"/>
                    <w:bottom w:w="0" w:type="dxa"/>
                    <w:right w:w="28" w:type="dxa"/>
                  </w:tcMar>
                  <w:vAlign w:val="center"/>
                </w:tcPr>
                <w:p w14:paraId="53AB5087">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17</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61</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47.38</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66F8A7E1">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N</w:t>
                  </w:r>
                </w:p>
              </w:tc>
              <w:tc>
                <w:tcPr>
                  <w:tcW w:w="330" w:type="pct"/>
                  <w:noWrap w:val="0"/>
                  <w:tcMar>
                    <w:top w:w="0" w:type="dxa"/>
                    <w:left w:w="28" w:type="dxa"/>
                    <w:bottom w:w="0" w:type="dxa"/>
                    <w:right w:w="28" w:type="dxa"/>
                  </w:tcMar>
                  <w:vAlign w:val="center"/>
                </w:tcPr>
                <w:p w14:paraId="033727CD">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61</w:t>
                  </w:r>
                </w:p>
              </w:tc>
              <w:tc>
                <w:tcPr>
                  <w:tcW w:w="312" w:type="pct"/>
                  <w:noWrap w:val="0"/>
                  <w:tcMar>
                    <w:top w:w="0" w:type="dxa"/>
                    <w:left w:w="28" w:type="dxa"/>
                    <w:bottom w:w="0" w:type="dxa"/>
                    <w:right w:w="28" w:type="dxa"/>
                  </w:tcMar>
                  <w:vAlign w:val="center"/>
                </w:tcPr>
                <w:p w14:paraId="47687196">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158</w:t>
                  </w:r>
                </w:p>
              </w:tc>
              <w:tc>
                <w:tcPr>
                  <w:tcW w:w="395" w:type="pct"/>
                  <w:noWrap w:val="0"/>
                  <w:tcMar>
                    <w:top w:w="0" w:type="dxa"/>
                    <w:left w:w="28" w:type="dxa"/>
                    <w:bottom w:w="0" w:type="dxa"/>
                    <w:right w:w="28" w:type="dxa"/>
                  </w:tcMar>
                  <w:vAlign w:val="center"/>
                </w:tcPr>
                <w:p w14:paraId="277F8BDD">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572</w:t>
                  </w:r>
                </w:p>
              </w:tc>
              <w:tc>
                <w:tcPr>
                  <w:tcW w:w="728" w:type="pct"/>
                  <w:vMerge w:val="continue"/>
                  <w:noWrap w:val="0"/>
                  <w:tcMar>
                    <w:top w:w="0" w:type="dxa"/>
                    <w:left w:w="28" w:type="dxa"/>
                    <w:bottom w:w="0" w:type="dxa"/>
                    <w:right w:w="28" w:type="dxa"/>
                  </w:tcMar>
                  <w:vAlign w:val="center"/>
                </w:tcPr>
                <w:p w14:paraId="74975184">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2E555D5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12C4D975">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814" w:type="pct"/>
                  <w:noWrap w:val="0"/>
                  <w:tcMar>
                    <w:top w:w="0" w:type="dxa"/>
                    <w:left w:w="28" w:type="dxa"/>
                    <w:bottom w:w="0" w:type="dxa"/>
                    <w:right w:w="28" w:type="dxa"/>
                  </w:tcMar>
                  <w:vAlign w:val="center"/>
                </w:tcPr>
                <w:p w14:paraId="77F97751">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凯威茗都</w:t>
                  </w:r>
                </w:p>
              </w:tc>
              <w:tc>
                <w:tcPr>
                  <w:tcW w:w="1801" w:type="pct"/>
                  <w:noWrap w:val="0"/>
                  <w:tcMar>
                    <w:top w:w="0" w:type="dxa"/>
                    <w:left w:w="28" w:type="dxa"/>
                    <w:bottom w:w="0" w:type="dxa"/>
                    <w:right w:w="28" w:type="dxa"/>
                  </w:tcMar>
                  <w:vAlign w:val="center"/>
                </w:tcPr>
                <w:p w14:paraId="6DBA4255">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26</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44.02</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1A5F2FA6">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N</w:t>
                  </w:r>
                </w:p>
              </w:tc>
              <w:tc>
                <w:tcPr>
                  <w:tcW w:w="330" w:type="pct"/>
                  <w:noWrap w:val="0"/>
                  <w:tcMar>
                    <w:top w:w="0" w:type="dxa"/>
                    <w:left w:w="28" w:type="dxa"/>
                    <w:bottom w:w="0" w:type="dxa"/>
                    <w:right w:w="28" w:type="dxa"/>
                  </w:tcMar>
                  <w:vAlign w:val="center"/>
                </w:tcPr>
                <w:p w14:paraId="44B0E797">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186</w:t>
                  </w:r>
                </w:p>
              </w:tc>
              <w:tc>
                <w:tcPr>
                  <w:tcW w:w="312" w:type="pct"/>
                  <w:noWrap w:val="0"/>
                  <w:tcMar>
                    <w:top w:w="0" w:type="dxa"/>
                    <w:left w:w="28" w:type="dxa"/>
                    <w:bottom w:w="0" w:type="dxa"/>
                    <w:right w:w="28" w:type="dxa"/>
                  </w:tcMar>
                  <w:vAlign w:val="center"/>
                </w:tcPr>
                <w:p w14:paraId="069647B6">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473</w:t>
                  </w:r>
                </w:p>
              </w:tc>
              <w:tc>
                <w:tcPr>
                  <w:tcW w:w="395" w:type="pct"/>
                  <w:noWrap w:val="0"/>
                  <w:tcMar>
                    <w:top w:w="0" w:type="dxa"/>
                    <w:left w:w="28" w:type="dxa"/>
                    <w:bottom w:w="0" w:type="dxa"/>
                    <w:right w:w="28" w:type="dxa"/>
                  </w:tcMar>
                  <w:vAlign w:val="center"/>
                </w:tcPr>
                <w:p w14:paraId="7E6EB59A">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486</w:t>
                  </w:r>
                </w:p>
              </w:tc>
              <w:tc>
                <w:tcPr>
                  <w:tcW w:w="728" w:type="pct"/>
                  <w:vMerge w:val="continue"/>
                  <w:noWrap w:val="0"/>
                  <w:tcMar>
                    <w:top w:w="0" w:type="dxa"/>
                    <w:left w:w="28" w:type="dxa"/>
                    <w:bottom w:w="0" w:type="dxa"/>
                    <w:right w:w="28" w:type="dxa"/>
                  </w:tcMar>
                  <w:vAlign w:val="center"/>
                </w:tcPr>
                <w:p w14:paraId="7356B3FA">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6CB4166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12DC470F">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814" w:type="pct"/>
                  <w:noWrap w:val="0"/>
                  <w:tcMar>
                    <w:top w:w="0" w:type="dxa"/>
                    <w:left w:w="28" w:type="dxa"/>
                    <w:bottom w:w="0" w:type="dxa"/>
                    <w:right w:w="28" w:type="dxa"/>
                  </w:tcMar>
                  <w:vAlign w:val="center"/>
                </w:tcPr>
                <w:p w14:paraId="3D179698">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怡馨花园</w:t>
                  </w:r>
                </w:p>
              </w:tc>
              <w:tc>
                <w:tcPr>
                  <w:tcW w:w="1801" w:type="pct"/>
                  <w:noWrap w:val="0"/>
                  <w:tcMar>
                    <w:top w:w="0" w:type="dxa"/>
                    <w:left w:w="28" w:type="dxa"/>
                    <w:bottom w:w="0" w:type="dxa"/>
                    <w:right w:w="28" w:type="dxa"/>
                  </w:tcMar>
                  <w:vAlign w:val="center"/>
                </w:tcPr>
                <w:p w14:paraId="145C5E4C">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31</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46.87</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57FFBD03">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N</w:t>
                  </w:r>
                </w:p>
              </w:tc>
              <w:tc>
                <w:tcPr>
                  <w:tcW w:w="330" w:type="pct"/>
                  <w:noWrap w:val="0"/>
                  <w:tcMar>
                    <w:top w:w="0" w:type="dxa"/>
                    <w:left w:w="28" w:type="dxa"/>
                    <w:bottom w:w="0" w:type="dxa"/>
                    <w:right w:w="28" w:type="dxa"/>
                  </w:tcMar>
                  <w:vAlign w:val="center"/>
                </w:tcPr>
                <w:p w14:paraId="687BC873">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82</w:t>
                  </w:r>
                </w:p>
              </w:tc>
              <w:tc>
                <w:tcPr>
                  <w:tcW w:w="312" w:type="pct"/>
                  <w:noWrap w:val="0"/>
                  <w:tcMar>
                    <w:top w:w="0" w:type="dxa"/>
                    <w:left w:w="28" w:type="dxa"/>
                    <w:bottom w:w="0" w:type="dxa"/>
                    <w:right w:w="28" w:type="dxa"/>
                  </w:tcMar>
                  <w:vAlign w:val="center"/>
                </w:tcPr>
                <w:p w14:paraId="66626F02">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287</w:t>
                  </w:r>
                </w:p>
              </w:tc>
              <w:tc>
                <w:tcPr>
                  <w:tcW w:w="395" w:type="pct"/>
                  <w:noWrap w:val="0"/>
                  <w:tcMar>
                    <w:top w:w="0" w:type="dxa"/>
                    <w:left w:w="28" w:type="dxa"/>
                    <w:bottom w:w="0" w:type="dxa"/>
                    <w:right w:w="28" w:type="dxa"/>
                  </w:tcMar>
                  <w:vAlign w:val="center"/>
                </w:tcPr>
                <w:p w14:paraId="14737878">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469</w:t>
                  </w:r>
                </w:p>
              </w:tc>
              <w:tc>
                <w:tcPr>
                  <w:tcW w:w="728" w:type="pct"/>
                  <w:vMerge w:val="continue"/>
                  <w:noWrap w:val="0"/>
                  <w:tcMar>
                    <w:top w:w="0" w:type="dxa"/>
                    <w:left w:w="28" w:type="dxa"/>
                    <w:bottom w:w="0" w:type="dxa"/>
                    <w:right w:w="28" w:type="dxa"/>
                  </w:tcMar>
                  <w:vAlign w:val="center"/>
                </w:tcPr>
                <w:p w14:paraId="60A66426">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15ED5F5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7197E59F">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814" w:type="pct"/>
                  <w:noWrap w:val="0"/>
                  <w:tcMar>
                    <w:top w:w="0" w:type="dxa"/>
                    <w:left w:w="28" w:type="dxa"/>
                    <w:bottom w:w="0" w:type="dxa"/>
                    <w:right w:w="28" w:type="dxa"/>
                  </w:tcMar>
                  <w:vAlign w:val="center"/>
                </w:tcPr>
                <w:p w14:paraId="2A67FC94">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第七小学</w:t>
                  </w:r>
                </w:p>
              </w:tc>
              <w:tc>
                <w:tcPr>
                  <w:tcW w:w="1801" w:type="pct"/>
                  <w:noWrap w:val="0"/>
                  <w:tcMar>
                    <w:top w:w="0" w:type="dxa"/>
                    <w:left w:w="28" w:type="dxa"/>
                    <w:bottom w:w="0" w:type="dxa"/>
                    <w:right w:w="28" w:type="dxa"/>
                  </w:tcMar>
                  <w:vAlign w:val="center"/>
                </w:tcPr>
                <w:p w14:paraId="0E72A020">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21</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02</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42.21</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5D61E3B4">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N</w:t>
                  </w:r>
                </w:p>
              </w:tc>
              <w:tc>
                <w:tcPr>
                  <w:tcW w:w="330" w:type="pct"/>
                  <w:noWrap w:val="0"/>
                  <w:tcMar>
                    <w:top w:w="0" w:type="dxa"/>
                    <w:left w:w="28" w:type="dxa"/>
                    <w:bottom w:w="0" w:type="dxa"/>
                    <w:right w:w="28" w:type="dxa"/>
                  </w:tcMar>
                  <w:vAlign w:val="center"/>
                </w:tcPr>
                <w:p w14:paraId="4F28B0FE">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312" w:type="pct"/>
                  <w:noWrap w:val="0"/>
                  <w:tcMar>
                    <w:top w:w="0" w:type="dxa"/>
                    <w:left w:w="28" w:type="dxa"/>
                    <w:bottom w:w="0" w:type="dxa"/>
                    <w:right w:w="28" w:type="dxa"/>
                  </w:tcMar>
                  <w:vAlign w:val="center"/>
                </w:tcPr>
                <w:p w14:paraId="473CE728">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672</w:t>
                  </w:r>
                </w:p>
              </w:tc>
              <w:tc>
                <w:tcPr>
                  <w:tcW w:w="395" w:type="pct"/>
                  <w:noWrap w:val="0"/>
                  <w:tcMar>
                    <w:top w:w="0" w:type="dxa"/>
                    <w:left w:w="28" w:type="dxa"/>
                    <w:bottom w:w="0" w:type="dxa"/>
                    <w:right w:w="28" w:type="dxa"/>
                  </w:tcMar>
                  <w:vAlign w:val="center"/>
                </w:tcPr>
                <w:p w14:paraId="7E97AC99">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372</w:t>
                  </w:r>
                </w:p>
              </w:tc>
              <w:tc>
                <w:tcPr>
                  <w:tcW w:w="728" w:type="pct"/>
                  <w:vMerge w:val="continue"/>
                  <w:noWrap w:val="0"/>
                  <w:tcMar>
                    <w:top w:w="0" w:type="dxa"/>
                    <w:left w:w="28" w:type="dxa"/>
                    <w:bottom w:w="0" w:type="dxa"/>
                    <w:right w:w="28" w:type="dxa"/>
                  </w:tcMar>
                  <w:vAlign w:val="center"/>
                </w:tcPr>
                <w:p w14:paraId="448AF00A">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420D32D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73069571">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814" w:type="pct"/>
                  <w:noWrap w:val="0"/>
                  <w:tcMar>
                    <w:top w:w="0" w:type="dxa"/>
                    <w:left w:w="28" w:type="dxa"/>
                    <w:bottom w:w="0" w:type="dxa"/>
                    <w:right w:w="28" w:type="dxa"/>
                  </w:tcMar>
                  <w:vAlign w:val="center"/>
                </w:tcPr>
                <w:p w14:paraId="4495761E">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泰欣小区</w:t>
                  </w:r>
                </w:p>
              </w:tc>
              <w:tc>
                <w:tcPr>
                  <w:tcW w:w="1801" w:type="pct"/>
                  <w:noWrap w:val="0"/>
                  <w:tcMar>
                    <w:top w:w="0" w:type="dxa"/>
                    <w:left w:w="28" w:type="dxa"/>
                    <w:bottom w:w="0" w:type="dxa"/>
                    <w:right w:w="28" w:type="dxa"/>
                  </w:tcMar>
                  <w:vAlign w:val="center"/>
                </w:tcPr>
                <w:p w14:paraId="53D14C3D">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32</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94</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39.60</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1F35B926">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N</w:t>
                  </w:r>
                </w:p>
              </w:tc>
              <w:tc>
                <w:tcPr>
                  <w:tcW w:w="330" w:type="pct"/>
                  <w:noWrap w:val="0"/>
                  <w:tcMar>
                    <w:top w:w="0" w:type="dxa"/>
                    <w:left w:w="28" w:type="dxa"/>
                    <w:bottom w:w="0" w:type="dxa"/>
                    <w:right w:w="28" w:type="dxa"/>
                  </w:tcMar>
                  <w:vAlign w:val="center"/>
                </w:tcPr>
                <w:p w14:paraId="5968FA5E">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56</w:t>
                  </w:r>
                </w:p>
              </w:tc>
              <w:tc>
                <w:tcPr>
                  <w:tcW w:w="312" w:type="pct"/>
                  <w:noWrap w:val="0"/>
                  <w:tcMar>
                    <w:top w:w="0" w:type="dxa"/>
                    <w:left w:w="28" w:type="dxa"/>
                    <w:bottom w:w="0" w:type="dxa"/>
                    <w:right w:w="28" w:type="dxa"/>
                  </w:tcMar>
                  <w:vAlign w:val="center"/>
                </w:tcPr>
                <w:p w14:paraId="40430276">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176</w:t>
                  </w:r>
                </w:p>
              </w:tc>
              <w:tc>
                <w:tcPr>
                  <w:tcW w:w="395" w:type="pct"/>
                  <w:noWrap w:val="0"/>
                  <w:tcMar>
                    <w:top w:w="0" w:type="dxa"/>
                    <w:left w:w="28" w:type="dxa"/>
                    <w:bottom w:w="0" w:type="dxa"/>
                    <w:right w:w="28" w:type="dxa"/>
                  </w:tcMar>
                  <w:vAlign w:val="center"/>
                </w:tcPr>
                <w:p w14:paraId="74834105">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391</w:t>
                  </w:r>
                </w:p>
              </w:tc>
              <w:tc>
                <w:tcPr>
                  <w:tcW w:w="728" w:type="pct"/>
                  <w:vMerge w:val="continue"/>
                  <w:noWrap w:val="0"/>
                  <w:tcMar>
                    <w:top w:w="0" w:type="dxa"/>
                    <w:left w:w="28" w:type="dxa"/>
                    <w:bottom w:w="0" w:type="dxa"/>
                    <w:right w:w="28" w:type="dxa"/>
                  </w:tcMar>
                  <w:vAlign w:val="center"/>
                </w:tcPr>
                <w:p w14:paraId="751B7C98">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313417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311D923F">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814" w:type="pct"/>
                  <w:noWrap w:val="0"/>
                  <w:tcMar>
                    <w:top w:w="0" w:type="dxa"/>
                    <w:left w:w="28" w:type="dxa"/>
                    <w:bottom w:w="0" w:type="dxa"/>
                    <w:right w:w="28" w:type="dxa"/>
                  </w:tcMar>
                  <w:vAlign w:val="center"/>
                </w:tcPr>
                <w:p w14:paraId="0316918C">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老干</w:t>
                  </w:r>
                  <w:r>
                    <w:rPr>
                      <w:rFonts w:hint="eastAsia" w:ascii="Times New Roman" w:hAnsi="Times New Roman" w:cs="Times New Roman"/>
                      <w:color w:val="auto"/>
                      <w:kern w:val="2"/>
                      <w:sz w:val="21"/>
                      <w:szCs w:val="21"/>
                      <w:lang w:val="en-US" w:eastAsia="zh-CN" w:bidi="ar-SA"/>
                    </w:rPr>
                    <w:t>部</w:t>
                  </w:r>
                  <w:r>
                    <w:rPr>
                      <w:rFonts w:hint="default" w:ascii="Times New Roman" w:hAnsi="Times New Roman" w:eastAsia="宋体" w:cs="Times New Roman"/>
                      <w:color w:val="auto"/>
                      <w:kern w:val="2"/>
                      <w:sz w:val="21"/>
                      <w:szCs w:val="21"/>
                      <w:lang w:val="en-US" w:eastAsia="zh-CN" w:bidi="ar-SA"/>
                    </w:rPr>
                    <w:t>家属楼</w:t>
                  </w:r>
                </w:p>
              </w:tc>
              <w:tc>
                <w:tcPr>
                  <w:tcW w:w="1801" w:type="pct"/>
                  <w:noWrap w:val="0"/>
                  <w:tcMar>
                    <w:top w:w="0" w:type="dxa"/>
                    <w:left w:w="28" w:type="dxa"/>
                    <w:bottom w:w="0" w:type="dxa"/>
                    <w:right w:w="28" w:type="dxa"/>
                  </w:tcMar>
                  <w:vAlign w:val="center"/>
                </w:tcPr>
                <w:p w14:paraId="595280D1">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27.71</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42.79</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4029D7B4">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N</w:t>
                  </w:r>
                </w:p>
              </w:tc>
              <w:tc>
                <w:tcPr>
                  <w:tcW w:w="330" w:type="pct"/>
                  <w:noWrap w:val="0"/>
                  <w:tcMar>
                    <w:top w:w="0" w:type="dxa"/>
                    <w:left w:w="28" w:type="dxa"/>
                    <w:bottom w:w="0" w:type="dxa"/>
                    <w:right w:w="28" w:type="dxa"/>
                  </w:tcMar>
                  <w:vAlign w:val="center"/>
                </w:tcPr>
                <w:p w14:paraId="10A8D9E8">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52</w:t>
                  </w:r>
                </w:p>
              </w:tc>
              <w:tc>
                <w:tcPr>
                  <w:tcW w:w="312" w:type="pct"/>
                  <w:noWrap w:val="0"/>
                  <w:tcMar>
                    <w:top w:w="0" w:type="dxa"/>
                    <w:left w:w="28" w:type="dxa"/>
                    <w:bottom w:w="0" w:type="dxa"/>
                    <w:right w:w="28" w:type="dxa"/>
                  </w:tcMar>
                  <w:vAlign w:val="center"/>
                </w:tcPr>
                <w:p w14:paraId="2D96F13D">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142</w:t>
                  </w:r>
                </w:p>
              </w:tc>
              <w:tc>
                <w:tcPr>
                  <w:tcW w:w="395" w:type="pct"/>
                  <w:noWrap w:val="0"/>
                  <w:tcMar>
                    <w:top w:w="0" w:type="dxa"/>
                    <w:left w:w="28" w:type="dxa"/>
                    <w:bottom w:w="0" w:type="dxa"/>
                    <w:right w:w="28" w:type="dxa"/>
                  </w:tcMar>
                  <w:vAlign w:val="center"/>
                </w:tcPr>
                <w:p w14:paraId="797C7D8E">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469</w:t>
                  </w:r>
                </w:p>
              </w:tc>
              <w:tc>
                <w:tcPr>
                  <w:tcW w:w="728" w:type="pct"/>
                  <w:vMerge w:val="continue"/>
                  <w:noWrap w:val="0"/>
                  <w:tcMar>
                    <w:top w:w="0" w:type="dxa"/>
                    <w:left w:w="28" w:type="dxa"/>
                    <w:bottom w:w="0" w:type="dxa"/>
                    <w:right w:w="28" w:type="dxa"/>
                  </w:tcMar>
                  <w:vAlign w:val="center"/>
                </w:tcPr>
                <w:p w14:paraId="652B8FC8">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26C63E6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2EABB452">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814" w:type="pct"/>
                  <w:noWrap w:val="0"/>
                  <w:tcMar>
                    <w:top w:w="0" w:type="dxa"/>
                    <w:left w:w="28" w:type="dxa"/>
                    <w:bottom w:w="0" w:type="dxa"/>
                    <w:right w:w="28" w:type="dxa"/>
                  </w:tcMar>
                  <w:vAlign w:val="center"/>
                </w:tcPr>
                <w:p w14:paraId="0A83D9DF">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华宇名门</w:t>
                  </w:r>
                </w:p>
              </w:tc>
              <w:tc>
                <w:tcPr>
                  <w:tcW w:w="1801" w:type="pct"/>
                  <w:noWrap w:val="0"/>
                  <w:tcMar>
                    <w:top w:w="0" w:type="dxa"/>
                    <w:left w:w="28" w:type="dxa"/>
                    <w:bottom w:w="0" w:type="dxa"/>
                    <w:right w:w="28" w:type="dxa"/>
                  </w:tcMar>
                  <w:vAlign w:val="center"/>
                </w:tcPr>
                <w:p w14:paraId="38F2C1B1">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38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93</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44.89</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0FD39BF7">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NE</w:t>
                  </w:r>
                </w:p>
              </w:tc>
              <w:tc>
                <w:tcPr>
                  <w:tcW w:w="330" w:type="pct"/>
                  <w:noWrap w:val="0"/>
                  <w:tcMar>
                    <w:top w:w="0" w:type="dxa"/>
                    <w:left w:w="28" w:type="dxa"/>
                    <w:bottom w:w="0" w:type="dxa"/>
                    <w:right w:w="28" w:type="dxa"/>
                  </w:tcMar>
                  <w:vAlign w:val="center"/>
                </w:tcPr>
                <w:p w14:paraId="29ABE9D1">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75</w:t>
                  </w:r>
                </w:p>
              </w:tc>
              <w:tc>
                <w:tcPr>
                  <w:tcW w:w="312" w:type="pct"/>
                  <w:noWrap w:val="0"/>
                  <w:tcMar>
                    <w:top w:w="0" w:type="dxa"/>
                    <w:left w:w="28" w:type="dxa"/>
                    <w:bottom w:w="0" w:type="dxa"/>
                    <w:right w:w="28" w:type="dxa"/>
                  </w:tcMar>
                  <w:vAlign w:val="center"/>
                </w:tcPr>
                <w:p w14:paraId="684F24ED">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205</w:t>
                  </w:r>
                </w:p>
              </w:tc>
              <w:tc>
                <w:tcPr>
                  <w:tcW w:w="395" w:type="pct"/>
                  <w:noWrap w:val="0"/>
                  <w:tcMar>
                    <w:top w:w="0" w:type="dxa"/>
                    <w:left w:w="28" w:type="dxa"/>
                    <w:bottom w:w="0" w:type="dxa"/>
                    <w:right w:w="28" w:type="dxa"/>
                  </w:tcMar>
                  <w:vAlign w:val="center"/>
                </w:tcPr>
                <w:p w14:paraId="3066DBA4">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497</w:t>
                  </w:r>
                </w:p>
              </w:tc>
              <w:tc>
                <w:tcPr>
                  <w:tcW w:w="728" w:type="pct"/>
                  <w:vMerge w:val="continue"/>
                  <w:noWrap w:val="0"/>
                  <w:tcMar>
                    <w:top w:w="0" w:type="dxa"/>
                    <w:left w:w="28" w:type="dxa"/>
                    <w:bottom w:w="0" w:type="dxa"/>
                    <w:right w:w="28" w:type="dxa"/>
                  </w:tcMar>
                  <w:vAlign w:val="center"/>
                </w:tcPr>
                <w:p w14:paraId="6A29729C">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4ED023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5641D44A">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814" w:type="pct"/>
                  <w:noWrap w:val="0"/>
                  <w:tcMar>
                    <w:top w:w="0" w:type="dxa"/>
                    <w:left w:w="28" w:type="dxa"/>
                    <w:bottom w:w="0" w:type="dxa"/>
                    <w:right w:w="28" w:type="dxa"/>
                  </w:tcMar>
                  <w:vAlign w:val="center"/>
                </w:tcPr>
                <w:p w14:paraId="0D48BEC8">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满达小区</w:t>
                  </w:r>
                </w:p>
              </w:tc>
              <w:tc>
                <w:tcPr>
                  <w:tcW w:w="1801" w:type="pct"/>
                  <w:noWrap w:val="0"/>
                  <w:tcMar>
                    <w:top w:w="0" w:type="dxa"/>
                    <w:left w:w="28" w:type="dxa"/>
                    <w:bottom w:w="0" w:type="dxa"/>
                    <w:right w:w="28" w:type="dxa"/>
                  </w:tcMar>
                  <w:vAlign w:val="center"/>
                </w:tcPr>
                <w:p w14:paraId="3C7C325F">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46</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26</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45.15</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47E86A1E">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NE</w:t>
                  </w:r>
                </w:p>
              </w:tc>
              <w:tc>
                <w:tcPr>
                  <w:tcW w:w="330" w:type="pct"/>
                  <w:noWrap w:val="0"/>
                  <w:tcMar>
                    <w:top w:w="0" w:type="dxa"/>
                    <w:left w:w="28" w:type="dxa"/>
                    <w:bottom w:w="0" w:type="dxa"/>
                    <w:right w:w="28" w:type="dxa"/>
                  </w:tcMar>
                  <w:vAlign w:val="center"/>
                </w:tcPr>
                <w:p w14:paraId="23283E4C">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359</w:t>
                  </w:r>
                </w:p>
              </w:tc>
              <w:tc>
                <w:tcPr>
                  <w:tcW w:w="312" w:type="pct"/>
                  <w:noWrap w:val="0"/>
                  <w:tcMar>
                    <w:top w:w="0" w:type="dxa"/>
                    <w:left w:w="28" w:type="dxa"/>
                    <w:bottom w:w="0" w:type="dxa"/>
                    <w:right w:w="28" w:type="dxa"/>
                  </w:tcMar>
                  <w:vAlign w:val="center"/>
                </w:tcPr>
                <w:p w14:paraId="27352F09">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879</w:t>
                  </w:r>
                </w:p>
              </w:tc>
              <w:tc>
                <w:tcPr>
                  <w:tcW w:w="395" w:type="pct"/>
                  <w:noWrap w:val="0"/>
                  <w:tcMar>
                    <w:top w:w="0" w:type="dxa"/>
                    <w:left w:w="28" w:type="dxa"/>
                    <w:bottom w:w="0" w:type="dxa"/>
                    <w:right w:w="28" w:type="dxa"/>
                  </w:tcMar>
                  <w:vAlign w:val="center"/>
                </w:tcPr>
                <w:p w14:paraId="5794DD4B">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638</w:t>
                  </w:r>
                </w:p>
              </w:tc>
              <w:tc>
                <w:tcPr>
                  <w:tcW w:w="728" w:type="pct"/>
                  <w:vMerge w:val="continue"/>
                  <w:noWrap w:val="0"/>
                  <w:tcMar>
                    <w:top w:w="0" w:type="dxa"/>
                    <w:left w:w="28" w:type="dxa"/>
                    <w:bottom w:w="0" w:type="dxa"/>
                    <w:right w:w="28" w:type="dxa"/>
                  </w:tcMar>
                  <w:vAlign w:val="center"/>
                </w:tcPr>
                <w:p w14:paraId="3B9866B8">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599D43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3A4E9EF2">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814" w:type="pct"/>
                  <w:noWrap w:val="0"/>
                  <w:tcMar>
                    <w:top w:w="0" w:type="dxa"/>
                    <w:left w:w="28" w:type="dxa"/>
                    <w:bottom w:w="0" w:type="dxa"/>
                    <w:right w:w="28" w:type="dxa"/>
                  </w:tcMar>
                  <w:vAlign w:val="center"/>
                </w:tcPr>
                <w:p w14:paraId="0EC19A7A">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亿利城市华庭</w:t>
                  </w:r>
                </w:p>
              </w:tc>
              <w:tc>
                <w:tcPr>
                  <w:tcW w:w="1801" w:type="pct"/>
                  <w:noWrap w:val="0"/>
                  <w:tcMar>
                    <w:top w:w="0" w:type="dxa"/>
                    <w:left w:w="28" w:type="dxa"/>
                    <w:bottom w:w="0" w:type="dxa"/>
                    <w:right w:w="28" w:type="dxa"/>
                  </w:tcMar>
                  <w:vAlign w:val="center"/>
                </w:tcPr>
                <w:p w14:paraId="3F78D87E">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44</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01</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37.52</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1771137D">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w:t>
                  </w:r>
                </w:p>
              </w:tc>
              <w:tc>
                <w:tcPr>
                  <w:tcW w:w="330" w:type="pct"/>
                  <w:noWrap w:val="0"/>
                  <w:tcMar>
                    <w:top w:w="0" w:type="dxa"/>
                    <w:left w:w="28" w:type="dxa"/>
                    <w:bottom w:w="0" w:type="dxa"/>
                    <w:right w:w="28" w:type="dxa"/>
                  </w:tcMar>
                  <w:vAlign w:val="center"/>
                </w:tcPr>
                <w:p w14:paraId="089357FF">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81</w:t>
                  </w:r>
                </w:p>
              </w:tc>
              <w:tc>
                <w:tcPr>
                  <w:tcW w:w="312" w:type="pct"/>
                  <w:noWrap w:val="0"/>
                  <w:tcMar>
                    <w:top w:w="0" w:type="dxa"/>
                    <w:left w:w="28" w:type="dxa"/>
                    <w:bottom w:w="0" w:type="dxa"/>
                    <w:right w:w="28" w:type="dxa"/>
                  </w:tcMar>
                  <w:vAlign w:val="center"/>
                </w:tcPr>
                <w:p w14:paraId="40964A9C">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226</w:t>
                  </w:r>
                </w:p>
              </w:tc>
              <w:tc>
                <w:tcPr>
                  <w:tcW w:w="395" w:type="pct"/>
                  <w:noWrap w:val="0"/>
                  <w:tcMar>
                    <w:top w:w="0" w:type="dxa"/>
                    <w:left w:w="28" w:type="dxa"/>
                    <w:bottom w:w="0" w:type="dxa"/>
                    <w:right w:w="28" w:type="dxa"/>
                  </w:tcMar>
                  <w:vAlign w:val="center"/>
                </w:tcPr>
                <w:p w14:paraId="1BE4906F">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332</w:t>
                  </w:r>
                </w:p>
              </w:tc>
              <w:tc>
                <w:tcPr>
                  <w:tcW w:w="728" w:type="pct"/>
                  <w:vMerge w:val="continue"/>
                  <w:noWrap w:val="0"/>
                  <w:tcMar>
                    <w:top w:w="0" w:type="dxa"/>
                    <w:left w:w="28" w:type="dxa"/>
                    <w:bottom w:w="0" w:type="dxa"/>
                    <w:right w:w="28" w:type="dxa"/>
                  </w:tcMar>
                  <w:vAlign w:val="center"/>
                </w:tcPr>
                <w:p w14:paraId="44EF2AFD">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230CB87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38187DF6">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814" w:type="pct"/>
                  <w:noWrap w:val="0"/>
                  <w:tcMar>
                    <w:top w:w="0" w:type="dxa"/>
                    <w:left w:w="28" w:type="dxa"/>
                    <w:bottom w:w="0" w:type="dxa"/>
                    <w:right w:w="28" w:type="dxa"/>
                  </w:tcMar>
                  <w:vAlign w:val="center"/>
                </w:tcPr>
                <w:p w14:paraId="22893D99">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华滋居</w:t>
                  </w:r>
                </w:p>
              </w:tc>
              <w:tc>
                <w:tcPr>
                  <w:tcW w:w="1801" w:type="pct"/>
                  <w:noWrap w:val="0"/>
                  <w:tcMar>
                    <w:top w:w="0" w:type="dxa"/>
                    <w:left w:w="28" w:type="dxa"/>
                    <w:bottom w:w="0" w:type="dxa"/>
                    <w:right w:w="28" w:type="dxa"/>
                  </w:tcMar>
                  <w:vAlign w:val="center"/>
                </w:tcPr>
                <w:p w14:paraId="242FDCB4">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41</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95</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18.88</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7CAA4734">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SE</w:t>
                  </w:r>
                </w:p>
              </w:tc>
              <w:tc>
                <w:tcPr>
                  <w:tcW w:w="330" w:type="pct"/>
                  <w:noWrap w:val="0"/>
                  <w:tcMar>
                    <w:top w:w="0" w:type="dxa"/>
                    <w:left w:w="28" w:type="dxa"/>
                    <w:bottom w:w="0" w:type="dxa"/>
                    <w:right w:w="28" w:type="dxa"/>
                  </w:tcMar>
                  <w:vAlign w:val="center"/>
                </w:tcPr>
                <w:p w14:paraId="29A064D3">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388</w:t>
                  </w:r>
                </w:p>
              </w:tc>
              <w:tc>
                <w:tcPr>
                  <w:tcW w:w="312" w:type="pct"/>
                  <w:noWrap w:val="0"/>
                  <w:tcMar>
                    <w:top w:w="0" w:type="dxa"/>
                    <w:left w:w="28" w:type="dxa"/>
                    <w:bottom w:w="0" w:type="dxa"/>
                    <w:right w:w="28" w:type="dxa"/>
                  </w:tcMar>
                  <w:vAlign w:val="center"/>
                </w:tcPr>
                <w:p w14:paraId="52B4D051">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972</w:t>
                  </w:r>
                </w:p>
              </w:tc>
              <w:tc>
                <w:tcPr>
                  <w:tcW w:w="395" w:type="pct"/>
                  <w:noWrap w:val="0"/>
                  <w:tcMar>
                    <w:top w:w="0" w:type="dxa"/>
                    <w:left w:w="28" w:type="dxa"/>
                    <w:bottom w:w="0" w:type="dxa"/>
                    <w:right w:w="28" w:type="dxa"/>
                  </w:tcMar>
                  <w:vAlign w:val="center"/>
                </w:tcPr>
                <w:p w14:paraId="05011B32">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438</w:t>
                  </w:r>
                </w:p>
              </w:tc>
              <w:tc>
                <w:tcPr>
                  <w:tcW w:w="728" w:type="pct"/>
                  <w:vMerge w:val="continue"/>
                  <w:noWrap w:val="0"/>
                  <w:tcMar>
                    <w:top w:w="0" w:type="dxa"/>
                    <w:left w:w="28" w:type="dxa"/>
                    <w:bottom w:w="0" w:type="dxa"/>
                    <w:right w:w="28" w:type="dxa"/>
                  </w:tcMar>
                  <w:vAlign w:val="center"/>
                </w:tcPr>
                <w:p w14:paraId="53EDB687">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6F6656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0293F66C">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814" w:type="pct"/>
                  <w:noWrap w:val="0"/>
                  <w:tcMar>
                    <w:top w:w="0" w:type="dxa"/>
                    <w:left w:w="28" w:type="dxa"/>
                    <w:bottom w:w="0" w:type="dxa"/>
                    <w:right w:w="28" w:type="dxa"/>
                  </w:tcMar>
                  <w:vAlign w:val="center"/>
                </w:tcPr>
                <w:p w14:paraId="5D387341">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民联A区</w:t>
                  </w:r>
                </w:p>
              </w:tc>
              <w:tc>
                <w:tcPr>
                  <w:tcW w:w="1801" w:type="pct"/>
                  <w:noWrap w:val="0"/>
                  <w:tcMar>
                    <w:top w:w="0" w:type="dxa"/>
                    <w:left w:w="28" w:type="dxa"/>
                    <w:bottom w:w="0" w:type="dxa"/>
                    <w:right w:w="28" w:type="dxa"/>
                  </w:tcMar>
                  <w:vAlign w:val="center"/>
                </w:tcPr>
                <w:p w14:paraId="49E5F8C3">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47</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34</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18.57</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22D852D9">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SE</w:t>
                  </w:r>
                </w:p>
              </w:tc>
              <w:tc>
                <w:tcPr>
                  <w:tcW w:w="330" w:type="pct"/>
                  <w:noWrap w:val="0"/>
                  <w:tcMar>
                    <w:top w:w="0" w:type="dxa"/>
                    <w:left w:w="28" w:type="dxa"/>
                    <w:bottom w:w="0" w:type="dxa"/>
                    <w:right w:w="28" w:type="dxa"/>
                  </w:tcMar>
                  <w:vAlign w:val="center"/>
                </w:tcPr>
                <w:p w14:paraId="1EDC6B21">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248</w:t>
                  </w:r>
                </w:p>
              </w:tc>
              <w:tc>
                <w:tcPr>
                  <w:tcW w:w="312" w:type="pct"/>
                  <w:noWrap w:val="0"/>
                  <w:tcMar>
                    <w:top w:w="0" w:type="dxa"/>
                    <w:left w:w="28" w:type="dxa"/>
                    <w:bottom w:w="0" w:type="dxa"/>
                    <w:right w:w="28" w:type="dxa"/>
                  </w:tcMar>
                  <w:vAlign w:val="center"/>
                </w:tcPr>
                <w:p w14:paraId="44B7AB66">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588</w:t>
                  </w:r>
                </w:p>
              </w:tc>
              <w:tc>
                <w:tcPr>
                  <w:tcW w:w="395" w:type="pct"/>
                  <w:noWrap w:val="0"/>
                  <w:tcMar>
                    <w:top w:w="0" w:type="dxa"/>
                    <w:left w:w="28" w:type="dxa"/>
                    <w:bottom w:w="0" w:type="dxa"/>
                    <w:right w:w="28" w:type="dxa"/>
                  </w:tcMar>
                  <w:vAlign w:val="center"/>
                </w:tcPr>
                <w:p w14:paraId="37836A15">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442</w:t>
                  </w:r>
                </w:p>
              </w:tc>
              <w:tc>
                <w:tcPr>
                  <w:tcW w:w="728" w:type="pct"/>
                  <w:vMerge w:val="continue"/>
                  <w:noWrap w:val="0"/>
                  <w:tcMar>
                    <w:top w:w="0" w:type="dxa"/>
                    <w:left w:w="28" w:type="dxa"/>
                    <w:bottom w:w="0" w:type="dxa"/>
                    <w:right w:w="28" w:type="dxa"/>
                  </w:tcMar>
                  <w:vAlign w:val="center"/>
                </w:tcPr>
                <w:p w14:paraId="40045749">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62E38C5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0A549E80">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814" w:type="pct"/>
                  <w:noWrap w:val="0"/>
                  <w:tcMar>
                    <w:top w:w="0" w:type="dxa"/>
                    <w:left w:w="28" w:type="dxa"/>
                    <w:bottom w:w="0" w:type="dxa"/>
                    <w:right w:w="28" w:type="dxa"/>
                  </w:tcMar>
                  <w:vAlign w:val="center"/>
                </w:tcPr>
                <w:p w14:paraId="664110B8">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华府世家</w:t>
                  </w:r>
                </w:p>
              </w:tc>
              <w:tc>
                <w:tcPr>
                  <w:tcW w:w="1801" w:type="pct"/>
                  <w:noWrap w:val="0"/>
                  <w:tcMar>
                    <w:top w:w="0" w:type="dxa"/>
                    <w:left w:w="28" w:type="dxa"/>
                    <w:bottom w:w="0" w:type="dxa"/>
                    <w:right w:w="28" w:type="dxa"/>
                  </w:tcMar>
                  <w:vAlign w:val="center"/>
                </w:tcPr>
                <w:p w14:paraId="48BD08D6">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27</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53</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15.51</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1C67FB25">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S</w:t>
                  </w:r>
                </w:p>
              </w:tc>
              <w:tc>
                <w:tcPr>
                  <w:tcW w:w="330" w:type="pct"/>
                  <w:noWrap w:val="0"/>
                  <w:tcMar>
                    <w:top w:w="0" w:type="dxa"/>
                    <w:left w:w="28" w:type="dxa"/>
                    <w:bottom w:w="0" w:type="dxa"/>
                    <w:right w:w="28" w:type="dxa"/>
                  </w:tcMar>
                  <w:vAlign w:val="center"/>
                </w:tcPr>
                <w:p w14:paraId="26936C96">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288</w:t>
                  </w:r>
                </w:p>
              </w:tc>
              <w:tc>
                <w:tcPr>
                  <w:tcW w:w="312" w:type="pct"/>
                  <w:noWrap w:val="0"/>
                  <w:tcMar>
                    <w:top w:w="0" w:type="dxa"/>
                    <w:left w:w="28" w:type="dxa"/>
                    <w:bottom w:w="0" w:type="dxa"/>
                    <w:right w:w="28" w:type="dxa"/>
                  </w:tcMar>
                  <w:vAlign w:val="center"/>
                </w:tcPr>
                <w:p w14:paraId="24750CD4">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594</w:t>
                  </w:r>
                </w:p>
              </w:tc>
              <w:tc>
                <w:tcPr>
                  <w:tcW w:w="395" w:type="pct"/>
                  <w:noWrap w:val="0"/>
                  <w:tcMar>
                    <w:top w:w="0" w:type="dxa"/>
                    <w:left w:w="28" w:type="dxa"/>
                    <w:bottom w:w="0" w:type="dxa"/>
                    <w:right w:w="28" w:type="dxa"/>
                  </w:tcMar>
                  <w:vAlign w:val="center"/>
                </w:tcPr>
                <w:p w14:paraId="7062F754">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302</w:t>
                  </w:r>
                </w:p>
              </w:tc>
              <w:tc>
                <w:tcPr>
                  <w:tcW w:w="728" w:type="pct"/>
                  <w:vMerge w:val="continue"/>
                  <w:noWrap w:val="0"/>
                  <w:tcMar>
                    <w:top w:w="0" w:type="dxa"/>
                    <w:left w:w="28" w:type="dxa"/>
                    <w:bottom w:w="0" w:type="dxa"/>
                    <w:right w:w="28" w:type="dxa"/>
                  </w:tcMar>
                  <w:vAlign w:val="center"/>
                </w:tcPr>
                <w:p w14:paraId="633011A0">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14E12C8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047D43F2">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814" w:type="pct"/>
                  <w:noWrap w:val="0"/>
                  <w:tcMar>
                    <w:top w:w="0" w:type="dxa"/>
                    <w:left w:w="28" w:type="dxa"/>
                    <w:bottom w:w="0" w:type="dxa"/>
                    <w:right w:w="28" w:type="dxa"/>
                  </w:tcMar>
                  <w:vAlign w:val="center"/>
                </w:tcPr>
                <w:p w14:paraId="3BDAE9F4">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欧陆风情</w:t>
                  </w:r>
                </w:p>
              </w:tc>
              <w:tc>
                <w:tcPr>
                  <w:tcW w:w="1801" w:type="pct"/>
                  <w:noWrap w:val="0"/>
                  <w:tcMar>
                    <w:top w:w="0" w:type="dxa"/>
                    <w:left w:w="28" w:type="dxa"/>
                    <w:bottom w:w="0" w:type="dxa"/>
                    <w:right w:w="28" w:type="dxa"/>
                  </w:tcMar>
                  <w:vAlign w:val="center"/>
                </w:tcPr>
                <w:p w14:paraId="28EE8595">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57</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11</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94</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08.96</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42E1FB4B">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WS</w:t>
                  </w:r>
                </w:p>
              </w:tc>
              <w:tc>
                <w:tcPr>
                  <w:tcW w:w="330" w:type="pct"/>
                  <w:noWrap w:val="0"/>
                  <w:tcMar>
                    <w:top w:w="0" w:type="dxa"/>
                    <w:left w:w="28" w:type="dxa"/>
                    <w:bottom w:w="0" w:type="dxa"/>
                    <w:right w:w="28" w:type="dxa"/>
                  </w:tcMar>
                  <w:vAlign w:val="center"/>
                </w:tcPr>
                <w:p w14:paraId="17345158">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576</w:t>
                  </w:r>
                </w:p>
              </w:tc>
              <w:tc>
                <w:tcPr>
                  <w:tcW w:w="312" w:type="pct"/>
                  <w:noWrap w:val="0"/>
                  <w:tcMar>
                    <w:top w:w="0" w:type="dxa"/>
                    <w:left w:w="28" w:type="dxa"/>
                    <w:bottom w:w="0" w:type="dxa"/>
                    <w:right w:w="28" w:type="dxa"/>
                  </w:tcMar>
                  <w:vAlign w:val="center"/>
                </w:tcPr>
                <w:p w14:paraId="52148C4A">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1275</w:t>
                  </w:r>
                </w:p>
              </w:tc>
              <w:tc>
                <w:tcPr>
                  <w:tcW w:w="395" w:type="pct"/>
                  <w:noWrap w:val="0"/>
                  <w:tcMar>
                    <w:top w:w="0" w:type="dxa"/>
                    <w:left w:w="28" w:type="dxa"/>
                    <w:bottom w:w="0" w:type="dxa"/>
                    <w:right w:w="28" w:type="dxa"/>
                  </w:tcMar>
                  <w:vAlign w:val="center"/>
                </w:tcPr>
                <w:p w14:paraId="0F0C0374">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438</w:t>
                  </w:r>
                </w:p>
              </w:tc>
              <w:tc>
                <w:tcPr>
                  <w:tcW w:w="728" w:type="pct"/>
                  <w:vMerge w:val="continue"/>
                  <w:noWrap w:val="0"/>
                  <w:tcMar>
                    <w:top w:w="0" w:type="dxa"/>
                    <w:left w:w="28" w:type="dxa"/>
                    <w:bottom w:w="0" w:type="dxa"/>
                    <w:right w:w="28" w:type="dxa"/>
                  </w:tcMar>
                  <w:vAlign w:val="center"/>
                </w:tcPr>
                <w:p w14:paraId="4E747931">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1D8FFE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6DCCC8B9">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814" w:type="pct"/>
                  <w:noWrap w:val="0"/>
                  <w:tcMar>
                    <w:top w:w="0" w:type="dxa"/>
                    <w:left w:w="28" w:type="dxa"/>
                    <w:bottom w:w="0" w:type="dxa"/>
                    <w:right w:w="28" w:type="dxa"/>
                  </w:tcMar>
                  <w:vAlign w:val="center"/>
                </w:tcPr>
                <w:p w14:paraId="24A94928">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拆迁区</w:t>
                  </w:r>
                </w:p>
              </w:tc>
              <w:tc>
                <w:tcPr>
                  <w:tcW w:w="1801" w:type="pct"/>
                  <w:noWrap w:val="0"/>
                  <w:tcMar>
                    <w:top w:w="0" w:type="dxa"/>
                    <w:left w:w="28" w:type="dxa"/>
                    <w:bottom w:w="0" w:type="dxa"/>
                    <w:right w:w="28" w:type="dxa"/>
                  </w:tcMar>
                  <w:vAlign w:val="center"/>
                </w:tcPr>
                <w:p w14:paraId="66148404">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12</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68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19.18</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7F738E15">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WS</w:t>
                  </w:r>
                </w:p>
              </w:tc>
              <w:tc>
                <w:tcPr>
                  <w:tcW w:w="330" w:type="pct"/>
                  <w:noWrap w:val="0"/>
                  <w:tcMar>
                    <w:top w:w="0" w:type="dxa"/>
                    <w:left w:w="28" w:type="dxa"/>
                    <w:bottom w:w="0" w:type="dxa"/>
                    <w:right w:w="28" w:type="dxa"/>
                  </w:tcMar>
                  <w:vAlign w:val="center"/>
                </w:tcPr>
                <w:p w14:paraId="1E7EBD37">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3</w:t>
                  </w:r>
                </w:p>
              </w:tc>
              <w:tc>
                <w:tcPr>
                  <w:tcW w:w="312" w:type="pct"/>
                  <w:noWrap w:val="0"/>
                  <w:tcMar>
                    <w:top w:w="0" w:type="dxa"/>
                    <w:left w:w="28" w:type="dxa"/>
                    <w:bottom w:w="0" w:type="dxa"/>
                    <w:right w:w="28" w:type="dxa"/>
                  </w:tcMar>
                  <w:vAlign w:val="center"/>
                </w:tcPr>
                <w:p w14:paraId="43F6A22B">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10</w:t>
                  </w:r>
                </w:p>
              </w:tc>
              <w:tc>
                <w:tcPr>
                  <w:tcW w:w="395" w:type="pct"/>
                  <w:noWrap w:val="0"/>
                  <w:tcMar>
                    <w:top w:w="0" w:type="dxa"/>
                    <w:left w:w="28" w:type="dxa"/>
                    <w:bottom w:w="0" w:type="dxa"/>
                    <w:right w:w="28" w:type="dxa"/>
                  </w:tcMar>
                  <w:vAlign w:val="center"/>
                </w:tcPr>
                <w:p w14:paraId="7BC13F9F">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403</w:t>
                  </w:r>
                </w:p>
              </w:tc>
              <w:tc>
                <w:tcPr>
                  <w:tcW w:w="728" w:type="pct"/>
                  <w:vMerge w:val="continue"/>
                  <w:noWrap w:val="0"/>
                  <w:tcMar>
                    <w:top w:w="0" w:type="dxa"/>
                    <w:left w:w="28" w:type="dxa"/>
                    <w:bottom w:w="0" w:type="dxa"/>
                    <w:right w:w="28" w:type="dxa"/>
                  </w:tcMar>
                  <w:vAlign w:val="center"/>
                </w:tcPr>
                <w:p w14:paraId="6E8BFCA6">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4BE1E4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64862755">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814" w:type="pct"/>
                  <w:noWrap w:val="0"/>
                  <w:tcMar>
                    <w:top w:w="0" w:type="dxa"/>
                    <w:left w:w="28" w:type="dxa"/>
                    <w:bottom w:w="0" w:type="dxa"/>
                    <w:right w:w="28" w:type="dxa"/>
                  </w:tcMar>
                  <w:vAlign w:val="center"/>
                </w:tcPr>
                <w:p w14:paraId="22874E48">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龙湾</w:t>
                  </w:r>
                </w:p>
              </w:tc>
              <w:tc>
                <w:tcPr>
                  <w:tcW w:w="1801" w:type="pct"/>
                  <w:noWrap w:val="0"/>
                  <w:tcMar>
                    <w:top w:w="0" w:type="dxa"/>
                    <w:left w:w="28" w:type="dxa"/>
                    <w:bottom w:w="0" w:type="dxa"/>
                    <w:right w:w="28" w:type="dxa"/>
                  </w:tcMar>
                  <w:vAlign w:val="center"/>
                </w:tcPr>
                <w:p w14:paraId="63481C27">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23</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29.24</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244BFE73">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w:t>
                  </w:r>
                </w:p>
              </w:tc>
              <w:tc>
                <w:tcPr>
                  <w:tcW w:w="330" w:type="pct"/>
                  <w:noWrap w:val="0"/>
                  <w:tcMar>
                    <w:top w:w="0" w:type="dxa"/>
                    <w:left w:w="28" w:type="dxa"/>
                    <w:bottom w:w="0" w:type="dxa"/>
                    <w:right w:w="28" w:type="dxa"/>
                  </w:tcMar>
                  <w:vAlign w:val="center"/>
                </w:tcPr>
                <w:p w14:paraId="4DBA375C">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678</w:t>
                  </w:r>
                </w:p>
              </w:tc>
              <w:tc>
                <w:tcPr>
                  <w:tcW w:w="312" w:type="pct"/>
                  <w:noWrap w:val="0"/>
                  <w:tcMar>
                    <w:top w:w="0" w:type="dxa"/>
                    <w:left w:w="28" w:type="dxa"/>
                    <w:bottom w:w="0" w:type="dxa"/>
                    <w:right w:w="28" w:type="dxa"/>
                  </w:tcMar>
                  <w:vAlign w:val="center"/>
                </w:tcPr>
                <w:p w14:paraId="05A309BA">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2205</w:t>
                  </w:r>
                </w:p>
              </w:tc>
              <w:tc>
                <w:tcPr>
                  <w:tcW w:w="395" w:type="pct"/>
                  <w:noWrap w:val="0"/>
                  <w:tcMar>
                    <w:top w:w="0" w:type="dxa"/>
                    <w:left w:w="28" w:type="dxa"/>
                    <w:bottom w:w="0" w:type="dxa"/>
                    <w:right w:w="28" w:type="dxa"/>
                  </w:tcMar>
                  <w:vAlign w:val="center"/>
                </w:tcPr>
                <w:p w14:paraId="4CD1C0DE">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w:t>
                  </w:r>
                </w:p>
              </w:tc>
              <w:tc>
                <w:tcPr>
                  <w:tcW w:w="728" w:type="pct"/>
                  <w:vMerge w:val="continue"/>
                  <w:noWrap w:val="0"/>
                  <w:tcMar>
                    <w:top w:w="0" w:type="dxa"/>
                    <w:left w:w="28" w:type="dxa"/>
                    <w:bottom w:w="0" w:type="dxa"/>
                    <w:right w:w="28" w:type="dxa"/>
                  </w:tcMar>
                  <w:vAlign w:val="center"/>
                </w:tcPr>
                <w:p w14:paraId="014C3885">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396E17E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0E851E9E">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814" w:type="pct"/>
                  <w:noWrap w:val="0"/>
                  <w:tcMar>
                    <w:top w:w="0" w:type="dxa"/>
                    <w:left w:w="28" w:type="dxa"/>
                    <w:bottom w:w="0" w:type="dxa"/>
                    <w:right w:w="28" w:type="dxa"/>
                  </w:tcMar>
                  <w:vAlign w:val="center"/>
                </w:tcPr>
                <w:p w14:paraId="0078EB9F">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亿利城滨河湾</w:t>
                  </w:r>
                </w:p>
              </w:tc>
              <w:tc>
                <w:tcPr>
                  <w:tcW w:w="1801" w:type="pct"/>
                  <w:noWrap w:val="0"/>
                  <w:tcMar>
                    <w:top w:w="0" w:type="dxa"/>
                    <w:left w:w="28" w:type="dxa"/>
                    <w:bottom w:w="0" w:type="dxa"/>
                    <w:right w:w="28" w:type="dxa"/>
                  </w:tcMar>
                  <w:vAlign w:val="center"/>
                </w:tcPr>
                <w:p w14:paraId="583673C6">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14</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29.51</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6A80E90D">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w:t>
                  </w:r>
                </w:p>
              </w:tc>
              <w:tc>
                <w:tcPr>
                  <w:tcW w:w="330" w:type="pct"/>
                  <w:noWrap w:val="0"/>
                  <w:tcMar>
                    <w:top w:w="0" w:type="dxa"/>
                    <w:left w:w="28" w:type="dxa"/>
                    <w:bottom w:w="0" w:type="dxa"/>
                    <w:right w:w="28" w:type="dxa"/>
                  </w:tcMar>
                  <w:vAlign w:val="center"/>
                </w:tcPr>
                <w:p w14:paraId="6F10AC97">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365</w:t>
                  </w:r>
                </w:p>
              </w:tc>
              <w:tc>
                <w:tcPr>
                  <w:tcW w:w="312" w:type="pct"/>
                  <w:noWrap w:val="0"/>
                  <w:tcMar>
                    <w:top w:w="0" w:type="dxa"/>
                    <w:left w:w="28" w:type="dxa"/>
                    <w:bottom w:w="0" w:type="dxa"/>
                    <w:right w:w="28" w:type="dxa"/>
                  </w:tcMar>
                  <w:vAlign w:val="center"/>
                </w:tcPr>
                <w:p w14:paraId="545960BE">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1033</w:t>
                  </w:r>
                </w:p>
              </w:tc>
              <w:tc>
                <w:tcPr>
                  <w:tcW w:w="395" w:type="pct"/>
                  <w:noWrap w:val="0"/>
                  <w:tcMar>
                    <w:top w:w="0" w:type="dxa"/>
                    <w:left w:w="28" w:type="dxa"/>
                    <w:bottom w:w="0" w:type="dxa"/>
                    <w:right w:w="28" w:type="dxa"/>
                  </w:tcMar>
                  <w:vAlign w:val="center"/>
                </w:tcPr>
                <w:p w14:paraId="0B04C6BE">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293</w:t>
                  </w:r>
                </w:p>
              </w:tc>
              <w:tc>
                <w:tcPr>
                  <w:tcW w:w="728" w:type="pct"/>
                  <w:vMerge w:val="continue"/>
                  <w:noWrap w:val="0"/>
                  <w:tcMar>
                    <w:top w:w="0" w:type="dxa"/>
                    <w:left w:w="28" w:type="dxa"/>
                    <w:bottom w:w="0" w:type="dxa"/>
                    <w:right w:w="28" w:type="dxa"/>
                  </w:tcMar>
                  <w:vAlign w:val="center"/>
                </w:tcPr>
                <w:p w14:paraId="4C457C84">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7A12195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5739AC60">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814" w:type="pct"/>
                  <w:noWrap w:val="0"/>
                  <w:tcMar>
                    <w:top w:w="0" w:type="dxa"/>
                    <w:left w:w="28" w:type="dxa"/>
                    <w:bottom w:w="0" w:type="dxa"/>
                    <w:right w:w="28" w:type="dxa"/>
                  </w:tcMar>
                  <w:vAlign w:val="center"/>
                </w:tcPr>
                <w:p w14:paraId="2D3587C3">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传祥苑</w:t>
                  </w:r>
                </w:p>
              </w:tc>
              <w:tc>
                <w:tcPr>
                  <w:tcW w:w="1801" w:type="pct"/>
                  <w:noWrap w:val="0"/>
                  <w:tcMar>
                    <w:top w:w="0" w:type="dxa"/>
                    <w:left w:w="28" w:type="dxa"/>
                    <w:bottom w:w="0" w:type="dxa"/>
                    <w:right w:w="28" w:type="dxa"/>
                  </w:tcMar>
                  <w:vAlign w:val="center"/>
                </w:tcPr>
                <w:p w14:paraId="07A6C2CD">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13.92</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36.15</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087CF969">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w:t>
                  </w:r>
                </w:p>
              </w:tc>
              <w:tc>
                <w:tcPr>
                  <w:tcW w:w="330" w:type="pct"/>
                  <w:noWrap w:val="0"/>
                  <w:tcMar>
                    <w:top w:w="0" w:type="dxa"/>
                    <w:left w:w="28" w:type="dxa"/>
                    <w:bottom w:w="0" w:type="dxa"/>
                    <w:right w:w="28" w:type="dxa"/>
                  </w:tcMar>
                  <w:vAlign w:val="center"/>
                </w:tcPr>
                <w:p w14:paraId="6982E2AA">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342</w:t>
                  </w:r>
                </w:p>
              </w:tc>
              <w:tc>
                <w:tcPr>
                  <w:tcW w:w="312" w:type="pct"/>
                  <w:noWrap w:val="0"/>
                  <w:tcMar>
                    <w:top w:w="0" w:type="dxa"/>
                    <w:left w:w="28" w:type="dxa"/>
                    <w:bottom w:w="0" w:type="dxa"/>
                    <w:right w:w="28" w:type="dxa"/>
                  </w:tcMar>
                  <w:vAlign w:val="center"/>
                </w:tcPr>
                <w:p w14:paraId="2B429729">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1247</w:t>
                  </w:r>
                </w:p>
              </w:tc>
              <w:tc>
                <w:tcPr>
                  <w:tcW w:w="395" w:type="pct"/>
                  <w:noWrap w:val="0"/>
                  <w:tcMar>
                    <w:top w:w="0" w:type="dxa"/>
                    <w:left w:w="28" w:type="dxa"/>
                    <w:bottom w:w="0" w:type="dxa"/>
                    <w:right w:w="28" w:type="dxa"/>
                  </w:tcMar>
                  <w:vAlign w:val="center"/>
                </w:tcPr>
                <w:p w14:paraId="0404F778">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402</w:t>
                  </w:r>
                </w:p>
              </w:tc>
              <w:tc>
                <w:tcPr>
                  <w:tcW w:w="728" w:type="pct"/>
                  <w:vMerge w:val="continue"/>
                  <w:noWrap w:val="0"/>
                  <w:tcMar>
                    <w:top w:w="0" w:type="dxa"/>
                    <w:left w:w="28" w:type="dxa"/>
                    <w:bottom w:w="0" w:type="dxa"/>
                    <w:right w:w="28" w:type="dxa"/>
                  </w:tcMar>
                  <w:vAlign w:val="center"/>
                </w:tcPr>
                <w:p w14:paraId="3952C489">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69C5F34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1ED0BA0E">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814" w:type="pct"/>
                  <w:noWrap w:val="0"/>
                  <w:tcMar>
                    <w:top w:w="0" w:type="dxa"/>
                    <w:left w:w="28" w:type="dxa"/>
                    <w:bottom w:w="0" w:type="dxa"/>
                    <w:right w:w="28" w:type="dxa"/>
                  </w:tcMar>
                  <w:vAlign w:val="center"/>
                </w:tcPr>
                <w:p w14:paraId="5CC8675D">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亿利广场家园</w:t>
                  </w:r>
                </w:p>
              </w:tc>
              <w:tc>
                <w:tcPr>
                  <w:tcW w:w="1801" w:type="pct"/>
                  <w:noWrap w:val="0"/>
                  <w:tcMar>
                    <w:top w:w="0" w:type="dxa"/>
                    <w:left w:w="28" w:type="dxa"/>
                    <w:bottom w:w="0" w:type="dxa"/>
                    <w:right w:w="28" w:type="dxa"/>
                  </w:tcMar>
                  <w:vAlign w:val="center"/>
                </w:tcPr>
                <w:p w14:paraId="5B6C18DB">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12</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22</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35.41</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58902973">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w:t>
                  </w:r>
                </w:p>
              </w:tc>
              <w:tc>
                <w:tcPr>
                  <w:tcW w:w="330" w:type="pct"/>
                  <w:noWrap w:val="0"/>
                  <w:tcMar>
                    <w:top w:w="0" w:type="dxa"/>
                    <w:left w:w="28" w:type="dxa"/>
                    <w:bottom w:w="0" w:type="dxa"/>
                    <w:right w:w="28" w:type="dxa"/>
                  </w:tcMar>
                  <w:vAlign w:val="center"/>
                </w:tcPr>
                <w:p w14:paraId="389E1DD5">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115</w:t>
                  </w:r>
                </w:p>
              </w:tc>
              <w:tc>
                <w:tcPr>
                  <w:tcW w:w="312" w:type="pct"/>
                  <w:noWrap w:val="0"/>
                  <w:tcMar>
                    <w:top w:w="0" w:type="dxa"/>
                    <w:left w:w="28" w:type="dxa"/>
                    <w:bottom w:w="0" w:type="dxa"/>
                    <w:right w:w="28" w:type="dxa"/>
                  </w:tcMar>
                  <w:vAlign w:val="center"/>
                </w:tcPr>
                <w:p w14:paraId="7AEC0BD9">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316</w:t>
                  </w:r>
                </w:p>
              </w:tc>
              <w:tc>
                <w:tcPr>
                  <w:tcW w:w="395" w:type="pct"/>
                  <w:noWrap w:val="0"/>
                  <w:tcMar>
                    <w:top w:w="0" w:type="dxa"/>
                    <w:left w:w="28" w:type="dxa"/>
                    <w:bottom w:w="0" w:type="dxa"/>
                    <w:right w:w="28" w:type="dxa"/>
                  </w:tcMar>
                  <w:vAlign w:val="center"/>
                </w:tcPr>
                <w:p w14:paraId="70FD54F7">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378</w:t>
                  </w:r>
                </w:p>
              </w:tc>
              <w:tc>
                <w:tcPr>
                  <w:tcW w:w="728" w:type="pct"/>
                  <w:vMerge w:val="continue"/>
                  <w:noWrap w:val="0"/>
                  <w:tcMar>
                    <w:top w:w="0" w:type="dxa"/>
                    <w:left w:w="28" w:type="dxa"/>
                    <w:bottom w:w="0" w:type="dxa"/>
                    <w:right w:w="28" w:type="dxa"/>
                  </w:tcMar>
                  <w:vAlign w:val="center"/>
                </w:tcPr>
                <w:p w14:paraId="306DF523">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14:paraId="3F3FD6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noWrap w:val="0"/>
                  <w:tcMar>
                    <w:top w:w="0" w:type="dxa"/>
                    <w:left w:w="28" w:type="dxa"/>
                    <w:bottom w:w="0" w:type="dxa"/>
                    <w:right w:w="28" w:type="dxa"/>
                  </w:tcMar>
                  <w:vAlign w:val="center"/>
                </w:tcPr>
                <w:p w14:paraId="26C06EAF">
                  <w:pPr>
                    <w:keepNext w:val="0"/>
                    <w:keepLines w:val="0"/>
                    <w:pageBreakBefore w:val="0"/>
                    <w:widowControl w:val="0"/>
                    <w:kinsoku/>
                    <w:wordWrap/>
                    <w:overflowPunct/>
                    <w:topLinePunct w:val="0"/>
                    <w:autoSpaceDE/>
                    <w:autoSpaceDN/>
                    <w:bidi w:val="0"/>
                    <w:snapToGrid/>
                    <w:spacing w:line="360" w:lineRule="exact"/>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bidi="ar-SA"/>
                    </w:rPr>
                    <w:t>地下水</w:t>
                  </w:r>
                </w:p>
              </w:tc>
              <w:tc>
                <w:tcPr>
                  <w:tcW w:w="3902" w:type="pct"/>
                  <w:gridSpan w:val="6"/>
                  <w:noWrap w:val="0"/>
                  <w:tcMar>
                    <w:top w:w="0" w:type="dxa"/>
                    <w:left w:w="28" w:type="dxa"/>
                    <w:bottom w:w="0" w:type="dxa"/>
                    <w:right w:w="28" w:type="dxa"/>
                  </w:tcMar>
                  <w:vAlign w:val="center"/>
                </w:tcPr>
                <w:p w14:paraId="1DE404CE">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本项目厂界外500m范围内无地下水集中式饮用水水源和热水、矿泉水、温泉等特殊地下水资源</w:t>
                  </w:r>
                </w:p>
              </w:tc>
              <w:tc>
                <w:tcPr>
                  <w:tcW w:w="728" w:type="pct"/>
                  <w:noWrap w:val="0"/>
                  <w:tcMar>
                    <w:top w:w="0" w:type="dxa"/>
                    <w:left w:w="28" w:type="dxa"/>
                    <w:bottom w:w="0" w:type="dxa"/>
                    <w:right w:w="28" w:type="dxa"/>
                  </w:tcMar>
                  <w:vAlign w:val="center"/>
                </w:tcPr>
                <w:p w14:paraId="2E4226E6">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bidi="ar-SA"/>
                    </w:rPr>
                    <w:t>《地下水质量标准》（GB/T14848-2017）Ⅲ类标准限值</w:t>
                  </w:r>
                </w:p>
              </w:tc>
            </w:tr>
            <w:tr w14:paraId="235DFC4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restart"/>
                  <w:noWrap w:val="0"/>
                  <w:tcMar>
                    <w:top w:w="0" w:type="dxa"/>
                    <w:left w:w="28" w:type="dxa"/>
                    <w:bottom w:w="0" w:type="dxa"/>
                    <w:right w:w="28" w:type="dxa"/>
                  </w:tcMar>
                  <w:vAlign w:val="center"/>
                </w:tcPr>
                <w:p w14:paraId="4B8B83D0">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r>
                    <w:rPr>
                      <w:rFonts w:hint="default" w:ascii="Times New Roman" w:hAnsi="Times New Roman" w:eastAsia="宋体" w:cs="Times New Roman"/>
                      <w:color w:val="auto"/>
                      <w:kern w:val="2"/>
                      <w:sz w:val="21"/>
                      <w:szCs w:val="21"/>
                      <w:lang w:val="en-US" w:bidi="ar-SA"/>
                    </w:rPr>
                    <w:t>声环境</w:t>
                  </w:r>
                </w:p>
              </w:tc>
              <w:tc>
                <w:tcPr>
                  <w:tcW w:w="2615" w:type="pct"/>
                  <w:gridSpan w:val="2"/>
                  <w:noWrap w:val="0"/>
                  <w:tcMar>
                    <w:top w:w="0" w:type="dxa"/>
                    <w:left w:w="28" w:type="dxa"/>
                    <w:bottom w:w="0" w:type="dxa"/>
                    <w:right w:w="28" w:type="dxa"/>
                  </w:tcMar>
                  <w:vAlign w:val="center"/>
                </w:tcPr>
                <w:p w14:paraId="06A2ED59">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环境保护对象</w:t>
                  </w:r>
                </w:p>
              </w:tc>
              <w:tc>
                <w:tcPr>
                  <w:tcW w:w="248" w:type="pct"/>
                  <w:vMerge w:val="restart"/>
                  <w:noWrap w:val="0"/>
                  <w:tcMar>
                    <w:top w:w="0" w:type="dxa"/>
                    <w:left w:w="28" w:type="dxa"/>
                    <w:bottom w:w="0" w:type="dxa"/>
                    <w:right w:w="28" w:type="dxa"/>
                  </w:tcMar>
                  <w:vAlign w:val="center"/>
                </w:tcPr>
                <w:p w14:paraId="09C4AB33">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bidi="ar-SA"/>
                    </w:rPr>
                    <w:t>方位</w:t>
                  </w:r>
                </w:p>
              </w:tc>
              <w:tc>
                <w:tcPr>
                  <w:tcW w:w="330" w:type="pct"/>
                  <w:vMerge w:val="restart"/>
                  <w:noWrap w:val="0"/>
                  <w:tcMar>
                    <w:top w:w="0" w:type="dxa"/>
                    <w:left w:w="28" w:type="dxa"/>
                    <w:bottom w:w="0" w:type="dxa"/>
                    <w:right w:w="28" w:type="dxa"/>
                  </w:tcMar>
                  <w:vAlign w:val="center"/>
                </w:tcPr>
                <w:p w14:paraId="18C3ACE1">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bidi="ar-SA"/>
                    </w:rPr>
                    <w:t>户数</w:t>
                  </w:r>
                </w:p>
              </w:tc>
              <w:tc>
                <w:tcPr>
                  <w:tcW w:w="312" w:type="pct"/>
                  <w:vMerge w:val="restart"/>
                  <w:noWrap w:val="0"/>
                  <w:tcMar>
                    <w:top w:w="0" w:type="dxa"/>
                    <w:left w:w="28" w:type="dxa"/>
                    <w:bottom w:w="0" w:type="dxa"/>
                    <w:right w:w="28" w:type="dxa"/>
                  </w:tcMar>
                  <w:vAlign w:val="center"/>
                </w:tcPr>
                <w:p w14:paraId="7C07453D">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bidi="ar-SA"/>
                    </w:rPr>
                    <w:t>人数</w:t>
                  </w:r>
                </w:p>
              </w:tc>
              <w:tc>
                <w:tcPr>
                  <w:tcW w:w="395" w:type="pct"/>
                  <w:vMerge w:val="restart"/>
                  <w:noWrap w:val="0"/>
                  <w:tcMar>
                    <w:top w:w="0" w:type="dxa"/>
                    <w:left w:w="28" w:type="dxa"/>
                    <w:bottom w:w="0" w:type="dxa"/>
                    <w:right w:w="28" w:type="dxa"/>
                  </w:tcMar>
                  <w:vAlign w:val="center"/>
                </w:tcPr>
                <w:p w14:paraId="0F37B6CB">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r>
                    <w:rPr>
                      <w:rFonts w:hint="default" w:ascii="Times New Roman" w:hAnsi="Times New Roman" w:eastAsia="宋体" w:cs="Times New Roman"/>
                      <w:color w:val="auto"/>
                      <w:kern w:val="2"/>
                      <w:sz w:val="21"/>
                      <w:szCs w:val="21"/>
                      <w:lang w:val="en-US" w:bidi="ar-SA"/>
                    </w:rPr>
                    <w:t>距离</w:t>
                  </w:r>
                </w:p>
                <w:p w14:paraId="51C80846">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bidi="ar-SA"/>
                    </w:rPr>
                    <w:t>（m）</w:t>
                  </w:r>
                </w:p>
              </w:tc>
              <w:tc>
                <w:tcPr>
                  <w:tcW w:w="728" w:type="pct"/>
                  <w:vMerge w:val="restart"/>
                  <w:noWrap w:val="0"/>
                  <w:tcMar>
                    <w:top w:w="0" w:type="dxa"/>
                    <w:left w:w="28" w:type="dxa"/>
                    <w:bottom w:w="0" w:type="dxa"/>
                    <w:right w:w="28" w:type="dxa"/>
                  </w:tcMar>
                  <w:vAlign w:val="center"/>
                </w:tcPr>
                <w:p w14:paraId="03179FC6">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《声环境质量标准》</w:t>
                  </w:r>
                </w:p>
                <w:p w14:paraId="31782A5C">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GB3096-2008</w:t>
                  </w:r>
                  <w:r>
                    <w:rPr>
                      <w:rFonts w:hint="default" w:ascii="Times New Roman" w:hAnsi="Times New Roman"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1类标准</w:t>
                  </w:r>
                </w:p>
              </w:tc>
            </w:tr>
            <w:tr w14:paraId="12AABD8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77B7670B">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p>
              </w:tc>
              <w:tc>
                <w:tcPr>
                  <w:tcW w:w="814" w:type="pct"/>
                  <w:noWrap w:val="0"/>
                  <w:tcMar>
                    <w:top w:w="0" w:type="dxa"/>
                    <w:left w:w="28" w:type="dxa"/>
                    <w:bottom w:w="0" w:type="dxa"/>
                    <w:right w:w="28" w:type="dxa"/>
                  </w:tcMar>
                  <w:vAlign w:val="center"/>
                </w:tcPr>
                <w:p w14:paraId="51BAF038">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bidi="ar-SA"/>
                    </w:rPr>
                    <w:t>名称</w:t>
                  </w:r>
                </w:p>
              </w:tc>
              <w:tc>
                <w:tcPr>
                  <w:tcW w:w="1801" w:type="pct"/>
                  <w:noWrap w:val="0"/>
                  <w:tcMar>
                    <w:top w:w="0" w:type="dxa"/>
                    <w:left w:w="28" w:type="dxa"/>
                    <w:bottom w:w="0" w:type="dxa"/>
                    <w:right w:w="28" w:type="dxa"/>
                  </w:tcMar>
                  <w:vAlign w:val="center"/>
                </w:tcPr>
                <w:p w14:paraId="26464C01">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经纬度</w:t>
                  </w:r>
                </w:p>
              </w:tc>
              <w:tc>
                <w:tcPr>
                  <w:tcW w:w="248" w:type="pct"/>
                  <w:vMerge w:val="continue"/>
                  <w:noWrap w:val="0"/>
                  <w:tcMar>
                    <w:top w:w="0" w:type="dxa"/>
                    <w:left w:w="28" w:type="dxa"/>
                    <w:bottom w:w="0" w:type="dxa"/>
                    <w:right w:w="28" w:type="dxa"/>
                  </w:tcMar>
                  <w:vAlign w:val="center"/>
                </w:tcPr>
                <w:p w14:paraId="43DE2A43">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p>
              </w:tc>
              <w:tc>
                <w:tcPr>
                  <w:tcW w:w="330" w:type="pct"/>
                  <w:vMerge w:val="continue"/>
                  <w:noWrap w:val="0"/>
                  <w:tcMar>
                    <w:top w:w="0" w:type="dxa"/>
                    <w:left w:w="28" w:type="dxa"/>
                    <w:bottom w:w="0" w:type="dxa"/>
                    <w:right w:w="28" w:type="dxa"/>
                  </w:tcMar>
                  <w:vAlign w:val="center"/>
                </w:tcPr>
                <w:p w14:paraId="475484F5">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p>
              </w:tc>
              <w:tc>
                <w:tcPr>
                  <w:tcW w:w="312" w:type="pct"/>
                  <w:vMerge w:val="continue"/>
                  <w:noWrap w:val="0"/>
                  <w:tcMar>
                    <w:top w:w="0" w:type="dxa"/>
                    <w:left w:w="28" w:type="dxa"/>
                    <w:bottom w:w="0" w:type="dxa"/>
                    <w:right w:w="28" w:type="dxa"/>
                  </w:tcMar>
                  <w:vAlign w:val="center"/>
                </w:tcPr>
                <w:p w14:paraId="1221D75F">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p>
              </w:tc>
              <w:tc>
                <w:tcPr>
                  <w:tcW w:w="395" w:type="pct"/>
                  <w:vMerge w:val="continue"/>
                  <w:noWrap w:val="0"/>
                  <w:tcMar>
                    <w:top w:w="0" w:type="dxa"/>
                    <w:left w:w="28" w:type="dxa"/>
                    <w:bottom w:w="0" w:type="dxa"/>
                    <w:right w:w="28" w:type="dxa"/>
                  </w:tcMar>
                  <w:vAlign w:val="center"/>
                </w:tcPr>
                <w:p w14:paraId="6A617D92">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p>
              </w:tc>
              <w:tc>
                <w:tcPr>
                  <w:tcW w:w="728" w:type="pct"/>
                  <w:vMerge w:val="continue"/>
                  <w:noWrap w:val="0"/>
                  <w:tcMar>
                    <w:top w:w="0" w:type="dxa"/>
                    <w:left w:w="28" w:type="dxa"/>
                    <w:bottom w:w="0" w:type="dxa"/>
                    <w:right w:w="28" w:type="dxa"/>
                  </w:tcMar>
                  <w:vAlign w:val="center"/>
                </w:tcPr>
                <w:p w14:paraId="1500C5C9">
                  <w:pPr>
                    <w:keepNext w:val="0"/>
                    <w:keepLines w:val="0"/>
                    <w:pageBreakBefore w:val="0"/>
                    <w:widowControl w:val="0"/>
                    <w:kinsoku/>
                    <w:wordWrap/>
                    <w:overflowPunct/>
                    <w:topLinePunct w:val="0"/>
                    <w:autoSpaceDE/>
                    <w:autoSpaceDN/>
                    <w:bidi w:val="0"/>
                    <w:adjustRightInd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p>
              </w:tc>
            </w:tr>
            <w:tr w14:paraId="0853D10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2B78A9BD">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p>
              </w:tc>
              <w:tc>
                <w:tcPr>
                  <w:tcW w:w="814" w:type="pct"/>
                  <w:noWrap w:val="0"/>
                  <w:tcMar>
                    <w:top w:w="0" w:type="dxa"/>
                    <w:left w:w="28" w:type="dxa"/>
                    <w:bottom w:w="0" w:type="dxa"/>
                    <w:right w:w="28" w:type="dxa"/>
                  </w:tcMar>
                  <w:vAlign w:val="center"/>
                </w:tcPr>
                <w:p w14:paraId="64D8EF0D">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龙湾</w:t>
                  </w:r>
                </w:p>
              </w:tc>
              <w:tc>
                <w:tcPr>
                  <w:tcW w:w="1801" w:type="pct"/>
                  <w:noWrap w:val="0"/>
                  <w:tcMar>
                    <w:top w:w="0" w:type="dxa"/>
                    <w:left w:w="28" w:type="dxa"/>
                    <w:bottom w:w="0" w:type="dxa"/>
                    <w:right w:w="28" w:type="dxa"/>
                  </w:tcMar>
                  <w:vAlign w:val="center"/>
                </w:tcPr>
                <w:p w14:paraId="302E7A67">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E109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23</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29.24</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4C1B3D72">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w:t>
                  </w:r>
                </w:p>
              </w:tc>
              <w:tc>
                <w:tcPr>
                  <w:tcW w:w="330" w:type="pct"/>
                  <w:noWrap w:val="0"/>
                  <w:tcMar>
                    <w:top w:w="0" w:type="dxa"/>
                    <w:left w:w="28" w:type="dxa"/>
                    <w:bottom w:w="0" w:type="dxa"/>
                    <w:right w:w="28" w:type="dxa"/>
                  </w:tcMar>
                  <w:vAlign w:val="center"/>
                </w:tcPr>
                <w:p w14:paraId="51DD35A6">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678</w:t>
                  </w:r>
                </w:p>
              </w:tc>
              <w:tc>
                <w:tcPr>
                  <w:tcW w:w="312" w:type="pct"/>
                  <w:noWrap w:val="0"/>
                  <w:tcMar>
                    <w:top w:w="0" w:type="dxa"/>
                    <w:left w:w="28" w:type="dxa"/>
                    <w:bottom w:w="0" w:type="dxa"/>
                    <w:right w:w="28" w:type="dxa"/>
                  </w:tcMar>
                  <w:vAlign w:val="center"/>
                </w:tcPr>
                <w:p w14:paraId="4EA07907">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2205</w:t>
                  </w:r>
                </w:p>
              </w:tc>
              <w:tc>
                <w:tcPr>
                  <w:tcW w:w="395" w:type="pct"/>
                  <w:noWrap w:val="0"/>
                  <w:tcMar>
                    <w:top w:w="0" w:type="dxa"/>
                    <w:left w:w="28" w:type="dxa"/>
                    <w:bottom w:w="0" w:type="dxa"/>
                    <w:right w:w="28" w:type="dxa"/>
                  </w:tcMar>
                  <w:vAlign w:val="center"/>
                </w:tcPr>
                <w:p w14:paraId="67B807F8">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w:t>
                  </w:r>
                </w:p>
              </w:tc>
              <w:tc>
                <w:tcPr>
                  <w:tcW w:w="728" w:type="pct"/>
                  <w:vMerge w:val="continue"/>
                  <w:noWrap w:val="0"/>
                  <w:tcMar>
                    <w:top w:w="0" w:type="dxa"/>
                    <w:left w:w="28" w:type="dxa"/>
                    <w:bottom w:w="0" w:type="dxa"/>
                    <w:right w:w="28" w:type="dxa"/>
                  </w:tcMar>
                  <w:vAlign w:val="center"/>
                </w:tcPr>
                <w:p w14:paraId="63C84B0F">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p>
              </w:tc>
            </w:tr>
            <w:tr w14:paraId="5221E6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68" w:type="pct"/>
                  <w:vMerge w:val="continue"/>
                  <w:noWrap w:val="0"/>
                  <w:tcMar>
                    <w:top w:w="0" w:type="dxa"/>
                    <w:left w:w="28" w:type="dxa"/>
                    <w:bottom w:w="0" w:type="dxa"/>
                    <w:right w:w="28" w:type="dxa"/>
                  </w:tcMar>
                  <w:vAlign w:val="center"/>
                </w:tcPr>
                <w:p w14:paraId="517FA0B3">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p>
              </w:tc>
              <w:tc>
                <w:tcPr>
                  <w:tcW w:w="814" w:type="pct"/>
                  <w:noWrap w:val="0"/>
                  <w:tcMar>
                    <w:top w:w="0" w:type="dxa"/>
                    <w:left w:w="28" w:type="dxa"/>
                    <w:bottom w:w="0" w:type="dxa"/>
                    <w:right w:w="28" w:type="dxa"/>
                  </w:tcMar>
                  <w:vAlign w:val="center"/>
                </w:tcPr>
                <w:p w14:paraId="5FC31501">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大兴花园小区</w:t>
                  </w:r>
                </w:p>
              </w:tc>
              <w:tc>
                <w:tcPr>
                  <w:tcW w:w="1801" w:type="pct"/>
                  <w:noWrap w:val="0"/>
                  <w:tcMar>
                    <w:top w:w="0" w:type="dxa"/>
                    <w:left w:w="28" w:type="dxa"/>
                    <w:bottom w:w="0" w:type="dxa"/>
                    <w:right w:w="28" w:type="dxa"/>
                  </w:tcMar>
                  <w:vAlign w:val="center"/>
                </w:tcPr>
                <w:p w14:paraId="5CD3AFF8">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E</w:t>
                  </w:r>
                  <w:r>
                    <w:rPr>
                      <w:rFonts w:hint="default" w:ascii="Times New Roman" w:hAnsi="Times New Roman" w:eastAsia="宋体" w:cs="Times New Roman"/>
                      <w:color w:val="auto"/>
                      <w:kern w:val="2"/>
                      <w:sz w:val="21"/>
                      <w:szCs w:val="21"/>
                      <w:lang w:val="en-US" w:bidi="ar-SA"/>
                    </w:rPr>
                    <w:t>1</w:t>
                  </w:r>
                  <w:r>
                    <w:rPr>
                      <w:rFonts w:hint="default" w:ascii="Times New Roman" w:hAnsi="Times New Roman" w:eastAsia="宋体" w:cs="Times New Roman"/>
                      <w:color w:val="auto"/>
                      <w:kern w:val="2"/>
                      <w:sz w:val="21"/>
                      <w:szCs w:val="21"/>
                      <w:lang w:val="en-US" w:eastAsia="zh-CN" w:bidi="ar-SA"/>
                    </w:rPr>
                    <w:t>09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59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32</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67</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，N39</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48</w:t>
                  </w:r>
                  <w:r>
                    <w:rPr>
                      <w:rFonts w:hint="default" w:ascii="Times New Roman" w:hAnsi="Times New Roman" w:eastAsia="宋体" w:cs="Times New Roman"/>
                      <w:color w:val="auto"/>
                      <w:kern w:val="2"/>
                      <w:sz w:val="21"/>
                      <w:szCs w:val="21"/>
                      <w:lang w:val="en-US" w:bidi="ar-SA"/>
                    </w:rPr>
                    <w:t>′</w:t>
                  </w:r>
                  <w:r>
                    <w:rPr>
                      <w:rFonts w:hint="default" w:ascii="Times New Roman" w:hAnsi="Times New Roman" w:eastAsia="宋体" w:cs="Times New Roman"/>
                      <w:color w:val="auto"/>
                      <w:kern w:val="2"/>
                      <w:sz w:val="21"/>
                      <w:szCs w:val="21"/>
                      <w:lang w:val="en-US" w:eastAsia="zh-CN" w:bidi="ar-SA"/>
                    </w:rPr>
                    <w:t>35.63</w:t>
                  </w:r>
                  <w:r>
                    <w:rPr>
                      <w:rFonts w:hint="default" w:ascii="Times New Roman" w:hAnsi="Times New Roman" w:eastAsia="宋体" w:cs="Times New Roman"/>
                      <w:color w:val="auto"/>
                      <w:kern w:val="2"/>
                      <w:sz w:val="21"/>
                      <w:szCs w:val="21"/>
                      <w:lang w:val="en-US" w:bidi="ar-SA"/>
                    </w:rPr>
                    <w:t>″</w:t>
                  </w:r>
                </w:p>
              </w:tc>
              <w:tc>
                <w:tcPr>
                  <w:tcW w:w="248" w:type="pct"/>
                  <w:noWrap w:val="0"/>
                  <w:tcMar>
                    <w:top w:w="0" w:type="dxa"/>
                    <w:left w:w="28" w:type="dxa"/>
                    <w:bottom w:w="0" w:type="dxa"/>
                    <w:right w:w="28" w:type="dxa"/>
                  </w:tcMar>
                  <w:vAlign w:val="center"/>
                </w:tcPr>
                <w:p w14:paraId="03931FAE">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N</w:t>
                  </w:r>
                </w:p>
              </w:tc>
              <w:tc>
                <w:tcPr>
                  <w:tcW w:w="330" w:type="pct"/>
                  <w:noWrap w:val="0"/>
                  <w:tcMar>
                    <w:top w:w="0" w:type="dxa"/>
                    <w:left w:w="28" w:type="dxa"/>
                    <w:bottom w:w="0" w:type="dxa"/>
                    <w:right w:w="28" w:type="dxa"/>
                  </w:tcMar>
                  <w:vAlign w:val="center"/>
                </w:tcPr>
                <w:p w14:paraId="478B6902">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689</w:t>
                  </w:r>
                </w:p>
              </w:tc>
              <w:tc>
                <w:tcPr>
                  <w:tcW w:w="312" w:type="pct"/>
                  <w:noWrap w:val="0"/>
                  <w:tcMar>
                    <w:top w:w="0" w:type="dxa"/>
                    <w:left w:w="28" w:type="dxa"/>
                    <w:bottom w:w="0" w:type="dxa"/>
                    <w:right w:w="28" w:type="dxa"/>
                  </w:tcMar>
                  <w:vAlign w:val="center"/>
                </w:tcPr>
                <w:p w14:paraId="6F1E4ECD">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1728</w:t>
                  </w:r>
                </w:p>
              </w:tc>
              <w:tc>
                <w:tcPr>
                  <w:tcW w:w="395" w:type="pct"/>
                  <w:noWrap w:val="0"/>
                  <w:tcMar>
                    <w:top w:w="0" w:type="dxa"/>
                    <w:left w:w="28" w:type="dxa"/>
                    <w:bottom w:w="0" w:type="dxa"/>
                    <w:right w:w="28" w:type="dxa"/>
                  </w:tcMar>
                  <w:vAlign w:val="center"/>
                </w:tcPr>
                <w:p w14:paraId="6F75EB93">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27</w:t>
                  </w:r>
                </w:p>
              </w:tc>
              <w:tc>
                <w:tcPr>
                  <w:tcW w:w="728" w:type="pct"/>
                  <w:vMerge w:val="continue"/>
                  <w:noWrap w:val="0"/>
                  <w:tcMar>
                    <w:top w:w="0" w:type="dxa"/>
                    <w:left w:w="28" w:type="dxa"/>
                    <w:bottom w:w="0" w:type="dxa"/>
                    <w:right w:w="28" w:type="dxa"/>
                  </w:tcMar>
                  <w:vAlign w:val="center"/>
                </w:tcPr>
                <w:p w14:paraId="4ECE8B48">
                  <w:pPr>
                    <w:keepNext w:val="0"/>
                    <w:keepLines w:val="0"/>
                    <w:pageBreakBefore w:val="0"/>
                    <w:widowControl w:val="0"/>
                    <w:kinsoku/>
                    <w:wordWrap/>
                    <w:overflowPunct/>
                    <w:topLinePunct w:val="0"/>
                    <w:autoSpaceDE/>
                    <w:autoSpaceDN/>
                    <w:bidi w:val="0"/>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bidi="ar-SA"/>
                    </w:rPr>
                  </w:pPr>
                </w:p>
              </w:tc>
            </w:tr>
          </w:tbl>
          <w:p w14:paraId="590C09E8">
            <w:pPr>
              <w:spacing w:line="520" w:lineRule="exact"/>
              <w:rPr>
                <w:rFonts w:ascii="Times New Roman" w:hAnsi="Times New Roman" w:cs="Times New Roman"/>
                <w:color w:val="auto"/>
                <w:sz w:val="24"/>
                <w:szCs w:val="24"/>
                <w:lang w:val="en-US"/>
              </w:rPr>
            </w:pPr>
          </w:p>
        </w:tc>
      </w:tr>
      <w:tr w14:paraId="5C72A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trPr>
        <w:tc>
          <w:tcPr>
            <w:tcW w:w="663" w:type="dxa"/>
            <w:tcBorders>
              <w:right w:val="single" w:color="000000" w:sz="4" w:space="0"/>
            </w:tcBorders>
            <w:noWrap w:val="0"/>
            <w:vAlign w:val="center"/>
          </w:tcPr>
          <w:p w14:paraId="56CE51C4">
            <w:pPr>
              <w:pStyle w:val="45"/>
              <w:spacing w:line="520" w:lineRule="exact"/>
              <w:jc w:val="center"/>
              <w:rPr>
                <w:rFonts w:ascii="Times New Roman" w:hAnsi="Times New Roman" w:cs="Times New Roman"/>
                <w:color w:val="auto"/>
                <w:spacing w:val="-2"/>
                <w:sz w:val="24"/>
                <w:szCs w:val="24"/>
                <w:lang w:val="en-US"/>
              </w:rPr>
            </w:pPr>
            <w:r>
              <w:rPr>
                <w:rFonts w:hint="eastAsia" w:ascii="Times New Roman" w:hAnsi="Times New Roman" w:cs="Times New Roman"/>
                <w:color w:val="auto"/>
                <w:spacing w:val="-2"/>
                <w:sz w:val="24"/>
                <w:szCs w:val="24"/>
                <w:lang w:val="en-US"/>
              </w:rPr>
              <w:t>污染物排放控制标准</w:t>
            </w:r>
          </w:p>
        </w:tc>
        <w:tc>
          <w:tcPr>
            <w:tcW w:w="8280" w:type="dxa"/>
            <w:tcBorders>
              <w:left w:val="single" w:color="000000" w:sz="4" w:space="0"/>
            </w:tcBorders>
            <w:noWrap w:val="0"/>
            <w:vAlign w:val="top"/>
          </w:tcPr>
          <w:p w14:paraId="6341A8D8">
            <w:pPr>
              <w:keepNext w:val="0"/>
              <w:keepLines/>
              <w:pageBreakBefore w:val="0"/>
              <w:widowControl w:val="0"/>
              <w:numPr>
                <w:ilvl w:val="0"/>
                <w:numId w:val="0"/>
              </w:numPr>
              <w:kinsoku/>
              <w:wordWrap/>
              <w:overflowPunct/>
              <w:topLinePunct/>
              <w:autoSpaceDE/>
              <w:autoSpaceDN/>
              <w:bidi w:val="0"/>
              <w:adjustRightInd/>
              <w:snapToGrid/>
              <w:spacing w:line="520" w:lineRule="exact"/>
              <w:ind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施工期大气污染物执行《大气污染物综合排放标准》（GB16297-1996）表2中无组织排放监控浓度限值；运营期氨、硫化氢、臭气浓度、氯气、甲烷排放浓度执行《医疗机构水污染物排放标准》（GB18466-2005）表3污水处理站周边大气污染物最高允许浓度标准限值，具体见下表。</w:t>
            </w:r>
          </w:p>
          <w:p w14:paraId="2F784EE7">
            <w:pPr>
              <w:keepNext w:val="0"/>
              <w:keepLines w:val="0"/>
              <w:pageBreakBefore w:val="0"/>
              <w:widowControl w:val="0"/>
              <w:kinsoku w:val="0"/>
              <w:wordWrap/>
              <w:overflowPunct w:val="0"/>
              <w:topLinePunct w:val="0"/>
              <w:autoSpaceDE w:val="0"/>
              <w:autoSpaceDN w:val="0"/>
              <w:bidi w:val="0"/>
              <w:adjustRightInd w:val="0"/>
              <w:snapToGrid w:val="0"/>
              <w:spacing w:before="157" w:beforeLines="50"/>
              <w:jc w:val="center"/>
              <w:textAlignment w:val="auto"/>
              <w:rPr>
                <w:rFonts w:hint="default" w:ascii="Times New Roman" w:hAnsi="Times New Roman" w:eastAsia="宋体" w:cs="Times New Roman"/>
                <w:b/>
                <w:bCs/>
                <w:caps w:val="0"/>
                <w:color w:val="auto"/>
                <w:sz w:val="24"/>
                <w:szCs w:val="24"/>
              </w:rPr>
            </w:pPr>
          </w:p>
          <w:p w14:paraId="417E7CE1">
            <w:pPr>
              <w:keepNext w:val="0"/>
              <w:keepLines w:val="0"/>
              <w:pageBreakBefore w:val="0"/>
              <w:widowControl w:val="0"/>
              <w:kinsoku w:val="0"/>
              <w:wordWrap/>
              <w:overflowPunct w:val="0"/>
              <w:topLinePunct w:val="0"/>
              <w:autoSpaceDE w:val="0"/>
              <w:autoSpaceDN w:val="0"/>
              <w:bidi w:val="0"/>
              <w:adjustRightInd w:val="0"/>
              <w:snapToGrid w:val="0"/>
              <w:spacing w:before="157" w:beforeLines="50"/>
              <w:jc w:val="center"/>
              <w:textAlignment w:val="auto"/>
              <w:rPr>
                <w:rFonts w:hint="default" w:ascii="Times New Roman" w:hAnsi="Times New Roman" w:eastAsia="宋体" w:cs="Times New Roman"/>
                <w:color w:val="auto"/>
                <w:lang w:eastAsia="zh-CN"/>
              </w:rPr>
            </w:pPr>
            <w:r>
              <w:rPr>
                <w:rFonts w:hint="default" w:ascii="Times New Roman" w:hAnsi="Times New Roman" w:eastAsia="宋体" w:cs="Times New Roman"/>
                <w:b/>
                <w:bCs/>
                <w:caps w:val="0"/>
                <w:color w:val="auto"/>
                <w:sz w:val="24"/>
                <w:szCs w:val="24"/>
              </w:rPr>
              <w:t>表</w:t>
            </w:r>
            <w:r>
              <w:rPr>
                <w:rFonts w:hint="default" w:ascii="Times New Roman" w:hAnsi="Times New Roman" w:eastAsia="宋体" w:cs="Times New Roman"/>
                <w:b/>
                <w:bCs/>
                <w:caps w:val="0"/>
                <w:color w:val="auto"/>
                <w:sz w:val="24"/>
                <w:szCs w:val="24"/>
                <w:lang w:val="en-US" w:eastAsia="zh-CN"/>
              </w:rPr>
              <w:t>3-</w:t>
            </w:r>
            <w:r>
              <w:rPr>
                <w:rFonts w:hint="eastAsia" w:ascii="Times New Roman" w:hAnsi="Times New Roman" w:cs="Times New Roman"/>
                <w:b/>
                <w:bCs/>
                <w:caps w:val="0"/>
                <w:color w:val="auto"/>
                <w:sz w:val="24"/>
                <w:szCs w:val="24"/>
                <w:lang w:val="en-US" w:eastAsia="zh-CN"/>
              </w:rPr>
              <w:t>3</w:t>
            </w:r>
            <w:r>
              <w:rPr>
                <w:rFonts w:hint="eastAsia" w:ascii="Times New Roman" w:hAnsi="Times New Roman" w:eastAsia="宋体" w:cs="Times New Roman"/>
                <w:b/>
                <w:bCs/>
                <w:caps w:val="0"/>
                <w:color w:val="auto"/>
                <w:sz w:val="24"/>
                <w:szCs w:val="24"/>
                <w:lang w:val="en-US" w:eastAsia="zh-CN"/>
              </w:rPr>
              <w:t xml:space="preserve">       施工期</w:t>
            </w:r>
            <w:r>
              <w:rPr>
                <w:rFonts w:hint="default" w:ascii="Times New Roman" w:hAnsi="Times New Roman" w:eastAsia="宋体" w:cs="Times New Roman"/>
                <w:b/>
                <w:bCs/>
                <w:caps w:val="0"/>
                <w:color w:val="auto"/>
                <w:sz w:val="24"/>
                <w:szCs w:val="24"/>
                <w:lang w:eastAsia="zh-CN"/>
              </w:rPr>
              <w:t>无组织排放限值</w:t>
            </w:r>
          </w:p>
          <w:tbl>
            <w:tblPr>
              <w:tblStyle w:val="20"/>
              <w:tblW w:w="495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60"/>
              <w:gridCol w:w="1761"/>
              <w:gridCol w:w="4804"/>
            </w:tblGrid>
            <w:tr w14:paraId="0AC67A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70" w:type="dxa"/>
                  <w:tcBorders>
                    <w:tl2br w:val="nil"/>
                    <w:tr2bl w:val="nil"/>
                  </w:tcBorders>
                  <w:noWrap w:val="0"/>
                  <w:vAlign w:val="center"/>
                </w:tcPr>
                <w:p w14:paraId="72D88074">
                  <w:pPr>
                    <w:pStyle w:val="45"/>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default" w:ascii="Times New Roman" w:hAnsi="Times New Roman" w:eastAsia="宋体" w:cs="Times New Roman"/>
                      <w:b/>
                      <w:bCs/>
                      <w:caps w:val="0"/>
                      <w:color w:val="auto"/>
                      <w:sz w:val="21"/>
                      <w:szCs w:val="21"/>
                    </w:rPr>
                  </w:pPr>
                  <w:r>
                    <w:rPr>
                      <w:rFonts w:hint="default" w:ascii="Times New Roman" w:hAnsi="Times New Roman" w:eastAsia="宋体" w:cs="Times New Roman"/>
                      <w:b/>
                      <w:bCs/>
                      <w:color w:val="auto"/>
                      <w:sz w:val="21"/>
                    </w:rPr>
                    <w:t>序号</w:t>
                  </w:r>
                </w:p>
              </w:tc>
              <w:tc>
                <w:tcPr>
                  <w:tcW w:w="1970" w:type="dxa"/>
                  <w:tcBorders>
                    <w:tl2br w:val="nil"/>
                    <w:tr2bl w:val="nil"/>
                  </w:tcBorders>
                  <w:noWrap w:val="0"/>
                  <w:vAlign w:val="center"/>
                </w:tcPr>
                <w:p w14:paraId="3BE916B6">
                  <w:pPr>
                    <w:pStyle w:val="45"/>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default" w:ascii="Times New Roman" w:hAnsi="Times New Roman" w:eastAsia="宋体" w:cs="Times New Roman"/>
                      <w:b/>
                      <w:bCs/>
                      <w:caps w:val="0"/>
                      <w:color w:val="auto"/>
                      <w:sz w:val="21"/>
                      <w:szCs w:val="21"/>
                    </w:rPr>
                  </w:pPr>
                  <w:r>
                    <w:rPr>
                      <w:rFonts w:hint="default" w:ascii="Times New Roman" w:hAnsi="Times New Roman" w:eastAsia="宋体" w:cs="Times New Roman"/>
                      <w:b/>
                      <w:bCs/>
                      <w:color w:val="auto"/>
                      <w:sz w:val="21"/>
                    </w:rPr>
                    <w:t>污染物项目</w:t>
                  </w:r>
                </w:p>
              </w:tc>
              <w:tc>
                <w:tcPr>
                  <w:tcW w:w="5438" w:type="dxa"/>
                  <w:tcBorders>
                    <w:tl2br w:val="nil"/>
                    <w:tr2bl w:val="nil"/>
                  </w:tcBorders>
                  <w:noWrap w:val="0"/>
                  <w:vAlign w:val="center"/>
                </w:tcPr>
                <w:p w14:paraId="5EE573B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b/>
                      <w:caps w:val="0"/>
                      <w:color w:val="auto"/>
                      <w:sz w:val="21"/>
                      <w:szCs w:val="21"/>
                    </w:rPr>
                  </w:pPr>
                  <w:r>
                    <w:rPr>
                      <w:rFonts w:hint="default" w:ascii="Times New Roman" w:hAnsi="Times New Roman" w:eastAsia="宋体" w:cs="Times New Roman"/>
                      <w:b/>
                      <w:caps w:val="0"/>
                      <w:color w:val="auto"/>
                      <w:sz w:val="21"/>
                      <w:szCs w:val="21"/>
                      <w:lang w:eastAsia="zh-CN"/>
                    </w:rPr>
                    <w:t>无</w:t>
                  </w:r>
                  <w:r>
                    <w:rPr>
                      <w:rFonts w:hint="default" w:ascii="Times New Roman" w:hAnsi="Times New Roman" w:eastAsia="宋体" w:cs="Times New Roman"/>
                      <w:b/>
                      <w:caps w:val="0"/>
                      <w:color w:val="auto"/>
                      <w:sz w:val="21"/>
                      <w:szCs w:val="21"/>
                    </w:rPr>
                    <w:t>组织排放周界外浓度最高点（mg/m</w:t>
                  </w:r>
                  <w:r>
                    <w:rPr>
                      <w:rFonts w:hint="default" w:ascii="Times New Roman" w:hAnsi="Times New Roman" w:eastAsia="宋体" w:cs="Times New Roman"/>
                      <w:b/>
                      <w:caps w:val="0"/>
                      <w:color w:val="auto"/>
                      <w:sz w:val="21"/>
                      <w:szCs w:val="21"/>
                      <w:vertAlign w:val="superscript"/>
                    </w:rPr>
                    <w:t>3</w:t>
                  </w:r>
                  <w:r>
                    <w:rPr>
                      <w:rFonts w:hint="default" w:ascii="Times New Roman" w:hAnsi="Times New Roman" w:eastAsia="宋体" w:cs="Times New Roman"/>
                      <w:b/>
                      <w:caps w:val="0"/>
                      <w:color w:val="auto"/>
                      <w:sz w:val="21"/>
                      <w:szCs w:val="21"/>
                    </w:rPr>
                    <w:t>）</w:t>
                  </w:r>
                </w:p>
              </w:tc>
            </w:tr>
            <w:tr w14:paraId="4191B3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70" w:type="dxa"/>
                  <w:tcBorders>
                    <w:tl2br w:val="nil"/>
                    <w:tr2bl w:val="nil"/>
                  </w:tcBorders>
                  <w:noWrap w:val="0"/>
                  <w:vAlign w:val="center"/>
                </w:tcPr>
                <w:p w14:paraId="734E6A15">
                  <w:pPr>
                    <w:pStyle w:val="53"/>
                    <w:keepNext w:val="0"/>
                    <w:keepLines w:val="0"/>
                    <w:pageBreakBefore w:val="0"/>
                    <w:widowControl w:val="0"/>
                    <w:kinsoku/>
                    <w:wordWrap/>
                    <w:overflowPunct/>
                    <w:topLinePunct w:val="0"/>
                    <w:autoSpaceDE/>
                    <w:autoSpaceDN/>
                    <w:bidi w:val="0"/>
                    <w:spacing w:line="360" w:lineRule="exact"/>
                    <w:ind w:left="0" w:lef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w:t>
                  </w:r>
                </w:p>
              </w:tc>
              <w:tc>
                <w:tcPr>
                  <w:tcW w:w="1970" w:type="dxa"/>
                  <w:tcBorders>
                    <w:tl2br w:val="nil"/>
                    <w:tr2bl w:val="nil"/>
                  </w:tcBorders>
                  <w:noWrap w:val="0"/>
                  <w:vAlign w:val="center"/>
                </w:tcPr>
                <w:p w14:paraId="4F520B93">
                  <w:pPr>
                    <w:pStyle w:val="53"/>
                    <w:keepNext w:val="0"/>
                    <w:keepLines w:val="0"/>
                    <w:pageBreakBefore w:val="0"/>
                    <w:widowControl w:val="0"/>
                    <w:kinsoku/>
                    <w:wordWrap/>
                    <w:overflowPunct/>
                    <w:topLinePunct w:val="0"/>
                    <w:autoSpaceDE/>
                    <w:autoSpaceDN/>
                    <w:bidi w:val="0"/>
                    <w:spacing w:line="360" w:lineRule="exact"/>
                    <w:ind w:left="0" w:leftChars="0" w:firstLine="0" w:firstLineChars="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总悬浮颗</w:t>
                  </w:r>
                  <w:r>
                    <w:rPr>
                      <w:rFonts w:hint="eastAsia" w:ascii="Times New Roman" w:hAnsi="Times New Roman" w:eastAsia="宋体" w:cs="Times New Roman"/>
                      <w:color w:val="auto"/>
                      <w:sz w:val="21"/>
                      <w:szCs w:val="21"/>
                      <w:lang w:eastAsia="zh-CN"/>
                    </w:rPr>
                    <w:t>粒</w:t>
                  </w:r>
                  <w:r>
                    <w:rPr>
                      <w:rFonts w:hint="default" w:ascii="Times New Roman" w:hAnsi="Times New Roman" w:eastAsia="宋体" w:cs="Times New Roman"/>
                      <w:color w:val="auto"/>
                      <w:sz w:val="21"/>
                      <w:szCs w:val="21"/>
                    </w:rPr>
                    <w:t>物</w:t>
                  </w:r>
                </w:p>
              </w:tc>
              <w:tc>
                <w:tcPr>
                  <w:tcW w:w="5438" w:type="dxa"/>
                  <w:tcBorders>
                    <w:tl2br w:val="nil"/>
                    <w:tr2bl w:val="nil"/>
                  </w:tcBorders>
                  <w:noWrap w:val="0"/>
                  <w:vAlign w:val="center"/>
                </w:tcPr>
                <w:p w14:paraId="198DD66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aps w:val="0"/>
                      <w:color w:val="auto"/>
                      <w:sz w:val="21"/>
                      <w:szCs w:val="21"/>
                      <w:lang w:val="en-US" w:eastAsia="zh-CN"/>
                    </w:rPr>
                  </w:pPr>
                  <w:r>
                    <w:rPr>
                      <w:rFonts w:hint="default" w:ascii="Times New Roman" w:hAnsi="Times New Roman" w:eastAsia="宋体" w:cs="Times New Roman"/>
                      <w:caps w:val="0"/>
                      <w:color w:val="auto"/>
                      <w:sz w:val="21"/>
                      <w:szCs w:val="21"/>
                      <w:lang w:val="en-US" w:eastAsia="zh-CN"/>
                    </w:rPr>
                    <w:t>1.0</w:t>
                  </w:r>
                </w:p>
              </w:tc>
            </w:tr>
          </w:tbl>
          <w:p w14:paraId="0D6556E8">
            <w:pPr>
              <w:keepLines/>
              <w:numPr>
                <w:ilvl w:val="0"/>
                <w:numId w:val="0"/>
              </w:numPr>
              <w:topLinePunct/>
              <w:autoSpaceDE/>
              <w:autoSpaceDN/>
              <w:spacing w:line="500" w:lineRule="exact"/>
              <w:jc w:val="center"/>
              <w:rPr>
                <w:rFonts w:hint="default" w:ascii="Times New Roman" w:hAnsi="Times New Roman" w:eastAsia="宋体" w:cs="Times New Roman"/>
                <w:b/>
                <w:bCs/>
                <w:color w:val="auto"/>
                <w:sz w:val="24"/>
                <w:szCs w:val="24"/>
                <w:lang w:val="en-US"/>
              </w:rPr>
            </w:pPr>
            <w:r>
              <w:rPr>
                <w:rFonts w:hint="default" w:ascii="Times New Roman" w:hAnsi="Times New Roman" w:eastAsia="宋体" w:cs="Times New Roman"/>
                <w:b/>
                <w:bCs/>
                <w:color w:val="auto"/>
                <w:sz w:val="24"/>
                <w:szCs w:val="24"/>
                <w:lang w:val="en-US"/>
              </w:rPr>
              <w:t>表</w:t>
            </w:r>
            <w:r>
              <w:rPr>
                <w:rFonts w:hint="default" w:ascii="Times New Roman" w:hAnsi="Times New Roman" w:eastAsia="宋体" w:cs="Times New Roman"/>
                <w:b/>
                <w:bCs/>
                <w:color w:val="auto"/>
                <w:sz w:val="24"/>
                <w:szCs w:val="24"/>
                <w:lang w:val="en-US" w:eastAsia="zh-CN"/>
              </w:rPr>
              <w:t>3-</w:t>
            </w:r>
            <w:r>
              <w:rPr>
                <w:rFonts w:hint="eastAsia" w:ascii="Times New Roman" w:hAnsi="Times New Roman" w:cs="Times New Roman"/>
                <w:b/>
                <w:bCs/>
                <w:color w:val="auto"/>
                <w:sz w:val="24"/>
                <w:szCs w:val="24"/>
                <w:lang w:val="en-US" w:eastAsia="zh-CN"/>
              </w:rPr>
              <w:t>4</w:t>
            </w:r>
            <w:r>
              <w:rPr>
                <w:rFonts w:hint="eastAsia" w:ascii="Times New Roman" w:hAnsi="Times New Roman" w:eastAsia="宋体" w:cs="Times New Roman"/>
                <w:b/>
                <w:bCs/>
                <w:color w:val="auto"/>
                <w:sz w:val="24"/>
                <w:szCs w:val="24"/>
                <w:lang w:val="en-US" w:eastAsia="zh-CN"/>
              </w:rPr>
              <w:t xml:space="preserve">       运营期</w:t>
            </w:r>
            <w:r>
              <w:rPr>
                <w:rFonts w:hint="default" w:ascii="Times New Roman" w:hAnsi="Times New Roman" w:eastAsia="宋体" w:cs="Times New Roman"/>
                <w:b/>
                <w:bCs/>
                <w:color w:val="auto"/>
                <w:sz w:val="24"/>
                <w:szCs w:val="24"/>
                <w:lang w:val="en-US" w:eastAsia="zh-CN"/>
              </w:rPr>
              <w:t>废气排放限值</w:t>
            </w:r>
          </w:p>
          <w:tbl>
            <w:tblPr>
              <w:tblStyle w:val="21"/>
              <w:tblW w:w="489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871"/>
              <w:gridCol w:w="872"/>
              <w:gridCol w:w="1575"/>
              <w:gridCol w:w="867"/>
              <w:gridCol w:w="2331"/>
            </w:tblGrid>
            <w:tr w14:paraId="61EB20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06" w:type="dxa"/>
                  <w:vMerge w:val="restart"/>
                  <w:tcBorders>
                    <w:tl2br w:val="nil"/>
                    <w:tr2bl w:val="nil"/>
                  </w:tcBorders>
                  <w:noWrap w:val="0"/>
                  <w:vAlign w:val="center"/>
                </w:tcPr>
                <w:p w14:paraId="7D2B164D">
                  <w:pPr>
                    <w:pStyle w:val="45"/>
                    <w:keepNext w:val="0"/>
                    <w:keepLines w:val="0"/>
                    <w:pageBreakBefore w:val="0"/>
                    <w:widowControl w:val="0"/>
                    <w:kinsoku/>
                    <w:wordWrap/>
                    <w:overflowPunct/>
                    <w:topLinePunct w:val="0"/>
                    <w:autoSpaceDE/>
                    <w:autoSpaceDN/>
                    <w:bidi w:val="0"/>
                    <w:adjustRightInd w:val="0"/>
                    <w:snapToGrid w:val="0"/>
                    <w:spacing w:line="360" w:lineRule="atLeast"/>
                    <w:ind w:left="0" w:right="0"/>
                    <w:jc w:val="center"/>
                    <w:textAlignment w:val="auto"/>
                    <w:rPr>
                      <w:rFonts w:hint="default" w:ascii="Times New Roman" w:hAnsi="Times New Roman" w:eastAsia="宋体" w:cs="Times New Roman"/>
                      <w:b/>
                      <w:bCs/>
                      <w:color w:val="auto"/>
                      <w:kern w:val="0"/>
                      <w:sz w:val="21"/>
                      <w:szCs w:val="21"/>
                      <w:vertAlign w:val="baseline"/>
                      <w:lang w:eastAsia="zh-CN"/>
                    </w:rPr>
                  </w:pPr>
                  <w:r>
                    <w:rPr>
                      <w:rFonts w:hint="default" w:ascii="Times New Roman" w:hAnsi="Times New Roman" w:eastAsia="宋体" w:cs="Times New Roman"/>
                      <w:b/>
                      <w:bCs/>
                      <w:color w:val="auto"/>
                      <w:sz w:val="21"/>
                    </w:rPr>
                    <w:t>生产过程</w:t>
                  </w:r>
                </w:p>
              </w:tc>
              <w:tc>
                <w:tcPr>
                  <w:tcW w:w="6514" w:type="dxa"/>
                  <w:gridSpan w:val="5"/>
                  <w:tcBorders>
                    <w:tl2br w:val="nil"/>
                    <w:tr2bl w:val="nil"/>
                  </w:tcBorders>
                  <w:noWrap w:val="0"/>
                  <w:vAlign w:val="center"/>
                </w:tcPr>
                <w:p w14:paraId="2E531440">
                  <w:pPr>
                    <w:pStyle w:val="45"/>
                    <w:keepNext w:val="0"/>
                    <w:keepLines w:val="0"/>
                    <w:pageBreakBefore w:val="0"/>
                    <w:widowControl w:val="0"/>
                    <w:kinsoku/>
                    <w:wordWrap/>
                    <w:overflowPunct/>
                    <w:topLinePunct w:val="0"/>
                    <w:autoSpaceDE/>
                    <w:autoSpaceDN/>
                    <w:bidi w:val="0"/>
                    <w:adjustRightInd w:val="0"/>
                    <w:snapToGrid w:val="0"/>
                    <w:spacing w:line="360" w:lineRule="atLeast"/>
                    <w:ind w:left="0" w:right="0"/>
                    <w:jc w:val="center"/>
                    <w:textAlignment w:val="auto"/>
                    <w:rPr>
                      <w:rFonts w:hint="default" w:ascii="Times New Roman" w:hAnsi="Times New Roman" w:eastAsia="宋体" w:cs="Times New Roman"/>
                      <w:b/>
                      <w:bCs/>
                      <w:color w:val="auto"/>
                      <w:position w:val="2"/>
                      <w:sz w:val="21"/>
                    </w:rPr>
                  </w:pPr>
                  <w:r>
                    <w:rPr>
                      <w:rFonts w:hint="default" w:ascii="Times New Roman" w:hAnsi="Times New Roman" w:eastAsia="宋体" w:cs="Times New Roman"/>
                      <w:b/>
                      <w:bCs/>
                      <w:color w:val="auto"/>
                      <w:position w:val="2"/>
                      <w:sz w:val="21"/>
                    </w:rPr>
                    <w:t>最高允许排放浓度 (mg/m</w:t>
                  </w:r>
                  <w:r>
                    <w:rPr>
                      <w:rFonts w:hint="default" w:ascii="Times New Roman" w:hAnsi="Times New Roman" w:eastAsia="宋体" w:cs="Times New Roman"/>
                      <w:b/>
                      <w:bCs/>
                      <w:color w:val="auto"/>
                      <w:position w:val="2"/>
                      <w:sz w:val="21"/>
                      <w:vertAlign w:val="superscript"/>
                    </w:rPr>
                    <w:t>3</w:t>
                  </w:r>
                  <w:r>
                    <w:rPr>
                      <w:rFonts w:hint="default" w:ascii="Times New Roman" w:hAnsi="Times New Roman" w:eastAsia="宋体" w:cs="Times New Roman"/>
                      <w:b/>
                      <w:bCs/>
                      <w:color w:val="auto"/>
                      <w:position w:val="2"/>
                      <w:sz w:val="21"/>
                      <w:vertAlign w:val="baseline"/>
                    </w:rPr>
                    <w:t>)</w:t>
                  </w:r>
                </w:p>
              </w:tc>
            </w:tr>
            <w:tr w14:paraId="1AA8EF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06" w:type="dxa"/>
                  <w:vMerge w:val="continue"/>
                  <w:tcBorders>
                    <w:tl2br w:val="nil"/>
                    <w:tr2bl w:val="nil"/>
                  </w:tcBorders>
                  <w:noWrap w:val="0"/>
                  <w:vAlign w:val="center"/>
                </w:tcPr>
                <w:p w14:paraId="6ACAEB3C">
                  <w:pPr>
                    <w:keepNext w:val="0"/>
                    <w:keepLines w:val="0"/>
                    <w:pageBreakBefore w:val="0"/>
                    <w:widowControl w:val="0"/>
                    <w:kinsoku/>
                    <w:wordWrap/>
                    <w:overflowPunct/>
                    <w:topLinePunct w:val="0"/>
                    <w:autoSpaceDE/>
                    <w:autoSpaceDN/>
                    <w:bidi w:val="0"/>
                    <w:adjustRightInd w:val="0"/>
                    <w:snapToGrid w:val="0"/>
                    <w:spacing w:line="360" w:lineRule="atLeast"/>
                    <w:ind w:left="0" w:right="0"/>
                    <w:jc w:val="center"/>
                    <w:textAlignment w:val="auto"/>
                    <w:rPr>
                      <w:rFonts w:hint="default" w:ascii="Times New Roman" w:hAnsi="Times New Roman" w:eastAsia="宋体" w:cs="Times New Roman"/>
                      <w:color w:val="auto"/>
                      <w:kern w:val="0"/>
                      <w:sz w:val="21"/>
                      <w:szCs w:val="21"/>
                      <w:vertAlign w:val="baseline"/>
                      <w:lang w:eastAsia="zh-CN"/>
                    </w:rPr>
                  </w:pPr>
                </w:p>
              </w:tc>
              <w:tc>
                <w:tcPr>
                  <w:tcW w:w="870" w:type="dxa"/>
                  <w:tcBorders>
                    <w:tl2br w:val="nil"/>
                    <w:tr2bl w:val="nil"/>
                  </w:tcBorders>
                  <w:noWrap w:val="0"/>
                  <w:vAlign w:val="center"/>
                </w:tcPr>
                <w:p w14:paraId="4E14D060">
                  <w:pPr>
                    <w:pStyle w:val="45"/>
                    <w:keepNext w:val="0"/>
                    <w:keepLines w:val="0"/>
                    <w:pageBreakBefore w:val="0"/>
                    <w:widowControl w:val="0"/>
                    <w:kinsoku/>
                    <w:wordWrap/>
                    <w:overflowPunct/>
                    <w:topLinePunct w:val="0"/>
                    <w:autoSpaceDE/>
                    <w:autoSpaceDN/>
                    <w:bidi w:val="0"/>
                    <w:adjustRightInd w:val="0"/>
                    <w:snapToGrid w:val="0"/>
                    <w:spacing w:line="360" w:lineRule="atLeast"/>
                    <w:ind w:left="0" w:right="0" w:rightChars="0"/>
                    <w:jc w:val="center"/>
                    <w:textAlignment w:val="auto"/>
                    <w:rPr>
                      <w:rFonts w:hint="default" w:ascii="Times New Roman" w:hAnsi="Times New Roman" w:eastAsia="宋体" w:cs="Times New Roman"/>
                      <w:b/>
                      <w:bCs/>
                      <w:color w:val="auto"/>
                      <w:kern w:val="0"/>
                      <w:sz w:val="21"/>
                      <w:szCs w:val="21"/>
                      <w:vertAlign w:val="baseline"/>
                      <w:lang w:eastAsia="zh-CN"/>
                    </w:rPr>
                  </w:pPr>
                  <w:r>
                    <w:rPr>
                      <w:rFonts w:hint="default" w:ascii="Times New Roman" w:hAnsi="Times New Roman" w:eastAsia="宋体" w:cs="Times New Roman"/>
                      <w:b/>
                      <w:bCs/>
                      <w:color w:val="auto"/>
                      <w:kern w:val="0"/>
                      <w:sz w:val="21"/>
                      <w:szCs w:val="21"/>
                      <w:vertAlign w:val="baseline"/>
                      <w:lang w:eastAsia="zh-CN"/>
                    </w:rPr>
                    <w:t>氨</w:t>
                  </w:r>
                </w:p>
              </w:tc>
              <w:tc>
                <w:tcPr>
                  <w:tcW w:w="870" w:type="dxa"/>
                  <w:tcBorders>
                    <w:tl2br w:val="nil"/>
                    <w:tr2bl w:val="nil"/>
                  </w:tcBorders>
                  <w:noWrap w:val="0"/>
                  <w:vAlign w:val="center"/>
                </w:tcPr>
                <w:p w14:paraId="7111586B">
                  <w:pPr>
                    <w:pStyle w:val="45"/>
                    <w:keepNext w:val="0"/>
                    <w:keepLines w:val="0"/>
                    <w:pageBreakBefore w:val="0"/>
                    <w:widowControl w:val="0"/>
                    <w:kinsoku/>
                    <w:wordWrap/>
                    <w:overflowPunct/>
                    <w:topLinePunct w:val="0"/>
                    <w:autoSpaceDE/>
                    <w:autoSpaceDN/>
                    <w:bidi w:val="0"/>
                    <w:adjustRightInd w:val="0"/>
                    <w:snapToGrid w:val="0"/>
                    <w:spacing w:line="360" w:lineRule="atLeast"/>
                    <w:ind w:left="0" w:right="0" w:rightChars="0"/>
                    <w:jc w:val="center"/>
                    <w:textAlignment w:val="auto"/>
                    <w:rPr>
                      <w:rFonts w:hint="eastAsia" w:ascii="Times New Roman" w:hAnsi="Times New Roman" w:eastAsia="宋体" w:cs="Times New Roman"/>
                      <w:b/>
                      <w:bCs/>
                      <w:color w:val="auto"/>
                      <w:kern w:val="0"/>
                      <w:sz w:val="21"/>
                      <w:szCs w:val="21"/>
                      <w:vertAlign w:val="baseline"/>
                      <w:lang w:eastAsia="zh-CN"/>
                    </w:rPr>
                  </w:pPr>
                  <w:r>
                    <w:rPr>
                      <w:rFonts w:hint="default" w:ascii="Times New Roman" w:hAnsi="Times New Roman" w:eastAsia="宋体" w:cs="Times New Roman"/>
                      <w:b/>
                      <w:bCs/>
                      <w:color w:val="auto"/>
                      <w:kern w:val="0"/>
                      <w:sz w:val="21"/>
                      <w:szCs w:val="21"/>
                      <w:vertAlign w:val="baseline"/>
                      <w:lang w:eastAsia="zh-CN"/>
                    </w:rPr>
                    <w:t>硫化氢</w:t>
                  </w:r>
                </w:p>
              </w:tc>
              <w:tc>
                <w:tcPr>
                  <w:tcW w:w="1575" w:type="dxa"/>
                  <w:tcBorders>
                    <w:tl2br w:val="nil"/>
                    <w:tr2bl w:val="nil"/>
                  </w:tcBorders>
                  <w:noWrap w:val="0"/>
                  <w:vAlign w:val="center"/>
                </w:tcPr>
                <w:p w14:paraId="18F35B82">
                  <w:pPr>
                    <w:pStyle w:val="45"/>
                    <w:keepNext w:val="0"/>
                    <w:keepLines w:val="0"/>
                    <w:pageBreakBefore w:val="0"/>
                    <w:widowControl w:val="0"/>
                    <w:kinsoku/>
                    <w:wordWrap/>
                    <w:overflowPunct/>
                    <w:topLinePunct w:val="0"/>
                    <w:autoSpaceDE/>
                    <w:autoSpaceDN/>
                    <w:bidi w:val="0"/>
                    <w:adjustRightInd w:val="0"/>
                    <w:snapToGrid w:val="0"/>
                    <w:spacing w:line="360" w:lineRule="atLeast"/>
                    <w:ind w:left="0" w:right="0" w:rightChars="0"/>
                    <w:jc w:val="center"/>
                    <w:textAlignment w:val="auto"/>
                    <w:rPr>
                      <w:rFonts w:hint="default" w:ascii="Times New Roman" w:hAnsi="Times New Roman" w:eastAsia="宋体" w:cs="Times New Roman"/>
                      <w:b/>
                      <w:bCs/>
                      <w:color w:val="auto"/>
                      <w:kern w:val="0"/>
                      <w:sz w:val="21"/>
                      <w:szCs w:val="21"/>
                      <w:vertAlign w:val="baseline"/>
                      <w:lang w:eastAsia="zh-CN"/>
                    </w:rPr>
                  </w:pPr>
                  <w:r>
                    <w:rPr>
                      <w:rFonts w:hint="default" w:ascii="Times New Roman" w:hAnsi="Times New Roman" w:eastAsia="宋体" w:cs="Times New Roman"/>
                      <w:b/>
                      <w:bCs/>
                      <w:color w:val="auto"/>
                      <w:kern w:val="0"/>
                      <w:sz w:val="21"/>
                      <w:szCs w:val="21"/>
                      <w:vertAlign w:val="baseline"/>
                      <w:lang w:eastAsia="zh-CN"/>
                    </w:rPr>
                    <w:t>臭气浓度</w:t>
                  </w:r>
                </w:p>
                <w:p w14:paraId="06DA1993">
                  <w:pPr>
                    <w:pStyle w:val="45"/>
                    <w:keepNext w:val="0"/>
                    <w:keepLines w:val="0"/>
                    <w:pageBreakBefore w:val="0"/>
                    <w:widowControl w:val="0"/>
                    <w:kinsoku/>
                    <w:wordWrap/>
                    <w:overflowPunct/>
                    <w:topLinePunct w:val="0"/>
                    <w:autoSpaceDE/>
                    <w:autoSpaceDN/>
                    <w:bidi w:val="0"/>
                    <w:adjustRightInd w:val="0"/>
                    <w:snapToGrid w:val="0"/>
                    <w:spacing w:line="360" w:lineRule="atLeast"/>
                    <w:ind w:left="0" w:right="0" w:rightChars="0"/>
                    <w:jc w:val="center"/>
                    <w:textAlignment w:val="auto"/>
                    <w:rPr>
                      <w:rFonts w:hint="eastAsia" w:ascii="Times New Roman" w:hAnsi="Times New Roman" w:eastAsia="宋体" w:cs="Times New Roman"/>
                      <w:b/>
                      <w:bCs/>
                      <w:color w:val="auto"/>
                      <w:kern w:val="0"/>
                      <w:sz w:val="21"/>
                      <w:szCs w:val="21"/>
                      <w:vertAlign w:val="baseline"/>
                      <w:lang w:eastAsia="zh-CN"/>
                    </w:rPr>
                  </w:pPr>
                  <w:r>
                    <w:rPr>
                      <w:rFonts w:hint="eastAsia" w:ascii="Times New Roman" w:hAnsi="Times New Roman" w:eastAsia="宋体" w:cs="Times New Roman"/>
                      <w:b/>
                      <w:bCs/>
                      <w:color w:val="auto"/>
                      <w:kern w:val="0"/>
                      <w:sz w:val="21"/>
                      <w:szCs w:val="21"/>
                      <w:vertAlign w:val="baseline"/>
                      <w:lang w:eastAsia="zh-CN"/>
                    </w:rPr>
                    <w:t>（无量纲）</w:t>
                  </w:r>
                </w:p>
              </w:tc>
              <w:tc>
                <w:tcPr>
                  <w:tcW w:w="865" w:type="dxa"/>
                  <w:tcBorders>
                    <w:tl2br w:val="nil"/>
                    <w:tr2bl w:val="nil"/>
                  </w:tcBorders>
                  <w:noWrap w:val="0"/>
                  <w:vAlign w:val="center"/>
                </w:tcPr>
                <w:p w14:paraId="56917CDE">
                  <w:pPr>
                    <w:pStyle w:val="45"/>
                    <w:keepNext w:val="0"/>
                    <w:keepLines w:val="0"/>
                    <w:pageBreakBefore w:val="0"/>
                    <w:widowControl w:val="0"/>
                    <w:kinsoku/>
                    <w:wordWrap/>
                    <w:overflowPunct/>
                    <w:topLinePunct w:val="0"/>
                    <w:autoSpaceDE/>
                    <w:autoSpaceDN/>
                    <w:bidi w:val="0"/>
                    <w:adjustRightInd w:val="0"/>
                    <w:snapToGrid w:val="0"/>
                    <w:spacing w:line="360" w:lineRule="atLeast"/>
                    <w:ind w:left="0" w:right="0" w:rightChars="0"/>
                    <w:jc w:val="center"/>
                    <w:textAlignment w:val="auto"/>
                    <w:rPr>
                      <w:rFonts w:hint="default" w:ascii="Times New Roman" w:hAnsi="Times New Roman" w:eastAsia="宋体" w:cs="Times New Roman"/>
                      <w:b/>
                      <w:bCs/>
                      <w:color w:val="auto"/>
                      <w:kern w:val="0"/>
                      <w:sz w:val="21"/>
                      <w:szCs w:val="21"/>
                      <w:vertAlign w:val="baseline"/>
                      <w:lang w:eastAsia="zh-CN"/>
                    </w:rPr>
                  </w:pPr>
                  <w:r>
                    <w:rPr>
                      <w:rFonts w:hint="eastAsia" w:ascii="Times New Roman" w:hAnsi="Times New Roman" w:eastAsia="宋体" w:cs="Times New Roman"/>
                      <w:b/>
                      <w:bCs/>
                      <w:color w:val="auto"/>
                      <w:kern w:val="0"/>
                      <w:sz w:val="21"/>
                      <w:szCs w:val="21"/>
                      <w:vertAlign w:val="baseline"/>
                      <w:lang w:eastAsia="zh-CN"/>
                    </w:rPr>
                    <w:t>氯气</w:t>
                  </w:r>
                </w:p>
              </w:tc>
              <w:tc>
                <w:tcPr>
                  <w:tcW w:w="2334" w:type="dxa"/>
                  <w:tcBorders>
                    <w:tl2br w:val="nil"/>
                    <w:tr2bl w:val="nil"/>
                  </w:tcBorders>
                  <w:noWrap w:val="0"/>
                  <w:vAlign w:val="center"/>
                </w:tcPr>
                <w:p w14:paraId="3AE15E84">
                  <w:pPr>
                    <w:pStyle w:val="45"/>
                    <w:keepNext w:val="0"/>
                    <w:keepLines w:val="0"/>
                    <w:pageBreakBefore w:val="0"/>
                    <w:widowControl w:val="0"/>
                    <w:kinsoku/>
                    <w:wordWrap/>
                    <w:overflowPunct/>
                    <w:topLinePunct w:val="0"/>
                    <w:autoSpaceDE/>
                    <w:autoSpaceDN/>
                    <w:bidi w:val="0"/>
                    <w:adjustRightInd w:val="0"/>
                    <w:snapToGrid w:val="0"/>
                    <w:spacing w:line="360" w:lineRule="atLeast"/>
                    <w:ind w:left="0" w:right="0" w:rightChars="0"/>
                    <w:jc w:val="center"/>
                    <w:textAlignment w:val="auto"/>
                    <w:rPr>
                      <w:rFonts w:hint="eastAsia" w:ascii="Times New Roman" w:hAnsi="Times New Roman" w:eastAsia="宋体" w:cs="Times New Roman"/>
                      <w:b/>
                      <w:bCs/>
                      <w:color w:val="auto"/>
                      <w:kern w:val="0"/>
                      <w:sz w:val="21"/>
                      <w:szCs w:val="21"/>
                      <w:vertAlign w:val="baseline"/>
                      <w:lang w:eastAsia="zh-CN"/>
                    </w:rPr>
                  </w:pPr>
                  <w:r>
                    <w:rPr>
                      <w:rFonts w:hint="eastAsia" w:ascii="Times New Roman" w:hAnsi="Times New Roman" w:eastAsia="宋体" w:cs="Times New Roman"/>
                      <w:b/>
                      <w:bCs/>
                      <w:color w:val="auto"/>
                      <w:kern w:val="0"/>
                      <w:sz w:val="21"/>
                      <w:szCs w:val="21"/>
                      <w:vertAlign w:val="baseline"/>
                      <w:lang w:eastAsia="zh-CN"/>
                    </w:rPr>
                    <w:t>甲烷（指处理站内最高体积百分数/%）</w:t>
                  </w:r>
                </w:p>
              </w:tc>
            </w:tr>
            <w:tr w14:paraId="154622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06" w:type="dxa"/>
                  <w:tcBorders>
                    <w:tl2br w:val="nil"/>
                    <w:tr2bl w:val="nil"/>
                  </w:tcBorders>
                  <w:noWrap w:val="0"/>
                  <w:vAlign w:val="center"/>
                </w:tcPr>
                <w:p w14:paraId="2516C4E1">
                  <w:pPr>
                    <w:pStyle w:val="45"/>
                    <w:keepNext w:val="0"/>
                    <w:keepLines w:val="0"/>
                    <w:pageBreakBefore w:val="0"/>
                    <w:widowControl w:val="0"/>
                    <w:kinsoku/>
                    <w:wordWrap/>
                    <w:overflowPunct/>
                    <w:topLinePunct w:val="0"/>
                    <w:autoSpaceDE/>
                    <w:autoSpaceDN/>
                    <w:bidi w:val="0"/>
                    <w:adjustRightInd w:val="0"/>
                    <w:snapToGrid w:val="0"/>
                    <w:spacing w:line="360" w:lineRule="atLeast"/>
                    <w:ind w:left="0" w:right="0"/>
                    <w:jc w:val="center"/>
                    <w:textAlignment w:val="auto"/>
                    <w:rPr>
                      <w:rFonts w:hint="default" w:ascii="Times New Roman" w:hAnsi="Times New Roman" w:eastAsia="宋体" w:cs="Times New Roman"/>
                      <w:color w:val="auto"/>
                      <w:sz w:val="21"/>
                    </w:rPr>
                  </w:pPr>
                  <w:r>
                    <w:rPr>
                      <w:rFonts w:hint="eastAsia" w:ascii="Times New Roman" w:hAnsi="Times New Roman" w:eastAsia="宋体" w:cs="Times New Roman"/>
                      <w:color w:val="auto"/>
                      <w:kern w:val="0"/>
                      <w:sz w:val="21"/>
                      <w:szCs w:val="21"/>
                      <w:vertAlign w:val="baseline"/>
                      <w:lang w:eastAsia="zh-CN"/>
                    </w:rPr>
                    <w:t>污水处理站废气</w:t>
                  </w:r>
                </w:p>
              </w:tc>
              <w:tc>
                <w:tcPr>
                  <w:tcW w:w="870" w:type="dxa"/>
                  <w:tcBorders>
                    <w:tl2br w:val="nil"/>
                    <w:tr2bl w:val="nil"/>
                  </w:tcBorders>
                  <w:noWrap w:val="0"/>
                  <w:vAlign w:val="center"/>
                </w:tcPr>
                <w:p w14:paraId="4B7DA491">
                  <w:pPr>
                    <w:pStyle w:val="45"/>
                    <w:keepNext w:val="0"/>
                    <w:keepLines w:val="0"/>
                    <w:pageBreakBefore w:val="0"/>
                    <w:widowControl w:val="0"/>
                    <w:kinsoku/>
                    <w:wordWrap/>
                    <w:overflowPunct/>
                    <w:topLinePunct w:val="0"/>
                    <w:autoSpaceDE/>
                    <w:autoSpaceDN/>
                    <w:bidi w:val="0"/>
                    <w:adjustRightInd w:val="0"/>
                    <w:snapToGrid w:val="0"/>
                    <w:spacing w:line="360" w:lineRule="atLeast"/>
                    <w:ind w:left="0" w:leftChars="0" w:right="0" w:rightChars="0"/>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1.0</w:t>
                  </w:r>
                </w:p>
              </w:tc>
              <w:tc>
                <w:tcPr>
                  <w:tcW w:w="870" w:type="dxa"/>
                  <w:tcBorders>
                    <w:tl2br w:val="nil"/>
                    <w:tr2bl w:val="nil"/>
                  </w:tcBorders>
                  <w:noWrap w:val="0"/>
                  <w:vAlign w:val="center"/>
                </w:tcPr>
                <w:p w14:paraId="59A9B79A">
                  <w:pPr>
                    <w:pStyle w:val="45"/>
                    <w:keepNext w:val="0"/>
                    <w:keepLines w:val="0"/>
                    <w:pageBreakBefore w:val="0"/>
                    <w:widowControl w:val="0"/>
                    <w:kinsoku/>
                    <w:wordWrap/>
                    <w:overflowPunct/>
                    <w:topLinePunct w:val="0"/>
                    <w:autoSpaceDE/>
                    <w:autoSpaceDN/>
                    <w:bidi w:val="0"/>
                    <w:adjustRightInd w:val="0"/>
                    <w:snapToGrid w:val="0"/>
                    <w:spacing w:line="360" w:lineRule="atLeast"/>
                    <w:ind w:left="0" w:right="0" w:rightChars="0"/>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0.</w:t>
                  </w:r>
                  <w:r>
                    <w:rPr>
                      <w:rFonts w:hint="eastAsia" w:ascii="Times New Roman" w:hAnsi="Times New Roman" w:cs="Times New Roman"/>
                      <w:color w:val="auto"/>
                      <w:kern w:val="0"/>
                      <w:sz w:val="21"/>
                      <w:szCs w:val="21"/>
                      <w:vertAlign w:val="baseline"/>
                      <w:lang w:val="en-US" w:eastAsia="zh-CN"/>
                    </w:rPr>
                    <w:t>0</w:t>
                  </w:r>
                  <w:r>
                    <w:rPr>
                      <w:rFonts w:hint="eastAsia" w:ascii="Times New Roman" w:hAnsi="Times New Roman" w:eastAsia="宋体" w:cs="Times New Roman"/>
                      <w:color w:val="auto"/>
                      <w:kern w:val="0"/>
                      <w:sz w:val="21"/>
                      <w:szCs w:val="21"/>
                      <w:vertAlign w:val="baseline"/>
                      <w:lang w:val="en-US" w:eastAsia="zh-CN"/>
                    </w:rPr>
                    <w:t>3</w:t>
                  </w:r>
                </w:p>
              </w:tc>
              <w:tc>
                <w:tcPr>
                  <w:tcW w:w="1575" w:type="dxa"/>
                  <w:tcBorders>
                    <w:tl2br w:val="nil"/>
                    <w:tr2bl w:val="nil"/>
                  </w:tcBorders>
                  <w:noWrap w:val="0"/>
                  <w:vAlign w:val="center"/>
                </w:tcPr>
                <w:p w14:paraId="75EC74A3">
                  <w:pPr>
                    <w:pStyle w:val="45"/>
                    <w:keepNext w:val="0"/>
                    <w:keepLines w:val="0"/>
                    <w:pageBreakBefore w:val="0"/>
                    <w:widowControl w:val="0"/>
                    <w:kinsoku/>
                    <w:wordWrap/>
                    <w:overflowPunct/>
                    <w:topLinePunct w:val="0"/>
                    <w:autoSpaceDE/>
                    <w:autoSpaceDN/>
                    <w:bidi w:val="0"/>
                    <w:adjustRightInd w:val="0"/>
                    <w:snapToGrid w:val="0"/>
                    <w:spacing w:line="360" w:lineRule="atLeast"/>
                    <w:ind w:left="0" w:right="0" w:rightChars="0"/>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10</w:t>
                  </w:r>
                </w:p>
              </w:tc>
              <w:tc>
                <w:tcPr>
                  <w:tcW w:w="865" w:type="dxa"/>
                  <w:tcBorders>
                    <w:tl2br w:val="nil"/>
                    <w:tr2bl w:val="nil"/>
                  </w:tcBorders>
                  <w:noWrap w:val="0"/>
                  <w:vAlign w:val="center"/>
                </w:tcPr>
                <w:p w14:paraId="3AF3E46A">
                  <w:pPr>
                    <w:pStyle w:val="45"/>
                    <w:keepNext w:val="0"/>
                    <w:keepLines w:val="0"/>
                    <w:pageBreakBefore w:val="0"/>
                    <w:widowControl w:val="0"/>
                    <w:kinsoku/>
                    <w:wordWrap/>
                    <w:overflowPunct/>
                    <w:topLinePunct w:val="0"/>
                    <w:autoSpaceDE/>
                    <w:autoSpaceDN/>
                    <w:bidi w:val="0"/>
                    <w:adjustRightInd w:val="0"/>
                    <w:snapToGrid w:val="0"/>
                    <w:spacing w:line="360" w:lineRule="atLeast"/>
                    <w:ind w:left="0" w:leftChars="0" w:right="0"/>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0.1</w:t>
                  </w:r>
                </w:p>
              </w:tc>
              <w:tc>
                <w:tcPr>
                  <w:tcW w:w="2334" w:type="dxa"/>
                  <w:tcBorders>
                    <w:tl2br w:val="nil"/>
                    <w:tr2bl w:val="nil"/>
                  </w:tcBorders>
                  <w:noWrap w:val="0"/>
                  <w:vAlign w:val="center"/>
                </w:tcPr>
                <w:p w14:paraId="6C603F35">
                  <w:pPr>
                    <w:pStyle w:val="45"/>
                    <w:keepNext w:val="0"/>
                    <w:keepLines w:val="0"/>
                    <w:pageBreakBefore w:val="0"/>
                    <w:widowControl w:val="0"/>
                    <w:kinsoku/>
                    <w:wordWrap/>
                    <w:overflowPunct/>
                    <w:topLinePunct w:val="0"/>
                    <w:autoSpaceDE/>
                    <w:autoSpaceDN/>
                    <w:bidi w:val="0"/>
                    <w:adjustRightInd w:val="0"/>
                    <w:snapToGrid w:val="0"/>
                    <w:spacing w:line="360" w:lineRule="atLeast"/>
                    <w:ind w:left="0" w:leftChars="0" w:right="0" w:rightChars="0"/>
                    <w:jc w:val="center"/>
                    <w:textAlignment w:val="auto"/>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1</w:t>
                  </w:r>
                </w:p>
              </w:tc>
            </w:tr>
          </w:tbl>
          <w:p w14:paraId="47AB2311">
            <w:pPr>
              <w:keepNext w:val="0"/>
              <w:keepLines/>
              <w:pageBreakBefore w:val="0"/>
              <w:widowControl w:val="0"/>
              <w:numPr>
                <w:ilvl w:val="0"/>
                <w:numId w:val="0"/>
              </w:numPr>
              <w:kinsoku/>
              <w:wordWrap/>
              <w:overflowPunct/>
              <w:topLinePunct/>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b/>
                <w:bCs/>
                <w:caps w:val="0"/>
                <w:color w:val="auto"/>
                <w:sz w:val="24"/>
                <w:szCs w:val="24"/>
              </w:rPr>
            </w:pPr>
            <w:r>
              <w:rPr>
                <w:rFonts w:hint="eastAsia" w:ascii="Times New Roman" w:hAnsi="Times New Roman" w:cs="Times New Roman"/>
                <w:color w:val="auto"/>
                <w:sz w:val="24"/>
                <w:szCs w:val="24"/>
                <w:lang w:val="en-US" w:eastAsia="zh-CN"/>
              </w:rPr>
              <w:t>2、检验科设小型实验室污水废水综合处理设备，废水经预处理后排入医院污水处理系统</w:t>
            </w:r>
            <w:r>
              <w:rPr>
                <w:rFonts w:hint="eastAsia" w:ascii="Times New Roman" w:hAnsi="Times New Roman" w:cs="Times New Roman"/>
                <w:b w:val="0"/>
                <w:bCs/>
                <w:color w:val="auto"/>
                <w:sz w:val="24"/>
                <w:lang w:val="en-US" w:eastAsia="zh-CN"/>
              </w:rPr>
              <w:t>；</w:t>
            </w:r>
            <w:r>
              <w:rPr>
                <w:rFonts w:hint="eastAsia" w:ascii="Times New Roman" w:hAnsi="Times New Roman" w:cs="Times New Roman"/>
                <w:color w:val="auto"/>
                <w:sz w:val="24"/>
                <w:szCs w:val="24"/>
                <w:lang w:val="en-US"/>
              </w:rPr>
              <w:t>废水经</w:t>
            </w:r>
            <w:r>
              <w:rPr>
                <w:rFonts w:hint="eastAsia" w:ascii="Times New Roman" w:hAnsi="Times New Roman" w:cs="Times New Roman"/>
                <w:color w:val="auto"/>
                <w:sz w:val="24"/>
                <w:szCs w:val="24"/>
                <w:lang w:val="en-US" w:eastAsia="zh-CN"/>
              </w:rPr>
              <w:t>污水处理站</w:t>
            </w:r>
            <w:r>
              <w:rPr>
                <w:rFonts w:hint="eastAsia" w:ascii="Times New Roman" w:hAnsi="Times New Roman" w:cs="Times New Roman"/>
                <w:color w:val="auto"/>
                <w:sz w:val="24"/>
                <w:szCs w:val="24"/>
                <w:lang w:val="en-US"/>
              </w:rPr>
              <w:t>处理后达到《医疗机构水污染物排放标准》（GB 18466-2005）表2综合医疗机构和其他医疗机构水污染物排放限值（日均值）预处理标准要求后排入</w:t>
            </w:r>
            <w:r>
              <w:rPr>
                <w:rFonts w:hint="eastAsia" w:ascii="Times New Roman" w:hAnsi="Times New Roman" w:eastAsia="宋体" w:cs="Times New Roman"/>
                <w:b w:val="0"/>
                <w:bCs w:val="0"/>
                <w:caps w:val="0"/>
                <w:color w:val="auto"/>
                <w:sz w:val="24"/>
                <w:szCs w:val="24"/>
                <w:highlight w:val="none"/>
                <w:lang w:val="en-US" w:eastAsia="zh-CN"/>
              </w:rPr>
              <w:t>东胜区北郊水质净化厂</w:t>
            </w:r>
            <w:r>
              <w:rPr>
                <w:rFonts w:hint="eastAsia" w:ascii="Times New Roman" w:hAnsi="Times New Roman" w:cs="Times New Roman"/>
                <w:color w:val="auto"/>
                <w:sz w:val="24"/>
                <w:szCs w:val="24"/>
                <w:lang w:val="en-US"/>
              </w:rPr>
              <w:t>统一处理</w:t>
            </w:r>
            <w:r>
              <w:rPr>
                <w:rFonts w:hint="eastAsia" w:ascii="Times New Roman" w:hAnsi="Times New Roman" w:eastAsia="宋体" w:cs="Times New Roman"/>
                <w:color w:val="auto"/>
                <w:sz w:val="24"/>
                <w:szCs w:val="24"/>
                <w:lang w:val="en-US" w:eastAsia="zh-CN"/>
              </w:rPr>
              <w:t>，具体见下表。</w:t>
            </w:r>
          </w:p>
          <w:p w14:paraId="4EF0C0D8">
            <w:pPr>
              <w:keepNext w:val="0"/>
              <w:keepLines w:val="0"/>
              <w:pageBreakBefore w:val="0"/>
              <w:widowControl w:val="0"/>
              <w:kinsoku w:val="0"/>
              <w:wordWrap/>
              <w:overflowPunct w:val="0"/>
              <w:topLinePunct w:val="0"/>
              <w:autoSpaceDE w:val="0"/>
              <w:autoSpaceDN w:val="0"/>
              <w:bidi w:val="0"/>
              <w:adjustRightInd w:val="0"/>
              <w:snapToGrid w:val="0"/>
              <w:spacing w:before="157" w:beforeLines="50"/>
              <w:jc w:val="center"/>
              <w:textAlignment w:val="auto"/>
              <w:rPr>
                <w:rFonts w:hint="eastAsia" w:ascii="Times New Roman" w:hAnsi="Times New Roman" w:eastAsia="宋体" w:cs="Times New Roman"/>
                <w:b/>
                <w:bCs/>
                <w:caps w:val="0"/>
                <w:color w:val="auto"/>
                <w:sz w:val="24"/>
                <w:szCs w:val="24"/>
                <w:lang w:val="en-US" w:eastAsia="zh-CN"/>
              </w:rPr>
            </w:pPr>
            <w:r>
              <w:rPr>
                <w:rFonts w:hint="default" w:ascii="Times New Roman" w:hAnsi="Times New Roman" w:eastAsia="宋体" w:cs="Times New Roman"/>
                <w:b/>
                <w:bCs/>
                <w:caps w:val="0"/>
                <w:color w:val="auto"/>
                <w:sz w:val="24"/>
                <w:szCs w:val="24"/>
              </w:rPr>
              <w:t>表</w:t>
            </w:r>
            <w:r>
              <w:rPr>
                <w:rFonts w:hint="default" w:ascii="Times New Roman" w:hAnsi="Times New Roman" w:eastAsia="宋体" w:cs="Times New Roman"/>
                <w:b/>
                <w:bCs/>
                <w:caps w:val="0"/>
                <w:color w:val="auto"/>
                <w:sz w:val="24"/>
                <w:szCs w:val="24"/>
                <w:lang w:val="en-US" w:eastAsia="zh-CN"/>
              </w:rPr>
              <w:t>3-</w:t>
            </w:r>
            <w:r>
              <w:rPr>
                <w:rFonts w:hint="eastAsia" w:ascii="Times New Roman" w:hAnsi="Times New Roman" w:eastAsia="宋体" w:cs="Times New Roman"/>
                <w:b/>
                <w:bCs/>
                <w:caps w:val="0"/>
                <w:color w:val="auto"/>
                <w:sz w:val="24"/>
                <w:szCs w:val="24"/>
                <w:lang w:val="en-US" w:eastAsia="zh-CN"/>
              </w:rPr>
              <w:t xml:space="preserve">5    《医疗机构水污染物排放标准》（GB 18466-2005）表2 </w:t>
            </w:r>
          </w:p>
          <w:p w14:paraId="36154D22">
            <w:pPr>
              <w:keepNext w:val="0"/>
              <w:keepLines w:val="0"/>
              <w:pageBreakBefore w:val="0"/>
              <w:widowControl w:val="0"/>
              <w:kinsoku w:val="0"/>
              <w:wordWrap/>
              <w:overflowPunct w:val="0"/>
              <w:topLinePunct w:val="0"/>
              <w:autoSpaceDE w:val="0"/>
              <w:autoSpaceDN w:val="0"/>
              <w:bidi w:val="0"/>
              <w:adjustRightInd w:val="0"/>
              <w:snapToGrid w:val="0"/>
              <w:spacing w:before="157" w:beforeLines="50"/>
              <w:jc w:val="center"/>
              <w:textAlignment w:val="auto"/>
              <w:rPr>
                <w:rFonts w:hint="default" w:ascii="Times New Roman" w:hAnsi="Times New Roman" w:eastAsia="宋体" w:cs="Times New Roman"/>
                <w:b/>
                <w:bCs/>
                <w:caps w:val="0"/>
                <w:color w:val="auto"/>
                <w:sz w:val="24"/>
                <w:szCs w:val="24"/>
                <w:lang w:eastAsia="zh-CN"/>
              </w:rPr>
            </w:pPr>
            <w:r>
              <w:rPr>
                <w:rFonts w:hint="eastAsia" w:ascii="Times New Roman" w:hAnsi="Times New Roman" w:eastAsia="宋体" w:cs="Times New Roman"/>
                <w:b/>
                <w:bCs/>
                <w:caps w:val="0"/>
                <w:color w:val="auto"/>
                <w:sz w:val="24"/>
                <w:szCs w:val="24"/>
                <w:lang w:val="en-US" w:eastAsia="zh-CN"/>
              </w:rPr>
              <w:t>综合医疗机构和其他医疗机构水污染物排放限值标准</w:t>
            </w:r>
          </w:p>
          <w:tbl>
            <w:tblPr>
              <w:tblStyle w:val="20"/>
              <w:tblW w:w="817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65"/>
              <w:gridCol w:w="4165"/>
              <w:gridCol w:w="1624"/>
              <w:gridCol w:w="1625"/>
            </w:tblGrid>
            <w:tr w14:paraId="49E69A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tcBorders>
                    <w:tl2br w:val="nil"/>
                    <w:tr2bl w:val="nil"/>
                  </w:tcBorders>
                  <w:noWrap w:val="0"/>
                  <w:vAlign w:val="center"/>
                </w:tcPr>
                <w:p w14:paraId="424214C5">
                  <w:pPr>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b/>
                      <w:bCs/>
                      <w:color w:val="auto"/>
                      <w:spacing w:val="0"/>
                      <w:w w:val="100"/>
                      <w:position w:val="0"/>
                      <w:sz w:val="21"/>
                      <w:szCs w:val="21"/>
                      <w:lang w:val="zh-CN" w:eastAsia="zh-CN" w:bidi="zh-CN"/>
                    </w:rPr>
                  </w:pPr>
                  <w:r>
                    <w:rPr>
                      <w:rFonts w:hint="default" w:ascii="Times New Roman" w:hAnsi="Times New Roman" w:eastAsia="宋体" w:cs="Times New Roman"/>
                      <w:b/>
                      <w:bCs/>
                      <w:color w:val="auto"/>
                      <w:spacing w:val="0"/>
                      <w:w w:val="100"/>
                      <w:position w:val="0"/>
                      <w:sz w:val="21"/>
                      <w:szCs w:val="21"/>
                    </w:rPr>
                    <w:t>序号</w:t>
                  </w:r>
                </w:p>
              </w:tc>
              <w:tc>
                <w:tcPr>
                  <w:tcW w:w="4165" w:type="dxa"/>
                  <w:tcBorders>
                    <w:tl2br w:val="nil"/>
                    <w:tr2bl w:val="nil"/>
                  </w:tcBorders>
                  <w:noWrap w:val="0"/>
                  <w:vAlign w:val="center"/>
                </w:tcPr>
                <w:p w14:paraId="3DD17BD6">
                  <w:pPr>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b/>
                      <w:bCs/>
                      <w:color w:val="auto"/>
                      <w:spacing w:val="0"/>
                      <w:w w:val="100"/>
                      <w:position w:val="0"/>
                      <w:sz w:val="21"/>
                      <w:szCs w:val="21"/>
                      <w:lang w:val="zh-CN" w:eastAsia="zh-CN" w:bidi="zh-CN"/>
                    </w:rPr>
                  </w:pPr>
                  <w:r>
                    <w:rPr>
                      <w:rFonts w:hint="default" w:ascii="Times New Roman" w:hAnsi="Times New Roman" w:eastAsia="宋体" w:cs="Times New Roman"/>
                      <w:b/>
                      <w:bCs/>
                      <w:color w:val="auto"/>
                      <w:spacing w:val="0"/>
                      <w:w w:val="100"/>
                      <w:position w:val="0"/>
                      <w:sz w:val="21"/>
                      <w:szCs w:val="21"/>
                    </w:rPr>
                    <w:t>控制项目</w:t>
                  </w:r>
                </w:p>
              </w:tc>
              <w:tc>
                <w:tcPr>
                  <w:tcW w:w="1624" w:type="dxa"/>
                  <w:tcBorders>
                    <w:tl2br w:val="nil"/>
                    <w:tr2bl w:val="nil"/>
                  </w:tcBorders>
                  <w:noWrap w:val="0"/>
                  <w:vAlign w:val="center"/>
                </w:tcPr>
                <w:p w14:paraId="68C8AE3A">
                  <w:pPr>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b/>
                      <w:bCs/>
                      <w:color w:val="auto"/>
                      <w:spacing w:val="0"/>
                      <w:w w:val="100"/>
                      <w:position w:val="0"/>
                      <w:sz w:val="21"/>
                      <w:szCs w:val="21"/>
                      <w:lang w:val="zh-CN" w:eastAsia="zh-CN" w:bidi="zh-CN"/>
                    </w:rPr>
                  </w:pPr>
                  <w:r>
                    <w:rPr>
                      <w:rFonts w:hint="default" w:ascii="Times New Roman" w:hAnsi="Times New Roman" w:eastAsia="宋体" w:cs="Times New Roman"/>
                      <w:b/>
                      <w:bCs/>
                      <w:color w:val="auto"/>
                      <w:spacing w:val="0"/>
                      <w:w w:val="100"/>
                      <w:position w:val="0"/>
                      <w:sz w:val="21"/>
                      <w:szCs w:val="21"/>
                    </w:rPr>
                    <w:t>排放标准</w:t>
                  </w:r>
                </w:p>
              </w:tc>
              <w:tc>
                <w:tcPr>
                  <w:tcW w:w="1625" w:type="dxa"/>
                  <w:tcBorders>
                    <w:tl2br w:val="nil"/>
                    <w:tr2bl w:val="nil"/>
                  </w:tcBorders>
                  <w:noWrap w:val="0"/>
                  <w:vAlign w:val="center"/>
                </w:tcPr>
                <w:p w14:paraId="10544850">
                  <w:pPr>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b/>
                      <w:bCs/>
                      <w:color w:val="auto"/>
                      <w:spacing w:val="0"/>
                      <w:w w:val="100"/>
                      <w:position w:val="0"/>
                      <w:sz w:val="21"/>
                      <w:szCs w:val="21"/>
                      <w:lang w:val="zh-CN" w:eastAsia="zh-CN" w:bidi="zh-CN"/>
                    </w:rPr>
                  </w:pPr>
                  <w:r>
                    <w:rPr>
                      <w:rFonts w:hint="default" w:ascii="Times New Roman" w:hAnsi="Times New Roman" w:eastAsia="宋体" w:cs="Times New Roman"/>
                      <w:b/>
                      <w:bCs/>
                      <w:color w:val="auto"/>
                      <w:spacing w:val="0"/>
                      <w:w w:val="100"/>
                      <w:position w:val="0"/>
                      <w:sz w:val="21"/>
                      <w:szCs w:val="21"/>
                    </w:rPr>
                    <w:t>预处理标准</w:t>
                  </w:r>
                </w:p>
              </w:tc>
            </w:tr>
            <w:tr w14:paraId="6A4DC7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tcBorders>
                    <w:tl2br w:val="nil"/>
                    <w:tr2bl w:val="nil"/>
                  </w:tcBorders>
                  <w:noWrap w:val="0"/>
                  <w:vAlign w:val="center"/>
                </w:tcPr>
                <w:p w14:paraId="135B489D">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1</w:t>
                  </w:r>
                </w:p>
              </w:tc>
              <w:tc>
                <w:tcPr>
                  <w:tcW w:w="4165" w:type="dxa"/>
                  <w:tcBorders>
                    <w:tl2br w:val="nil"/>
                    <w:tr2bl w:val="nil"/>
                  </w:tcBorders>
                  <w:noWrap w:val="0"/>
                  <w:vAlign w:val="center"/>
                </w:tcPr>
                <w:p w14:paraId="6E947522">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粪大肠菌群数/（MPN/L）</w:t>
                  </w:r>
                </w:p>
              </w:tc>
              <w:tc>
                <w:tcPr>
                  <w:tcW w:w="1624" w:type="dxa"/>
                  <w:tcBorders>
                    <w:tl2br w:val="nil"/>
                    <w:tr2bl w:val="nil"/>
                  </w:tcBorders>
                  <w:noWrap w:val="0"/>
                  <w:vAlign w:val="center"/>
                </w:tcPr>
                <w:p w14:paraId="2339D820">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500</w:t>
                  </w:r>
                </w:p>
              </w:tc>
              <w:tc>
                <w:tcPr>
                  <w:tcW w:w="1625" w:type="dxa"/>
                  <w:tcBorders>
                    <w:tl2br w:val="nil"/>
                    <w:tr2bl w:val="nil"/>
                  </w:tcBorders>
                  <w:noWrap w:val="0"/>
                  <w:vAlign w:val="center"/>
                </w:tcPr>
                <w:p w14:paraId="69CDE095">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5000</w:t>
                  </w:r>
                </w:p>
              </w:tc>
            </w:tr>
            <w:tr w14:paraId="5A3143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tcBorders>
                    <w:tl2br w:val="nil"/>
                    <w:tr2bl w:val="nil"/>
                  </w:tcBorders>
                  <w:noWrap w:val="0"/>
                  <w:vAlign w:val="center"/>
                </w:tcPr>
                <w:p w14:paraId="1F2FDAAD">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2</w:t>
                  </w:r>
                </w:p>
              </w:tc>
              <w:tc>
                <w:tcPr>
                  <w:tcW w:w="4165" w:type="dxa"/>
                  <w:tcBorders>
                    <w:tl2br w:val="nil"/>
                    <w:tr2bl w:val="nil"/>
                  </w:tcBorders>
                  <w:noWrap w:val="0"/>
                  <w:vAlign w:val="center"/>
                </w:tcPr>
                <w:p w14:paraId="7B4CC742">
                  <w:pPr>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zh-CN" w:eastAsia="zh-CN" w:bidi="zh-CN"/>
                    </w:rPr>
                  </w:pPr>
                  <w:r>
                    <w:rPr>
                      <w:rFonts w:hint="default" w:ascii="Times New Roman" w:hAnsi="Times New Roman" w:eastAsia="宋体" w:cs="Times New Roman"/>
                      <w:color w:val="auto"/>
                      <w:spacing w:val="0"/>
                      <w:w w:val="100"/>
                      <w:position w:val="0"/>
                      <w:sz w:val="21"/>
                      <w:szCs w:val="21"/>
                    </w:rPr>
                    <w:t>肠道致病菌</w:t>
                  </w:r>
                </w:p>
              </w:tc>
              <w:tc>
                <w:tcPr>
                  <w:tcW w:w="1624" w:type="dxa"/>
                  <w:tcBorders>
                    <w:tl2br w:val="nil"/>
                    <w:tr2bl w:val="nil"/>
                  </w:tcBorders>
                  <w:noWrap w:val="0"/>
                  <w:vAlign w:val="center"/>
                </w:tcPr>
                <w:p w14:paraId="2B81A678">
                  <w:pPr>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zh-CN" w:eastAsia="zh-CN" w:bidi="zh-CN"/>
                    </w:rPr>
                  </w:pPr>
                  <w:r>
                    <w:rPr>
                      <w:rFonts w:hint="default" w:ascii="Times New Roman" w:hAnsi="Times New Roman" w:eastAsia="宋体" w:cs="Times New Roman"/>
                      <w:color w:val="auto"/>
                      <w:spacing w:val="0"/>
                      <w:w w:val="100"/>
                      <w:position w:val="0"/>
                      <w:sz w:val="21"/>
                      <w:szCs w:val="21"/>
                    </w:rPr>
                    <w:t>不得检出</w:t>
                  </w:r>
                </w:p>
              </w:tc>
              <w:tc>
                <w:tcPr>
                  <w:tcW w:w="1625" w:type="dxa"/>
                  <w:tcBorders>
                    <w:tl2br w:val="nil"/>
                    <w:tr2bl w:val="nil"/>
                  </w:tcBorders>
                  <w:noWrap w:val="0"/>
                  <w:vAlign w:val="center"/>
                </w:tcPr>
                <w:p w14:paraId="69C4B4F7">
                  <w:pPr>
                    <w:keepNext w:val="0"/>
                    <w:keepLines w:val="0"/>
                    <w:pageBreakBefore w:val="0"/>
                    <w:widowControl w:val="0"/>
                    <w:tabs>
                      <w:tab w:val="left" w:pos="973"/>
                    </w:tabs>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zh-CN" w:eastAsia="zh-CN" w:bidi="zh-CN"/>
                    </w:rPr>
                  </w:pPr>
                  <w:r>
                    <w:rPr>
                      <w:rFonts w:hint="default" w:ascii="Times New Roman" w:hAnsi="Times New Roman" w:eastAsia="宋体" w:cs="Times New Roman"/>
                      <w:color w:val="auto"/>
                      <w:spacing w:val="0"/>
                      <w:w w:val="100"/>
                      <w:position w:val="0"/>
                      <w:sz w:val="21"/>
                      <w:szCs w:val="21"/>
                      <w:lang w:val="zh-CN" w:eastAsia="zh-CN" w:bidi="zh-CN"/>
                    </w:rPr>
                    <w:t>—</w:t>
                  </w:r>
                </w:p>
              </w:tc>
            </w:tr>
            <w:tr w14:paraId="62E855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tcBorders>
                    <w:tl2br w:val="nil"/>
                    <w:tr2bl w:val="nil"/>
                  </w:tcBorders>
                  <w:noWrap w:val="0"/>
                  <w:vAlign w:val="center"/>
                </w:tcPr>
                <w:p w14:paraId="51426A1B">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3</w:t>
                  </w:r>
                </w:p>
              </w:tc>
              <w:tc>
                <w:tcPr>
                  <w:tcW w:w="4165" w:type="dxa"/>
                  <w:tcBorders>
                    <w:tl2br w:val="nil"/>
                    <w:tr2bl w:val="nil"/>
                  </w:tcBorders>
                  <w:noWrap w:val="0"/>
                  <w:vAlign w:val="center"/>
                </w:tcPr>
                <w:p w14:paraId="15148C51">
                  <w:pPr>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zh-CN" w:eastAsia="zh-CN" w:bidi="zh-CN"/>
                    </w:rPr>
                  </w:pPr>
                  <w:r>
                    <w:rPr>
                      <w:rFonts w:hint="default" w:ascii="Times New Roman" w:hAnsi="Times New Roman" w:eastAsia="宋体" w:cs="Times New Roman"/>
                      <w:color w:val="auto"/>
                      <w:spacing w:val="0"/>
                      <w:w w:val="100"/>
                      <w:position w:val="0"/>
                      <w:sz w:val="21"/>
                      <w:szCs w:val="21"/>
                    </w:rPr>
                    <w:t>肠道病毒</w:t>
                  </w:r>
                </w:p>
              </w:tc>
              <w:tc>
                <w:tcPr>
                  <w:tcW w:w="1624" w:type="dxa"/>
                  <w:tcBorders>
                    <w:tl2br w:val="nil"/>
                    <w:tr2bl w:val="nil"/>
                  </w:tcBorders>
                  <w:noWrap w:val="0"/>
                  <w:vAlign w:val="center"/>
                </w:tcPr>
                <w:p w14:paraId="27928CC5">
                  <w:pPr>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zh-CN" w:eastAsia="zh-CN" w:bidi="zh-CN"/>
                    </w:rPr>
                  </w:pPr>
                  <w:r>
                    <w:rPr>
                      <w:rFonts w:hint="default" w:ascii="Times New Roman" w:hAnsi="Times New Roman" w:eastAsia="宋体" w:cs="Times New Roman"/>
                      <w:color w:val="auto"/>
                      <w:spacing w:val="0"/>
                      <w:w w:val="100"/>
                      <w:position w:val="0"/>
                      <w:sz w:val="21"/>
                      <w:szCs w:val="21"/>
                    </w:rPr>
                    <w:t>不得检出</w:t>
                  </w:r>
                </w:p>
              </w:tc>
              <w:tc>
                <w:tcPr>
                  <w:tcW w:w="1625" w:type="dxa"/>
                  <w:tcBorders>
                    <w:tl2br w:val="nil"/>
                    <w:tr2bl w:val="nil"/>
                  </w:tcBorders>
                  <w:noWrap w:val="0"/>
                  <w:vAlign w:val="center"/>
                </w:tcPr>
                <w:p w14:paraId="032DEF04">
                  <w:pPr>
                    <w:keepNext w:val="0"/>
                    <w:keepLines w:val="0"/>
                    <w:pageBreakBefore w:val="0"/>
                    <w:widowControl w:val="0"/>
                    <w:tabs>
                      <w:tab w:val="left" w:pos="973"/>
                    </w:tabs>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zh-CN" w:eastAsia="zh-CN" w:bidi="zh-CN"/>
                    </w:rPr>
                  </w:pPr>
                  <w:r>
                    <w:rPr>
                      <w:rFonts w:hint="default" w:ascii="Times New Roman" w:hAnsi="Times New Roman" w:eastAsia="宋体" w:cs="Times New Roman"/>
                      <w:color w:val="auto"/>
                      <w:spacing w:val="0"/>
                      <w:w w:val="100"/>
                      <w:position w:val="0"/>
                      <w:sz w:val="21"/>
                      <w:szCs w:val="21"/>
                      <w:lang w:val="zh-CN" w:eastAsia="zh-CN" w:bidi="zh-CN"/>
                    </w:rPr>
                    <w:t>—</w:t>
                  </w:r>
                </w:p>
              </w:tc>
            </w:tr>
            <w:tr w14:paraId="2DDDE5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tcBorders>
                    <w:tl2br w:val="nil"/>
                    <w:tr2bl w:val="nil"/>
                  </w:tcBorders>
                  <w:noWrap w:val="0"/>
                  <w:vAlign w:val="center"/>
                </w:tcPr>
                <w:p w14:paraId="129C0C78">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4</w:t>
                  </w:r>
                </w:p>
              </w:tc>
              <w:tc>
                <w:tcPr>
                  <w:tcW w:w="4165" w:type="dxa"/>
                  <w:tcBorders>
                    <w:tl2br w:val="nil"/>
                    <w:tr2bl w:val="nil"/>
                  </w:tcBorders>
                  <w:noWrap w:val="0"/>
                  <w:vAlign w:val="center"/>
                </w:tcPr>
                <w:p w14:paraId="0937D613">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pH</w:t>
                  </w:r>
                </w:p>
              </w:tc>
              <w:tc>
                <w:tcPr>
                  <w:tcW w:w="1624" w:type="dxa"/>
                  <w:tcBorders>
                    <w:tl2br w:val="nil"/>
                    <w:tr2bl w:val="nil"/>
                  </w:tcBorders>
                  <w:noWrap w:val="0"/>
                  <w:vAlign w:val="center"/>
                </w:tcPr>
                <w:p w14:paraId="4151CC37">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6～9</w:t>
                  </w:r>
                </w:p>
              </w:tc>
              <w:tc>
                <w:tcPr>
                  <w:tcW w:w="1625" w:type="dxa"/>
                  <w:tcBorders>
                    <w:tl2br w:val="nil"/>
                    <w:tr2bl w:val="nil"/>
                  </w:tcBorders>
                  <w:noWrap w:val="0"/>
                  <w:vAlign w:val="center"/>
                </w:tcPr>
                <w:p w14:paraId="64A5762D">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6～9</w:t>
                  </w:r>
                </w:p>
              </w:tc>
            </w:tr>
            <w:tr w14:paraId="01A6F2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tcBorders>
                    <w:tl2br w:val="nil"/>
                    <w:tr2bl w:val="nil"/>
                  </w:tcBorders>
                  <w:noWrap w:val="0"/>
                  <w:vAlign w:val="center"/>
                </w:tcPr>
                <w:p w14:paraId="545727E3">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5</w:t>
                  </w:r>
                </w:p>
              </w:tc>
              <w:tc>
                <w:tcPr>
                  <w:tcW w:w="4165" w:type="dxa"/>
                  <w:tcBorders>
                    <w:tl2br w:val="nil"/>
                    <w:tr2bl w:val="nil"/>
                  </w:tcBorders>
                  <w:noWrap w:val="0"/>
                  <w:vAlign w:val="center"/>
                </w:tcPr>
                <w:p w14:paraId="67D3ECD0">
                  <w:pPr>
                    <w:pStyle w:val="57"/>
                    <w:keepNext w:val="0"/>
                    <w:keepLines w:val="0"/>
                    <w:pageBreakBefore w:val="0"/>
                    <w:widowControl w:val="0"/>
                    <w:kinsoku/>
                    <w:wordWrap/>
                    <w:overflowPunct/>
                    <w:topLinePunct w:val="0"/>
                    <w:autoSpaceDE/>
                    <w:autoSpaceDN/>
                    <w:bidi w:val="0"/>
                    <w:adjustRightInd/>
                    <w:snapToGrid/>
                    <w:spacing w:line="360" w:lineRule="atLeast"/>
                    <w:ind w:left="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化学需氧量（COD）浓度/（mg/L）</w:t>
                  </w:r>
                </w:p>
              </w:tc>
              <w:tc>
                <w:tcPr>
                  <w:tcW w:w="1624" w:type="dxa"/>
                  <w:tcBorders>
                    <w:tl2br w:val="nil"/>
                    <w:tr2bl w:val="nil"/>
                  </w:tcBorders>
                  <w:noWrap w:val="0"/>
                  <w:vAlign w:val="center"/>
                </w:tcPr>
                <w:p w14:paraId="7791FCC7">
                  <w:pPr>
                    <w:pStyle w:val="57"/>
                    <w:keepNext w:val="0"/>
                    <w:keepLines w:val="0"/>
                    <w:pageBreakBefore w:val="0"/>
                    <w:widowControl w:val="0"/>
                    <w:kinsoku/>
                    <w:wordWrap/>
                    <w:overflowPunct/>
                    <w:topLinePunct w:val="0"/>
                    <w:autoSpaceDE/>
                    <w:autoSpaceDN/>
                    <w:bidi w:val="0"/>
                    <w:adjustRightInd/>
                    <w:snapToGrid/>
                    <w:spacing w:line="360" w:lineRule="atLeast"/>
                    <w:ind w:left="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60</w:t>
                  </w:r>
                </w:p>
              </w:tc>
              <w:tc>
                <w:tcPr>
                  <w:tcW w:w="1625" w:type="dxa"/>
                  <w:tcBorders>
                    <w:tl2br w:val="nil"/>
                    <w:tr2bl w:val="nil"/>
                  </w:tcBorders>
                  <w:noWrap w:val="0"/>
                  <w:vAlign w:val="center"/>
                </w:tcPr>
                <w:p w14:paraId="5A308124">
                  <w:pPr>
                    <w:pStyle w:val="57"/>
                    <w:keepNext w:val="0"/>
                    <w:keepLines w:val="0"/>
                    <w:pageBreakBefore w:val="0"/>
                    <w:widowControl w:val="0"/>
                    <w:kinsoku/>
                    <w:wordWrap/>
                    <w:overflowPunct/>
                    <w:topLinePunct w:val="0"/>
                    <w:autoSpaceDE/>
                    <w:autoSpaceDN/>
                    <w:bidi w:val="0"/>
                    <w:adjustRightInd/>
                    <w:snapToGrid/>
                    <w:spacing w:line="360" w:lineRule="atLeast"/>
                    <w:ind w:left="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250</w:t>
                  </w:r>
                </w:p>
              </w:tc>
            </w:tr>
            <w:tr w14:paraId="012E5F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04895224">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6</w:t>
                  </w:r>
                </w:p>
              </w:tc>
              <w:tc>
                <w:tcPr>
                  <w:tcW w:w="4165" w:type="dxa"/>
                  <w:noWrap w:val="0"/>
                  <w:vAlign w:val="center"/>
                </w:tcPr>
                <w:p w14:paraId="16EB1FD1">
                  <w:pPr>
                    <w:pStyle w:val="57"/>
                    <w:keepNext w:val="0"/>
                    <w:keepLines w:val="0"/>
                    <w:pageBreakBefore w:val="0"/>
                    <w:widowControl w:val="0"/>
                    <w:kinsoku/>
                    <w:wordWrap/>
                    <w:overflowPunct/>
                    <w:topLinePunct w:val="0"/>
                    <w:autoSpaceDE/>
                    <w:autoSpaceDN/>
                    <w:bidi w:val="0"/>
                    <w:adjustRightInd/>
                    <w:snapToGrid/>
                    <w:spacing w:line="360" w:lineRule="atLeast"/>
                    <w:ind w:left="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生化需氧量（BOD）</w:t>
                  </w:r>
                  <w:r>
                    <w:rPr>
                      <w:rFonts w:hint="default" w:ascii="Times New Roman" w:hAnsi="Times New Roman" w:eastAsia="宋体" w:cs="Times New Roman"/>
                      <w:color w:val="auto"/>
                      <w:spacing w:val="0"/>
                      <w:w w:val="100"/>
                      <w:position w:val="0"/>
                      <w:sz w:val="21"/>
                      <w:szCs w:val="21"/>
                      <w:lang w:val="en-US" w:eastAsia="zh-CN"/>
                    </w:rPr>
                    <w:t xml:space="preserve"> </w:t>
                  </w:r>
                  <w:r>
                    <w:rPr>
                      <w:rFonts w:hint="default" w:ascii="Times New Roman" w:hAnsi="Times New Roman" w:eastAsia="宋体" w:cs="Times New Roman"/>
                      <w:color w:val="auto"/>
                      <w:spacing w:val="0"/>
                      <w:w w:val="100"/>
                      <w:position w:val="0"/>
                      <w:sz w:val="21"/>
                      <w:szCs w:val="21"/>
                    </w:rPr>
                    <w:t>浓度/（mg/L）</w:t>
                  </w:r>
                </w:p>
              </w:tc>
              <w:tc>
                <w:tcPr>
                  <w:tcW w:w="1624" w:type="dxa"/>
                  <w:noWrap w:val="0"/>
                  <w:vAlign w:val="center"/>
                </w:tcPr>
                <w:p w14:paraId="31F69A5A">
                  <w:pPr>
                    <w:pStyle w:val="57"/>
                    <w:keepNext w:val="0"/>
                    <w:keepLines w:val="0"/>
                    <w:pageBreakBefore w:val="0"/>
                    <w:widowControl w:val="0"/>
                    <w:kinsoku/>
                    <w:wordWrap/>
                    <w:overflowPunct/>
                    <w:topLinePunct w:val="0"/>
                    <w:autoSpaceDE/>
                    <w:autoSpaceDN/>
                    <w:bidi w:val="0"/>
                    <w:adjustRightInd/>
                    <w:snapToGrid/>
                    <w:spacing w:line="360" w:lineRule="atLeast"/>
                    <w:ind w:left="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20</w:t>
                  </w:r>
                </w:p>
              </w:tc>
              <w:tc>
                <w:tcPr>
                  <w:tcW w:w="1625" w:type="dxa"/>
                  <w:noWrap w:val="0"/>
                  <w:vAlign w:val="center"/>
                </w:tcPr>
                <w:p w14:paraId="452B1469">
                  <w:pPr>
                    <w:pStyle w:val="57"/>
                    <w:keepNext w:val="0"/>
                    <w:keepLines w:val="0"/>
                    <w:pageBreakBefore w:val="0"/>
                    <w:widowControl w:val="0"/>
                    <w:kinsoku/>
                    <w:wordWrap/>
                    <w:overflowPunct/>
                    <w:topLinePunct w:val="0"/>
                    <w:autoSpaceDE/>
                    <w:autoSpaceDN/>
                    <w:bidi w:val="0"/>
                    <w:adjustRightInd/>
                    <w:snapToGrid/>
                    <w:spacing w:line="360" w:lineRule="atLeast"/>
                    <w:ind w:left="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100</w:t>
                  </w:r>
                </w:p>
              </w:tc>
            </w:tr>
            <w:tr w14:paraId="4F3395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3F6CF78F">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7</w:t>
                  </w:r>
                </w:p>
              </w:tc>
              <w:tc>
                <w:tcPr>
                  <w:tcW w:w="4165" w:type="dxa"/>
                  <w:noWrap w:val="0"/>
                  <w:vAlign w:val="center"/>
                </w:tcPr>
                <w:p w14:paraId="38F3D781">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氨氮/（mg/L）</w:t>
                  </w:r>
                </w:p>
              </w:tc>
              <w:tc>
                <w:tcPr>
                  <w:tcW w:w="1624" w:type="dxa"/>
                  <w:noWrap w:val="0"/>
                  <w:vAlign w:val="center"/>
                </w:tcPr>
                <w:p w14:paraId="403A36A5">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15</w:t>
                  </w:r>
                </w:p>
              </w:tc>
              <w:tc>
                <w:tcPr>
                  <w:tcW w:w="1625" w:type="dxa"/>
                  <w:noWrap w:val="0"/>
                  <w:vAlign w:val="center"/>
                </w:tcPr>
                <w:p w14:paraId="760F26B6">
                  <w:pPr>
                    <w:keepNext w:val="0"/>
                    <w:keepLines w:val="0"/>
                    <w:pageBreakBefore w:val="0"/>
                    <w:widowControl w:val="0"/>
                    <w:tabs>
                      <w:tab w:val="left" w:pos="973"/>
                    </w:tabs>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zh-CN"/>
                    </w:rPr>
                  </w:pPr>
                </w:p>
              </w:tc>
            </w:tr>
            <w:tr w14:paraId="621A03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330DDF2C">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8</w:t>
                  </w:r>
                </w:p>
              </w:tc>
              <w:tc>
                <w:tcPr>
                  <w:tcW w:w="4165" w:type="dxa"/>
                  <w:noWrap w:val="0"/>
                  <w:vAlign w:val="center"/>
                </w:tcPr>
                <w:p w14:paraId="7E21859B">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动植物油/（mg/L）</w:t>
                  </w:r>
                </w:p>
              </w:tc>
              <w:tc>
                <w:tcPr>
                  <w:tcW w:w="1624" w:type="dxa"/>
                  <w:noWrap w:val="0"/>
                  <w:vAlign w:val="center"/>
                </w:tcPr>
                <w:p w14:paraId="6C8E4ADC">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5</w:t>
                  </w:r>
                </w:p>
              </w:tc>
              <w:tc>
                <w:tcPr>
                  <w:tcW w:w="1625" w:type="dxa"/>
                  <w:noWrap w:val="0"/>
                  <w:vAlign w:val="center"/>
                </w:tcPr>
                <w:p w14:paraId="738C22F3">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zh-CN" w:eastAsia="zh-CN" w:bidi="ar-SA"/>
                    </w:rPr>
                  </w:pPr>
                  <w:r>
                    <w:rPr>
                      <w:rFonts w:hint="default" w:ascii="Times New Roman" w:hAnsi="Times New Roman" w:eastAsia="宋体" w:cs="Times New Roman"/>
                      <w:color w:val="auto"/>
                      <w:spacing w:val="0"/>
                      <w:w w:val="100"/>
                      <w:position w:val="0"/>
                      <w:sz w:val="21"/>
                      <w:szCs w:val="21"/>
                    </w:rPr>
                    <w:t>20</w:t>
                  </w:r>
                </w:p>
              </w:tc>
            </w:tr>
            <w:tr w14:paraId="3CE332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71EF292B">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9</w:t>
                  </w:r>
                </w:p>
              </w:tc>
              <w:tc>
                <w:tcPr>
                  <w:tcW w:w="4165" w:type="dxa"/>
                  <w:noWrap w:val="0"/>
                  <w:vAlign w:val="center"/>
                </w:tcPr>
                <w:p w14:paraId="5E21E19A">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石油类/（mg/L）</w:t>
                  </w:r>
                </w:p>
              </w:tc>
              <w:tc>
                <w:tcPr>
                  <w:tcW w:w="1624" w:type="dxa"/>
                  <w:noWrap w:val="0"/>
                  <w:vAlign w:val="center"/>
                </w:tcPr>
                <w:p w14:paraId="7124309E">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5</w:t>
                  </w:r>
                </w:p>
              </w:tc>
              <w:tc>
                <w:tcPr>
                  <w:tcW w:w="1625" w:type="dxa"/>
                  <w:noWrap w:val="0"/>
                  <w:vAlign w:val="center"/>
                </w:tcPr>
                <w:p w14:paraId="7D7657CD">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20</w:t>
                  </w:r>
                </w:p>
              </w:tc>
            </w:tr>
            <w:tr w14:paraId="5C3E39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74D89580">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10</w:t>
                  </w:r>
                </w:p>
              </w:tc>
              <w:tc>
                <w:tcPr>
                  <w:tcW w:w="4165" w:type="dxa"/>
                  <w:noWrap w:val="0"/>
                  <w:vAlign w:val="center"/>
                </w:tcPr>
                <w:p w14:paraId="42D82C69">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阴离子表面活性剂/（mg/L）</w:t>
                  </w:r>
                </w:p>
              </w:tc>
              <w:tc>
                <w:tcPr>
                  <w:tcW w:w="1624" w:type="dxa"/>
                  <w:noWrap w:val="0"/>
                  <w:vAlign w:val="center"/>
                </w:tcPr>
                <w:p w14:paraId="29AB85AA">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5</w:t>
                  </w:r>
                </w:p>
              </w:tc>
              <w:tc>
                <w:tcPr>
                  <w:tcW w:w="1625" w:type="dxa"/>
                  <w:noWrap w:val="0"/>
                  <w:vAlign w:val="center"/>
                </w:tcPr>
                <w:p w14:paraId="709EAB28">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10</w:t>
                  </w:r>
                </w:p>
              </w:tc>
            </w:tr>
            <w:tr w14:paraId="572FF3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129748E6">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11</w:t>
                  </w:r>
                </w:p>
              </w:tc>
              <w:tc>
                <w:tcPr>
                  <w:tcW w:w="4165" w:type="dxa"/>
                  <w:noWrap w:val="0"/>
                  <w:vAlign w:val="center"/>
                </w:tcPr>
                <w:p w14:paraId="335435FF">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色度/（稀释倍数）</w:t>
                  </w:r>
                </w:p>
              </w:tc>
              <w:tc>
                <w:tcPr>
                  <w:tcW w:w="1624" w:type="dxa"/>
                  <w:noWrap w:val="0"/>
                  <w:vAlign w:val="center"/>
                </w:tcPr>
                <w:p w14:paraId="3845F4F3">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30</w:t>
                  </w:r>
                </w:p>
              </w:tc>
              <w:tc>
                <w:tcPr>
                  <w:tcW w:w="1625" w:type="dxa"/>
                  <w:noWrap w:val="0"/>
                  <w:vAlign w:val="center"/>
                </w:tcPr>
                <w:p w14:paraId="590598BA">
                  <w:pPr>
                    <w:keepNext w:val="0"/>
                    <w:keepLines w:val="0"/>
                    <w:pageBreakBefore w:val="0"/>
                    <w:widowControl w:val="0"/>
                    <w:tabs>
                      <w:tab w:val="left" w:pos="973"/>
                    </w:tabs>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zh-CN"/>
                    </w:rPr>
                  </w:pPr>
                </w:p>
              </w:tc>
            </w:tr>
            <w:tr w14:paraId="0CEE09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77B22BD7">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12</w:t>
                  </w:r>
                </w:p>
              </w:tc>
              <w:tc>
                <w:tcPr>
                  <w:tcW w:w="4165" w:type="dxa"/>
                  <w:noWrap w:val="0"/>
                  <w:vAlign w:val="center"/>
                </w:tcPr>
                <w:p w14:paraId="5783F7C4">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挥发酚/（mg/L）</w:t>
                  </w:r>
                </w:p>
              </w:tc>
              <w:tc>
                <w:tcPr>
                  <w:tcW w:w="1624" w:type="dxa"/>
                  <w:noWrap w:val="0"/>
                  <w:vAlign w:val="center"/>
                </w:tcPr>
                <w:p w14:paraId="7D07C610">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0.5</w:t>
                  </w:r>
                </w:p>
              </w:tc>
              <w:tc>
                <w:tcPr>
                  <w:tcW w:w="1625" w:type="dxa"/>
                  <w:noWrap w:val="0"/>
                  <w:vAlign w:val="center"/>
                </w:tcPr>
                <w:p w14:paraId="6403AA05">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zh-CN" w:eastAsia="zh-CN" w:bidi="ar-SA"/>
                    </w:rPr>
                  </w:pPr>
                  <w:r>
                    <w:rPr>
                      <w:rFonts w:hint="default" w:ascii="Times New Roman" w:hAnsi="Times New Roman" w:eastAsia="宋体" w:cs="Times New Roman"/>
                      <w:color w:val="auto"/>
                      <w:spacing w:val="0"/>
                      <w:w w:val="100"/>
                      <w:position w:val="0"/>
                      <w:sz w:val="21"/>
                      <w:szCs w:val="21"/>
                    </w:rPr>
                    <w:t>1.0</w:t>
                  </w:r>
                </w:p>
              </w:tc>
            </w:tr>
            <w:tr w14:paraId="43A5D6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6B787F7F">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13</w:t>
                  </w:r>
                </w:p>
              </w:tc>
              <w:tc>
                <w:tcPr>
                  <w:tcW w:w="4165" w:type="dxa"/>
                  <w:noWrap w:val="0"/>
                  <w:vAlign w:val="center"/>
                </w:tcPr>
                <w:p w14:paraId="1637F58E">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总氰化物/（mg/L）</w:t>
                  </w:r>
                </w:p>
              </w:tc>
              <w:tc>
                <w:tcPr>
                  <w:tcW w:w="1624" w:type="dxa"/>
                  <w:noWrap w:val="0"/>
                  <w:vAlign w:val="center"/>
                </w:tcPr>
                <w:p w14:paraId="1C317306">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0.5</w:t>
                  </w:r>
                </w:p>
              </w:tc>
              <w:tc>
                <w:tcPr>
                  <w:tcW w:w="1625" w:type="dxa"/>
                  <w:noWrap w:val="0"/>
                  <w:vAlign w:val="center"/>
                </w:tcPr>
                <w:p w14:paraId="113890C0">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0.5</w:t>
                  </w:r>
                </w:p>
              </w:tc>
            </w:tr>
            <w:tr w14:paraId="269472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08C6ABD4">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14</w:t>
                  </w:r>
                </w:p>
              </w:tc>
              <w:tc>
                <w:tcPr>
                  <w:tcW w:w="4165" w:type="dxa"/>
                  <w:noWrap w:val="0"/>
                  <w:vAlign w:val="center"/>
                </w:tcPr>
                <w:p w14:paraId="79E3240E">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总汞/（mg/L）</w:t>
                  </w:r>
                </w:p>
              </w:tc>
              <w:tc>
                <w:tcPr>
                  <w:tcW w:w="1624" w:type="dxa"/>
                  <w:noWrap w:val="0"/>
                  <w:vAlign w:val="center"/>
                </w:tcPr>
                <w:p w14:paraId="77C159ED">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0.05</w:t>
                  </w:r>
                </w:p>
              </w:tc>
              <w:tc>
                <w:tcPr>
                  <w:tcW w:w="1625" w:type="dxa"/>
                  <w:noWrap w:val="0"/>
                  <w:vAlign w:val="center"/>
                </w:tcPr>
                <w:p w14:paraId="2FE7B2A9">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0.05</w:t>
                  </w:r>
                </w:p>
              </w:tc>
            </w:tr>
            <w:tr w14:paraId="7624C0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29667D0A">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15</w:t>
                  </w:r>
                </w:p>
              </w:tc>
              <w:tc>
                <w:tcPr>
                  <w:tcW w:w="4165" w:type="dxa"/>
                  <w:noWrap w:val="0"/>
                  <w:vAlign w:val="center"/>
                </w:tcPr>
                <w:p w14:paraId="34BF2206">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总镉/（mg/L）</w:t>
                  </w:r>
                </w:p>
              </w:tc>
              <w:tc>
                <w:tcPr>
                  <w:tcW w:w="1624" w:type="dxa"/>
                  <w:noWrap w:val="0"/>
                  <w:vAlign w:val="center"/>
                </w:tcPr>
                <w:p w14:paraId="2BA6FB74">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0.1</w:t>
                  </w:r>
                </w:p>
              </w:tc>
              <w:tc>
                <w:tcPr>
                  <w:tcW w:w="1625" w:type="dxa"/>
                  <w:noWrap w:val="0"/>
                  <w:vAlign w:val="center"/>
                </w:tcPr>
                <w:p w14:paraId="1BDFDDE1">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0.1</w:t>
                  </w:r>
                </w:p>
              </w:tc>
            </w:tr>
            <w:tr w14:paraId="1A33F8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29089211">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16</w:t>
                  </w:r>
                </w:p>
              </w:tc>
              <w:tc>
                <w:tcPr>
                  <w:tcW w:w="4165" w:type="dxa"/>
                  <w:noWrap w:val="0"/>
                  <w:vAlign w:val="center"/>
                </w:tcPr>
                <w:p w14:paraId="5C82A43F">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总铬/（mg/L）</w:t>
                  </w:r>
                </w:p>
              </w:tc>
              <w:tc>
                <w:tcPr>
                  <w:tcW w:w="1624" w:type="dxa"/>
                  <w:noWrap w:val="0"/>
                  <w:vAlign w:val="center"/>
                </w:tcPr>
                <w:p w14:paraId="1264AE36">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1.5</w:t>
                  </w:r>
                </w:p>
              </w:tc>
              <w:tc>
                <w:tcPr>
                  <w:tcW w:w="1625" w:type="dxa"/>
                  <w:noWrap w:val="0"/>
                  <w:vAlign w:val="center"/>
                </w:tcPr>
                <w:p w14:paraId="73587C10">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1.5</w:t>
                  </w:r>
                </w:p>
              </w:tc>
            </w:tr>
            <w:tr w14:paraId="15763B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3867FAA9">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17</w:t>
                  </w:r>
                </w:p>
              </w:tc>
              <w:tc>
                <w:tcPr>
                  <w:tcW w:w="4165" w:type="dxa"/>
                  <w:noWrap w:val="0"/>
                  <w:vAlign w:val="center"/>
                </w:tcPr>
                <w:p w14:paraId="2EB27468">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六价铬/（mg/L）</w:t>
                  </w:r>
                </w:p>
              </w:tc>
              <w:tc>
                <w:tcPr>
                  <w:tcW w:w="1624" w:type="dxa"/>
                  <w:noWrap w:val="0"/>
                  <w:vAlign w:val="center"/>
                </w:tcPr>
                <w:p w14:paraId="543BEBEA">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0.5</w:t>
                  </w:r>
                </w:p>
              </w:tc>
              <w:tc>
                <w:tcPr>
                  <w:tcW w:w="1625" w:type="dxa"/>
                  <w:noWrap w:val="0"/>
                  <w:vAlign w:val="center"/>
                </w:tcPr>
                <w:p w14:paraId="3A817DDB">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0.5</w:t>
                  </w:r>
                </w:p>
              </w:tc>
            </w:tr>
            <w:tr w14:paraId="355C2E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3E35FCF7">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18</w:t>
                  </w:r>
                </w:p>
              </w:tc>
              <w:tc>
                <w:tcPr>
                  <w:tcW w:w="4165" w:type="dxa"/>
                  <w:noWrap w:val="0"/>
                  <w:vAlign w:val="center"/>
                </w:tcPr>
                <w:p w14:paraId="79362F27">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总砷/（mg/L）</w:t>
                  </w:r>
                </w:p>
              </w:tc>
              <w:tc>
                <w:tcPr>
                  <w:tcW w:w="1624" w:type="dxa"/>
                  <w:noWrap w:val="0"/>
                  <w:vAlign w:val="center"/>
                </w:tcPr>
                <w:p w14:paraId="400E0E4B">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0.5</w:t>
                  </w:r>
                </w:p>
              </w:tc>
              <w:tc>
                <w:tcPr>
                  <w:tcW w:w="1625" w:type="dxa"/>
                  <w:noWrap w:val="0"/>
                  <w:vAlign w:val="center"/>
                </w:tcPr>
                <w:p w14:paraId="413A68AD">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0.5</w:t>
                  </w:r>
                </w:p>
              </w:tc>
            </w:tr>
            <w:tr w14:paraId="1CBE00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144A5429">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19</w:t>
                  </w:r>
                </w:p>
              </w:tc>
              <w:tc>
                <w:tcPr>
                  <w:tcW w:w="4165" w:type="dxa"/>
                  <w:noWrap w:val="0"/>
                  <w:vAlign w:val="center"/>
                </w:tcPr>
                <w:p w14:paraId="1027F976">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总铅/（mg/L）</w:t>
                  </w:r>
                </w:p>
              </w:tc>
              <w:tc>
                <w:tcPr>
                  <w:tcW w:w="1624" w:type="dxa"/>
                  <w:noWrap w:val="0"/>
                  <w:vAlign w:val="center"/>
                </w:tcPr>
                <w:p w14:paraId="7FDFAA05">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1.0</w:t>
                  </w:r>
                </w:p>
              </w:tc>
              <w:tc>
                <w:tcPr>
                  <w:tcW w:w="1625" w:type="dxa"/>
                  <w:noWrap w:val="0"/>
                  <w:vAlign w:val="center"/>
                </w:tcPr>
                <w:p w14:paraId="49909676">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1.0</w:t>
                  </w:r>
                </w:p>
              </w:tc>
            </w:tr>
            <w:tr w14:paraId="60AE23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73F60EBE">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20</w:t>
                  </w:r>
                </w:p>
              </w:tc>
              <w:tc>
                <w:tcPr>
                  <w:tcW w:w="4165" w:type="dxa"/>
                  <w:noWrap w:val="0"/>
                  <w:vAlign w:val="center"/>
                </w:tcPr>
                <w:p w14:paraId="4AFFB35D">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总银/（mg/L）</w:t>
                  </w:r>
                </w:p>
              </w:tc>
              <w:tc>
                <w:tcPr>
                  <w:tcW w:w="1624" w:type="dxa"/>
                  <w:noWrap w:val="0"/>
                  <w:vAlign w:val="center"/>
                </w:tcPr>
                <w:p w14:paraId="16FA9CA8">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0.5</w:t>
                  </w:r>
                </w:p>
              </w:tc>
              <w:tc>
                <w:tcPr>
                  <w:tcW w:w="1625" w:type="dxa"/>
                  <w:noWrap w:val="0"/>
                  <w:vAlign w:val="center"/>
                </w:tcPr>
                <w:p w14:paraId="10595A42">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0.5</w:t>
                  </w:r>
                </w:p>
              </w:tc>
            </w:tr>
            <w:tr w14:paraId="4259B2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2A5A9F92">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21</w:t>
                  </w:r>
                </w:p>
              </w:tc>
              <w:tc>
                <w:tcPr>
                  <w:tcW w:w="4165" w:type="dxa"/>
                  <w:noWrap w:val="0"/>
                  <w:vAlign w:val="center"/>
                </w:tcPr>
                <w:p w14:paraId="16379F0E">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总a/（Bq/L）</w:t>
                  </w:r>
                </w:p>
              </w:tc>
              <w:tc>
                <w:tcPr>
                  <w:tcW w:w="1624" w:type="dxa"/>
                  <w:noWrap w:val="0"/>
                  <w:vAlign w:val="center"/>
                </w:tcPr>
                <w:p w14:paraId="70E3453F">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w:t>
                  </w:r>
                </w:p>
              </w:tc>
              <w:tc>
                <w:tcPr>
                  <w:tcW w:w="1625" w:type="dxa"/>
                  <w:noWrap w:val="0"/>
                  <w:vAlign w:val="center"/>
                </w:tcPr>
                <w:p w14:paraId="69588060">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w:t>
                  </w:r>
                </w:p>
              </w:tc>
            </w:tr>
            <w:tr w14:paraId="55EA7E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201D3C51">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22</w:t>
                  </w:r>
                </w:p>
              </w:tc>
              <w:tc>
                <w:tcPr>
                  <w:tcW w:w="4165" w:type="dxa"/>
                  <w:noWrap w:val="0"/>
                  <w:vAlign w:val="center"/>
                </w:tcPr>
                <w:p w14:paraId="4C7F0AFA">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总β/（Bq/L）</w:t>
                  </w:r>
                </w:p>
              </w:tc>
              <w:tc>
                <w:tcPr>
                  <w:tcW w:w="1624" w:type="dxa"/>
                  <w:noWrap w:val="0"/>
                  <w:vAlign w:val="center"/>
                </w:tcPr>
                <w:p w14:paraId="60C86FDE">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10</w:t>
                  </w:r>
                </w:p>
              </w:tc>
              <w:tc>
                <w:tcPr>
                  <w:tcW w:w="1625" w:type="dxa"/>
                  <w:noWrap w:val="0"/>
                  <w:vAlign w:val="center"/>
                </w:tcPr>
                <w:p w14:paraId="673FE246">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10</w:t>
                  </w:r>
                </w:p>
              </w:tc>
            </w:tr>
            <w:tr w14:paraId="3D0076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063AD5F0">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23</w:t>
                  </w:r>
                </w:p>
              </w:tc>
              <w:tc>
                <w:tcPr>
                  <w:tcW w:w="4165" w:type="dxa"/>
                  <w:noWrap w:val="0"/>
                  <w:vAlign w:val="center"/>
                </w:tcPr>
                <w:p w14:paraId="1A4ED7D7">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总余氯 1）， 2）/（mg/L）</w:t>
                  </w:r>
                </w:p>
              </w:tc>
              <w:tc>
                <w:tcPr>
                  <w:tcW w:w="1624" w:type="dxa"/>
                  <w:noWrap w:val="0"/>
                  <w:vAlign w:val="center"/>
                </w:tcPr>
                <w:p w14:paraId="56B02F8E">
                  <w:pPr>
                    <w:pStyle w:val="57"/>
                    <w:keepNext w:val="0"/>
                    <w:keepLines w:val="0"/>
                    <w:pageBreakBefore w:val="0"/>
                    <w:widowControl w:val="0"/>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ar-SA"/>
                    </w:rPr>
                  </w:pPr>
                  <w:r>
                    <w:rPr>
                      <w:rFonts w:hint="default" w:ascii="Times New Roman" w:hAnsi="Times New Roman" w:eastAsia="宋体" w:cs="Times New Roman"/>
                      <w:color w:val="auto"/>
                      <w:spacing w:val="0"/>
                      <w:w w:val="100"/>
                      <w:position w:val="0"/>
                      <w:sz w:val="21"/>
                      <w:szCs w:val="21"/>
                    </w:rPr>
                    <w:t>0.5</w:t>
                  </w:r>
                </w:p>
              </w:tc>
              <w:tc>
                <w:tcPr>
                  <w:tcW w:w="1625" w:type="dxa"/>
                  <w:noWrap w:val="0"/>
                  <w:vAlign w:val="center"/>
                </w:tcPr>
                <w:p w14:paraId="598B5D45">
                  <w:pPr>
                    <w:keepNext w:val="0"/>
                    <w:keepLines w:val="0"/>
                    <w:pageBreakBefore w:val="0"/>
                    <w:widowControl w:val="0"/>
                    <w:tabs>
                      <w:tab w:val="left" w:pos="973"/>
                    </w:tabs>
                    <w:kinsoku/>
                    <w:wordWrap/>
                    <w:overflowPunct/>
                    <w:topLinePunct w:val="0"/>
                    <w:autoSpaceDE/>
                    <w:autoSpaceDN/>
                    <w:bidi w:val="0"/>
                    <w:adjustRightInd/>
                    <w:snapToGrid/>
                    <w:spacing w:line="360" w:lineRule="atLeast"/>
                    <w:ind w:left="0" w:leftChars="0"/>
                    <w:jc w:val="center"/>
                    <w:textAlignment w:val="auto"/>
                    <w:rPr>
                      <w:rFonts w:hint="default" w:ascii="Times New Roman" w:hAnsi="Times New Roman" w:eastAsia="宋体" w:cs="Times New Roman"/>
                      <w:color w:val="auto"/>
                      <w:spacing w:val="0"/>
                      <w:w w:val="100"/>
                      <w:position w:val="0"/>
                      <w:sz w:val="21"/>
                      <w:szCs w:val="21"/>
                      <w:lang w:val="en-US" w:eastAsia="en-US" w:bidi="zh-CN"/>
                    </w:rPr>
                  </w:pPr>
                  <w:r>
                    <w:rPr>
                      <w:rFonts w:hint="default" w:ascii="Times New Roman" w:hAnsi="Times New Roman" w:eastAsia="宋体" w:cs="Times New Roman"/>
                      <w:color w:val="auto"/>
                      <w:spacing w:val="0"/>
                      <w:w w:val="100"/>
                      <w:position w:val="0"/>
                      <w:sz w:val="21"/>
                      <w:szCs w:val="21"/>
                      <w:lang w:val="zh-CN" w:eastAsia="zh-CN" w:bidi="zh-CN"/>
                    </w:rPr>
                    <w:t>—</w:t>
                  </w:r>
                </w:p>
              </w:tc>
            </w:tr>
            <w:tr w14:paraId="761EB0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79" w:type="dxa"/>
                  <w:gridSpan w:val="4"/>
                  <w:noWrap w:val="0"/>
                  <w:vAlign w:val="center"/>
                </w:tcPr>
                <w:p w14:paraId="31808530">
                  <w:pPr>
                    <w:keepNext w:val="0"/>
                    <w:keepLines w:val="0"/>
                    <w:pageBreakBefore w:val="0"/>
                    <w:widowControl w:val="0"/>
                    <w:tabs>
                      <w:tab w:val="left" w:pos="973"/>
                    </w:tabs>
                    <w:kinsoku/>
                    <w:wordWrap/>
                    <w:overflowPunct/>
                    <w:topLinePunct w:val="0"/>
                    <w:autoSpaceDE/>
                    <w:autoSpaceDN/>
                    <w:bidi w:val="0"/>
                    <w:adjustRightInd/>
                    <w:snapToGrid/>
                    <w:spacing w:line="360" w:lineRule="atLeast"/>
                    <w:ind w:left="0" w:leftChars="0"/>
                    <w:jc w:val="both"/>
                    <w:textAlignment w:val="auto"/>
                    <w:rPr>
                      <w:rFonts w:hint="default" w:ascii="Times New Roman" w:hAnsi="Times New Roman" w:eastAsia="宋体" w:cs="Times New Roman"/>
                      <w:color w:val="auto"/>
                      <w:spacing w:val="0"/>
                      <w:w w:val="100"/>
                      <w:position w:val="0"/>
                      <w:sz w:val="21"/>
                      <w:szCs w:val="21"/>
                      <w:lang w:val="en-US" w:eastAsia="zh-CN" w:bidi="zh-CN"/>
                    </w:rPr>
                  </w:pPr>
                  <w:r>
                    <w:rPr>
                      <w:rFonts w:hint="default" w:ascii="Times New Roman" w:hAnsi="Times New Roman" w:eastAsia="宋体" w:cs="Times New Roman"/>
                      <w:color w:val="auto"/>
                      <w:spacing w:val="0"/>
                      <w:w w:val="100"/>
                      <w:position w:val="0"/>
                      <w:sz w:val="21"/>
                      <w:szCs w:val="21"/>
                      <w:lang w:val="en-US" w:eastAsia="zh-CN" w:bidi="zh-CN"/>
                    </w:rPr>
                    <w:t>注：1）采用含氯消毒剂消毒的工艺控制要求为：</w:t>
                  </w:r>
                </w:p>
                <w:p w14:paraId="35C0C309">
                  <w:pPr>
                    <w:keepNext w:val="0"/>
                    <w:keepLines w:val="0"/>
                    <w:pageBreakBefore w:val="0"/>
                    <w:widowControl w:val="0"/>
                    <w:tabs>
                      <w:tab w:val="left" w:pos="973"/>
                    </w:tabs>
                    <w:kinsoku/>
                    <w:wordWrap/>
                    <w:overflowPunct/>
                    <w:topLinePunct w:val="0"/>
                    <w:autoSpaceDE/>
                    <w:autoSpaceDN/>
                    <w:bidi w:val="0"/>
                    <w:adjustRightInd/>
                    <w:snapToGrid/>
                    <w:spacing w:line="360" w:lineRule="atLeast"/>
                    <w:ind w:left="0" w:leftChars="0" w:firstLine="420" w:firstLineChars="200"/>
                    <w:jc w:val="both"/>
                    <w:textAlignment w:val="auto"/>
                    <w:rPr>
                      <w:rFonts w:hint="default" w:ascii="Times New Roman" w:hAnsi="Times New Roman" w:eastAsia="宋体" w:cs="Times New Roman"/>
                      <w:color w:val="auto"/>
                      <w:spacing w:val="0"/>
                      <w:w w:val="100"/>
                      <w:position w:val="0"/>
                      <w:sz w:val="21"/>
                      <w:szCs w:val="21"/>
                      <w:lang w:val="en-US" w:eastAsia="zh-CN" w:bidi="zh-CN"/>
                    </w:rPr>
                  </w:pPr>
                  <w:r>
                    <w:rPr>
                      <w:rFonts w:hint="default" w:ascii="Times New Roman" w:hAnsi="Times New Roman" w:eastAsia="宋体" w:cs="Times New Roman"/>
                      <w:color w:val="auto"/>
                      <w:spacing w:val="0"/>
                      <w:w w:val="100"/>
                      <w:position w:val="0"/>
                      <w:sz w:val="21"/>
                      <w:szCs w:val="21"/>
                      <w:lang w:val="en-US" w:eastAsia="zh-CN" w:bidi="zh-CN"/>
                    </w:rPr>
                    <w:t>排放标准：消毒接触池接触时间≥1h，接触池出口总余氯3~10mg/L。</w:t>
                  </w:r>
                </w:p>
                <w:p w14:paraId="42F8596F">
                  <w:pPr>
                    <w:keepNext w:val="0"/>
                    <w:keepLines w:val="0"/>
                    <w:pageBreakBefore w:val="0"/>
                    <w:widowControl w:val="0"/>
                    <w:tabs>
                      <w:tab w:val="left" w:pos="973"/>
                    </w:tabs>
                    <w:kinsoku/>
                    <w:wordWrap/>
                    <w:overflowPunct/>
                    <w:topLinePunct w:val="0"/>
                    <w:autoSpaceDE/>
                    <w:autoSpaceDN/>
                    <w:bidi w:val="0"/>
                    <w:adjustRightInd/>
                    <w:snapToGrid/>
                    <w:spacing w:line="360" w:lineRule="atLeast"/>
                    <w:ind w:left="0" w:leftChars="0" w:firstLine="420" w:firstLineChars="200"/>
                    <w:jc w:val="both"/>
                    <w:textAlignment w:val="auto"/>
                    <w:rPr>
                      <w:rFonts w:hint="default" w:ascii="Times New Roman" w:hAnsi="Times New Roman" w:eastAsia="宋体" w:cs="Times New Roman"/>
                      <w:color w:val="auto"/>
                      <w:spacing w:val="0"/>
                      <w:w w:val="100"/>
                      <w:position w:val="0"/>
                      <w:sz w:val="21"/>
                      <w:szCs w:val="21"/>
                      <w:lang w:val="en-US" w:eastAsia="zh-CN" w:bidi="zh-CN"/>
                    </w:rPr>
                  </w:pPr>
                  <w:r>
                    <w:rPr>
                      <w:rFonts w:hint="default" w:ascii="Times New Roman" w:hAnsi="Times New Roman" w:eastAsia="宋体" w:cs="Times New Roman"/>
                      <w:color w:val="auto"/>
                      <w:spacing w:val="0"/>
                      <w:w w:val="100"/>
                      <w:position w:val="0"/>
                      <w:sz w:val="21"/>
                      <w:szCs w:val="21"/>
                      <w:lang w:val="en-US" w:eastAsia="zh-CN" w:bidi="zh-CN"/>
                    </w:rPr>
                    <w:t>预处理标准：接触消毒池接触时间≥1h，接触池出口总余氯2~8mg/L。</w:t>
                  </w:r>
                </w:p>
                <w:p w14:paraId="74F0E4A5">
                  <w:pPr>
                    <w:keepNext w:val="0"/>
                    <w:keepLines w:val="0"/>
                    <w:pageBreakBefore w:val="0"/>
                    <w:widowControl w:val="0"/>
                    <w:tabs>
                      <w:tab w:val="left" w:pos="973"/>
                    </w:tabs>
                    <w:kinsoku/>
                    <w:wordWrap/>
                    <w:overflowPunct/>
                    <w:topLinePunct w:val="0"/>
                    <w:autoSpaceDE/>
                    <w:autoSpaceDN/>
                    <w:bidi w:val="0"/>
                    <w:adjustRightInd/>
                    <w:snapToGrid/>
                    <w:spacing w:line="360" w:lineRule="atLeast"/>
                    <w:ind w:left="0" w:leftChars="0" w:firstLine="420" w:firstLineChars="200"/>
                    <w:jc w:val="both"/>
                    <w:textAlignment w:val="auto"/>
                    <w:rPr>
                      <w:rFonts w:hint="default" w:ascii="Times New Roman" w:hAnsi="Times New Roman" w:eastAsia="宋体" w:cs="Times New Roman"/>
                      <w:color w:val="auto"/>
                      <w:spacing w:val="0"/>
                      <w:w w:val="100"/>
                      <w:position w:val="0"/>
                      <w:sz w:val="21"/>
                      <w:szCs w:val="21"/>
                      <w:lang w:val="en-US" w:eastAsia="zh-CN" w:bidi="zh-CN"/>
                    </w:rPr>
                  </w:pPr>
                  <w:r>
                    <w:rPr>
                      <w:rFonts w:hint="default" w:ascii="Times New Roman" w:hAnsi="Times New Roman" w:eastAsia="宋体" w:cs="Times New Roman"/>
                      <w:color w:val="auto"/>
                      <w:spacing w:val="0"/>
                      <w:w w:val="100"/>
                      <w:position w:val="0"/>
                      <w:sz w:val="21"/>
                      <w:szCs w:val="21"/>
                      <w:lang w:val="en-US" w:eastAsia="zh-CN" w:bidi="zh-CN"/>
                    </w:rPr>
                    <w:t>2）采用其他消毒剂对总余氯不做要求。</w:t>
                  </w:r>
                </w:p>
              </w:tc>
            </w:tr>
          </w:tbl>
          <w:p w14:paraId="51B73696">
            <w:pPr>
              <w:keepNext w:val="0"/>
              <w:keepLines w:val="0"/>
              <w:pageBreakBefore w:val="0"/>
              <w:tabs>
                <w:tab w:val="left" w:pos="0"/>
              </w:tabs>
              <w:wordWrap/>
              <w:topLinePunct w:val="0"/>
              <w:bidi w:val="0"/>
              <w:spacing w:line="520" w:lineRule="exact"/>
              <w:ind w:left="0" w:leftChars="0" w:right="0" w:rightChars="0" w:firstLine="480" w:firstLineChars="200"/>
              <w:jc w:val="both"/>
              <w:rPr>
                <w:rFonts w:hint="default" w:ascii="Times New Roman" w:hAnsi="Times New Roman" w:eastAsia="宋体" w:cs="Times New Roman"/>
                <w:color w:val="auto"/>
                <w:kern w:val="0"/>
                <w:sz w:val="24"/>
                <w:szCs w:val="24"/>
              </w:rPr>
            </w:pPr>
            <w:r>
              <w:rPr>
                <w:rFonts w:hint="default" w:ascii="Times New Roman" w:hAnsi="Times New Roman" w:cs="Times New Roman"/>
                <w:color w:val="auto"/>
                <w:sz w:val="24"/>
                <w:szCs w:val="24"/>
                <w:lang w:val="en-US"/>
              </w:rPr>
              <w:t>3、</w:t>
            </w:r>
            <w:r>
              <w:rPr>
                <w:rFonts w:hint="default" w:ascii="Times New Roman" w:hAnsi="Times New Roman" w:eastAsia="宋体" w:cs="Times New Roman"/>
                <w:color w:val="auto"/>
                <w:sz w:val="24"/>
                <w:szCs w:val="24"/>
              </w:rPr>
              <w:t>施工噪声执行《建筑施工</w:t>
            </w:r>
            <w:r>
              <w:rPr>
                <w:rFonts w:hint="default" w:ascii="Times New Roman" w:hAnsi="Times New Roman" w:eastAsia="宋体" w:cs="Times New Roman"/>
                <w:color w:val="auto"/>
                <w:kern w:val="0"/>
                <w:sz w:val="24"/>
                <w:szCs w:val="24"/>
              </w:rPr>
              <w:t>场界</w:t>
            </w:r>
            <w:r>
              <w:rPr>
                <w:rFonts w:hint="default" w:ascii="Times New Roman" w:hAnsi="Times New Roman" w:eastAsia="宋体" w:cs="Times New Roman"/>
                <w:color w:val="auto"/>
                <w:sz w:val="24"/>
                <w:szCs w:val="24"/>
              </w:rPr>
              <w:t>环境噪声排放标准》</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GB12523-2011</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中的标准</w:t>
            </w:r>
            <w:r>
              <w:rPr>
                <w:rFonts w:hint="default" w:ascii="Times New Roman" w:hAnsi="Times New Roman" w:eastAsia="宋体" w:cs="Times New Roman"/>
                <w:color w:val="auto"/>
                <w:kern w:val="0"/>
                <w:sz w:val="24"/>
                <w:szCs w:val="24"/>
              </w:rPr>
              <w:t>限值，具体</w:t>
            </w:r>
            <w:r>
              <w:rPr>
                <w:rFonts w:hint="default" w:ascii="Times New Roman" w:hAnsi="Times New Roman" w:cs="Times New Roman"/>
                <w:color w:val="auto"/>
                <w:kern w:val="0"/>
                <w:sz w:val="24"/>
                <w:szCs w:val="24"/>
                <w:lang w:eastAsia="zh-CN"/>
              </w:rPr>
              <w:t>见</w:t>
            </w:r>
            <w:r>
              <w:rPr>
                <w:rFonts w:hint="default" w:ascii="Times New Roman" w:hAnsi="Times New Roman" w:eastAsia="宋体" w:cs="Times New Roman"/>
                <w:color w:val="auto"/>
                <w:kern w:val="0"/>
                <w:sz w:val="24"/>
                <w:szCs w:val="24"/>
              </w:rPr>
              <w:t>表</w:t>
            </w:r>
            <w:r>
              <w:rPr>
                <w:rFonts w:hint="default" w:ascii="Times New Roman" w:hAnsi="Times New Roman" w:cs="Times New Roman"/>
                <w:color w:val="auto"/>
                <w:kern w:val="0"/>
                <w:sz w:val="24"/>
                <w:szCs w:val="24"/>
                <w:lang w:val="en-US" w:eastAsia="zh-CN"/>
              </w:rPr>
              <w:t>3-</w:t>
            </w:r>
            <w:r>
              <w:rPr>
                <w:rFonts w:hint="eastAsia" w:ascii="Times New Roman" w:hAnsi="Times New Roman" w:cs="Times New Roman"/>
                <w:color w:val="auto"/>
                <w:kern w:val="0"/>
                <w:sz w:val="24"/>
                <w:szCs w:val="24"/>
                <w:lang w:val="en-US" w:eastAsia="zh-CN"/>
              </w:rPr>
              <w:t>6</w:t>
            </w:r>
            <w:r>
              <w:rPr>
                <w:rFonts w:hint="default" w:ascii="Times New Roman" w:hAnsi="Times New Roman" w:eastAsia="宋体" w:cs="Times New Roman"/>
                <w:color w:val="auto"/>
                <w:kern w:val="0"/>
                <w:sz w:val="24"/>
                <w:szCs w:val="24"/>
              </w:rPr>
              <w:t>。</w:t>
            </w:r>
          </w:p>
          <w:p w14:paraId="2221A7B2">
            <w:pPr>
              <w:pStyle w:val="59"/>
              <w:keepNext w:val="0"/>
              <w:keepLines w:val="0"/>
              <w:pageBreakBefore w:val="0"/>
              <w:wordWrap/>
              <w:topLinePunct w:val="0"/>
              <w:bidi w:val="0"/>
              <w:spacing w:line="520" w:lineRule="exact"/>
              <w:ind w:left="0" w:leftChars="0" w:right="0" w:rightChars="0" w:firstLine="0" w:firstLineChars="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表</w:t>
            </w:r>
            <w:r>
              <w:rPr>
                <w:rFonts w:hint="default" w:ascii="Times New Roman" w:hAnsi="Times New Roman" w:cs="Times New Roman"/>
                <w:color w:val="auto"/>
                <w:sz w:val="24"/>
                <w:szCs w:val="24"/>
                <w:lang w:val="en-US" w:eastAsia="zh-CN"/>
              </w:rPr>
              <w:t>3-</w:t>
            </w:r>
            <w:r>
              <w:rPr>
                <w:rFonts w:hint="eastAsia" w:ascii="Times New Roman" w:hAnsi="Times New Roman" w:cs="Times New Roman"/>
                <w:color w:val="auto"/>
                <w:sz w:val="24"/>
                <w:szCs w:val="24"/>
                <w:lang w:val="en-US" w:eastAsia="zh-CN"/>
              </w:rPr>
              <w:t>6</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 xml:space="preserve"> 建筑施工场界环境噪声排放标准（单位：dB(A)）</w:t>
            </w:r>
          </w:p>
          <w:tbl>
            <w:tblPr>
              <w:tblStyle w:val="20"/>
              <w:tblW w:w="4939"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148"/>
              <w:gridCol w:w="4151"/>
            </w:tblGrid>
            <w:tr w14:paraId="700A409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2499" w:type="pct"/>
                  <w:noWrap w:val="0"/>
                  <w:vAlign w:val="center"/>
                </w:tcPr>
                <w:p w14:paraId="2A96CFD0">
                  <w:pPr>
                    <w:keepNext w:val="0"/>
                    <w:keepLines w:val="0"/>
                    <w:pageBreakBefore w:val="0"/>
                    <w:widowControl w:val="0"/>
                    <w:tabs>
                      <w:tab w:val="left" w:pos="0"/>
                    </w:tabs>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昼间</w:t>
                  </w:r>
                </w:p>
              </w:tc>
              <w:tc>
                <w:tcPr>
                  <w:tcW w:w="2500" w:type="pct"/>
                  <w:noWrap w:val="0"/>
                  <w:vAlign w:val="center"/>
                </w:tcPr>
                <w:p w14:paraId="57C69F2F">
                  <w:pPr>
                    <w:keepNext w:val="0"/>
                    <w:keepLines w:val="0"/>
                    <w:pageBreakBefore w:val="0"/>
                    <w:widowControl w:val="0"/>
                    <w:tabs>
                      <w:tab w:val="left" w:pos="0"/>
                    </w:tabs>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夜间</w:t>
                  </w:r>
                </w:p>
              </w:tc>
            </w:tr>
            <w:tr w14:paraId="4452F4E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2499" w:type="pct"/>
                  <w:noWrap w:val="0"/>
                  <w:vAlign w:val="center"/>
                </w:tcPr>
                <w:p w14:paraId="69548F07">
                  <w:pPr>
                    <w:keepNext w:val="0"/>
                    <w:keepLines w:val="0"/>
                    <w:pageBreakBefore w:val="0"/>
                    <w:widowControl w:val="0"/>
                    <w:tabs>
                      <w:tab w:val="left" w:pos="0"/>
                    </w:tabs>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70</w:t>
                  </w:r>
                </w:p>
              </w:tc>
              <w:tc>
                <w:tcPr>
                  <w:tcW w:w="2500" w:type="pct"/>
                  <w:noWrap w:val="0"/>
                  <w:vAlign w:val="center"/>
                </w:tcPr>
                <w:p w14:paraId="3886701F">
                  <w:pPr>
                    <w:keepNext w:val="0"/>
                    <w:keepLines w:val="0"/>
                    <w:pageBreakBefore w:val="0"/>
                    <w:widowControl w:val="0"/>
                    <w:tabs>
                      <w:tab w:val="left" w:pos="0"/>
                    </w:tabs>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55</w:t>
                  </w:r>
                </w:p>
              </w:tc>
            </w:tr>
          </w:tbl>
          <w:p w14:paraId="64B9ECC5">
            <w:pPr>
              <w:keepNext w:val="0"/>
              <w:keepLines w:val="0"/>
              <w:pageBreakBefore w:val="0"/>
              <w:tabs>
                <w:tab w:val="left" w:pos="0"/>
              </w:tabs>
              <w:wordWrap/>
              <w:topLinePunct w:val="0"/>
              <w:bidi w:val="0"/>
              <w:spacing w:line="520" w:lineRule="exact"/>
              <w:ind w:left="0" w:leftChars="0" w:right="0" w:rightChars="0" w:firstLine="480" w:firstLineChars="20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运营期执行《</w:t>
            </w:r>
            <w:bookmarkStart w:id="4" w:name="_Hlk521774251"/>
            <w:r>
              <w:rPr>
                <w:rFonts w:hint="default" w:ascii="Times New Roman" w:hAnsi="Times New Roman" w:eastAsia="宋体" w:cs="Times New Roman"/>
                <w:color w:val="auto"/>
                <w:sz w:val="24"/>
                <w:szCs w:val="24"/>
              </w:rPr>
              <w:t>工业企业厂界环境噪声排放标准</w:t>
            </w:r>
            <w:bookmarkEnd w:id="4"/>
            <w:r>
              <w:rPr>
                <w:rFonts w:hint="default" w:ascii="Times New Roman" w:hAnsi="Times New Roman" w:eastAsia="宋体" w:cs="Times New Roman"/>
                <w:color w:val="auto"/>
                <w:sz w:val="24"/>
                <w:szCs w:val="24"/>
              </w:rPr>
              <w:t>》（GB12348-2008）</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类标准</w:t>
            </w:r>
            <w:r>
              <w:rPr>
                <w:rFonts w:hint="default" w:ascii="Times New Roman" w:hAnsi="Times New Roman" w:eastAsia="宋体" w:cs="Times New Roman"/>
                <w:color w:val="auto"/>
                <w:kern w:val="0"/>
                <w:sz w:val="24"/>
                <w:szCs w:val="24"/>
              </w:rPr>
              <w:t>，具体</w:t>
            </w:r>
            <w:r>
              <w:rPr>
                <w:rFonts w:hint="default" w:ascii="Times New Roman" w:hAnsi="Times New Roman" w:cs="Times New Roman"/>
                <w:color w:val="auto"/>
                <w:kern w:val="0"/>
                <w:sz w:val="24"/>
                <w:szCs w:val="24"/>
                <w:lang w:eastAsia="zh-CN"/>
              </w:rPr>
              <w:t>见</w:t>
            </w:r>
            <w:r>
              <w:rPr>
                <w:rFonts w:hint="default" w:ascii="Times New Roman" w:hAnsi="Times New Roman" w:eastAsia="宋体" w:cs="Times New Roman"/>
                <w:color w:val="auto"/>
                <w:kern w:val="0"/>
                <w:sz w:val="24"/>
                <w:szCs w:val="24"/>
              </w:rPr>
              <w:t>表</w:t>
            </w:r>
            <w:r>
              <w:rPr>
                <w:rFonts w:hint="default" w:ascii="Times New Roman" w:hAnsi="Times New Roman" w:cs="Times New Roman"/>
                <w:color w:val="auto"/>
                <w:kern w:val="0"/>
                <w:sz w:val="24"/>
                <w:szCs w:val="24"/>
                <w:lang w:val="en-US" w:eastAsia="zh-CN"/>
              </w:rPr>
              <w:t>3-</w:t>
            </w:r>
            <w:r>
              <w:rPr>
                <w:rFonts w:hint="eastAsia" w:ascii="Times New Roman" w:hAnsi="Times New Roman" w:cs="Times New Roman"/>
                <w:color w:val="auto"/>
                <w:kern w:val="0"/>
                <w:sz w:val="24"/>
                <w:szCs w:val="24"/>
                <w:lang w:val="en-US" w:eastAsia="zh-CN"/>
              </w:rPr>
              <w:t>7</w:t>
            </w:r>
            <w:r>
              <w:rPr>
                <w:rFonts w:hint="default" w:ascii="Times New Roman" w:hAnsi="Times New Roman" w:eastAsia="宋体" w:cs="Times New Roman"/>
                <w:color w:val="auto"/>
                <w:kern w:val="0"/>
                <w:sz w:val="24"/>
                <w:szCs w:val="24"/>
              </w:rPr>
              <w:t>。</w:t>
            </w:r>
          </w:p>
          <w:p w14:paraId="2A8D3B5C">
            <w:pPr>
              <w:pStyle w:val="59"/>
              <w:keepNext w:val="0"/>
              <w:keepLines w:val="0"/>
              <w:pageBreakBefore w:val="0"/>
              <w:wordWrap/>
              <w:topLinePunct w:val="0"/>
              <w:bidi w:val="0"/>
              <w:spacing w:line="520" w:lineRule="exact"/>
              <w:ind w:left="0" w:leftChars="0" w:right="0" w:rightChars="0" w:firstLine="482" w:firstLineChars="20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表</w:t>
            </w:r>
            <w:r>
              <w:rPr>
                <w:rFonts w:hint="default" w:ascii="Times New Roman" w:hAnsi="Times New Roman" w:cs="Times New Roman"/>
                <w:color w:val="auto"/>
                <w:sz w:val="24"/>
                <w:szCs w:val="24"/>
                <w:lang w:val="en-US" w:eastAsia="zh-CN"/>
              </w:rPr>
              <w:t>3-</w:t>
            </w:r>
            <w:r>
              <w:rPr>
                <w:rFonts w:hint="eastAsia" w:ascii="Times New Roman" w:hAnsi="Times New Roman" w:cs="Times New Roman"/>
                <w:color w:val="auto"/>
                <w:sz w:val="24"/>
                <w:szCs w:val="24"/>
                <w:lang w:val="en-US" w:eastAsia="zh-CN"/>
              </w:rPr>
              <w:t>7</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工业企业厂界环境噪声排放标准（单位 dB(A)）</w:t>
            </w:r>
          </w:p>
          <w:tbl>
            <w:tblPr>
              <w:tblStyle w:val="20"/>
              <w:tblW w:w="4973"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09"/>
              <w:gridCol w:w="1010"/>
              <w:gridCol w:w="1011"/>
              <w:gridCol w:w="5326"/>
            </w:tblGrid>
            <w:tr w14:paraId="6E7088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04" w:type="pct"/>
                  <w:noWrap w:val="0"/>
                  <w:vAlign w:val="center"/>
                </w:tcPr>
                <w:p w14:paraId="60614086">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类别</w:t>
                  </w:r>
                </w:p>
              </w:tc>
              <w:tc>
                <w:tcPr>
                  <w:tcW w:w="604" w:type="pct"/>
                  <w:noWrap w:val="0"/>
                  <w:vAlign w:val="center"/>
                </w:tcPr>
                <w:p w14:paraId="72644F5A">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昼夜</w:t>
                  </w:r>
                </w:p>
              </w:tc>
              <w:tc>
                <w:tcPr>
                  <w:tcW w:w="605" w:type="pct"/>
                  <w:noWrap w:val="0"/>
                  <w:vAlign w:val="center"/>
                </w:tcPr>
                <w:p w14:paraId="0BB0D880">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夜间</w:t>
                  </w:r>
                </w:p>
              </w:tc>
              <w:tc>
                <w:tcPr>
                  <w:tcW w:w="3184" w:type="pct"/>
                  <w:noWrap w:val="0"/>
                  <w:vAlign w:val="center"/>
                </w:tcPr>
                <w:p w14:paraId="1B46BEC2">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标准来源</w:t>
                  </w:r>
                </w:p>
              </w:tc>
            </w:tr>
            <w:tr w14:paraId="26F3D2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04" w:type="pct"/>
                  <w:noWrap w:val="0"/>
                  <w:vAlign w:val="center"/>
                </w:tcPr>
                <w:p w14:paraId="7C736B70">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rPr>
                    <w:t>类</w:t>
                  </w:r>
                </w:p>
              </w:tc>
              <w:tc>
                <w:tcPr>
                  <w:tcW w:w="604" w:type="pct"/>
                  <w:noWrap w:val="0"/>
                  <w:vAlign w:val="center"/>
                </w:tcPr>
                <w:p w14:paraId="0706E68E">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55</w:t>
                  </w:r>
                </w:p>
              </w:tc>
              <w:tc>
                <w:tcPr>
                  <w:tcW w:w="605" w:type="pct"/>
                  <w:noWrap w:val="0"/>
                  <w:vAlign w:val="center"/>
                </w:tcPr>
                <w:p w14:paraId="0C1C82DB">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45</w:t>
                  </w:r>
                </w:p>
              </w:tc>
              <w:tc>
                <w:tcPr>
                  <w:tcW w:w="3184" w:type="pct"/>
                  <w:noWrap w:val="0"/>
                  <w:vAlign w:val="center"/>
                </w:tcPr>
                <w:p w14:paraId="06D860CB">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eastAsia="zh-CN"/>
                    </w:rPr>
                    <w:t>工业</w:t>
                  </w:r>
                  <w:r>
                    <w:rPr>
                      <w:rFonts w:hint="default" w:ascii="Times New Roman" w:hAnsi="Times New Roman" w:eastAsia="宋体" w:cs="Times New Roman"/>
                      <w:color w:val="auto"/>
                      <w:sz w:val="21"/>
                      <w:szCs w:val="21"/>
                    </w:rPr>
                    <w:t>企业厂界环境噪声排放标准》（GB12348-2008）</w:t>
                  </w:r>
                </w:p>
              </w:tc>
            </w:tr>
          </w:tbl>
          <w:p w14:paraId="20CB9552">
            <w:pPr>
              <w:keepNext w:val="0"/>
              <w:keepLines/>
              <w:pageBreakBefore w:val="0"/>
              <w:widowControl w:val="0"/>
              <w:numPr>
                <w:ilvl w:val="0"/>
                <w:numId w:val="0"/>
              </w:numPr>
              <w:kinsoku/>
              <w:wordWrap/>
              <w:overflowPunct/>
              <w:topLinePunct/>
              <w:autoSpaceDE/>
              <w:autoSpaceDN/>
              <w:bidi w:val="0"/>
              <w:adjustRightInd/>
              <w:snapToGrid/>
              <w:spacing w:line="520" w:lineRule="exact"/>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bidi="zh-CN"/>
              </w:rPr>
              <w:t>4、</w:t>
            </w:r>
            <w:r>
              <w:rPr>
                <w:rFonts w:hint="eastAsia" w:ascii="Times New Roman" w:hAnsi="Times New Roman" w:cs="Times New Roman"/>
                <w:color w:val="auto"/>
                <w:sz w:val="24"/>
                <w:szCs w:val="24"/>
                <w:lang w:val="en-US" w:eastAsia="zh-CN"/>
              </w:rPr>
              <w:t>污水处理站污泥清掏前应进行监测，执行</w:t>
            </w:r>
            <w:r>
              <w:rPr>
                <w:rFonts w:hint="eastAsia" w:ascii="Times New Roman" w:hAnsi="Times New Roman" w:eastAsia="宋体" w:cs="Times New Roman"/>
                <w:b w:val="0"/>
                <w:bCs w:val="0"/>
                <w:caps w:val="0"/>
                <w:color w:val="auto"/>
                <w:sz w:val="24"/>
                <w:szCs w:val="24"/>
                <w:highlight w:val="none"/>
                <w:lang w:val="en-US" w:eastAsia="zh-CN"/>
              </w:rPr>
              <w:t>《医疗机构水污染物排放标准》（GB 18466-2005）表4医疗机构污泥控制标准中综合医疗机构和其他医疗机构标准要求</w:t>
            </w:r>
            <w:r>
              <w:rPr>
                <w:rFonts w:hint="eastAsia" w:ascii="Times New Roman" w:hAnsi="Times New Roman" w:cs="Times New Roman"/>
                <w:color w:val="auto"/>
                <w:sz w:val="24"/>
                <w:szCs w:val="24"/>
                <w:lang w:val="en-US" w:eastAsia="zh-CN"/>
              </w:rPr>
              <w:t>。具体见下表。</w:t>
            </w:r>
          </w:p>
          <w:p w14:paraId="575ECA9F">
            <w:pPr>
              <w:pStyle w:val="59"/>
              <w:keepNext w:val="0"/>
              <w:keepLines w:val="0"/>
              <w:pageBreakBefore w:val="0"/>
              <w:wordWrap/>
              <w:topLinePunct w:val="0"/>
              <w:bidi w:val="0"/>
              <w:spacing w:line="520" w:lineRule="exact"/>
              <w:ind w:left="0" w:leftChars="0" w:right="0" w:rightChars="0" w:firstLine="482" w:firstLineChars="20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表</w:t>
            </w:r>
            <w:r>
              <w:rPr>
                <w:rFonts w:hint="default" w:ascii="Times New Roman" w:hAnsi="Times New Roman" w:cs="Times New Roman"/>
                <w:color w:val="auto"/>
                <w:sz w:val="24"/>
                <w:szCs w:val="24"/>
                <w:lang w:val="en-US" w:eastAsia="zh-CN"/>
              </w:rPr>
              <w:t>3-</w:t>
            </w:r>
            <w:r>
              <w:rPr>
                <w:rFonts w:hint="eastAsia" w:ascii="Times New Roman" w:hAnsi="Times New Roman" w:cs="Times New Roman"/>
                <w:color w:val="auto"/>
                <w:sz w:val="24"/>
                <w:szCs w:val="24"/>
                <w:lang w:val="en-US" w:eastAsia="zh-CN"/>
              </w:rPr>
              <w:t>8</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医疗机构污泥控制标准</w:t>
            </w:r>
          </w:p>
          <w:tbl>
            <w:tblPr>
              <w:tblStyle w:val="20"/>
              <w:tblW w:w="49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1668"/>
              <w:gridCol w:w="1411"/>
              <w:gridCol w:w="1249"/>
              <w:gridCol w:w="1249"/>
              <w:gridCol w:w="1249"/>
              <w:gridCol w:w="1408"/>
            </w:tblGrid>
            <w:tr w14:paraId="084676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69" w:hRule="atLeast"/>
                <w:jc w:val="center"/>
              </w:trPr>
              <w:tc>
                <w:tcPr>
                  <w:tcW w:w="1012" w:type="pct"/>
                  <w:noWrap w:val="0"/>
                  <w:vAlign w:val="center"/>
                </w:tcPr>
                <w:p w14:paraId="6EF7B170">
                  <w:pPr>
                    <w:keepNext w:val="0"/>
                    <w:keepLines w:val="0"/>
                    <w:pageBreakBefore w:val="0"/>
                    <w:widowControl/>
                    <w:suppressLineNumbers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医疗机构</w:t>
                  </w:r>
                </w:p>
                <w:p w14:paraId="28CBD9EE">
                  <w:pPr>
                    <w:keepNext w:val="0"/>
                    <w:keepLines w:val="0"/>
                    <w:pageBreakBefore w:val="0"/>
                    <w:widowControl/>
                    <w:suppressLineNumbers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类别 </w:t>
                  </w:r>
                </w:p>
              </w:tc>
              <w:tc>
                <w:tcPr>
                  <w:tcW w:w="856" w:type="pct"/>
                  <w:noWrap w:val="0"/>
                  <w:vAlign w:val="center"/>
                </w:tcPr>
                <w:p w14:paraId="0078A14A">
                  <w:pPr>
                    <w:keepNext w:val="0"/>
                    <w:keepLines w:val="0"/>
                    <w:pageBreakBefore w:val="0"/>
                    <w:widowControl/>
                    <w:suppressLineNumbers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粪大肠菌群数/（MPN/g） </w:t>
                  </w:r>
                </w:p>
              </w:tc>
              <w:tc>
                <w:tcPr>
                  <w:tcW w:w="758" w:type="pct"/>
                  <w:noWrap w:val="0"/>
                  <w:vAlign w:val="center"/>
                </w:tcPr>
                <w:p w14:paraId="23764A62">
                  <w:pPr>
                    <w:keepNext w:val="0"/>
                    <w:keepLines w:val="0"/>
                    <w:pageBreakBefore w:val="0"/>
                    <w:widowControl/>
                    <w:suppressLineNumbers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肠道致病菌 </w:t>
                  </w:r>
                </w:p>
              </w:tc>
              <w:tc>
                <w:tcPr>
                  <w:tcW w:w="758" w:type="pct"/>
                  <w:noWrap w:val="0"/>
                  <w:vAlign w:val="center"/>
                </w:tcPr>
                <w:p w14:paraId="3C685855">
                  <w:pPr>
                    <w:keepNext w:val="0"/>
                    <w:keepLines w:val="0"/>
                    <w:pageBreakBefore w:val="0"/>
                    <w:widowControl/>
                    <w:suppressLineNumbers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肠道病毒 </w:t>
                  </w:r>
                </w:p>
              </w:tc>
              <w:tc>
                <w:tcPr>
                  <w:tcW w:w="758" w:type="pct"/>
                  <w:noWrap w:val="0"/>
                  <w:vAlign w:val="center"/>
                </w:tcPr>
                <w:p w14:paraId="2D2655F2">
                  <w:pPr>
                    <w:keepNext w:val="0"/>
                    <w:keepLines w:val="0"/>
                    <w:pageBreakBefore w:val="0"/>
                    <w:widowControl/>
                    <w:suppressLineNumbers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结核杆菌 </w:t>
                  </w:r>
                </w:p>
              </w:tc>
              <w:tc>
                <w:tcPr>
                  <w:tcW w:w="854" w:type="pct"/>
                  <w:noWrap w:val="0"/>
                  <w:vAlign w:val="center"/>
                </w:tcPr>
                <w:p w14:paraId="3C074905">
                  <w:pPr>
                    <w:keepNext w:val="0"/>
                    <w:keepLines w:val="0"/>
                    <w:pageBreakBefore w:val="0"/>
                    <w:widowControl/>
                    <w:suppressLineNumbers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蛔虫卵死亡率/ % </w:t>
                  </w:r>
                </w:p>
              </w:tc>
            </w:tr>
            <w:tr w14:paraId="0D1529D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569" w:hRule="atLeast"/>
                <w:jc w:val="center"/>
              </w:trPr>
              <w:tc>
                <w:tcPr>
                  <w:tcW w:w="1012" w:type="pct"/>
                  <w:noWrap w:val="0"/>
                  <w:vAlign w:val="center"/>
                </w:tcPr>
                <w:p w14:paraId="450E2045">
                  <w:pPr>
                    <w:keepNext w:val="0"/>
                    <w:keepLines w:val="0"/>
                    <w:pageBreakBefore w:val="0"/>
                    <w:widowControl/>
                    <w:suppressLineNumbers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 xml:space="preserve">综合医疗机构和其他医疗机构 </w:t>
                  </w:r>
                </w:p>
              </w:tc>
              <w:tc>
                <w:tcPr>
                  <w:tcW w:w="856" w:type="pct"/>
                  <w:noWrap w:val="0"/>
                  <w:vAlign w:val="center"/>
                </w:tcPr>
                <w:p w14:paraId="21AC0F16">
                  <w:pPr>
                    <w:keepNext w:val="0"/>
                    <w:keepLines w:val="0"/>
                    <w:pageBreakBefore w:val="0"/>
                    <w:widowControl/>
                    <w:suppressLineNumbers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 xml:space="preserve">≤100 </w:t>
                  </w:r>
                </w:p>
              </w:tc>
              <w:tc>
                <w:tcPr>
                  <w:tcW w:w="758" w:type="pct"/>
                  <w:noWrap w:val="0"/>
                  <w:vAlign w:val="center"/>
                </w:tcPr>
                <w:p w14:paraId="16F76094">
                  <w:pPr>
                    <w:keepNext w:val="0"/>
                    <w:keepLines w:val="0"/>
                    <w:pageBreakBefore w:val="0"/>
                    <w:widowControl/>
                    <w:suppressLineNumbers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 xml:space="preserve">— </w:t>
                  </w:r>
                </w:p>
              </w:tc>
              <w:tc>
                <w:tcPr>
                  <w:tcW w:w="758" w:type="pct"/>
                  <w:noWrap w:val="0"/>
                  <w:vAlign w:val="center"/>
                </w:tcPr>
                <w:p w14:paraId="50116DB9">
                  <w:pPr>
                    <w:keepNext w:val="0"/>
                    <w:keepLines w:val="0"/>
                    <w:pageBreakBefore w:val="0"/>
                    <w:widowControl/>
                    <w:suppressLineNumbers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 </w:t>
                  </w:r>
                </w:p>
              </w:tc>
              <w:tc>
                <w:tcPr>
                  <w:tcW w:w="758" w:type="pct"/>
                  <w:noWrap w:val="0"/>
                  <w:vAlign w:val="center"/>
                </w:tcPr>
                <w:p w14:paraId="072DFEA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w:t>
                  </w:r>
                </w:p>
              </w:tc>
              <w:tc>
                <w:tcPr>
                  <w:tcW w:w="854" w:type="pct"/>
                  <w:noWrap w:val="0"/>
                  <w:vAlign w:val="center"/>
                </w:tcPr>
                <w:p w14:paraId="7D1DBB09">
                  <w:pPr>
                    <w:keepNext w:val="0"/>
                    <w:keepLines w:val="0"/>
                    <w:pageBreakBefore w:val="0"/>
                    <w:widowControl/>
                    <w:suppressLineNumbers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＞95</w:t>
                  </w:r>
                </w:p>
              </w:tc>
            </w:tr>
          </w:tbl>
          <w:p w14:paraId="56C58C6B">
            <w:pPr>
              <w:keepLines/>
              <w:numPr>
                <w:ilvl w:val="0"/>
                <w:numId w:val="0"/>
              </w:numPr>
              <w:kinsoku w:val="0"/>
              <w:topLinePunct/>
              <w:autoSpaceDE/>
              <w:autoSpaceDN/>
              <w:spacing w:line="500" w:lineRule="exact"/>
              <w:ind w:left="0" w:leftChars="0" w:firstLine="480" w:firstLineChars="200"/>
              <w:jc w:val="both"/>
              <w:rPr>
                <w:rFonts w:hint="eastAsia" w:ascii="Times New Roman" w:hAnsi="Times New Roman"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bidi="zh-CN"/>
              </w:rPr>
              <w:t>5、</w:t>
            </w:r>
            <w:r>
              <w:rPr>
                <w:rFonts w:hint="default" w:ascii="Times New Roman" w:hAnsi="Times New Roman" w:eastAsia="宋体" w:cs="Times New Roman"/>
                <w:color w:val="auto"/>
                <w:sz w:val="24"/>
                <w:szCs w:val="24"/>
                <w:lang w:val="en-US" w:eastAsia="zh-CN"/>
              </w:rPr>
              <w:t>医疗废物、栅渣、化粪池及污水处理站污泥贮存</w:t>
            </w:r>
            <w:r>
              <w:rPr>
                <w:rFonts w:hint="default" w:ascii="Times New Roman" w:hAnsi="Times New Roman" w:eastAsia="宋体" w:cs="Times New Roman"/>
                <w:color w:val="auto"/>
                <w:sz w:val="24"/>
                <w:szCs w:val="24"/>
                <w:lang w:val="en-US"/>
              </w:rPr>
              <w:t>执行</w:t>
            </w:r>
            <w:r>
              <w:rPr>
                <w:rFonts w:hint="default" w:ascii="Times New Roman" w:hAnsi="Times New Roman" w:eastAsia="宋体" w:cs="Times New Roman"/>
                <w:b w:val="0"/>
                <w:bCs w:val="0"/>
                <w:color w:val="auto"/>
                <w:sz w:val="24"/>
                <w:szCs w:val="24"/>
                <w:lang w:val="en-US"/>
              </w:rPr>
              <w:t>《危险废物贮存污染控制标准》（GB 18597—2023）</w:t>
            </w:r>
            <w:r>
              <w:rPr>
                <w:rFonts w:hint="default" w:ascii="Times New Roman" w:hAnsi="Times New Roman" w:eastAsia="宋体" w:cs="Times New Roman"/>
                <w:b w:val="0"/>
                <w:bCs w:val="0"/>
                <w:color w:val="auto"/>
                <w:sz w:val="24"/>
                <w:szCs w:val="24"/>
                <w:lang w:val="en-US" w:eastAsia="zh-CN"/>
              </w:rPr>
              <w:t>。</w:t>
            </w:r>
          </w:p>
        </w:tc>
      </w:tr>
      <w:tr w14:paraId="5D5C5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85" w:hRule="atLeast"/>
        </w:trPr>
        <w:tc>
          <w:tcPr>
            <w:tcW w:w="663" w:type="dxa"/>
            <w:tcBorders>
              <w:right w:val="single" w:color="000000" w:sz="4" w:space="0"/>
            </w:tcBorders>
            <w:noWrap w:val="0"/>
            <w:vAlign w:val="center"/>
          </w:tcPr>
          <w:p w14:paraId="693D0237">
            <w:pPr>
              <w:pStyle w:val="45"/>
              <w:spacing w:line="520" w:lineRule="exact"/>
              <w:jc w:val="center"/>
              <w:rPr>
                <w:rFonts w:ascii="Times New Roman" w:hAnsi="Times New Roman" w:cs="Times New Roman"/>
                <w:color w:val="auto"/>
                <w:spacing w:val="-2"/>
                <w:sz w:val="24"/>
                <w:szCs w:val="24"/>
                <w:lang w:val="en-US"/>
              </w:rPr>
            </w:pPr>
            <w:r>
              <w:rPr>
                <w:rFonts w:hint="eastAsia" w:ascii="Times New Roman" w:hAnsi="Times New Roman" w:cs="Times New Roman"/>
                <w:color w:val="auto"/>
                <w:spacing w:val="-2"/>
                <w:sz w:val="24"/>
                <w:szCs w:val="24"/>
                <w:lang w:val="en-US"/>
              </w:rPr>
              <w:t>总量控制指标</w:t>
            </w:r>
          </w:p>
        </w:tc>
        <w:tc>
          <w:tcPr>
            <w:tcW w:w="8280" w:type="dxa"/>
            <w:tcBorders>
              <w:left w:val="single" w:color="000000" w:sz="4" w:space="0"/>
              <w:bottom w:val="single" w:color="000000" w:sz="4" w:space="0"/>
            </w:tcBorders>
            <w:noWrap w:val="0"/>
            <w:vAlign w:val="center"/>
          </w:tcPr>
          <w:p w14:paraId="33A89557">
            <w:pPr>
              <w:spacing w:line="520" w:lineRule="exact"/>
              <w:ind w:firstLine="480" w:firstLineChars="200"/>
              <w:jc w:val="both"/>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eastAsia="zh-CN"/>
              </w:rPr>
              <w:t>项目废水经污水处理站处理后排入市政污水管网，废水污染物总量不纳入本项目总量控制范围内</w:t>
            </w:r>
            <w:r>
              <w:rPr>
                <w:rFonts w:hint="eastAsia" w:ascii="Times New Roman" w:hAnsi="Times New Roman" w:cs="Times New Roman"/>
                <w:color w:val="auto"/>
                <w:sz w:val="24"/>
                <w:highlight w:val="none"/>
                <w:lang w:val="en-US" w:eastAsia="zh-CN"/>
              </w:rPr>
              <w:t>。</w:t>
            </w:r>
          </w:p>
          <w:p w14:paraId="79934375">
            <w:pPr>
              <w:spacing w:line="520" w:lineRule="exact"/>
              <w:ind w:firstLine="480" w:firstLineChars="200"/>
              <w:jc w:val="both"/>
              <w:rPr>
                <w:rFonts w:hint="eastAsia" w:ascii="Times New Roman" w:hAnsi="Times New Roman" w:cs="Times New Roman"/>
                <w:color w:val="auto"/>
                <w:sz w:val="24"/>
                <w:szCs w:val="24"/>
                <w:lang w:val="en-US"/>
              </w:rPr>
            </w:pPr>
            <w:r>
              <w:rPr>
                <w:rFonts w:hint="eastAsia" w:ascii="Times New Roman" w:hAnsi="Times New Roman" w:cs="Times New Roman"/>
                <w:color w:val="auto"/>
                <w:sz w:val="24"/>
                <w:highlight w:val="none"/>
                <w:lang w:val="en-US" w:eastAsia="zh-CN"/>
              </w:rPr>
              <w:t>故</w:t>
            </w:r>
            <w:r>
              <w:rPr>
                <w:rFonts w:hint="default" w:ascii="Times New Roman" w:hAnsi="Times New Roman" w:cs="Times New Roman"/>
                <w:color w:val="auto"/>
                <w:sz w:val="24"/>
                <w:highlight w:val="none"/>
              </w:rPr>
              <w:t>项目总量控制指标：</w:t>
            </w:r>
            <w:r>
              <w:rPr>
                <w:rFonts w:hint="eastAsia" w:ascii="Times New Roman" w:hAnsi="Times New Roman" w:cs="Times New Roman"/>
                <w:color w:val="auto"/>
                <w:sz w:val="24"/>
                <w:highlight w:val="none"/>
                <w:lang w:eastAsia="zh-CN"/>
              </w:rPr>
              <w:t>无。</w:t>
            </w:r>
          </w:p>
        </w:tc>
      </w:tr>
    </w:tbl>
    <w:p w14:paraId="07D512D8">
      <w:pPr>
        <w:pStyle w:val="19"/>
        <w:ind w:firstLine="0" w:firstLineChars="0"/>
        <w:rPr>
          <w:color w:val="auto"/>
          <w:lang w:val="en-US"/>
        </w:rPr>
        <w:sectPr>
          <w:footerReference r:id="rId7" w:type="default"/>
          <w:footerReference r:id="rId8" w:type="even"/>
          <w:pgSz w:w="11910" w:h="16840"/>
          <w:pgMar w:top="1701" w:right="1531" w:bottom="1701" w:left="1531" w:header="720" w:footer="1531" w:gutter="0"/>
          <w:pgBorders>
            <w:top w:val="none" w:sz="0" w:space="0"/>
            <w:left w:val="none" w:sz="0" w:space="0"/>
            <w:bottom w:val="none" w:sz="0" w:space="0"/>
            <w:right w:val="none" w:sz="0" w:space="0"/>
          </w:pgBorders>
          <w:pgNumType w:fmt="decimal"/>
          <w:cols w:space="720" w:num="1"/>
        </w:sectPr>
      </w:pPr>
    </w:p>
    <w:p w14:paraId="61EDD11B">
      <w:pPr>
        <w:pStyle w:val="3"/>
        <w:keepNext/>
        <w:keepLines w:val="0"/>
        <w:pageBreakBefore/>
        <w:widowControl w:val="0"/>
        <w:kinsoku/>
        <w:wordWrap/>
        <w:overflowPunct/>
        <w:topLinePunct w:val="0"/>
        <w:autoSpaceDE w:val="0"/>
        <w:autoSpaceDN w:val="0"/>
        <w:bidi w:val="0"/>
        <w:adjustRightInd/>
        <w:snapToGrid/>
        <w:spacing w:before="20" w:after="0" w:afterLines="100"/>
        <w:ind w:left="391" w:right="414"/>
        <w:textAlignment w:val="auto"/>
        <w:rPr>
          <w:color w:val="auto"/>
          <w:sz w:val="22"/>
        </w:rPr>
      </w:pPr>
      <w:bookmarkStart w:id="5" w:name="2、地表水环境质量标准"/>
      <w:bookmarkEnd w:id="5"/>
      <w:bookmarkStart w:id="6" w:name="三、区域环境质量现状、环境保护目标及评价标准"/>
      <w:bookmarkEnd w:id="6"/>
      <w:r>
        <w:rPr>
          <w:color w:val="auto"/>
        </w:rPr>
        <w:t>四、主要环境影响和保护措施</w:t>
      </w:r>
    </w:p>
    <w:tbl>
      <w:tblPr>
        <w:tblStyle w:val="20"/>
        <w:tblW w:w="913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84"/>
        <w:gridCol w:w="8450"/>
      </w:tblGrid>
      <w:tr w14:paraId="5DAB2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69" w:hRule="atLeast"/>
          <w:jc w:val="center"/>
        </w:trPr>
        <w:tc>
          <w:tcPr>
            <w:tcW w:w="684" w:type="dxa"/>
            <w:tcBorders>
              <w:right w:val="single" w:color="000000" w:sz="4" w:space="0"/>
            </w:tcBorders>
            <w:noWrap w:val="0"/>
            <w:vAlign w:val="center"/>
          </w:tcPr>
          <w:p w14:paraId="2C278336">
            <w:pPr>
              <w:pStyle w:val="45"/>
              <w:keepNext/>
              <w:spacing w:line="520" w:lineRule="exact"/>
              <w:jc w:val="center"/>
              <w:rPr>
                <w:color w:val="auto"/>
                <w:sz w:val="21"/>
              </w:rPr>
            </w:pPr>
            <w:r>
              <w:rPr>
                <w:color w:val="auto"/>
                <w:sz w:val="24"/>
                <w:szCs w:val="28"/>
              </w:rPr>
              <w:t>施工期环境保护措施</w:t>
            </w:r>
          </w:p>
        </w:tc>
        <w:tc>
          <w:tcPr>
            <w:tcW w:w="8450" w:type="dxa"/>
            <w:tcBorders>
              <w:left w:val="single" w:color="000000" w:sz="4" w:space="0"/>
            </w:tcBorders>
            <w:noWrap w:val="0"/>
            <w:vAlign w:val="center"/>
          </w:tcPr>
          <w:p w14:paraId="08282256">
            <w:pPr>
              <w:pStyle w:val="45"/>
              <w:keepNext w:val="0"/>
              <w:keepLines w:val="0"/>
              <w:pageBreakBefore w:val="0"/>
              <w:widowControl w:val="0"/>
              <w:kinsoku/>
              <w:wordWrap/>
              <w:overflowPunct/>
              <w:topLinePunct w:val="0"/>
              <w:autoSpaceDE/>
              <w:autoSpaceDN/>
              <w:bidi w:val="0"/>
              <w:spacing w:line="520" w:lineRule="exact"/>
              <w:ind w:firstLine="482" w:firstLineChars="200"/>
              <w:jc w:val="both"/>
              <w:textAlignment w:val="auto"/>
              <w:rPr>
                <w:rFonts w:ascii="Times New Roman" w:hAnsi="Times New Roman" w:cs="Times New Roman"/>
                <w:b/>
                <w:bCs/>
                <w:color w:val="auto"/>
                <w:sz w:val="24"/>
                <w:lang w:val="en-US"/>
              </w:rPr>
            </w:pPr>
            <w:r>
              <w:rPr>
                <w:rFonts w:ascii="Times New Roman" w:hAnsi="Times New Roman" w:cs="Times New Roman"/>
                <w:b/>
                <w:bCs/>
                <w:color w:val="auto"/>
                <w:sz w:val="24"/>
                <w:lang w:val="en-US"/>
              </w:rPr>
              <w:t>1、大气环境影响分析</w:t>
            </w:r>
          </w:p>
          <w:p w14:paraId="3889F592">
            <w:pPr>
              <w:pStyle w:val="45"/>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cs="Times New Roman"/>
                <w:color w:val="auto"/>
                <w:sz w:val="24"/>
                <w:lang w:val="en-US"/>
              </w:rPr>
            </w:pPr>
            <w:r>
              <w:rPr>
                <w:rFonts w:hint="eastAsia" w:ascii="Times New Roman" w:hAnsi="Times New Roman" w:cs="Times New Roman"/>
                <w:color w:val="auto"/>
                <w:sz w:val="24"/>
                <w:lang w:val="en-US"/>
              </w:rPr>
              <w:t>项目</w:t>
            </w:r>
            <w:r>
              <w:rPr>
                <w:rFonts w:hint="eastAsia" w:ascii="Times New Roman" w:hAnsi="Times New Roman" w:cs="Times New Roman"/>
                <w:color w:val="auto"/>
                <w:sz w:val="24"/>
                <w:lang w:val="en-US" w:eastAsia="zh-CN"/>
              </w:rPr>
              <w:t>施工人员均来自附近居民，施工期不设置施工营地。本项目危废暂存库及污水处理站利用现有建筑物，土建施工过程较短。</w:t>
            </w:r>
            <w:r>
              <w:rPr>
                <w:rFonts w:ascii="Times New Roman" w:hAnsi="Times New Roman" w:cs="Times New Roman"/>
                <w:color w:val="auto"/>
                <w:sz w:val="24"/>
                <w:lang w:val="en-US"/>
              </w:rPr>
              <w:t>施工废气主要为施工扬尘。</w:t>
            </w:r>
            <w:r>
              <w:rPr>
                <w:rFonts w:hint="eastAsia" w:ascii="Times New Roman" w:hAnsi="Times New Roman" w:cs="Times New Roman"/>
                <w:color w:val="auto"/>
                <w:sz w:val="24"/>
                <w:lang w:val="en-US" w:eastAsia="zh-CN"/>
              </w:rPr>
              <w:t>主要包括</w:t>
            </w:r>
            <w:r>
              <w:rPr>
                <w:rFonts w:ascii="Times New Roman" w:hAnsi="Times New Roman" w:cs="Times New Roman"/>
                <w:color w:val="auto"/>
                <w:sz w:val="24"/>
                <w:lang w:val="en-US"/>
              </w:rPr>
              <w:t>施工期基础工程的开挖、临时堆放产生的扬尘</w:t>
            </w:r>
            <w:r>
              <w:rPr>
                <w:rFonts w:hint="eastAsia" w:ascii="Times New Roman" w:hAnsi="Times New Roman" w:cs="Times New Roman"/>
                <w:color w:val="auto"/>
                <w:sz w:val="24"/>
                <w:lang w:val="en-US" w:eastAsia="zh-CN"/>
              </w:rPr>
              <w:t>、</w:t>
            </w:r>
            <w:r>
              <w:rPr>
                <w:rFonts w:ascii="Times New Roman" w:hAnsi="Times New Roman" w:cs="Times New Roman"/>
                <w:color w:val="auto"/>
                <w:sz w:val="24"/>
                <w:lang w:val="en-US"/>
              </w:rPr>
              <w:t>建筑材料在装卸、堆放和使用过程会产生扬尘</w:t>
            </w:r>
            <w:r>
              <w:rPr>
                <w:rFonts w:hint="eastAsia" w:ascii="Times New Roman" w:hAnsi="Times New Roman" w:cs="Times New Roman"/>
                <w:color w:val="auto"/>
                <w:sz w:val="24"/>
                <w:lang w:val="en-US" w:eastAsia="zh-CN"/>
              </w:rPr>
              <w:t>、</w:t>
            </w:r>
            <w:r>
              <w:rPr>
                <w:rFonts w:ascii="Times New Roman" w:hAnsi="Times New Roman" w:cs="Times New Roman"/>
                <w:color w:val="auto"/>
                <w:sz w:val="24"/>
                <w:lang w:val="en-US"/>
              </w:rPr>
              <w:t>施工期车辆洒落的尘土。</w:t>
            </w:r>
          </w:p>
          <w:p w14:paraId="76159952">
            <w:pPr>
              <w:pStyle w:val="45"/>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ascii="Times New Roman" w:hAnsi="Times New Roman" w:cs="Times New Roman"/>
                <w:color w:val="auto"/>
                <w:sz w:val="24"/>
                <w:lang w:val="en-US"/>
              </w:rPr>
            </w:pPr>
            <w:r>
              <w:rPr>
                <w:rFonts w:ascii="Times New Roman" w:hAnsi="Times New Roman" w:cs="Times New Roman"/>
                <w:color w:val="auto"/>
                <w:sz w:val="24"/>
                <w:lang w:val="en-US"/>
              </w:rPr>
              <w:t>为控制扬尘的影响，建设单位应严格采取以下施工污染控制对策：</w:t>
            </w:r>
          </w:p>
          <w:p w14:paraId="2A6761EE">
            <w:pPr>
              <w:pStyle w:val="45"/>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ascii="Times New Roman" w:hAnsi="Times New Roman" w:cs="Times New Roman"/>
                <w:color w:val="auto"/>
                <w:sz w:val="24"/>
                <w:lang w:val="en-US"/>
              </w:rPr>
            </w:pPr>
            <w:r>
              <w:rPr>
                <w:rFonts w:hint="eastAsia" w:ascii="Times New Roman" w:hAnsi="Times New Roman" w:cs="Times New Roman"/>
                <w:color w:val="auto"/>
                <w:sz w:val="24"/>
                <w:lang w:val="en-US"/>
              </w:rPr>
              <w:t>（</w:t>
            </w:r>
            <w:r>
              <w:rPr>
                <w:rFonts w:hint="eastAsia" w:ascii="Times New Roman" w:hAnsi="Times New Roman" w:cs="Times New Roman"/>
                <w:color w:val="auto"/>
                <w:sz w:val="24"/>
                <w:lang w:val="en-US" w:eastAsia="zh-CN"/>
              </w:rPr>
              <w:t>1</w:t>
            </w:r>
            <w:r>
              <w:rPr>
                <w:rFonts w:hint="eastAsia" w:ascii="Times New Roman" w:hAnsi="Times New Roman" w:cs="Times New Roman"/>
                <w:color w:val="auto"/>
                <w:sz w:val="24"/>
                <w:lang w:val="en-US"/>
              </w:rPr>
              <w:t>）</w:t>
            </w:r>
            <w:r>
              <w:rPr>
                <w:rFonts w:ascii="Times New Roman" w:hAnsi="Times New Roman" w:cs="Times New Roman"/>
                <w:color w:val="auto"/>
                <w:sz w:val="24"/>
                <w:lang w:val="en-US"/>
              </w:rPr>
              <w:t>工程建设期间，其所使用的建筑材料主要是水泥、砂土等易起尘物料</w:t>
            </w:r>
            <w:r>
              <w:rPr>
                <w:rFonts w:hint="eastAsia" w:ascii="Times New Roman" w:hAnsi="Times New Roman" w:cs="Times New Roman"/>
                <w:color w:val="auto"/>
                <w:sz w:val="24"/>
                <w:lang w:val="en-US" w:eastAsia="zh-CN"/>
              </w:rPr>
              <w:t>，</w:t>
            </w:r>
            <w:r>
              <w:rPr>
                <w:rFonts w:ascii="Times New Roman" w:hAnsi="Times New Roman" w:cs="Times New Roman"/>
                <w:color w:val="auto"/>
                <w:sz w:val="24"/>
                <w:lang w:val="en-US"/>
              </w:rPr>
              <w:t>在装卸、堆放和使用过程全部入库贮存或者覆盖防尘布或防尘网，配合定期</w:t>
            </w:r>
            <w:r>
              <w:rPr>
                <w:rFonts w:hint="eastAsia" w:ascii="Times New Roman" w:hAnsi="Times New Roman" w:cs="Times New Roman"/>
                <w:color w:val="auto"/>
                <w:sz w:val="24"/>
                <w:lang w:val="en-US" w:eastAsia="zh-CN"/>
              </w:rPr>
              <w:t>洒水抑尘</w:t>
            </w:r>
            <w:r>
              <w:rPr>
                <w:rFonts w:ascii="Times New Roman" w:hAnsi="Times New Roman" w:cs="Times New Roman"/>
                <w:color w:val="auto"/>
                <w:sz w:val="24"/>
                <w:lang w:val="en-US"/>
              </w:rPr>
              <w:t>等措施，防止风蚀起尘。</w:t>
            </w:r>
          </w:p>
          <w:p w14:paraId="7E03F93A">
            <w:pPr>
              <w:pStyle w:val="45"/>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ascii="Times New Roman" w:hAnsi="Times New Roman" w:cs="Times New Roman"/>
                <w:color w:val="auto"/>
                <w:sz w:val="24"/>
                <w:lang w:val="en-US"/>
              </w:rPr>
            </w:pPr>
            <w:r>
              <w:rPr>
                <w:rFonts w:hint="eastAsia" w:ascii="Times New Roman" w:hAnsi="Times New Roman" w:cs="Times New Roman"/>
                <w:color w:val="auto"/>
                <w:sz w:val="24"/>
                <w:lang w:val="en-US"/>
              </w:rPr>
              <w:t>（</w:t>
            </w:r>
            <w:r>
              <w:rPr>
                <w:rFonts w:hint="eastAsia" w:ascii="Times New Roman" w:hAnsi="Times New Roman" w:cs="Times New Roman"/>
                <w:color w:val="auto"/>
                <w:sz w:val="24"/>
                <w:lang w:val="en-US" w:eastAsia="zh-CN"/>
              </w:rPr>
              <w:t>2</w:t>
            </w:r>
            <w:r>
              <w:rPr>
                <w:rFonts w:hint="eastAsia" w:ascii="Times New Roman" w:hAnsi="Times New Roman" w:cs="Times New Roman"/>
                <w:color w:val="auto"/>
                <w:sz w:val="24"/>
                <w:lang w:val="en-US"/>
              </w:rPr>
              <w:t>）</w:t>
            </w:r>
            <w:r>
              <w:rPr>
                <w:rFonts w:ascii="Times New Roman" w:hAnsi="Times New Roman" w:cs="Times New Roman"/>
                <w:color w:val="auto"/>
                <w:sz w:val="24"/>
                <w:lang w:val="en-US"/>
              </w:rPr>
              <w:t>运输车辆道路扬尘强度除了与风速、湿度等因素有关，还与路面状况有关。要求施工单位必须加强管理，采用密封车辆、加盖</w:t>
            </w:r>
            <w:r>
              <w:rPr>
                <w:rFonts w:hint="eastAsia" w:ascii="Times New Roman" w:hAnsi="Times New Roman" w:cs="Times New Roman"/>
                <w:color w:val="auto"/>
                <w:sz w:val="24"/>
                <w:lang w:val="en-US" w:eastAsia="zh-CN"/>
              </w:rPr>
              <w:t>篷</w:t>
            </w:r>
            <w:r>
              <w:rPr>
                <w:rFonts w:ascii="Times New Roman" w:hAnsi="Times New Roman" w:cs="Times New Roman"/>
                <w:color w:val="auto"/>
                <w:sz w:val="24"/>
                <w:lang w:val="en-US"/>
              </w:rPr>
              <w:t>布防止泥土洒落地面和采取车辆冲洗及地面洒水等防范措施，以减少道路扬尘对环境的污染影响。</w:t>
            </w:r>
          </w:p>
          <w:p w14:paraId="14494F71">
            <w:pPr>
              <w:pStyle w:val="45"/>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ascii="Times New Roman" w:hAnsi="Times New Roman" w:cs="Times New Roman"/>
                <w:color w:val="auto"/>
                <w:sz w:val="24"/>
                <w:lang w:val="en-US"/>
              </w:rPr>
            </w:pPr>
            <w:r>
              <w:rPr>
                <w:rFonts w:ascii="Times New Roman" w:hAnsi="Times New Roman" w:cs="Times New Roman"/>
                <w:color w:val="auto"/>
                <w:sz w:val="24"/>
                <w:lang w:val="en-US"/>
              </w:rPr>
              <w:t>工程施工期环境空气污染具有随时间变化程度大，漂移距离近、影响距离和范围小等特点，其影响只限于施工期，随建设期的结束而停止，不会产生累积的污染影响。在采取上述相应防治措施情况下，施工期废气对周围环境空气影响较小。</w:t>
            </w:r>
          </w:p>
          <w:p w14:paraId="351FC2E1">
            <w:pPr>
              <w:pStyle w:val="45"/>
              <w:keepNext w:val="0"/>
              <w:keepLines w:val="0"/>
              <w:pageBreakBefore w:val="0"/>
              <w:widowControl w:val="0"/>
              <w:kinsoku/>
              <w:wordWrap/>
              <w:overflowPunct/>
              <w:topLinePunct w:val="0"/>
              <w:autoSpaceDE/>
              <w:autoSpaceDN/>
              <w:bidi w:val="0"/>
              <w:spacing w:line="520" w:lineRule="exact"/>
              <w:ind w:firstLine="482" w:firstLineChars="200"/>
              <w:jc w:val="both"/>
              <w:textAlignment w:val="auto"/>
              <w:rPr>
                <w:rFonts w:ascii="Times New Roman" w:hAnsi="Times New Roman" w:cs="Times New Roman"/>
                <w:b/>
                <w:bCs/>
                <w:color w:val="auto"/>
                <w:sz w:val="24"/>
                <w:lang w:val="en-US"/>
              </w:rPr>
            </w:pPr>
            <w:r>
              <w:rPr>
                <w:rFonts w:ascii="Times New Roman" w:hAnsi="Times New Roman" w:cs="Times New Roman"/>
                <w:b/>
                <w:bCs/>
                <w:color w:val="auto"/>
                <w:sz w:val="24"/>
                <w:lang w:val="en-US"/>
              </w:rPr>
              <w:t>2、水环境影响分析</w:t>
            </w:r>
          </w:p>
          <w:p w14:paraId="049204A1">
            <w:pPr>
              <w:pStyle w:val="45"/>
              <w:keepNext w:val="0"/>
              <w:keepLines w:val="0"/>
              <w:pageBreakBefore w:val="0"/>
              <w:widowControl w:val="0"/>
              <w:kinsoku/>
              <w:wordWrap/>
              <w:overflowPunct/>
              <w:topLinePunct w:val="0"/>
              <w:autoSpaceDE/>
              <w:autoSpaceDN/>
              <w:bidi w:val="0"/>
              <w:spacing w:line="520" w:lineRule="exact"/>
              <w:ind w:firstLine="480" w:firstLineChars="200"/>
              <w:jc w:val="both"/>
              <w:textAlignment w:val="auto"/>
              <w:rPr>
                <w:rFonts w:ascii="Times New Roman" w:hAnsi="Times New Roman" w:cs="Times New Roman"/>
                <w:color w:val="auto"/>
                <w:sz w:val="24"/>
                <w:lang w:val="en-US"/>
              </w:rPr>
            </w:pPr>
            <w:r>
              <w:rPr>
                <w:rFonts w:hint="eastAsia" w:ascii="Times New Roman" w:hAnsi="Times New Roman" w:cs="Times New Roman"/>
                <w:color w:val="auto"/>
                <w:sz w:val="24"/>
                <w:lang w:val="en-US" w:eastAsia="zh-CN"/>
              </w:rPr>
              <w:t>本项目不设置施工营地，</w:t>
            </w:r>
            <w:r>
              <w:rPr>
                <w:rFonts w:hint="eastAsia" w:ascii="Times New Roman" w:hAnsi="Times New Roman" w:cs="Times New Roman"/>
                <w:color w:val="auto"/>
                <w:sz w:val="24"/>
                <w:highlight w:val="none"/>
                <w:lang w:val="en-US" w:eastAsia="zh-CN"/>
              </w:rPr>
              <w:t>施工期人员生活污水依托现有污水处理设施处理</w:t>
            </w:r>
            <w:r>
              <w:rPr>
                <w:rFonts w:hint="eastAsia" w:ascii="Times New Roman" w:hAnsi="Times New Roman" w:cs="Times New Roman"/>
                <w:color w:val="auto"/>
                <w:sz w:val="24"/>
                <w:lang w:val="en-US" w:eastAsia="zh-CN"/>
              </w:rPr>
              <w:t>。</w:t>
            </w:r>
            <w:r>
              <w:rPr>
                <w:rFonts w:ascii="Times New Roman" w:hAnsi="Times New Roman" w:cs="Times New Roman"/>
                <w:color w:val="auto"/>
                <w:sz w:val="24"/>
                <w:lang w:val="en-US"/>
              </w:rPr>
              <w:t>项目施工期废水主要为施工</w:t>
            </w:r>
            <w:r>
              <w:rPr>
                <w:rFonts w:hint="eastAsia" w:ascii="Times New Roman" w:hAnsi="Times New Roman" w:cs="Times New Roman"/>
                <w:color w:val="auto"/>
                <w:sz w:val="24"/>
                <w:lang w:val="en-US" w:eastAsia="zh-CN"/>
              </w:rPr>
              <w:t>泥浆废水</w:t>
            </w:r>
            <w:r>
              <w:rPr>
                <w:rFonts w:hint="eastAsia" w:ascii="Times New Roman" w:hAnsi="Times New Roman" w:cs="Times New Roman"/>
                <w:color w:val="auto"/>
                <w:sz w:val="24"/>
                <w:lang w:val="en-US"/>
              </w:rPr>
              <w:t>，</w:t>
            </w:r>
            <w:r>
              <w:rPr>
                <w:rFonts w:hint="eastAsia" w:ascii="Times New Roman" w:hAnsi="Times New Roman" w:cs="Times New Roman"/>
                <w:color w:val="auto"/>
                <w:sz w:val="24"/>
                <w:lang w:val="en-US" w:eastAsia="zh-CN"/>
              </w:rPr>
              <w:t>项目场地设临时沉淀池，施工废水</w:t>
            </w:r>
            <w:r>
              <w:rPr>
                <w:rFonts w:ascii="Times New Roman" w:hAnsi="Times New Roman" w:cs="Times New Roman"/>
                <w:color w:val="auto"/>
                <w:sz w:val="24"/>
                <w:lang w:val="en-US"/>
              </w:rPr>
              <w:t>经</w:t>
            </w:r>
            <w:r>
              <w:rPr>
                <w:rFonts w:hint="eastAsia" w:ascii="Times New Roman" w:hAnsi="Times New Roman" w:cs="Times New Roman"/>
                <w:color w:val="auto"/>
                <w:sz w:val="24"/>
                <w:lang w:val="en-US" w:eastAsia="zh-CN"/>
              </w:rPr>
              <w:t>临时沉淀</w:t>
            </w:r>
            <w:r>
              <w:rPr>
                <w:rFonts w:ascii="Times New Roman" w:hAnsi="Times New Roman" w:cs="Times New Roman"/>
                <w:color w:val="auto"/>
                <w:sz w:val="24"/>
                <w:lang w:val="en-US"/>
              </w:rPr>
              <w:t>池沉淀后</w:t>
            </w:r>
            <w:r>
              <w:rPr>
                <w:rFonts w:hint="eastAsia" w:ascii="Times New Roman" w:hAnsi="Times New Roman" w:cs="Times New Roman"/>
                <w:color w:val="auto"/>
                <w:sz w:val="24"/>
                <w:lang w:val="en-US" w:eastAsia="zh-CN"/>
              </w:rPr>
              <w:t>用于场地洒水抑尘</w:t>
            </w:r>
            <w:r>
              <w:rPr>
                <w:rFonts w:ascii="Times New Roman" w:hAnsi="Times New Roman" w:cs="Times New Roman"/>
                <w:color w:val="auto"/>
                <w:sz w:val="24"/>
                <w:lang w:val="en-US"/>
              </w:rPr>
              <w:t>。</w:t>
            </w:r>
            <w:r>
              <w:rPr>
                <w:rFonts w:hint="eastAsia" w:ascii="Times New Roman" w:hAnsi="Times New Roman" w:cs="Times New Roman"/>
                <w:color w:val="auto"/>
                <w:sz w:val="24"/>
                <w:lang w:val="en-US" w:eastAsia="zh-CN"/>
              </w:rPr>
              <w:t>本项目利用原洗衣房建设新污水处理站，建成后拆除现有老化的污水处理设施，故施工期医疗废水可保证正常处理及排放。</w:t>
            </w:r>
            <w:r>
              <w:rPr>
                <w:bCs/>
                <w:color w:val="auto"/>
                <w:sz w:val="24"/>
              </w:rPr>
              <w:t>项目施工期</w:t>
            </w:r>
            <w:r>
              <w:rPr>
                <w:color w:val="auto"/>
                <w:sz w:val="24"/>
                <w:szCs w:val="24"/>
              </w:rPr>
              <w:t>废水</w:t>
            </w:r>
            <w:r>
              <w:rPr>
                <w:rFonts w:hint="eastAsia"/>
                <w:color w:val="auto"/>
                <w:sz w:val="24"/>
                <w:szCs w:val="24"/>
                <w:lang w:eastAsia="zh-CN"/>
              </w:rPr>
              <w:t>对</w:t>
            </w:r>
            <w:r>
              <w:rPr>
                <w:color w:val="auto"/>
                <w:sz w:val="24"/>
                <w:szCs w:val="24"/>
              </w:rPr>
              <w:t>周边水环境影响</w:t>
            </w:r>
            <w:r>
              <w:rPr>
                <w:rFonts w:hint="eastAsia"/>
                <w:color w:val="auto"/>
                <w:sz w:val="24"/>
                <w:szCs w:val="24"/>
                <w:lang w:eastAsia="zh-CN"/>
              </w:rPr>
              <w:t>较小</w:t>
            </w:r>
            <w:r>
              <w:rPr>
                <w:rFonts w:ascii="Times New Roman" w:hAnsi="Times New Roman" w:cs="Times New Roman"/>
                <w:color w:val="auto"/>
                <w:sz w:val="24"/>
                <w:lang w:val="en-US"/>
              </w:rPr>
              <w:t>。</w:t>
            </w:r>
          </w:p>
          <w:p w14:paraId="56F8F3C5">
            <w:pPr>
              <w:pStyle w:val="45"/>
              <w:keepNext w:val="0"/>
              <w:keepLines w:val="0"/>
              <w:pageBreakBefore w:val="0"/>
              <w:widowControl w:val="0"/>
              <w:kinsoku/>
              <w:wordWrap/>
              <w:overflowPunct/>
              <w:topLinePunct w:val="0"/>
              <w:autoSpaceDE/>
              <w:autoSpaceDN/>
              <w:bidi w:val="0"/>
              <w:spacing w:line="520" w:lineRule="exact"/>
              <w:ind w:firstLine="482" w:firstLineChars="200"/>
              <w:jc w:val="both"/>
              <w:textAlignment w:val="auto"/>
              <w:rPr>
                <w:rFonts w:ascii="Times New Roman" w:hAnsi="Times New Roman" w:cs="Times New Roman"/>
                <w:b/>
                <w:bCs/>
                <w:color w:val="auto"/>
                <w:sz w:val="24"/>
                <w:lang w:val="en-US"/>
              </w:rPr>
            </w:pPr>
            <w:r>
              <w:rPr>
                <w:rFonts w:ascii="Times New Roman" w:hAnsi="Times New Roman" w:cs="Times New Roman"/>
                <w:b/>
                <w:bCs/>
                <w:color w:val="auto"/>
                <w:sz w:val="24"/>
                <w:lang w:val="en-US"/>
              </w:rPr>
              <w:t>3、声环境影响分析</w:t>
            </w:r>
          </w:p>
          <w:p w14:paraId="48C8CFAD">
            <w:pPr>
              <w:pStyle w:val="45"/>
              <w:keepNext w:val="0"/>
              <w:keepLines w:val="0"/>
              <w:pageBreakBefore w:val="0"/>
              <w:widowControl w:val="0"/>
              <w:kinsoku/>
              <w:wordWrap/>
              <w:overflowPunct/>
              <w:topLinePunct w:val="0"/>
              <w:autoSpaceDE/>
              <w:autoSpaceDN/>
              <w:bidi w:val="0"/>
              <w:spacing w:line="520" w:lineRule="exact"/>
              <w:ind w:firstLine="480" w:firstLineChars="200"/>
              <w:jc w:val="both"/>
              <w:textAlignment w:val="auto"/>
              <w:rPr>
                <w:rFonts w:ascii="Times New Roman" w:hAnsi="Times New Roman" w:cs="Times New Roman"/>
                <w:color w:val="auto"/>
                <w:sz w:val="24"/>
                <w:lang w:val="en-US"/>
              </w:rPr>
            </w:pPr>
            <w:r>
              <w:rPr>
                <w:rFonts w:ascii="Times New Roman" w:hAnsi="Times New Roman" w:cs="Times New Roman"/>
                <w:color w:val="auto"/>
                <w:sz w:val="24"/>
                <w:lang w:val="en-US"/>
              </w:rPr>
              <w:t>施工现场噪声主要是施工机械的设备噪声。经采取选用低噪声施工设备和技术；合理安排施工时间和施工进度等措施后对周围环境影响较小，</w:t>
            </w:r>
            <w:r>
              <w:rPr>
                <w:rFonts w:hint="eastAsia" w:ascii="Times New Roman" w:hAnsi="Times New Roman" w:cs="Times New Roman"/>
                <w:color w:val="auto"/>
                <w:sz w:val="24"/>
                <w:lang w:val="en-US" w:eastAsia="zh-CN"/>
              </w:rPr>
              <w:t>另外</w:t>
            </w:r>
            <w:r>
              <w:rPr>
                <w:rFonts w:ascii="Times New Roman" w:hAnsi="Times New Roman" w:cs="Times New Roman"/>
                <w:color w:val="auto"/>
                <w:sz w:val="24"/>
                <w:lang w:val="en-US"/>
              </w:rPr>
              <w:t>施工期的噪声影响是暂时的，随着施工的结束而结束。</w:t>
            </w:r>
          </w:p>
          <w:p w14:paraId="5FDE6EDA">
            <w:pPr>
              <w:pStyle w:val="45"/>
              <w:keepNext w:val="0"/>
              <w:keepLines w:val="0"/>
              <w:pageBreakBefore w:val="0"/>
              <w:widowControl w:val="0"/>
              <w:kinsoku/>
              <w:wordWrap/>
              <w:overflowPunct/>
              <w:topLinePunct w:val="0"/>
              <w:autoSpaceDE/>
              <w:autoSpaceDN/>
              <w:bidi w:val="0"/>
              <w:spacing w:line="520" w:lineRule="exact"/>
              <w:ind w:firstLine="482" w:firstLineChars="200"/>
              <w:jc w:val="both"/>
              <w:textAlignment w:val="auto"/>
              <w:rPr>
                <w:rFonts w:ascii="Times New Roman" w:hAnsi="Times New Roman" w:cs="Times New Roman"/>
                <w:b/>
                <w:bCs/>
                <w:color w:val="auto"/>
                <w:sz w:val="24"/>
                <w:lang w:val="en-US"/>
              </w:rPr>
            </w:pPr>
            <w:r>
              <w:rPr>
                <w:rFonts w:ascii="Times New Roman" w:hAnsi="Times New Roman" w:cs="Times New Roman"/>
                <w:b/>
                <w:bCs/>
                <w:color w:val="auto"/>
                <w:sz w:val="24"/>
                <w:lang w:val="en-US"/>
              </w:rPr>
              <w:t>4、固体废物环境影响分析</w:t>
            </w:r>
          </w:p>
          <w:p w14:paraId="182A09BB">
            <w:pPr>
              <w:pStyle w:val="49"/>
              <w:keepNext w:val="0"/>
              <w:keepLines w:val="0"/>
              <w:pageBreakBefore w:val="0"/>
              <w:widowControl w:val="0"/>
              <w:kinsoku/>
              <w:wordWrap/>
              <w:overflowPunct/>
              <w:topLinePunct w:val="0"/>
              <w:autoSpaceDE/>
              <w:autoSpaceDN/>
              <w:bidi w:val="0"/>
              <w:adjustRightInd w:val="0"/>
              <w:snapToGrid w:val="0"/>
              <w:spacing w:line="520" w:lineRule="exact"/>
              <w:ind w:firstLine="480"/>
              <w:jc w:val="both"/>
              <w:textAlignment w:val="auto"/>
              <w:rPr>
                <w:color w:val="auto"/>
                <w:sz w:val="24"/>
                <w:lang w:val="en-US"/>
              </w:rPr>
            </w:pPr>
            <w:r>
              <w:rPr>
                <w:rFonts w:hint="eastAsia" w:eastAsia="宋体"/>
                <w:color w:val="auto"/>
                <w:szCs w:val="20"/>
                <w:lang w:eastAsia="zh-CN"/>
              </w:rPr>
              <w:t>本项目不设置施工营地，施工期</w:t>
            </w:r>
            <w:r>
              <w:rPr>
                <w:rFonts w:hint="eastAsia" w:eastAsia="宋体"/>
                <w:color w:val="auto"/>
                <w:szCs w:val="20"/>
                <w:lang w:val="en-US" w:eastAsia="zh-CN"/>
              </w:rPr>
              <w:t>间产生的生活</w:t>
            </w:r>
            <w:r>
              <w:rPr>
                <w:rFonts w:hint="eastAsia" w:eastAsia="宋体"/>
                <w:color w:val="auto"/>
                <w:szCs w:val="20"/>
                <w:lang w:eastAsia="zh-CN"/>
              </w:rPr>
              <w:t>垃圾</w:t>
            </w:r>
            <w:r>
              <w:rPr>
                <w:rFonts w:hint="eastAsia" w:eastAsia="宋体"/>
                <w:color w:val="auto"/>
                <w:szCs w:val="20"/>
                <w:lang w:val="en-US" w:eastAsia="zh-CN"/>
              </w:rPr>
              <w:t>依托现有垃圾桶收集后由环卫部门清运</w:t>
            </w:r>
            <w:r>
              <w:rPr>
                <w:rFonts w:hint="eastAsia" w:eastAsia="宋体"/>
                <w:color w:val="auto"/>
                <w:szCs w:val="20"/>
                <w:lang w:eastAsia="zh-CN"/>
              </w:rPr>
              <w:t>。</w:t>
            </w:r>
            <w:r>
              <w:rPr>
                <w:rFonts w:eastAsia="宋体"/>
                <w:color w:val="auto"/>
                <w:szCs w:val="20"/>
              </w:rPr>
              <w:t>项目施工期</w:t>
            </w:r>
            <w:r>
              <w:rPr>
                <w:rFonts w:hint="eastAsia" w:eastAsia="宋体"/>
                <w:color w:val="auto"/>
                <w:szCs w:val="20"/>
                <w:lang w:val="en-US" w:eastAsia="zh-CN"/>
              </w:rPr>
              <w:t>产生的</w:t>
            </w:r>
            <w:r>
              <w:rPr>
                <w:rFonts w:eastAsia="宋体"/>
                <w:bCs/>
                <w:color w:val="auto"/>
                <w:szCs w:val="20"/>
              </w:rPr>
              <w:t>建筑垃圾</w:t>
            </w:r>
            <w:r>
              <w:rPr>
                <w:rFonts w:hint="eastAsia" w:eastAsia="宋体"/>
                <w:color w:val="auto"/>
                <w:lang w:eastAsia="zh-CN"/>
              </w:rPr>
              <w:t>，</w:t>
            </w:r>
            <w:r>
              <w:rPr>
                <w:rFonts w:eastAsia="宋体"/>
                <w:color w:val="auto"/>
                <w:szCs w:val="20"/>
              </w:rPr>
              <w:t>送市政部门指定地点填埋。施工期固体废物可以得到妥善的处置，对环境造成的影响较小。</w:t>
            </w:r>
          </w:p>
        </w:tc>
      </w:tr>
      <w:tr w14:paraId="2D73C6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trPr>
        <w:tc>
          <w:tcPr>
            <w:tcW w:w="684" w:type="dxa"/>
            <w:tcBorders>
              <w:right w:val="single" w:color="000000" w:sz="4" w:space="0"/>
            </w:tcBorders>
            <w:noWrap w:val="0"/>
            <w:vAlign w:val="center"/>
          </w:tcPr>
          <w:p w14:paraId="52E74AD4">
            <w:pPr>
              <w:pStyle w:val="45"/>
              <w:spacing w:line="520" w:lineRule="exact"/>
              <w:jc w:val="center"/>
              <w:rPr>
                <w:rFonts w:ascii="Times New Roman" w:hAnsi="Times New Roman" w:cs="Times New Roman"/>
                <w:color w:val="auto"/>
                <w:sz w:val="24"/>
                <w:szCs w:val="24"/>
              </w:rPr>
            </w:pPr>
            <w:r>
              <w:rPr>
                <w:color w:val="auto"/>
                <w:sz w:val="24"/>
                <w:szCs w:val="28"/>
              </w:rPr>
              <w:t>运营期环境影响和保护措施</w:t>
            </w:r>
          </w:p>
        </w:tc>
        <w:tc>
          <w:tcPr>
            <w:tcW w:w="8450" w:type="dxa"/>
            <w:tcBorders>
              <w:left w:val="single" w:color="000000" w:sz="4" w:space="0"/>
            </w:tcBorders>
            <w:noWrap w:val="0"/>
            <w:vAlign w:val="center"/>
          </w:tcPr>
          <w:p w14:paraId="196B05D6">
            <w:pPr>
              <w:pStyle w:val="45"/>
              <w:keepNext w:val="0"/>
              <w:keepLines w:val="0"/>
              <w:pageBreakBefore w:val="0"/>
              <w:widowControl w:val="0"/>
              <w:kinsoku/>
              <w:wordWrap/>
              <w:overflowPunct/>
              <w:topLinePunct w:val="0"/>
              <w:autoSpaceDE/>
              <w:autoSpaceDN/>
              <w:bidi w:val="0"/>
              <w:snapToGrid/>
              <w:spacing w:line="520" w:lineRule="exact"/>
              <w:ind w:left="0" w:leftChars="0" w:firstLine="482" w:firstLineChars="200"/>
              <w:jc w:val="both"/>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lang w:val="en-US" w:eastAsia="zh-CN"/>
              </w:rPr>
              <w:t>1</w:t>
            </w:r>
            <w:r>
              <w:rPr>
                <w:rFonts w:hint="default" w:ascii="Times New Roman" w:hAnsi="Times New Roman" w:eastAsia="宋体" w:cs="Times New Roman"/>
                <w:b/>
                <w:color w:val="auto"/>
                <w:sz w:val="24"/>
                <w:szCs w:val="24"/>
              </w:rPr>
              <w:t>、运营期大气环境影响和保护措施</w:t>
            </w:r>
          </w:p>
          <w:p w14:paraId="6BB1FA3D">
            <w:pPr>
              <w:keepNext w:val="0"/>
              <w:keepLines w:val="0"/>
              <w:pageBreakBefore w:val="0"/>
              <w:widowControl w:val="0"/>
              <w:kinsoku/>
              <w:wordWrap/>
              <w:overflowPunct/>
              <w:topLinePunct w:val="0"/>
              <w:autoSpaceDE/>
              <w:autoSpaceDN/>
              <w:bidi w:val="0"/>
              <w:adjustRightInd w:val="0"/>
              <w:snapToGrid/>
              <w:spacing w:line="520" w:lineRule="exact"/>
              <w:ind w:left="0" w:leftChars="0"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本项目运营期</w:t>
            </w:r>
            <w:r>
              <w:rPr>
                <w:rFonts w:hint="default" w:ascii="Times New Roman" w:hAnsi="Times New Roman" w:eastAsia="宋体" w:cs="Times New Roman"/>
                <w:color w:val="auto"/>
                <w:sz w:val="24"/>
                <w:szCs w:val="24"/>
                <w:lang w:eastAsia="zh-CN"/>
              </w:rPr>
              <w:t>产生的废气主要为污水处理站恶臭、</w:t>
            </w:r>
            <w:r>
              <w:rPr>
                <w:rFonts w:hint="eastAsia" w:ascii="Times New Roman" w:hAnsi="Times New Roman" w:eastAsia="宋体" w:cs="Times New Roman"/>
                <w:color w:val="auto"/>
                <w:sz w:val="24"/>
                <w:szCs w:val="24"/>
                <w:lang w:eastAsia="zh-CN"/>
              </w:rPr>
              <w:t>停车</w:t>
            </w:r>
            <w:r>
              <w:rPr>
                <w:rFonts w:hint="default" w:ascii="Times New Roman" w:hAnsi="Times New Roman" w:eastAsia="宋体" w:cs="Times New Roman"/>
                <w:color w:val="auto"/>
                <w:sz w:val="24"/>
                <w:szCs w:val="24"/>
                <w:lang w:eastAsia="zh-CN"/>
              </w:rPr>
              <w:t>场尾气。</w:t>
            </w:r>
          </w:p>
          <w:p w14:paraId="1A4A4C1B">
            <w:pPr>
              <w:pStyle w:val="57"/>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68" w:firstLineChars="200"/>
              <w:jc w:val="both"/>
              <w:textAlignment w:val="auto"/>
              <w:rPr>
                <w:rFonts w:hint="default" w:ascii="Times New Roman" w:hAnsi="Times New Roman" w:eastAsia="宋体" w:cs="Times New Roman"/>
                <w:color w:val="auto"/>
                <w:spacing w:val="-3"/>
                <w:sz w:val="24"/>
                <w:szCs w:val="24"/>
                <w:lang w:val="en-US" w:eastAsia="zh-CN"/>
              </w:rPr>
            </w:pPr>
            <w:r>
              <w:rPr>
                <w:rFonts w:hint="default" w:ascii="Times New Roman" w:hAnsi="Times New Roman" w:eastAsia="宋体" w:cs="Times New Roman"/>
                <w:color w:val="auto"/>
                <w:spacing w:val="-3"/>
                <w:sz w:val="24"/>
                <w:szCs w:val="24"/>
                <w:lang w:val="en-US" w:eastAsia="zh-CN" w:bidi="ar-SA"/>
              </w:rPr>
              <w:t>（1）</w:t>
            </w:r>
            <w:r>
              <w:rPr>
                <w:rFonts w:hint="default" w:ascii="Times New Roman" w:hAnsi="Times New Roman" w:eastAsia="宋体" w:cs="Times New Roman"/>
                <w:color w:val="auto"/>
                <w:spacing w:val="-3"/>
                <w:sz w:val="24"/>
                <w:szCs w:val="24"/>
                <w:lang w:val="en-US" w:eastAsia="zh-CN"/>
              </w:rPr>
              <w:t>污水处理站废气</w:t>
            </w:r>
          </w:p>
          <w:p w14:paraId="2BBAACB4">
            <w:pPr>
              <w:pStyle w:val="57"/>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68" w:firstLineChars="200"/>
              <w:jc w:val="both"/>
              <w:textAlignment w:val="auto"/>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3"/>
                <w:sz w:val="24"/>
                <w:szCs w:val="24"/>
              </w:rPr>
              <w:t>本项目院内设置</w:t>
            </w:r>
            <w:r>
              <w:rPr>
                <w:rFonts w:hint="default" w:ascii="Times New Roman" w:hAnsi="Times New Roman" w:eastAsia="宋体" w:cs="Times New Roman"/>
                <w:color w:val="auto"/>
                <w:spacing w:val="-34"/>
                <w:sz w:val="24"/>
                <w:szCs w:val="24"/>
              </w:rPr>
              <w:t xml:space="preserve"> </w:t>
            </w:r>
            <w:r>
              <w:rPr>
                <w:rFonts w:hint="default" w:ascii="Times New Roman" w:hAnsi="Times New Roman" w:eastAsia="宋体" w:cs="Times New Roman"/>
                <w:color w:val="auto"/>
                <w:spacing w:val="-3"/>
                <w:sz w:val="24"/>
                <w:szCs w:val="24"/>
              </w:rPr>
              <w:t>1 座污水处理站（位于院区东北侧</w:t>
            </w:r>
            <w:r>
              <w:rPr>
                <w:rFonts w:hint="default" w:ascii="Times New Roman" w:hAnsi="Times New Roman" w:eastAsia="宋体" w:cs="Times New Roman"/>
                <w:color w:val="auto"/>
                <w:spacing w:val="3"/>
                <w:sz w:val="24"/>
                <w:szCs w:val="24"/>
              </w:rPr>
              <w:t>），</w:t>
            </w:r>
            <w:r>
              <w:rPr>
                <w:rFonts w:hint="default" w:ascii="Times New Roman" w:hAnsi="Times New Roman" w:eastAsia="宋体" w:cs="Times New Roman"/>
                <w:color w:val="auto"/>
                <w:spacing w:val="-3"/>
                <w:sz w:val="24"/>
                <w:szCs w:val="24"/>
              </w:rPr>
              <w:t>采用</w:t>
            </w:r>
            <w:r>
              <w:rPr>
                <w:rFonts w:hint="default" w:ascii="Times New Roman" w:hAnsi="Times New Roman" w:eastAsia="宋体" w:cs="Times New Roman"/>
                <w:b w:val="0"/>
                <w:bCs w:val="0"/>
                <w:caps w:val="0"/>
                <w:color w:val="auto"/>
                <w:sz w:val="24"/>
                <w:szCs w:val="24"/>
                <w:highlight w:val="none"/>
                <w:lang w:val="en-US" w:eastAsia="zh-CN"/>
              </w:rPr>
              <w:t>“一级处理+消毒”</w:t>
            </w:r>
            <w:r>
              <w:rPr>
                <w:rFonts w:hint="default" w:ascii="Times New Roman" w:hAnsi="Times New Roman" w:eastAsia="宋体" w:cs="Times New Roman"/>
                <w:color w:val="auto"/>
                <w:spacing w:val="-4"/>
                <w:sz w:val="24"/>
                <w:szCs w:val="24"/>
              </w:rPr>
              <w:t>的污水处理工艺。该污水处理站在运行过程中将产生恶</w:t>
            </w:r>
            <w:r>
              <w:rPr>
                <w:rFonts w:hint="default" w:ascii="Times New Roman" w:hAnsi="Times New Roman" w:eastAsia="宋体" w:cs="Times New Roman"/>
                <w:color w:val="auto"/>
                <w:spacing w:val="-5"/>
                <w:sz w:val="24"/>
                <w:szCs w:val="24"/>
              </w:rPr>
              <w:t>臭气味</w:t>
            </w:r>
            <w:r>
              <w:rPr>
                <w:rFonts w:hint="eastAsia" w:ascii="Times New Roman" w:hAnsi="Times New Roman" w:cs="Times New Roman"/>
                <w:color w:val="auto"/>
                <w:spacing w:val="-5"/>
                <w:sz w:val="24"/>
                <w:szCs w:val="24"/>
                <w:lang w:eastAsia="zh-CN"/>
              </w:rPr>
              <w:t>、</w:t>
            </w:r>
            <w:r>
              <w:rPr>
                <w:rFonts w:hint="eastAsia" w:ascii="Times New Roman" w:hAnsi="Times New Roman" w:cs="Times New Roman"/>
                <w:color w:val="auto"/>
                <w:spacing w:val="-5"/>
                <w:sz w:val="24"/>
                <w:szCs w:val="24"/>
                <w:lang w:val="en-US" w:eastAsia="zh-CN"/>
              </w:rPr>
              <w:t>甲烷</w:t>
            </w:r>
            <w:r>
              <w:rPr>
                <w:rFonts w:hint="default" w:ascii="Times New Roman" w:hAnsi="Times New Roman" w:eastAsia="宋体" w:cs="Times New Roman"/>
                <w:color w:val="auto"/>
                <w:spacing w:val="-5"/>
                <w:sz w:val="24"/>
                <w:szCs w:val="24"/>
              </w:rPr>
              <w:t>（来源于污水、污泥</w:t>
            </w:r>
            <w:r>
              <w:rPr>
                <w:rFonts w:hint="default" w:ascii="Times New Roman" w:hAnsi="Times New Roman" w:eastAsia="宋体" w:cs="Times New Roman"/>
                <w:color w:val="auto"/>
                <w:spacing w:val="-3"/>
                <w:sz w:val="24"/>
                <w:szCs w:val="24"/>
              </w:rPr>
              <w:t>中有机物的分解、发酵过程中散发的化学物质等</w:t>
            </w:r>
            <w:r>
              <w:rPr>
                <w:rFonts w:hint="default" w:ascii="Times New Roman" w:hAnsi="Times New Roman" w:eastAsia="宋体" w:cs="Times New Roman"/>
                <w:color w:val="auto"/>
                <w:spacing w:val="4"/>
                <w:sz w:val="24"/>
                <w:szCs w:val="24"/>
              </w:rPr>
              <w:t>）</w:t>
            </w:r>
            <w:r>
              <w:rPr>
                <w:rFonts w:hint="eastAsia" w:ascii="Times New Roman" w:hAnsi="Times New Roman" w:cs="Times New Roman"/>
                <w:color w:val="auto"/>
                <w:spacing w:val="4"/>
                <w:sz w:val="24"/>
                <w:szCs w:val="24"/>
                <w:lang w:eastAsia="zh-CN"/>
              </w:rPr>
              <w:t>、</w:t>
            </w:r>
            <w:r>
              <w:rPr>
                <w:rFonts w:hint="eastAsia" w:ascii="Times New Roman" w:hAnsi="Times New Roman" w:cs="Times New Roman"/>
                <w:color w:val="auto"/>
                <w:spacing w:val="4"/>
                <w:sz w:val="24"/>
                <w:szCs w:val="24"/>
                <w:lang w:val="en-US" w:eastAsia="zh-CN"/>
              </w:rPr>
              <w:t>氯气（消毒过程中产生）</w:t>
            </w:r>
            <w:r>
              <w:rPr>
                <w:rFonts w:hint="default" w:ascii="Times New Roman" w:hAnsi="Times New Roman" w:eastAsia="宋体" w:cs="Times New Roman"/>
                <w:color w:val="auto"/>
                <w:spacing w:val="4"/>
                <w:sz w:val="24"/>
                <w:szCs w:val="24"/>
              </w:rPr>
              <w:t>，</w:t>
            </w:r>
            <w:r>
              <w:rPr>
                <w:rFonts w:hint="eastAsia" w:ascii="Times New Roman" w:hAnsi="Times New Roman" w:eastAsia="宋体" w:cs="Times New Roman"/>
                <w:color w:val="auto"/>
                <w:spacing w:val="4"/>
                <w:sz w:val="24"/>
                <w:szCs w:val="24"/>
                <w:lang w:eastAsia="zh-CN"/>
              </w:rPr>
              <w:t>恶臭气体</w:t>
            </w:r>
            <w:r>
              <w:rPr>
                <w:rFonts w:hint="default" w:ascii="Times New Roman" w:hAnsi="Times New Roman" w:eastAsia="宋体" w:cs="Times New Roman"/>
                <w:color w:val="auto"/>
                <w:spacing w:val="-3"/>
                <w:sz w:val="24"/>
                <w:szCs w:val="24"/>
              </w:rPr>
              <w:t>主要成分为臭气浓</w:t>
            </w:r>
            <w:r>
              <w:rPr>
                <w:rFonts w:hint="default" w:ascii="Times New Roman" w:hAnsi="Times New Roman" w:eastAsia="宋体" w:cs="Times New Roman"/>
                <w:color w:val="auto"/>
                <w:spacing w:val="-4"/>
                <w:sz w:val="24"/>
                <w:szCs w:val="24"/>
              </w:rPr>
              <w:t>度、NH</w:t>
            </w:r>
            <w:r>
              <w:rPr>
                <w:rFonts w:hint="default" w:ascii="Times New Roman" w:hAnsi="Times New Roman" w:eastAsia="宋体" w:cs="Times New Roman"/>
                <w:color w:val="auto"/>
                <w:spacing w:val="-4"/>
                <w:sz w:val="24"/>
                <w:szCs w:val="24"/>
                <w:vertAlign w:val="subscript"/>
                <w:lang w:val="en-US" w:eastAsia="zh-CN"/>
              </w:rPr>
              <w:t>3</w:t>
            </w:r>
            <w:r>
              <w:rPr>
                <w:rFonts w:hint="default" w:ascii="Times New Roman" w:hAnsi="Times New Roman" w:eastAsia="宋体" w:cs="Times New Roman"/>
                <w:color w:val="auto"/>
                <w:spacing w:val="-4"/>
                <w:sz w:val="24"/>
                <w:szCs w:val="24"/>
              </w:rPr>
              <w:t>、</w:t>
            </w:r>
            <w:r>
              <w:rPr>
                <w:rFonts w:hint="default" w:ascii="Times New Roman" w:hAnsi="Times New Roman" w:eastAsia="宋体" w:cs="Times New Roman"/>
                <w:color w:val="auto"/>
                <w:spacing w:val="-2"/>
                <w:sz w:val="24"/>
                <w:szCs w:val="24"/>
              </w:rPr>
              <w:t>H</w:t>
            </w:r>
            <w:r>
              <w:rPr>
                <w:rFonts w:hint="default" w:ascii="Times New Roman" w:hAnsi="Times New Roman" w:eastAsia="宋体" w:cs="Times New Roman"/>
                <w:color w:val="auto"/>
                <w:spacing w:val="-2"/>
                <w:sz w:val="24"/>
                <w:szCs w:val="24"/>
                <w:vertAlign w:val="subscript"/>
                <w:lang w:val="en-US" w:eastAsia="zh-CN"/>
              </w:rPr>
              <w:t>2</w:t>
            </w:r>
            <w:r>
              <w:rPr>
                <w:rFonts w:hint="default" w:ascii="Times New Roman" w:hAnsi="Times New Roman" w:eastAsia="宋体" w:cs="Times New Roman"/>
                <w:color w:val="auto"/>
                <w:spacing w:val="-2"/>
                <w:sz w:val="24"/>
                <w:szCs w:val="24"/>
              </w:rPr>
              <w:t>S</w:t>
            </w:r>
            <w:r>
              <w:rPr>
                <w:rFonts w:hint="default" w:ascii="Times New Roman" w:hAnsi="Times New Roman" w:eastAsia="宋体" w:cs="Times New Roman"/>
                <w:color w:val="auto"/>
                <w:spacing w:val="-19"/>
                <w:sz w:val="24"/>
                <w:szCs w:val="24"/>
              </w:rPr>
              <w:t xml:space="preserve"> </w:t>
            </w:r>
            <w:r>
              <w:rPr>
                <w:rFonts w:hint="default" w:ascii="Times New Roman" w:hAnsi="Times New Roman" w:eastAsia="宋体" w:cs="Times New Roman"/>
                <w:color w:val="auto"/>
                <w:spacing w:val="-2"/>
                <w:sz w:val="24"/>
                <w:szCs w:val="24"/>
              </w:rPr>
              <w:t>，其臭气强度随季节温度的变化有所变化</w:t>
            </w:r>
            <w:r>
              <w:rPr>
                <w:rFonts w:hint="eastAsia" w:ascii="Times New Roman" w:hAnsi="Times New Roman" w:eastAsia="宋体" w:cs="Times New Roman"/>
                <w:color w:val="auto"/>
                <w:spacing w:val="-2"/>
                <w:sz w:val="24"/>
                <w:szCs w:val="24"/>
                <w:lang w:eastAsia="zh-CN"/>
              </w:rPr>
              <w:t>，其中臭气浓度为无量纲单位，产生量不进行计算。本项目生物处理过程不为厌氧过程，甲烷产生量较小，且可通过改变曝气程度减</w:t>
            </w:r>
            <w:r>
              <w:rPr>
                <w:rFonts w:hint="eastAsia" w:ascii="Times New Roman" w:hAnsi="Times New Roman" w:cs="Times New Roman"/>
                <w:color w:val="auto"/>
                <w:spacing w:val="-2"/>
                <w:sz w:val="24"/>
                <w:szCs w:val="24"/>
                <w:lang w:val="en-US" w:eastAsia="zh-CN"/>
              </w:rPr>
              <w:t>少</w:t>
            </w:r>
            <w:r>
              <w:rPr>
                <w:rFonts w:hint="eastAsia" w:ascii="Times New Roman" w:hAnsi="Times New Roman" w:eastAsia="宋体" w:cs="Times New Roman"/>
                <w:color w:val="auto"/>
                <w:spacing w:val="-2"/>
                <w:sz w:val="24"/>
                <w:szCs w:val="24"/>
                <w:lang w:eastAsia="zh-CN"/>
              </w:rPr>
              <w:t>甲烷的产生，故甲烷产生量不进行计算。氯气为消毒过程中产生的副产物，本项目消毒剂采用二氯异氰尿酸钠，氯气副产物产生量极小，可不进行计算</w:t>
            </w:r>
            <w:r>
              <w:rPr>
                <w:rFonts w:hint="default" w:ascii="Times New Roman" w:hAnsi="Times New Roman" w:eastAsia="宋体" w:cs="Times New Roman"/>
                <w:color w:val="auto"/>
                <w:spacing w:val="-2"/>
                <w:sz w:val="24"/>
                <w:szCs w:val="24"/>
              </w:rPr>
              <w:t>。</w:t>
            </w:r>
          </w:p>
          <w:p w14:paraId="6562E86E">
            <w:pPr>
              <w:pStyle w:val="57"/>
              <w:keepNext w:val="0"/>
              <w:keepLines w:val="0"/>
              <w:pageBreakBefore w:val="0"/>
              <w:widowControl w:val="0"/>
              <w:kinsoku/>
              <w:wordWrap/>
              <w:overflowPunct/>
              <w:topLinePunct w:val="0"/>
              <w:autoSpaceDE/>
              <w:autoSpaceDN/>
              <w:bidi w:val="0"/>
              <w:adjustRightInd/>
              <w:snapToGrid/>
              <w:spacing w:line="520" w:lineRule="exact"/>
              <w:ind w:left="0" w:leftChars="0" w:firstLine="472"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参照美国EPA对城市污水处理厂恶臭污染物产生情况的研究可知：每处理1g的BOD</w:t>
            </w:r>
            <w:r>
              <w:rPr>
                <w:rFonts w:hint="default" w:ascii="Times New Roman" w:hAnsi="Times New Roman" w:eastAsia="宋体" w:cs="Times New Roman"/>
                <w:color w:val="auto"/>
                <w:spacing w:val="-2"/>
                <w:sz w:val="24"/>
                <w:szCs w:val="24"/>
                <w:vertAlign w:val="subscript"/>
              </w:rPr>
              <w:t>5</w:t>
            </w:r>
            <w:r>
              <w:rPr>
                <w:rFonts w:hint="default" w:ascii="Times New Roman" w:hAnsi="Times New Roman" w:eastAsia="宋体" w:cs="Times New Roman"/>
                <w:color w:val="auto"/>
                <w:spacing w:val="-2"/>
                <w:sz w:val="24"/>
                <w:szCs w:val="24"/>
              </w:rPr>
              <w:t>可产生约0.0031g的NH</w:t>
            </w:r>
            <w:r>
              <w:rPr>
                <w:rFonts w:hint="default" w:ascii="Times New Roman" w:hAnsi="Times New Roman" w:eastAsia="宋体" w:cs="Times New Roman"/>
                <w:color w:val="auto"/>
                <w:spacing w:val="-2"/>
                <w:sz w:val="24"/>
                <w:szCs w:val="24"/>
                <w:vertAlign w:val="subscript"/>
              </w:rPr>
              <w:t>3</w:t>
            </w:r>
            <w:r>
              <w:rPr>
                <w:rFonts w:hint="default" w:ascii="Times New Roman" w:hAnsi="Times New Roman" w:eastAsia="宋体" w:cs="Times New Roman"/>
                <w:color w:val="auto"/>
                <w:spacing w:val="-2"/>
                <w:sz w:val="24"/>
                <w:szCs w:val="24"/>
              </w:rPr>
              <w:t>和0.00012g的H</w:t>
            </w:r>
            <w:r>
              <w:rPr>
                <w:rFonts w:hint="default" w:ascii="Times New Roman" w:hAnsi="Times New Roman" w:eastAsia="宋体" w:cs="Times New Roman"/>
                <w:color w:val="auto"/>
                <w:spacing w:val="-2"/>
                <w:sz w:val="24"/>
                <w:szCs w:val="24"/>
                <w:vertAlign w:val="subscript"/>
              </w:rPr>
              <w:t>2</w:t>
            </w:r>
            <w:r>
              <w:rPr>
                <w:rFonts w:hint="default" w:ascii="Times New Roman" w:hAnsi="Times New Roman" w:eastAsia="宋体" w:cs="Times New Roman"/>
                <w:color w:val="auto"/>
                <w:spacing w:val="-2"/>
                <w:sz w:val="24"/>
                <w:szCs w:val="24"/>
              </w:rPr>
              <w:t>S。本项目建成运营后，废水中BOD</w:t>
            </w:r>
            <w:r>
              <w:rPr>
                <w:rFonts w:hint="default" w:ascii="Times New Roman" w:hAnsi="Times New Roman" w:eastAsia="宋体" w:cs="Times New Roman"/>
                <w:color w:val="auto"/>
                <w:spacing w:val="-2"/>
                <w:sz w:val="24"/>
                <w:szCs w:val="24"/>
                <w:vertAlign w:val="subscript"/>
              </w:rPr>
              <w:t>5</w:t>
            </w:r>
            <w:r>
              <w:rPr>
                <w:rFonts w:hint="default" w:ascii="Times New Roman" w:hAnsi="Times New Roman" w:eastAsia="宋体" w:cs="Times New Roman"/>
                <w:color w:val="auto"/>
                <w:spacing w:val="-2"/>
                <w:sz w:val="24"/>
                <w:szCs w:val="24"/>
              </w:rPr>
              <w:t>消减量约为</w:t>
            </w:r>
            <w:r>
              <w:rPr>
                <w:rFonts w:hint="default" w:ascii="Times New Roman" w:hAnsi="Times New Roman" w:eastAsia="宋体" w:cs="Times New Roman"/>
                <w:color w:val="auto"/>
                <w:spacing w:val="-2"/>
                <w:sz w:val="24"/>
                <w:szCs w:val="24"/>
                <w:lang w:val="en-US" w:eastAsia="zh-CN"/>
              </w:rPr>
              <w:t>2.78</w:t>
            </w:r>
            <w:r>
              <w:rPr>
                <w:rFonts w:hint="default" w:ascii="Times New Roman" w:hAnsi="Times New Roman" w:eastAsia="宋体" w:cs="Times New Roman"/>
                <w:color w:val="auto"/>
                <w:spacing w:val="-2"/>
                <w:sz w:val="24"/>
                <w:szCs w:val="24"/>
              </w:rPr>
              <w:t>t/a，可计算出NH</w:t>
            </w:r>
            <w:r>
              <w:rPr>
                <w:rFonts w:hint="default" w:ascii="Times New Roman" w:hAnsi="Times New Roman" w:eastAsia="宋体" w:cs="Times New Roman"/>
                <w:color w:val="auto"/>
                <w:spacing w:val="-2"/>
                <w:sz w:val="24"/>
                <w:szCs w:val="24"/>
                <w:vertAlign w:val="subscript"/>
              </w:rPr>
              <w:t>3</w:t>
            </w:r>
            <w:r>
              <w:rPr>
                <w:rFonts w:hint="default" w:ascii="Times New Roman" w:hAnsi="Times New Roman" w:eastAsia="宋体" w:cs="Times New Roman"/>
                <w:color w:val="auto"/>
                <w:spacing w:val="-2"/>
                <w:sz w:val="24"/>
                <w:szCs w:val="24"/>
              </w:rPr>
              <w:t>产生量约为0.0</w:t>
            </w:r>
            <w:r>
              <w:rPr>
                <w:rFonts w:hint="default" w:ascii="Times New Roman" w:hAnsi="Times New Roman" w:eastAsia="宋体" w:cs="Times New Roman"/>
                <w:color w:val="auto"/>
                <w:spacing w:val="-2"/>
                <w:sz w:val="24"/>
                <w:szCs w:val="24"/>
                <w:lang w:val="en-US" w:eastAsia="zh-CN"/>
              </w:rPr>
              <w:t>09</w:t>
            </w:r>
            <w:r>
              <w:rPr>
                <w:rFonts w:hint="default" w:ascii="Times New Roman" w:hAnsi="Times New Roman" w:eastAsia="宋体" w:cs="Times New Roman"/>
                <w:color w:val="auto"/>
                <w:spacing w:val="-2"/>
                <w:sz w:val="24"/>
                <w:szCs w:val="24"/>
              </w:rPr>
              <w:t>t/a，H</w:t>
            </w:r>
            <w:r>
              <w:rPr>
                <w:rFonts w:hint="default" w:ascii="Times New Roman" w:hAnsi="Times New Roman" w:eastAsia="宋体" w:cs="Times New Roman"/>
                <w:color w:val="auto"/>
                <w:spacing w:val="-2"/>
                <w:sz w:val="24"/>
                <w:szCs w:val="24"/>
                <w:vertAlign w:val="subscript"/>
              </w:rPr>
              <w:t>2</w:t>
            </w:r>
            <w:r>
              <w:rPr>
                <w:rFonts w:hint="default" w:ascii="Times New Roman" w:hAnsi="Times New Roman" w:eastAsia="宋体" w:cs="Times New Roman"/>
                <w:color w:val="auto"/>
                <w:spacing w:val="-2"/>
                <w:sz w:val="24"/>
                <w:szCs w:val="24"/>
              </w:rPr>
              <w:t>S产生量约为0.0</w:t>
            </w:r>
            <w:r>
              <w:rPr>
                <w:rFonts w:hint="default" w:ascii="Times New Roman" w:hAnsi="Times New Roman" w:eastAsia="宋体" w:cs="Times New Roman"/>
                <w:color w:val="auto"/>
                <w:spacing w:val="-2"/>
                <w:sz w:val="24"/>
                <w:szCs w:val="24"/>
                <w:lang w:val="en-US" w:eastAsia="zh-CN"/>
              </w:rPr>
              <w:t>003</w:t>
            </w:r>
            <w:r>
              <w:rPr>
                <w:rFonts w:hint="default" w:ascii="Times New Roman" w:hAnsi="Times New Roman" w:eastAsia="宋体" w:cs="Times New Roman"/>
                <w:color w:val="auto"/>
                <w:spacing w:val="-2"/>
                <w:sz w:val="24"/>
                <w:szCs w:val="24"/>
              </w:rPr>
              <w:t>t/a。详见下表。</w:t>
            </w:r>
          </w:p>
          <w:p w14:paraId="77EBD340">
            <w:pPr>
              <w:pStyle w:val="29"/>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表4-</w:t>
            </w:r>
            <w:r>
              <w:rPr>
                <w:rFonts w:hint="eastAsia" w:ascii="Times New Roman" w:hAnsi="Times New Roman" w:eastAsia="宋体" w:cs="Times New Roman"/>
                <w:b/>
                <w:bCs/>
                <w:color w:val="auto"/>
                <w:sz w:val="24"/>
                <w:szCs w:val="24"/>
                <w:lang w:val="en-US" w:eastAsia="zh-CN"/>
              </w:rPr>
              <w:t xml:space="preserve">1    </w:t>
            </w:r>
            <w:r>
              <w:rPr>
                <w:rFonts w:hint="default" w:ascii="Times New Roman" w:hAnsi="Times New Roman" w:eastAsia="宋体" w:cs="Times New Roman"/>
                <w:b/>
                <w:bCs/>
                <w:color w:val="auto"/>
                <w:sz w:val="24"/>
                <w:szCs w:val="24"/>
                <w:lang w:val="en-US" w:eastAsia="zh-CN"/>
              </w:rPr>
              <w:t xml:space="preserve"> 污水处理站恶臭污染源强一览表</w:t>
            </w:r>
          </w:p>
          <w:tbl>
            <w:tblPr>
              <w:tblStyle w:val="20"/>
              <w:tblW w:w="4871" w:type="pct"/>
              <w:jc w:val="center"/>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225"/>
              <w:gridCol w:w="888"/>
              <w:gridCol w:w="1607"/>
              <w:gridCol w:w="1619"/>
              <w:gridCol w:w="1309"/>
              <w:gridCol w:w="1570"/>
            </w:tblGrid>
            <w:tr w14:paraId="3638AF76">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45" w:type="pct"/>
                  <w:tcBorders>
                    <w:tl2br w:val="nil"/>
                    <w:tr2bl w:val="nil"/>
                  </w:tcBorders>
                  <w:noWrap w:val="0"/>
                  <w:vAlign w:val="center"/>
                </w:tcPr>
                <w:p w14:paraId="7C7BEABA">
                  <w:pPr>
                    <w:pStyle w:val="45"/>
                    <w:keepNext w:val="0"/>
                    <w:keepLines w:val="0"/>
                    <w:pageBreakBefore w:val="0"/>
                    <w:widowControl w:val="0"/>
                    <w:kinsoku/>
                    <w:wordWrap/>
                    <w:overflowPunct/>
                    <w:topLinePunct w:val="0"/>
                    <w:autoSpaceDE/>
                    <w:autoSpaceDN/>
                    <w:bidi w:val="0"/>
                    <w:adjustRightInd w:val="0"/>
                    <w:snapToGrid w:val="0"/>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污染源</w:t>
                  </w:r>
                </w:p>
              </w:tc>
              <w:tc>
                <w:tcPr>
                  <w:tcW w:w="540" w:type="pct"/>
                  <w:tcBorders>
                    <w:tl2br w:val="nil"/>
                    <w:tr2bl w:val="nil"/>
                  </w:tcBorders>
                  <w:noWrap w:val="0"/>
                  <w:vAlign w:val="center"/>
                </w:tcPr>
                <w:p w14:paraId="11B587F0">
                  <w:pPr>
                    <w:pStyle w:val="57"/>
                    <w:keepNext w:val="0"/>
                    <w:keepLines w:val="0"/>
                    <w:pageBreakBefore w:val="0"/>
                    <w:widowControl w:val="0"/>
                    <w:kinsoku/>
                    <w:wordWrap/>
                    <w:overflowPunct/>
                    <w:topLinePunct w:val="0"/>
                    <w:autoSpaceDE/>
                    <w:autoSpaceDN/>
                    <w:bidi w:val="0"/>
                    <w:spacing w:line="360" w:lineRule="exact"/>
                    <w:ind w:left="0" w:leftChars="0" w:right="0" w:firstLine="0"/>
                    <w:jc w:val="center"/>
                    <w:textAlignment w:val="auto"/>
                    <w:rPr>
                      <w:rFonts w:hint="default" w:ascii="Times New Roman" w:hAnsi="Times New Roman" w:eastAsia="宋体" w:cs="Times New Roman"/>
                      <w:b w:val="0"/>
                      <w:bCs w:val="0"/>
                      <w:color w:val="auto"/>
                      <w:spacing w:val="0"/>
                      <w:position w:val="0"/>
                      <w:sz w:val="21"/>
                      <w:szCs w:val="21"/>
                      <w:lang w:val="en-US" w:eastAsia="en-US" w:bidi="ar-SA"/>
                    </w:rPr>
                  </w:pPr>
                  <w:r>
                    <w:rPr>
                      <w:rFonts w:hint="default" w:ascii="Times New Roman" w:hAnsi="Times New Roman" w:eastAsia="宋体" w:cs="Times New Roman"/>
                      <w:b w:val="0"/>
                      <w:bCs w:val="0"/>
                      <w:color w:val="auto"/>
                      <w:spacing w:val="0"/>
                      <w:position w:val="0"/>
                      <w:sz w:val="21"/>
                      <w:szCs w:val="21"/>
                    </w:rPr>
                    <w:t>污染物</w:t>
                  </w:r>
                </w:p>
              </w:tc>
              <w:tc>
                <w:tcPr>
                  <w:tcW w:w="977" w:type="pct"/>
                  <w:tcBorders>
                    <w:tl2br w:val="nil"/>
                    <w:tr2bl w:val="nil"/>
                  </w:tcBorders>
                  <w:noWrap w:val="0"/>
                  <w:vAlign w:val="center"/>
                </w:tcPr>
                <w:p w14:paraId="4269BAC7">
                  <w:pPr>
                    <w:pStyle w:val="57"/>
                    <w:keepNext w:val="0"/>
                    <w:keepLines w:val="0"/>
                    <w:pageBreakBefore w:val="0"/>
                    <w:widowControl w:val="0"/>
                    <w:kinsoku/>
                    <w:wordWrap/>
                    <w:overflowPunct/>
                    <w:topLinePunct w:val="0"/>
                    <w:autoSpaceDE/>
                    <w:autoSpaceDN/>
                    <w:bidi w:val="0"/>
                    <w:spacing w:line="360" w:lineRule="exact"/>
                    <w:ind w:left="0" w:leftChars="0" w:right="0" w:firstLine="0"/>
                    <w:jc w:val="center"/>
                    <w:textAlignment w:val="auto"/>
                    <w:rPr>
                      <w:rFonts w:hint="default" w:ascii="Times New Roman" w:hAnsi="Times New Roman" w:eastAsia="宋体" w:cs="Times New Roman"/>
                      <w:b w:val="0"/>
                      <w:bCs w:val="0"/>
                      <w:color w:val="auto"/>
                      <w:spacing w:val="0"/>
                      <w:position w:val="0"/>
                      <w:sz w:val="21"/>
                      <w:szCs w:val="21"/>
                      <w:lang w:val="en-US" w:eastAsia="en-US" w:bidi="ar-SA"/>
                    </w:rPr>
                  </w:pPr>
                  <w:r>
                    <w:rPr>
                      <w:rFonts w:hint="default" w:ascii="Times New Roman" w:hAnsi="Times New Roman" w:eastAsia="宋体" w:cs="Times New Roman"/>
                      <w:b w:val="0"/>
                      <w:bCs w:val="0"/>
                      <w:color w:val="auto"/>
                      <w:spacing w:val="0"/>
                      <w:position w:val="0"/>
                      <w:sz w:val="21"/>
                      <w:szCs w:val="21"/>
                    </w:rPr>
                    <w:t>产生系数</w:t>
                  </w:r>
                </w:p>
              </w:tc>
              <w:tc>
                <w:tcPr>
                  <w:tcW w:w="985" w:type="pct"/>
                  <w:tcBorders>
                    <w:tl2br w:val="nil"/>
                    <w:tr2bl w:val="nil"/>
                  </w:tcBorders>
                  <w:noWrap w:val="0"/>
                  <w:vAlign w:val="center"/>
                </w:tcPr>
                <w:p w14:paraId="6A295BBF">
                  <w:pPr>
                    <w:pStyle w:val="57"/>
                    <w:keepNext w:val="0"/>
                    <w:keepLines w:val="0"/>
                    <w:pageBreakBefore w:val="0"/>
                    <w:widowControl w:val="0"/>
                    <w:kinsoku/>
                    <w:wordWrap/>
                    <w:overflowPunct/>
                    <w:topLinePunct w:val="0"/>
                    <w:autoSpaceDE/>
                    <w:autoSpaceDN/>
                    <w:bidi w:val="0"/>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val="en-US" w:eastAsia="en-US" w:bidi="ar-SA"/>
                    </w:rPr>
                  </w:pPr>
                  <w:r>
                    <w:rPr>
                      <w:rFonts w:hint="default" w:ascii="Times New Roman" w:hAnsi="Times New Roman" w:eastAsia="宋体" w:cs="Times New Roman"/>
                      <w:b w:val="0"/>
                      <w:bCs w:val="0"/>
                      <w:color w:val="auto"/>
                      <w:spacing w:val="0"/>
                      <w:position w:val="0"/>
                      <w:sz w:val="21"/>
                      <w:szCs w:val="21"/>
                    </w:rPr>
                    <w:t>处理 BOD</w:t>
                  </w:r>
                  <w:r>
                    <w:rPr>
                      <w:rFonts w:hint="default" w:ascii="Times New Roman" w:hAnsi="Times New Roman" w:eastAsia="宋体" w:cs="Times New Roman"/>
                      <w:b w:val="0"/>
                      <w:bCs w:val="0"/>
                      <w:color w:val="auto"/>
                      <w:spacing w:val="0"/>
                      <w:position w:val="0"/>
                      <w:sz w:val="21"/>
                      <w:szCs w:val="21"/>
                      <w:vertAlign w:val="subscript"/>
                    </w:rPr>
                    <w:t>5</w:t>
                  </w:r>
                  <w:r>
                    <w:rPr>
                      <w:rFonts w:hint="default" w:ascii="Times New Roman" w:hAnsi="Times New Roman" w:eastAsia="宋体" w:cs="Times New Roman"/>
                      <w:b w:val="0"/>
                      <w:bCs w:val="0"/>
                      <w:color w:val="auto"/>
                      <w:spacing w:val="0"/>
                      <w:position w:val="0"/>
                      <w:sz w:val="21"/>
                      <w:szCs w:val="21"/>
                    </w:rPr>
                    <w:t>（t/a）</w:t>
                  </w:r>
                </w:p>
              </w:tc>
              <w:tc>
                <w:tcPr>
                  <w:tcW w:w="796" w:type="pct"/>
                  <w:tcBorders>
                    <w:tl2br w:val="nil"/>
                    <w:tr2bl w:val="nil"/>
                  </w:tcBorders>
                  <w:noWrap w:val="0"/>
                  <w:vAlign w:val="center"/>
                </w:tcPr>
                <w:p w14:paraId="1EEEB5B0">
                  <w:pPr>
                    <w:pStyle w:val="45"/>
                    <w:keepNext w:val="0"/>
                    <w:keepLines w:val="0"/>
                    <w:pageBreakBefore w:val="0"/>
                    <w:widowControl w:val="0"/>
                    <w:kinsoku/>
                    <w:wordWrap/>
                    <w:overflowPunct/>
                    <w:topLinePunct w:val="0"/>
                    <w:autoSpaceDE/>
                    <w:autoSpaceDN/>
                    <w:bidi w:val="0"/>
                    <w:adjustRightInd w:val="0"/>
                    <w:snapToGrid w:val="0"/>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产生量（</w:t>
                  </w:r>
                  <w:r>
                    <w:rPr>
                      <w:rFonts w:hint="default" w:ascii="Times New Roman" w:hAnsi="Times New Roman" w:eastAsia="宋体" w:cs="Times New Roman"/>
                      <w:b w:val="0"/>
                      <w:bCs w:val="0"/>
                      <w:color w:val="auto"/>
                      <w:spacing w:val="0"/>
                      <w:position w:val="0"/>
                      <w:sz w:val="21"/>
                      <w:szCs w:val="21"/>
                      <w:lang w:val="en-US" w:eastAsia="zh-CN"/>
                    </w:rPr>
                    <w:t>t/a</w:t>
                  </w:r>
                  <w:r>
                    <w:rPr>
                      <w:rFonts w:hint="default" w:ascii="Times New Roman" w:hAnsi="Times New Roman" w:eastAsia="宋体" w:cs="Times New Roman"/>
                      <w:b w:val="0"/>
                      <w:bCs w:val="0"/>
                      <w:color w:val="auto"/>
                      <w:spacing w:val="0"/>
                      <w:position w:val="0"/>
                      <w:sz w:val="21"/>
                      <w:szCs w:val="21"/>
                      <w:lang w:eastAsia="zh-CN"/>
                    </w:rPr>
                    <w:t>）</w:t>
                  </w:r>
                </w:p>
              </w:tc>
              <w:tc>
                <w:tcPr>
                  <w:tcW w:w="955" w:type="pct"/>
                  <w:tcBorders>
                    <w:tl2br w:val="nil"/>
                    <w:tr2bl w:val="nil"/>
                  </w:tcBorders>
                  <w:noWrap w:val="0"/>
                  <w:vAlign w:val="center"/>
                </w:tcPr>
                <w:p w14:paraId="5736878F">
                  <w:pPr>
                    <w:pStyle w:val="57"/>
                    <w:keepNext w:val="0"/>
                    <w:keepLines w:val="0"/>
                    <w:pageBreakBefore w:val="0"/>
                    <w:widowControl w:val="0"/>
                    <w:kinsoku/>
                    <w:wordWrap/>
                    <w:overflowPunct/>
                    <w:topLinePunct w:val="0"/>
                    <w:autoSpaceDE/>
                    <w:autoSpaceDN/>
                    <w:bidi w:val="0"/>
                    <w:spacing w:line="36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bidi="ar-SA"/>
                    </w:rPr>
                  </w:pPr>
                  <w:r>
                    <w:rPr>
                      <w:rFonts w:hint="default" w:ascii="Times New Roman" w:hAnsi="Times New Roman" w:eastAsia="宋体" w:cs="Times New Roman"/>
                      <w:b w:val="0"/>
                      <w:bCs w:val="0"/>
                      <w:color w:val="auto"/>
                      <w:spacing w:val="0"/>
                      <w:position w:val="0"/>
                      <w:sz w:val="21"/>
                      <w:szCs w:val="21"/>
                    </w:rPr>
                    <w:t>产生速率 （kg/h）</w:t>
                  </w:r>
                </w:p>
              </w:tc>
            </w:tr>
            <w:tr w14:paraId="21E5014A">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45" w:type="pct"/>
                  <w:vMerge w:val="restart"/>
                  <w:tcBorders>
                    <w:tl2br w:val="nil"/>
                    <w:tr2bl w:val="nil"/>
                  </w:tcBorders>
                  <w:noWrap w:val="0"/>
                  <w:vAlign w:val="center"/>
                </w:tcPr>
                <w:p w14:paraId="4948BDAC">
                  <w:pPr>
                    <w:pStyle w:val="45"/>
                    <w:keepNext w:val="0"/>
                    <w:keepLines w:val="0"/>
                    <w:pageBreakBefore w:val="0"/>
                    <w:widowControl w:val="0"/>
                    <w:kinsoku/>
                    <w:wordWrap/>
                    <w:overflowPunct/>
                    <w:topLinePunct w:val="0"/>
                    <w:autoSpaceDE/>
                    <w:autoSpaceDN/>
                    <w:bidi w:val="0"/>
                    <w:adjustRightInd w:val="0"/>
                    <w:snapToGrid w:val="0"/>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污水处理站</w:t>
                  </w:r>
                </w:p>
                <w:p w14:paraId="16B92747">
                  <w:pPr>
                    <w:pStyle w:val="45"/>
                    <w:keepNext w:val="0"/>
                    <w:keepLines w:val="0"/>
                    <w:pageBreakBefore w:val="0"/>
                    <w:widowControl w:val="0"/>
                    <w:kinsoku/>
                    <w:wordWrap/>
                    <w:overflowPunct/>
                    <w:topLinePunct w:val="0"/>
                    <w:autoSpaceDE/>
                    <w:autoSpaceDN/>
                    <w:bidi w:val="0"/>
                    <w:adjustRightInd w:val="0"/>
                    <w:snapToGrid w:val="0"/>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eastAsia="zh-CN"/>
                    </w:rPr>
                    <w:t>处理设施</w:t>
                  </w:r>
                </w:p>
              </w:tc>
              <w:tc>
                <w:tcPr>
                  <w:tcW w:w="540" w:type="pct"/>
                  <w:tcBorders>
                    <w:tl2br w:val="nil"/>
                    <w:tr2bl w:val="nil"/>
                  </w:tcBorders>
                  <w:noWrap w:val="0"/>
                  <w:vAlign w:val="center"/>
                </w:tcPr>
                <w:p w14:paraId="7FA4A0A7">
                  <w:pPr>
                    <w:pStyle w:val="45"/>
                    <w:keepNext w:val="0"/>
                    <w:keepLines w:val="0"/>
                    <w:pageBreakBefore w:val="0"/>
                    <w:widowControl w:val="0"/>
                    <w:kinsoku/>
                    <w:wordWrap/>
                    <w:overflowPunct/>
                    <w:topLinePunct w:val="0"/>
                    <w:autoSpaceDE/>
                    <w:autoSpaceDN/>
                    <w:bidi w:val="0"/>
                    <w:adjustRightInd w:val="0"/>
                    <w:snapToGrid w:val="0"/>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NH</w:t>
                  </w:r>
                  <w:r>
                    <w:rPr>
                      <w:rFonts w:hint="default" w:ascii="Times New Roman" w:hAnsi="Times New Roman" w:eastAsia="宋体" w:cs="Times New Roman"/>
                      <w:b w:val="0"/>
                      <w:bCs w:val="0"/>
                      <w:color w:val="auto"/>
                      <w:spacing w:val="0"/>
                      <w:position w:val="0"/>
                      <w:sz w:val="21"/>
                      <w:szCs w:val="21"/>
                      <w:vertAlign w:val="subscript"/>
                    </w:rPr>
                    <w:t>3</w:t>
                  </w:r>
                </w:p>
              </w:tc>
              <w:tc>
                <w:tcPr>
                  <w:tcW w:w="977" w:type="pct"/>
                  <w:tcBorders>
                    <w:tl2br w:val="nil"/>
                    <w:tr2bl w:val="nil"/>
                  </w:tcBorders>
                  <w:noWrap w:val="0"/>
                  <w:vAlign w:val="center"/>
                </w:tcPr>
                <w:p w14:paraId="426433D7">
                  <w:pPr>
                    <w:pStyle w:val="45"/>
                    <w:keepNext w:val="0"/>
                    <w:keepLines w:val="0"/>
                    <w:pageBreakBefore w:val="0"/>
                    <w:widowControl w:val="0"/>
                    <w:kinsoku/>
                    <w:wordWrap/>
                    <w:overflowPunct/>
                    <w:topLinePunct w:val="0"/>
                    <w:autoSpaceDE/>
                    <w:autoSpaceDN/>
                    <w:bidi w:val="0"/>
                    <w:adjustRightInd w:val="0"/>
                    <w:snapToGrid w:val="0"/>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0.0031</w:t>
                  </w:r>
                  <w:r>
                    <w:rPr>
                      <w:rFonts w:hint="default" w:ascii="Times New Roman" w:hAnsi="Times New Roman" w:eastAsia="宋体" w:cs="Times New Roman"/>
                      <w:b w:val="0"/>
                      <w:bCs w:val="0"/>
                      <w:color w:val="auto"/>
                      <w:spacing w:val="0"/>
                      <w:position w:val="0"/>
                      <w:sz w:val="21"/>
                      <w:szCs w:val="21"/>
                      <w:lang w:val="en-US" w:eastAsia="zh-CN"/>
                    </w:rPr>
                    <w:t>g/g</w:t>
                  </w:r>
                  <w:r>
                    <w:rPr>
                      <w:rFonts w:hint="default" w:ascii="Times New Roman" w:hAnsi="Times New Roman" w:eastAsia="宋体" w:cs="Times New Roman"/>
                      <w:b w:val="0"/>
                      <w:bCs w:val="0"/>
                      <w:color w:val="auto"/>
                      <w:spacing w:val="0"/>
                      <w:position w:val="0"/>
                      <w:sz w:val="21"/>
                      <w:szCs w:val="21"/>
                    </w:rPr>
                    <w:t>-BOD</w:t>
                  </w:r>
                  <w:r>
                    <w:rPr>
                      <w:rFonts w:hint="default" w:ascii="Times New Roman" w:hAnsi="Times New Roman" w:eastAsia="宋体" w:cs="Times New Roman"/>
                      <w:b w:val="0"/>
                      <w:bCs w:val="0"/>
                      <w:color w:val="auto"/>
                      <w:spacing w:val="0"/>
                      <w:position w:val="0"/>
                      <w:sz w:val="21"/>
                      <w:szCs w:val="21"/>
                      <w:vertAlign w:val="subscript"/>
                    </w:rPr>
                    <w:t>5</w:t>
                  </w:r>
                </w:p>
              </w:tc>
              <w:tc>
                <w:tcPr>
                  <w:tcW w:w="985" w:type="pct"/>
                  <w:tcBorders>
                    <w:tl2br w:val="nil"/>
                    <w:tr2bl w:val="nil"/>
                  </w:tcBorders>
                  <w:noWrap w:val="0"/>
                  <w:vAlign w:val="center"/>
                </w:tcPr>
                <w:p w14:paraId="0A1FE205">
                  <w:pPr>
                    <w:pStyle w:val="45"/>
                    <w:keepNext w:val="0"/>
                    <w:keepLines w:val="0"/>
                    <w:pageBreakBefore w:val="0"/>
                    <w:widowControl w:val="0"/>
                    <w:kinsoku/>
                    <w:wordWrap/>
                    <w:overflowPunct/>
                    <w:topLinePunct w:val="0"/>
                    <w:autoSpaceDE/>
                    <w:autoSpaceDN/>
                    <w:bidi w:val="0"/>
                    <w:adjustRightInd w:val="0"/>
                    <w:snapToGrid w:val="0"/>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2.78</w:t>
                  </w:r>
                </w:p>
              </w:tc>
              <w:tc>
                <w:tcPr>
                  <w:tcW w:w="796" w:type="pct"/>
                  <w:tcBorders>
                    <w:tl2br w:val="nil"/>
                    <w:tr2bl w:val="nil"/>
                  </w:tcBorders>
                  <w:noWrap w:val="0"/>
                  <w:vAlign w:val="center"/>
                </w:tcPr>
                <w:p w14:paraId="4E5879AF">
                  <w:pPr>
                    <w:pStyle w:val="45"/>
                    <w:keepNext w:val="0"/>
                    <w:keepLines w:val="0"/>
                    <w:pageBreakBefore w:val="0"/>
                    <w:widowControl w:val="0"/>
                    <w:kinsoku/>
                    <w:wordWrap/>
                    <w:overflowPunct/>
                    <w:topLinePunct w:val="0"/>
                    <w:autoSpaceDE/>
                    <w:autoSpaceDN/>
                    <w:bidi w:val="0"/>
                    <w:adjustRightInd w:val="0"/>
                    <w:snapToGrid w:val="0"/>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0.009</w:t>
                  </w:r>
                </w:p>
              </w:tc>
              <w:tc>
                <w:tcPr>
                  <w:tcW w:w="955" w:type="pct"/>
                  <w:tcBorders>
                    <w:tl2br w:val="nil"/>
                    <w:tr2bl w:val="nil"/>
                  </w:tcBorders>
                  <w:noWrap w:val="0"/>
                  <w:vAlign w:val="center"/>
                </w:tcPr>
                <w:p w14:paraId="704B0AE4">
                  <w:pPr>
                    <w:pStyle w:val="45"/>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bidi="zh-CN"/>
                    </w:rPr>
                  </w:pPr>
                  <w:r>
                    <w:rPr>
                      <w:rFonts w:hint="default" w:ascii="Times New Roman" w:hAnsi="Times New Roman" w:eastAsia="宋体" w:cs="Times New Roman"/>
                      <w:b w:val="0"/>
                      <w:bCs w:val="0"/>
                      <w:color w:val="auto"/>
                      <w:spacing w:val="0"/>
                      <w:position w:val="0"/>
                      <w:sz w:val="21"/>
                      <w:szCs w:val="21"/>
                      <w:lang w:val="en-US" w:eastAsia="zh-CN"/>
                    </w:rPr>
                    <w:t>0.001</w:t>
                  </w:r>
                </w:p>
              </w:tc>
            </w:tr>
            <w:tr w14:paraId="600D57CB">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45" w:type="pct"/>
                  <w:vMerge w:val="continue"/>
                  <w:tcBorders>
                    <w:tl2br w:val="nil"/>
                    <w:tr2bl w:val="nil"/>
                  </w:tcBorders>
                  <w:noWrap w:val="0"/>
                  <w:vAlign w:val="center"/>
                </w:tcPr>
                <w:p w14:paraId="5BF0E295">
                  <w:pPr>
                    <w:pStyle w:val="45"/>
                    <w:keepNext w:val="0"/>
                    <w:keepLines w:val="0"/>
                    <w:pageBreakBefore w:val="0"/>
                    <w:widowControl w:val="0"/>
                    <w:kinsoku/>
                    <w:wordWrap/>
                    <w:overflowPunct/>
                    <w:topLinePunct w:val="0"/>
                    <w:autoSpaceDE/>
                    <w:autoSpaceDN/>
                    <w:bidi w:val="0"/>
                    <w:adjustRightInd w:val="0"/>
                    <w:snapToGrid w:val="0"/>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rPr>
                  </w:pPr>
                </w:p>
              </w:tc>
              <w:tc>
                <w:tcPr>
                  <w:tcW w:w="540" w:type="pct"/>
                  <w:tcBorders>
                    <w:tl2br w:val="nil"/>
                    <w:tr2bl w:val="nil"/>
                  </w:tcBorders>
                  <w:noWrap w:val="0"/>
                  <w:vAlign w:val="center"/>
                </w:tcPr>
                <w:p w14:paraId="3ECA291E">
                  <w:pPr>
                    <w:pStyle w:val="45"/>
                    <w:keepNext w:val="0"/>
                    <w:keepLines w:val="0"/>
                    <w:pageBreakBefore w:val="0"/>
                    <w:widowControl w:val="0"/>
                    <w:kinsoku/>
                    <w:wordWrap/>
                    <w:overflowPunct/>
                    <w:topLinePunct w:val="0"/>
                    <w:autoSpaceDE/>
                    <w:autoSpaceDN/>
                    <w:bidi w:val="0"/>
                    <w:adjustRightInd w:val="0"/>
                    <w:snapToGrid w:val="0"/>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H</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S</w:t>
                  </w:r>
                </w:p>
              </w:tc>
              <w:tc>
                <w:tcPr>
                  <w:tcW w:w="977" w:type="pct"/>
                  <w:tcBorders>
                    <w:tl2br w:val="nil"/>
                    <w:tr2bl w:val="nil"/>
                  </w:tcBorders>
                  <w:noWrap w:val="0"/>
                  <w:vAlign w:val="center"/>
                </w:tcPr>
                <w:p w14:paraId="13989C58">
                  <w:pPr>
                    <w:pStyle w:val="45"/>
                    <w:keepNext w:val="0"/>
                    <w:keepLines w:val="0"/>
                    <w:pageBreakBefore w:val="0"/>
                    <w:widowControl w:val="0"/>
                    <w:kinsoku/>
                    <w:wordWrap/>
                    <w:overflowPunct/>
                    <w:topLinePunct w:val="0"/>
                    <w:autoSpaceDE/>
                    <w:autoSpaceDN/>
                    <w:bidi w:val="0"/>
                    <w:adjustRightInd w:val="0"/>
                    <w:snapToGrid w:val="0"/>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color w:val="auto"/>
                      <w:spacing w:val="5"/>
                      <w:sz w:val="21"/>
                      <w:szCs w:val="21"/>
                    </w:rPr>
                    <w:t>0.00012g/g-</w:t>
                  </w:r>
                  <w:r>
                    <w:rPr>
                      <w:rFonts w:hint="default" w:ascii="Times New Roman" w:hAnsi="Times New Roman" w:eastAsia="宋体" w:cs="Times New Roman"/>
                      <w:color w:val="auto"/>
                      <w:sz w:val="21"/>
                      <w:szCs w:val="21"/>
                    </w:rPr>
                    <w:t>BOD</w:t>
                  </w:r>
                  <w:r>
                    <w:rPr>
                      <w:rFonts w:hint="default" w:ascii="Times New Roman" w:hAnsi="Times New Roman" w:eastAsia="宋体" w:cs="Times New Roman"/>
                      <w:color w:val="auto"/>
                      <w:spacing w:val="5"/>
                      <w:position w:val="-1"/>
                      <w:sz w:val="21"/>
                      <w:szCs w:val="21"/>
                      <w:vertAlign w:val="subscript"/>
                    </w:rPr>
                    <w:t>5</w:t>
                  </w:r>
                </w:p>
              </w:tc>
              <w:tc>
                <w:tcPr>
                  <w:tcW w:w="985" w:type="pct"/>
                  <w:tcBorders>
                    <w:tl2br w:val="nil"/>
                    <w:tr2bl w:val="nil"/>
                  </w:tcBorders>
                  <w:noWrap w:val="0"/>
                  <w:vAlign w:val="center"/>
                </w:tcPr>
                <w:p w14:paraId="67750CD7">
                  <w:pPr>
                    <w:pStyle w:val="45"/>
                    <w:keepNext w:val="0"/>
                    <w:keepLines w:val="0"/>
                    <w:pageBreakBefore w:val="0"/>
                    <w:widowControl w:val="0"/>
                    <w:kinsoku/>
                    <w:wordWrap/>
                    <w:overflowPunct/>
                    <w:topLinePunct w:val="0"/>
                    <w:autoSpaceDE/>
                    <w:autoSpaceDN/>
                    <w:bidi w:val="0"/>
                    <w:adjustRightInd w:val="0"/>
                    <w:snapToGrid w:val="0"/>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2.78</w:t>
                  </w:r>
                </w:p>
              </w:tc>
              <w:tc>
                <w:tcPr>
                  <w:tcW w:w="796" w:type="pct"/>
                  <w:tcBorders>
                    <w:tl2br w:val="nil"/>
                    <w:tr2bl w:val="nil"/>
                  </w:tcBorders>
                  <w:noWrap w:val="0"/>
                  <w:vAlign w:val="center"/>
                </w:tcPr>
                <w:p w14:paraId="0B22CC48">
                  <w:pPr>
                    <w:pStyle w:val="45"/>
                    <w:keepNext w:val="0"/>
                    <w:keepLines w:val="0"/>
                    <w:pageBreakBefore w:val="0"/>
                    <w:widowControl w:val="0"/>
                    <w:kinsoku/>
                    <w:wordWrap/>
                    <w:overflowPunct/>
                    <w:topLinePunct w:val="0"/>
                    <w:autoSpaceDE/>
                    <w:autoSpaceDN/>
                    <w:bidi w:val="0"/>
                    <w:adjustRightInd w:val="0"/>
                    <w:snapToGrid w:val="0"/>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0.0003</w:t>
                  </w:r>
                </w:p>
              </w:tc>
              <w:tc>
                <w:tcPr>
                  <w:tcW w:w="955" w:type="pct"/>
                  <w:tcBorders>
                    <w:tl2br w:val="nil"/>
                    <w:tr2bl w:val="nil"/>
                  </w:tcBorders>
                  <w:noWrap w:val="0"/>
                  <w:vAlign w:val="center"/>
                </w:tcPr>
                <w:p w14:paraId="1391391D">
                  <w:pPr>
                    <w:pStyle w:val="45"/>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bidi="zh-CN"/>
                    </w:rPr>
                  </w:pPr>
                  <w:r>
                    <w:rPr>
                      <w:rFonts w:hint="default" w:ascii="Times New Roman" w:hAnsi="Times New Roman" w:eastAsia="宋体" w:cs="Times New Roman"/>
                      <w:b w:val="0"/>
                      <w:bCs w:val="0"/>
                      <w:color w:val="auto"/>
                      <w:spacing w:val="0"/>
                      <w:position w:val="0"/>
                      <w:sz w:val="21"/>
                      <w:szCs w:val="21"/>
                      <w:lang w:val="en-US" w:eastAsia="zh-CN"/>
                    </w:rPr>
                    <w:t>0.00003</w:t>
                  </w:r>
                </w:p>
              </w:tc>
            </w:tr>
          </w:tbl>
          <w:p w14:paraId="39BAF785">
            <w:pPr>
              <w:pStyle w:val="57"/>
              <w:keepNext w:val="0"/>
              <w:keepLines w:val="0"/>
              <w:pageBreakBefore w:val="0"/>
              <w:widowControl w:val="0"/>
              <w:kinsoku/>
              <w:wordWrap/>
              <w:overflowPunct/>
              <w:topLinePunct w:val="0"/>
              <w:autoSpaceDE/>
              <w:autoSpaceDN/>
              <w:bidi w:val="0"/>
              <w:adjustRightInd/>
              <w:snapToGrid/>
              <w:spacing w:line="520" w:lineRule="exact"/>
              <w:ind w:left="110" w:leftChars="50" w:firstLine="472" w:firstLineChars="200"/>
              <w:jc w:val="both"/>
              <w:textAlignment w:val="auto"/>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根据《医院污水处理工程技术规范》（HJ 2029-2013）“5.1.6 ”中的相关要求：医院污水处理构筑物应采取防腐蚀、防渗漏、防冻等技术措施，各种构筑物应加盖密闭，并设置通气装置。</w:t>
            </w:r>
            <w:r>
              <w:rPr>
                <w:rFonts w:hint="default" w:ascii="Times New Roman" w:hAnsi="Times New Roman" w:eastAsia="宋体" w:cs="Times New Roman"/>
                <w:color w:val="auto"/>
                <w:spacing w:val="-2"/>
                <w:sz w:val="24"/>
                <w:szCs w:val="24"/>
                <w:lang w:eastAsia="zh-CN"/>
              </w:rPr>
              <w:t>本项目污水处理设施均布置于封闭污水处理站车间内，污水处理设施为地埋式，各构筑物</w:t>
            </w:r>
            <w:r>
              <w:rPr>
                <w:rFonts w:hint="eastAsia" w:ascii="Times New Roman" w:hAnsi="Times New Roman" w:cs="Times New Roman"/>
                <w:color w:val="auto"/>
                <w:spacing w:val="-2"/>
                <w:sz w:val="24"/>
                <w:szCs w:val="24"/>
                <w:lang w:val="en-US" w:eastAsia="zh-CN"/>
              </w:rPr>
              <w:t>密封</w:t>
            </w:r>
            <w:r>
              <w:rPr>
                <w:rFonts w:hint="default" w:ascii="Times New Roman" w:hAnsi="Times New Roman" w:eastAsia="宋体" w:cs="Times New Roman"/>
                <w:color w:val="auto"/>
                <w:spacing w:val="-2"/>
                <w:sz w:val="24"/>
                <w:szCs w:val="24"/>
                <w:lang w:eastAsia="zh-CN"/>
              </w:rPr>
              <w:t>加盖，车间内定期喷洒除臭剂，检修及污泥清理避开白天人流高峰期和活动期。</w:t>
            </w:r>
            <w:r>
              <w:rPr>
                <w:rFonts w:hint="default" w:ascii="Times New Roman" w:hAnsi="Times New Roman" w:eastAsia="宋体" w:cs="Times New Roman"/>
                <w:color w:val="auto"/>
                <w:spacing w:val="-2"/>
                <w:sz w:val="24"/>
                <w:szCs w:val="24"/>
              </w:rPr>
              <w:t>污水处理</w:t>
            </w:r>
            <w:r>
              <w:rPr>
                <w:rFonts w:hint="default" w:ascii="Times New Roman" w:hAnsi="Times New Roman" w:eastAsia="宋体" w:cs="Times New Roman"/>
                <w:color w:val="auto"/>
                <w:spacing w:val="-2"/>
                <w:sz w:val="24"/>
                <w:szCs w:val="24"/>
                <w:lang w:eastAsia="zh-CN"/>
              </w:rPr>
              <w:t>站恶臭污染物</w:t>
            </w:r>
            <w:r>
              <w:rPr>
                <w:rFonts w:hint="default" w:ascii="Times New Roman" w:hAnsi="Times New Roman" w:eastAsia="宋体" w:cs="Times New Roman"/>
                <w:color w:val="auto"/>
                <w:spacing w:val="-2"/>
                <w:sz w:val="24"/>
                <w:szCs w:val="24"/>
              </w:rPr>
              <w:t>去除效率按50%计，则</w:t>
            </w:r>
            <w:r>
              <w:rPr>
                <w:rFonts w:hint="default" w:ascii="Times New Roman" w:hAnsi="Times New Roman" w:eastAsia="宋体" w:cs="Times New Roman"/>
                <w:color w:val="auto"/>
                <w:spacing w:val="-2"/>
                <w:sz w:val="24"/>
                <w:szCs w:val="24"/>
                <w:lang w:eastAsia="zh-CN"/>
              </w:rPr>
              <w:t>污水处理站</w:t>
            </w:r>
            <w:r>
              <w:rPr>
                <w:rFonts w:hint="default" w:ascii="Times New Roman" w:hAnsi="Times New Roman" w:eastAsia="宋体" w:cs="Times New Roman"/>
                <w:color w:val="auto"/>
                <w:spacing w:val="-2"/>
                <w:sz w:val="24"/>
                <w:szCs w:val="24"/>
              </w:rPr>
              <w:t>NH</w:t>
            </w:r>
            <w:r>
              <w:rPr>
                <w:rFonts w:hint="default" w:ascii="Times New Roman" w:hAnsi="Times New Roman" w:eastAsia="宋体" w:cs="Times New Roman"/>
                <w:color w:val="auto"/>
                <w:spacing w:val="-2"/>
                <w:sz w:val="24"/>
                <w:szCs w:val="24"/>
                <w:vertAlign w:val="subscript"/>
              </w:rPr>
              <w:t>3</w:t>
            </w:r>
            <w:r>
              <w:rPr>
                <w:rFonts w:hint="default" w:ascii="Times New Roman" w:hAnsi="Times New Roman" w:eastAsia="宋体" w:cs="Times New Roman"/>
                <w:color w:val="auto"/>
                <w:spacing w:val="-2"/>
                <w:sz w:val="24"/>
                <w:szCs w:val="24"/>
              </w:rPr>
              <w:t>排放量约为 0.0</w:t>
            </w:r>
            <w:r>
              <w:rPr>
                <w:rFonts w:hint="default" w:ascii="Times New Roman" w:hAnsi="Times New Roman" w:eastAsia="宋体" w:cs="Times New Roman"/>
                <w:color w:val="auto"/>
                <w:spacing w:val="-2"/>
                <w:sz w:val="24"/>
                <w:szCs w:val="24"/>
                <w:lang w:val="en-US" w:eastAsia="zh-CN"/>
              </w:rPr>
              <w:t>045</w:t>
            </w:r>
            <w:r>
              <w:rPr>
                <w:rFonts w:hint="default" w:ascii="Times New Roman" w:hAnsi="Times New Roman" w:eastAsia="宋体" w:cs="Times New Roman"/>
                <w:color w:val="auto"/>
                <w:spacing w:val="-2"/>
                <w:sz w:val="24"/>
                <w:szCs w:val="24"/>
              </w:rPr>
              <w:t>t/a ，H</w:t>
            </w:r>
            <w:r>
              <w:rPr>
                <w:rFonts w:hint="default" w:ascii="Times New Roman" w:hAnsi="Times New Roman" w:eastAsia="宋体" w:cs="Times New Roman"/>
                <w:color w:val="auto"/>
                <w:spacing w:val="-2"/>
                <w:sz w:val="24"/>
                <w:szCs w:val="24"/>
                <w:vertAlign w:val="subscript"/>
              </w:rPr>
              <w:t>2</w:t>
            </w:r>
            <w:r>
              <w:rPr>
                <w:rFonts w:hint="default" w:ascii="Times New Roman" w:hAnsi="Times New Roman" w:eastAsia="宋体" w:cs="Times New Roman"/>
                <w:color w:val="auto"/>
                <w:spacing w:val="-2"/>
                <w:sz w:val="24"/>
                <w:szCs w:val="24"/>
              </w:rPr>
              <w:t>S 排放量约为0.00</w:t>
            </w:r>
            <w:r>
              <w:rPr>
                <w:rFonts w:hint="default" w:ascii="Times New Roman" w:hAnsi="Times New Roman" w:eastAsia="宋体" w:cs="Times New Roman"/>
                <w:color w:val="auto"/>
                <w:spacing w:val="-2"/>
                <w:sz w:val="24"/>
                <w:szCs w:val="24"/>
                <w:lang w:val="en-US" w:eastAsia="zh-CN"/>
              </w:rPr>
              <w:t>015</w:t>
            </w:r>
            <w:r>
              <w:rPr>
                <w:rFonts w:hint="default" w:ascii="Times New Roman" w:hAnsi="Times New Roman" w:eastAsia="宋体" w:cs="Times New Roman"/>
                <w:color w:val="auto"/>
                <w:spacing w:val="-2"/>
                <w:sz w:val="24"/>
                <w:szCs w:val="24"/>
              </w:rPr>
              <w:t xml:space="preserve">t/a </w:t>
            </w:r>
            <w:r>
              <w:rPr>
                <w:rFonts w:hint="default" w:ascii="Times New Roman" w:hAnsi="Times New Roman" w:eastAsia="宋体" w:cs="Times New Roman"/>
                <w:color w:val="auto"/>
                <w:spacing w:val="-2"/>
                <w:sz w:val="24"/>
                <w:szCs w:val="24"/>
                <w:lang w:eastAsia="zh-CN"/>
              </w:rPr>
              <w:t>，对环境影响较小</w:t>
            </w:r>
            <w:r>
              <w:rPr>
                <w:rFonts w:hint="default" w:ascii="Times New Roman" w:hAnsi="Times New Roman" w:cs="Times New Roman"/>
                <w:color w:val="auto"/>
                <w:spacing w:val="-2"/>
                <w:sz w:val="24"/>
                <w:szCs w:val="24"/>
                <w:lang w:eastAsia="zh-CN"/>
              </w:rPr>
              <w:t>。</w:t>
            </w:r>
          </w:p>
          <w:p w14:paraId="3C49F401">
            <w:pPr>
              <w:keepNext w:val="0"/>
              <w:keepLines w:val="0"/>
              <w:pageBreakBefore w:val="0"/>
              <w:widowControl w:val="0"/>
              <w:numPr>
                <w:ilvl w:val="0"/>
                <w:numId w:val="0"/>
              </w:numPr>
              <w:kinsoku/>
              <w:wordWrap/>
              <w:overflowPunct/>
              <w:topLinePunct w:val="0"/>
              <w:autoSpaceDE/>
              <w:autoSpaceDN/>
              <w:bidi w:val="0"/>
              <w:adjustRightInd w:val="0"/>
              <w:snapToGrid/>
              <w:spacing w:line="520" w:lineRule="exact"/>
              <w:ind w:firstLine="480" w:firstLineChars="200"/>
              <w:jc w:val="both"/>
              <w:textAlignment w:val="baseline"/>
              <w:rPr>
                <w:rFonts w:hint="eastAsia" w:ascii="Times New Roman" w:hAnsi="Times New Roman" w:eastAsia="宋体" w:cs="Times New Roman"/>
                <w:b w:val="0"/>
                <w:bCs w:val="0"/>
                <w:color w:val="auto"/>
                <w:kern w:val="0"/>
                <w:sz w:val="24"/>
                <w:szCs w:val="24"/>
                <w:lang w:val="en-US" w:eastAsia="zh-CN"/>
              </w:rPr>
            </w:pPr>
            <w:r>
              <w:rPr>
                <w:rFonts w:hint="eastAsia" w:ascii="Times New Roman" w:hAnsi="Times New Roman" w:eastAsia="宋体" w:cs="Times New Roman"/>
                <w:b w:val="0"/>
                <w:bCs w:val="0"/>
                <w:color w:val="auto"/>
                <w:kern w:val="0"/>
                <w:sz w:val="24"/>
                <w:szCs w:val="24"/>
                <w:lang w:val="en-US" w:eastAsia="zh-CN" w:bidi="zh-CN"/>
              </w:rPr>
              <w:t>（2）</w:t>
            </w:r>
            <w:r>
              <w:rPr>
                <w:rFonts w:hint="eastAsia" w:ascii="Times New Roman" w:hAnsi="Times New Roman" w:eastAsia="宋体" w:cs="Times New Roman"/>
                <w:b w:val="0"/>
                <w:bCs w:val="0"/>
                <w:color w:val="auto"/>
                <w:kern w:val="0"/>
                <w:sz w:val="24"/>
                <w:szCs w:val="24"/>
                <w:lang w:val="en-US" w:eastAsia="zh-CN"/>
              </w:rPr>
              <w:t>停车场尾气</w:t>
            </w:r>
          </w:p>
          <w:p w14:paraId="794E8A72">
            <w:pPr>
              <w:keepNext w:val="0"/>
              <w:keepLines w:val="0"/>
              <w:pageBreakBefore w:val="0"/>
              <w:widowControl w:val="0"/>
              <w:kinsoku/>
              <w:wordWrap/>
              <w:overflowPunct/>
              <w:topLinePunct w:val="0"/>
              <w:autoSpaceDE/>
              <w:autoSpaceDN/>
              <w:bidi w:val="0"/>
              <w:adjustRightInd w:val="0"/>
              <w:snapToGrid/>
              <w:spacing w:line="520" w:lineRule="exact"/>
              <w:ind w:firstLine="480" w:firstLineChars="200"/>
              <w:jc w:val="both"/>
              <w:textAlignment w:val="baseline"/>
              <w:rPr>
                <w:rFonts w:hint="default" w:ascii="Times New Roman" w:hAnsi="Times New Roman" w:eastAsia="宋体" w:cs="Times New Roman"/>
                <w:b w:val="0"/>
                <w:bCs w:val="0"/>
                <w:color w:val="auto"/>
                <w:kern w:val="0"/>
                <w:sz w:val="24"/>
                <w:szCs w:val="24"/>
                <w:lang w:val="en-US" w:eastAsia="zh-CN"/>
              </w:rPr>
            </w:pPr>
            <w:r>
              <w:rPr>
                <w:rFonts w:hint="default" w:ascii="Times New Roman" w:hAnsi="Times New Roman" w:eastAsia="宋体" w:cs="Times New Roman"/>
                <w:b w:val="0"/>
                <w:bCs w:val="0"/>
                <w:color w:val="auto"/>
                <w:kern w:val="0"/>
                <w:sz w:val="24"/>
                <w:szCs w:val="24"/>
                <w:lang w:val="en-US" w:eastAsia="zh-CN"/>
              </w:rPr>
              <w:t>本项目设地下停车库，机动车排放的主要成分为CO、碳氢化合物、NO</w:t>
            </w:r>
            <w:r>
              <w:rPr>
                <w:rFonts w:hint="eastAsia" w:ascii="Times New Roman" w:hAnsi="Times New Roman" w:eastAsia="宋体" w:cs="Times New Roman"/>
                <w:b w:val="0"/>
                <w:bCs w:val="0"/>
                <w:color w:val="auto"/>
                <w:kern w:val="0"/>
                <w:sz w:val="24"/>
                <w:szCs w:val="24"/>
                <w:vertAlign w:val="subscript"/>
                <w:lang w:val="en-US" w:eastAsia="zh-CN"/>
              </w:rPr>
              <w:t>X</w:t>
            </w:r>
            <w:r>
              <w:rPr>
                <w:rFonts w:hint="default" w:ascii="Times New Roman" w:hAnsi="Times New Roman" w:eastAsia="宋体" w:cs="Times New Roman"/>
                <w:b w:val="0"/>
                <w:bCs w:val="0"/>
                <w:color w:val="auto"/>
                <w:kern w:val="0"/>
                <w:sz w:val="24"/>
                <w:szCs w:val="24"/>
                <w:lang w:val="en-US" w:eastAsia="zh-CN"/>
              </w:rPr>
              <w:t>，地下车库如果通风不良，会造成区域环境空气的污染。因此，项目必须加强地下车库的通风排气，保持车库通排风良好，减少汽车尾气在车库内的积聚。本项目地下车库中设置机械送、排风系统，并按照标准设置排风口，其高出地面高度设置为2.5m，避开人群呼吸带，保证了汽车尾气的充分散逸，以减少对环境的影响。废气由排风机抽至项目地下室周边的绿化带排放，排放口尽可能远离医院内的步行道路、远离人群活动场所</w:t>
            </w:r>
            <w:r>
              <w:rPr>
                <w:rFonts w:hint="eastAsia" w:ascii="Times New Roman" w:hAnsi="Times New Roman" w:eastAsia="宋体" w:cs="Times New Roman"/>
                <w:b w:val="0"/>
                <w:bCs w:val="0"/>
                <w:color w:val="auto"/>
                <w:kern w:val="0"/>
                <w:sz w:val="24"/>
                <w:szCs w:val="24"/>
                <w:lang w:val="en-US" w:eastAsia="zh-CN"/>
              </w:rPr>
              <w:t>。</w:t>
            </w:r>
          </w:p>
          <w:p w14:paraId="7E3A0133">
            <w:pPr>
              <w:keepNext w:val="0"/>
              <w:keepLines w:val="0"/>
              <w:pageBreakBefore w:val="0"/>
              <w:widowControl w:val="0"/>
              <w:kinsoku/>
              <w:wordWrap/>
              <w:overflowPunct/>
              <w:topLinePunct w:val="0"/>
              <w:autoSpaceDE/>
              <w:autoSpaceDN/>
              <w:bidi w:val="0"/>
              <w:adjustRightInd w:val="0"/>
              <w:snapToGrid/>
              <w:spacing w:line="520" w:lineRule="exact"/>
              <w:ind w:firstLine="480" w:firstLineChars="200"/>
              <w:jc w:val="both"/>
              <w:textAlignment w:val="baseline"/>
              <w:rPr>
                <w:rFonts w:hint="default" w:ascii="Times New Roman" w:hAnsi="Times New Roman" w:eastAsia="宋体" w:cs="Times New Roman"/>
                <w:b w:val="0"/>
                <w:bCs w:val="0"/>
                <w:color w:val="auto"/>
                <w:kern w:val="0"/>
                <w:sz w:val="24"/>
                <w:szCs w:val="24"/>
                <w:lang w:val="en-US" w:eastAsia="zh-CN"/>
              </w:rPr>
            </w:pPr>
            <w:r>
              <w:rPr>
                <w:rFonts w:hint="default" w:ascii="Times New Roman" w:hAnsi="Times New Roman" w:eastAsia="宋体" w:cs="Times New Roman"/>
                <w:b w:val="0"/>
                <w:bCs w:val="0"/>
                <w:color w:val="auto"/>
                <w:kern w:val="0"/>
                <w:sz w:val="24"/>
                <w:szCs w:val="24"/>
                <w:lang w:val="en-US" w:eastAsia="zh-CN"/>
              </w:rPr>
              <w:t>为了减</w:t>
            </w:r>
            <w:r>
              <w:rPr>
                <w:rFonts w:hint="eastAsia" w:ascii="Times New Roman" w:hAnsi="Times New Roman" w:cs="Times New Roman"/>
                <w:b w:val="0"/>
                <w:bCs w:val="0"/>
                <w:color w:val="auto"/>
                <w:kern w:val="0"/>
                <w:sz w:val="24"/>
                <w:szCs w:val="24"/>
                <w:lang w:val="en-US" w:eastAsia="zh-CN"/>
              </w:rPr>
              <w:t>少</w:t>
            </w:r>
            <w:r>
              <w:rPr>
                <w:rFonts w:hint="default" w:ascii="Times New Roman" w:hAnsi="Times New Roman" w:eastAsia="宋体" w:cs="Times New Roman"/>
                <w:b w:val="0"/>
                <w:bCs w:val="0"/>
                <w:color w:val="auto"/>
                <w:kern w:val="0"/>
                <w:sz w:val="24"/>
                <w:szCs w:val="24"/>
                <w:lang w:val="en-US" w:eastAsia="zh-CN"/>
              </w:rPr>
              <w:t>地下车库机动车废气排放对周边大气环境的影响，项目</w:t>
            </w:r>
            <w:r>
              <w:rPr>
                <w:rFonts w:hint="eastAsia" w:ascii="Times New Roman" w:hAnsi="Times New Roman" w:eastAsia="宋体" w:cs="Times New Roman"/>
                <w:b w:val="0"/>
                <w:bCs w:val="0"/>
                <w:color w:val="auto"/>
                <w:kern w:val="0"/>
                <w:sz w:val="24"/>
                <w:szCs w:val="24"/>
                <w:lang w:val="en-US" w:eastAsia="zh-CN"/>
              </w:rPr>
              <w:t>采取以下</w:t>
            </w:r>
            <w:r>
              <w:rPr>
                <w:rFonts w:hint="default" w:ascii="Times New Roman" w:hAnsi="Times New Roman" w:eastAsia="宋体" w:cs="Times New Roman"/>
                <w:b w:val="0"/>
                <w:bCs w:val="0"/>
                <w:color w:val="auto"/>
                <w:kern w:val="0"/>
                <w:sz w:val="24"/>
                <w:szCs w:val="24"/>
                <w:lang w:val="en-US" w:eastAsia="zh-CN"/>
              </w:rPr>
              <w:t>措施疏导进入医院的机动车，减少机动车尾气的排放</w:t>
            </w:r>
            <w:r>
              <w:rPr>
                <w:rFonts w:hint="eastAsia" w:ascii="Times New Roman" w:hAnsi="Times New Roman" w:eastAsia="宋体" w:cs="Times New Roman"/>
                <w:b w:val="0"/>
                <w:bCs w:val="0"/>
                <w:color w:val="auto"/>
                <w:kern w:val="0"/>
                <w:sz w:val="24"/>
                <w:szCs w:val="24"/>
                <w:lang w:val="en-US" w:eastAsia="zh-CN"/>
              </w:rPr>
              <w:t>：</w:t>
            </w:r>
          </w:p>
          <w:p w14:paraId="7EF8460C">
            <w:pPr>
              <w:keepNext w:val="0"/>
              <w:keepLines w:val="0"/>
              <w:pageBreakBefore w:val="0"/>
              <w:widowControl w:val="0"/>
              <w:numPr>
                <w:ilvl w:val="0"/>
                <w:numId w:val="0"/>
              </w:numPr>
              <w:kinsoku/>
              <w:wordWrap/>
              <w:overflowPunct/>
              <w:topLinePunct w:val="0"/>
              <w:autoSpaceDE/>
              <w:autoSpaceDN/>
              <w:bidi w:val="0"/>
              <w:adjustRightInd w:val="0"/>
              <w:snapToGrid/>
              <w:spacing w:line="520" w:lineRule="exact"/>
              <w:ind w:firstLine="480" w:firstLineChars="200"/>
              <w:jc w:val="both"/>
              <w:textAlignment w:val="baseline"/>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bidi="zh-CN"/>
              </w:rPr>
              <w:t>①</w:t>
            </w:r>
            <w:r>
              <w:rPr>
                <w:rFonts w:hint="default" w:ascii="Times New Roman" w:hAnsi="Times New Roman" w:eastAsia="宋体" w:cs="Times New Roman"/>
                <w:b w:val="0"/>
                <w:bCs w:val="0"/>
                <w:color w:val="auto"/>
                <w:kern w:val="0"/>
                <w:sz w:val="24"/>
                <w:szCs w:val="24"/>
                <w:lang w:val="en-US" w:eastAsia="zh-CN"/>
              </w:rPr>
              <w:t>采取合理的措施疏导进医院机动车，限制尾气排放情况差的机动车入区，</w:t>
            </w:r>
            <w:r>
              <w:rPr>
                <w:rFonts w:hint="default" w:ascii="Times New Roman" w:hAnsi="Times New Roman" w:cs="Times New Roman"/>
                <w:color w:val="auto"/>
                <w:sz w:val="24"/>
                <w:szCs w:val="24"/>
                <w:lang w:val="en-US" w:eastAsia="zh-CN"/>
              </w:rPr>
              <w:t>尽量减少尾气排放。</w:t>
            </w:r>
          </w:p>
          <w:p w14:paraId="10B86B59">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②合理规划车场内车流方向和建筑物布局，加强地下停车场通排风，地下车库设置竖井，将机动车尾气通过排气扇抽至周围绿化带排放，排气口远离人群活动场所。</w:t>
            </w:r>
          </w:p>
          <w:p w14:paraId="094EF127">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③合理规划停车场内机动车车流方向和建筑物布局，使之有利于机动车尾气扩散。</w:t>
            </w:r>
          </w:p>
          <w:p w14:paraId="66A1CBAB">
            <w:pPr>
              <w:pStyle w:val="5"/>
              <w:keepNext w:val="0"/>
              <w:keepLines w:val="0"/>
              <w:pageBreakBefore w:val="0"/>
              <w:widowControl w:val="0"/>
              <w:kinsoku/>
              <w:wordWrap/>
              <w:overflowPunct/>
              <w:topLinePunct w:val="0"/>
              <w:autoSpaceDE w:val="0"/>
              <w:autoSpaceDN w:val="0"/>
              <w:bidi w:val="0"/>
              <w:adjustRightInd/>
              <w:snapToGrid/>
              <w:spacing w:after="0" w:line="520" w:lineRule="exact"/>
              <w:ind w:left="0" w:leftChars="0"/>
              <w:jc w:val="both"/>
              <w:textAlignment w:val="auto"/>
              <w:rPr>
                <w:rFonts w:hint="default"/>
                <w:color w:val="auto"/>
                <w:lang w:val="en-US" w:eastAsia="zh-CN"/>
              </w:rPr>
            </w:pPr>
            <w:r>
              <w:rPr>
                <w:rFonts w:hint="default"/>
                <w:color w:val="auto"/>
                <w:lang w:val="en-US" w:eastAsia="zh-CN"/>
              </w:rPr>
              <w:t>在采取以上措施治理后，机动车尾气对周围环境影响不大。</w:t>
            </w:r>
          </w:p>
          <w:p w14:paraId="2E73F63B">
            <w:pPr>
              <w:pStyle w:val="5"/>
              <w:keepNext w:val="0"/>
              <w:keepLines w:val="0"/>
              <w:pageBreakBefore w:val="0"/>
              <w:widowControl w:val="0"/>
              <w:kinsoku/>
              <w:wordWrap/>
              <w:overflowPunct/>
              <w:topLinePunct w:val="0"/>
              <w:autoSpaceDE w:val="0"/>
              <w:autoSpaceDN w:val="0"/>
              <w:bidi w:val="0"/>
              <w:adjustRightInd/>
              <w:snapToGrid/>
              <w:spacing w:after="0" w:line="520" w:lineRule="exact"/>
              <w:ind w:left="0" w:leftChars="0"/>
              <w:jc w:val="both"/>
              <w:textAlignment w:val="auto"/>
              <w:rPr>
                <w:rFonts w:hint="default"/>
                <w:color w:val="auto"/>
                <w:lang w:val="en-US" w:eastAsia="zh-CN"/>
              </w:rPr>
            </w:pPr>
            <w:r>
              <w:rPr>
                <w:rFonts w:hint="default"/>
                <w:color w:val="auto"/>
                <w:lang w:val="en-US" w:eastAsia="zh-CN"/>
              </w:rPr>
              <w:t>综上</w:t>
            </w:r>
            <w:r>
              <w:rPr>
                <w:rFonts w:hint="eastAsia"/>
                <w:color w:val="auto"/>
                <w:lang w:val="en-US" w:eastAsia="zh-CN"/>
              </w:rPr>
              <w:t>所述</w:t>
            </w:r>
            <w:r>
              <w:rPr>
                <w:rFonts w:hint="default"/>
                <w:color w:val="auto"/>
                <w:lang w:val="en-US" w:eastAsia="zh-CN"/>
              </w:rPr>
              <w:t>，在采取本评价确定的污染防治对策措施情况下，本项目废气排放量较小且能达标排放，大气环境影响可接受。</w:t>
            </w:r>
          </w:p>
          <w:p w14:paraId="2432962E">
            <w:pPr>
              <w:keepNext w:val="0"/>
              <w:keepLines w:val="0"/>
              <w:pageBreakBefore w:val="0"/>
              <w:widowControl w:val="0"/>
              <w:kinsoku/>
              <w:wordWrap/>
              <w:overflowPunct/>
              <w:topLinePunct w:val="0"/>
              <w:autoSpaceDE/>
              <w:autoSpaceDN/>
              <w:bidi w:val="0"/>
              <w:adjustRightInd w:val="0"/>
              <w:snapToGrid/>
              <w:spacing w:before="157" w:beforeLines="50" w:line="240" w:lineRule="auto"/>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kern w:val="0"/>
                <w:sz w:val="24"/>
                <w:szCs w:val="24"/>
                <w:lang w:val="en-US" w:eastAsia="zh-CN"/>
              </w:rPr>
              <w:t>表4-</w:t>
            </w:r>
            <w:r>
              <w:rPr>
                <w:rFonts w:hint="eastAsia" w:ascii="Times New Roman" w:hAnsi="Times New Roman" w:eastAsia="宋体" w:cs="Times New Roman"/>
                <w:b/>
                <w:bCs/>
                <w:color w:val="auto"/>
                <w:kern w:val="0"/>
                <w:sz w:val="24"/>
                <w:szCs w:val="24"/>
                <w:lang w:val="en-US" w:eastAsia="zh-CN"/>
              </w:rPr>
              <w:t xml:space="preserve">2     </w:t>
            </w:r>
            <w:r>
              <w:rPr>
                <w:rFonts w:hint="default" w:ascii="Times New Roman" w:hAnsi="Times New Roman" w:eastAsia="宋体" w:cs="Times New Roman"/>
                <w:b/>
                <w:bCs/>
                <w:color w:val="auto"/>
                <w:kern w:val="0"/>
                <w:sz w:val="24"/>
                <w:szCs w:val="24"/>
                <w:lang w:val="en-US" w:eastAsia="zh-CN"/>
              </w:rPr>
              <w:t>大气污染物</w:t>
            </w:r>
            <w:r>
              <w:rPr>
                <w:rFonts w:hint="eastAsia" w:ascii="Times New Roman" w:hAnsi="Times New Roman" w:eastAsia="宋体" w:cs="Times New Roman"/>
                <w:b/>
                <w:bCs/>
                <w:color w:val="auto"/>
                <w:kern w:val="0"/>
                <w:sz w:val="24"/>
                <w:szCs w:val="24"/>
                <w:lang w:val="en-US" w:eastAsia="zh-CN"/>
              </w:rPr>
              <w:t>无组织</w:t>
            </w:r>
            <w:r>
              <w:rPr>
                <w:rFonts w:hint="default" w:ascii="Times New Roman" w:hAnsi="Times New Roman" w:eastAsia="宋体" w:cs="Times New Roman"/>
                <w:b/>
                <w:bCs/>
                <w:color w:val="auto"/>
                <w:kern w:val="0"/>
                <w:sz w:val="24"/>
                <w:szCs w:val="24"/>
                <w:lang w:val="en-US" w:eastAsia="zh-CN"/>
              </w:rPr>
              <w:t>排放量核算表</w:t>
            </w:r>
          </w:p>
          <w:tbl>
            <w:tblPr>
              <w:tblStyle w:val="21"/>
              <w:tblW w:w="495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295"/>
              <w:gridCol w:w="990"/>
              <w:gridCol w:w="1155"/>
              <w:gridCol w:w="1914"/>
              <w:gridCol w:w="1116"/>
              <w:gridCol w:w="1171"/>
            </w:tblGrid>
            <w:tr w14:paraId="4BA691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tcBorders>
                    <w:tl2br w:val="nil"/>
                    <w:tr2bl w:val="nil"/>
                  </w:tcBorders>
                  <w:noWrap w:val="0"/>
                  <w:vAlign w:val="center"/>
                </w:tcPr>
                <w:p w14:paraId="13C2FD20">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编号</w:t>
                  </w:r>
                </w:p>
              </w:tc>
              <w:tc>
                <w:tcPr>
                  <w:tcW w:w="1295" w:type="dxa"/>
                  <w:tcBorders>
                    <w:tl2br w:val="nil"/>
                    <w:tr2bl w:val="nil"/>
                  </w:tcBorders>
                  <w:noWrap w:val="0"/>
                  <w:vAlign w:val="center"/>
                </w:tcPr>
                <w:p w14:paraId="74692280">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污染源</w:t>
                  </w:r>
                </w:p>
              </w:tc>
              <w:tc>
                <w:tcPr>
                  <w:tcW w:w="990" w:type="dxa"/>
                  <w:tcBorders>
                    <w:tl2br w:val="nil"/>
                    <w:tr2bl w:val="nil"/>
                  </w:tcBorders>
                  <w:noWrap w:val="0"/>
                  <w:vAlign w:val="center"/>
                </w:tcPr>
                <w:p w14:paraId="5C526A82">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污染物</w:t>
                  </w:r>
                </w:p>
              </w:tc>
              <w:tc>
                <w:tcPr>
                  <w:tcW w:w="1155" w:type="dxa"/>
                  <w:tcBorders>
                    <w:tl2br w:val="nil"/>
                    <w:tr2bl w:val="nil"/>
                  </w:tcBorders>
                  <w:noWrap w:val="0"/>
                  <w:vAlign w:val="center"/>
                </w:tcPr>
                <w:p w14:paraId="17BBCAC2">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污染物产生量t/a</w:t>
                  </w:r>
                </w:p>
              </w:tc>
              <w:tc>
                <w:tcPr>
                  <w:tcW w:w="1914" w:type="dxa"/>
                  <w:tcBorders>
                    <w:tl2br w:val="nil"/>
                    <w:tr2bl w:val="nil"/>
                  </w:tcBorders>
                  <w:noWrap w:val="0"/>
                  <w:vAlign w:val="center"/>
                </w:tcPr>
                <w:p w14:paraId="1C7394CB">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治理措施</w:t>
                  </w:r>
                </w:p>
              </w:tc>
              <w:tc>
                <w:tcPr>
                  <w:tcW w:w="1116" w:type="dxa"/>
                  <w:tcBorders>
                    <w:tl2br w:val="nil"/>
                    <w:tr2bl w:val="nil"/>
                  </w:tcBorders>
                  <w:noWrap w:val="0"/>
                  <w:vAlign w:val="center"/>
                </w:tcPr>
                <w:p w14:paraId="432EF143">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去除效率</w:t>
                  </w:r>
                </w:p>
                <w:p w14:paraId="58B0CFF4">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c>
                <w:tcPr>
                  <w:tcW w:w="1171" w:type="dxa"/>
                  <w:tcBorders>
                    <w:tl2br w:val="nil"/>
                    <w:tr2bl w:val="nil"/>
                  </w:tcBorders>
                  <w:noWrap w:val="0"/>
                  <w:vAlign w:val="center"/>
                </w:tcPr>
                <w:p w14:paraId="1ADD6AAA">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污染物排放量t/a</w:t>
                  </w:r>
                </w:p>
              </w:tc>
            </w:tr>
            <w:tr w14:paraId="3A2B52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tcBorders>
                    <w:tl2br w:val="nil"/>
                    <w:tr2bl w:val="nil"/>
                  </w:tcBorders>
                  <w:noWrap w:val="0"/>
                  <w:vAlign w:val="center"/>
                </w:tcPr>
                <w:p w14:paraId="430E57FE">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w:t>
                  </w:r>
                </w:p>
              </w:tc>
              <w:tc>
                <w:tcPr>
                  <w:tcW w:w="1295" w:type="dxa"/>
                  <w:vMerge w:val="restart"/>
                  <w:tcBorders>
                    <w:tl2br w:val="nil"/>
                    <w:tr2bl w:val="nil"/>
                  </w:tcBorders>
                  <w:noWrap w:val="0"/>
                  <w:vAlign w:val="center"/>
                </w:tcPr>
                <w:p w14:paraId="4D043355">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污水处理站</w:t>
                  </w:r>
                </w:p>
                <w:p w14:paraId="33060097">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lang w:eastAsia="zh-CN"/>
                    </w:rPr>
                    <w:t>处理设施</w:t>
                  </w:r>
                </w:p>
              </w:tc>
              <w:tc>
                <w:tcPr>
                  <w:tcW w:w="990" w:type="dxa"/>
                  <w:tcBorders>
                    <w:tl2br w:val="nil"/>
                    <w:tr2bl w:val="nil"/>
                  </w:tcBorders>
                  <w:noWrap w:val="0"/>
                  <w:vAlign w:val="center"/>
                </w:tcPr>
                <w:p w14:paraId="755A2951">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color w:val="auto"/>
                      <w:spacing w:val="-2"/>
                      <w:sz w:val="21"/>
                      <w:szCs w:val="21"/>
                    </w:rPr>
                  </w:pPr>
                  <w:r>
                    <w:rPr>
                      <w:rFonts w:hint="default" w:ascii="Times New Roman" w:hAnsi="Times New Roman" w:eastAsia="宋体" w:cs="Times New Roman"/>
                      <w:color w:val="auto"/>
                      <w:spacing w:val="-2"/>
                      <w:sz w:val="21"/>
                      <w:szCs w:val="21"/>
                    </w:rPr>
                    <w:t>NH</w:t>
                  </w:r>
                  <w:r>
                    <w:rPr>
                      <w:rFonts w:hint="default" w:ascii="Times New Roman" w:hAnsi="Times New Roman" w:eastAsia="宋体" w:cs="Times New Roman"/>
                      <w:color w:val="auto"/>
                      <w:spacing w:val="-2"/>
                      <w:sz w:val="21"/>
                      <w:szCs w:val="21"/>
                      <w:vertAlign w:val="subscript"/>
                    </w:rPr>
                    <w:t>3</w:t>
                  </w:r>
                </w:p>
              </w:tc>
              <w:tc>
                <w:tcPr>
                  <w:tcW w:w="1155" w:type="dxa"/>
                  <w:tcBorders>
                    <w:tl2br w:val="nil"/>
                    <w:tr2bl w:val="nil"/>
                  </w:tcBorders>
                  <w:noWrap w:val="0"/>
                  <w:vAlign w:val="center"/>
                </w:tcPr>
                <w:p w14:paraId="75EECF85">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0.009</w:t>
                  </w:r>
                </w:p>
              </w:tc>
              <w:tc>
                <w:tcPr>
                  <w:tcW w:w="1914" w:type="dxa"/>
                  <w:vMerge w:val="restart"/>
                  <w:tcBorders>
                    <w:tl2br w:val="nil"/>
                    <w:tr2bl w:val="nil"/>
                  </w:tcBorders>
                  <w:noWrap w:val="0"/>
                  <w:vAlign w:val="center"/>
                </w:tcPr>
                <w:p w14:paraId="62AB239A">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baseline"/>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构筑物</w:t>
                  </w:r>
                  <w:r>
                    <w:rPr>
                      <w:rFonts w:hint="eastAsia" w:ascii="Times New Roman" w:hAnsi="Times New Roman" w:cs="Times New Roman"/>
                      <w:color w:val="auto"/>
                      <w:sz w:val="21"/>
                      <w:szCs w:val="21"/>
                      <w:vertAlign w:val="baseline"/>
                      <w:lang w:val="en-US" w:eastAsia="zh-CN"/>
                    </w:rPr>
                    <w:t>密封</w:t>
                  </w:r>
                  <w:r>
                    <w:rPr>
                      <w:rFonts w:hint="default" w:ascii="Times New Roman" w:hAnsi="Times New Roman" w:eastAsia="宋体" w:cs="Times New Roman"/>
                      <w:color w:val="auto"/>
                      <w:sz w:val="21"/>
                      <w:szCs w:val="21"/>
                      <w:vertAlign w:val="baseline"/>
                      <w:lang w:val="en-US" w:eastAsia="zh-CN"/>
                    </w:rPr>
                    <w:t>加盖，喷洒除臭剂除臭</w:t>
                  </w:r>
                </w:p>
              </w:tc>
              <w:tc>
                <w:tcPr>
                  <w:tcW w:w="1116" w:type="dxa"/>
                  <w:tcBorders>
                    <w:tl2br w:val="nil"/>
                    <w:tr2bl w:val="nil"/>
                  </w:tcBorders>
                  <w:noWrap w:val="0"/>
                  <w:vAlign w:val="center"/>
                </w:tcPr>
                <w:p w14:paraId="35BBA2A3">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baseline"/>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50</w:t>
                  </w:r>
                </w:p>
              </w:tc>
              <w:tc>
                <w:tcPr>
                  <w:tcW w:w="1171" w:type="dxa"/>
                  <w:tcBorders>
                    <w:tl2br w:val="nil"/>
                    <w:tr2bl w:val="nil"/>
                  </w:tcBorders>
                  <w:noWrap w:val="0"/>
                  <w:vAlign w:val="center"/>
                </w:tcPr>
                <w:p w14:paraId="7BAA6CEF">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baseline"/>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0.0045</w:t>
                  </w:r>
                </w:p>
              </w:tc>
            </w:tr>
            <w:tr w14:paraId="76B4C3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tcBorders>
                    <w:tl2br w:val="nil"/>
                    <w:tr2bl w:val="nil"/>
                  </w:tcBorders>
                  <w:noWrap w:val="0"/>
                  <w:vAlign w:val="center"/>
                </w:tcPr>
                <w:p w14:paraId="5837C012">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w:t>
                  </w:r>
                </w:p>
              </w:tc>
              <w:tc>
                <w:tcPr>
                  <w:tcW w:w="1295" w:type="dxa"/>
                  <w:vMerge w:val="continue"/>
                  <w:tcBorders>
                    <w:tl2br w:val="nil"/>
                    <w:tr2bl w:val="nil"/>
                  </w:tcBorders>
                  <w:noWrap w:val="0"/>
                  <w:vAlign w:val="center"/>
                </w:tcPr>
                <w:p w14:paraId="1832D815">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color w:val="auto"/>
                      <w:sz w:val="21"/>
                      <w:szCs w:val="21"/>
                      <w:vertAlign w:val="baseline"/>
                      <w:lang w:val="en-US" w:eastAsia="zh-CN"/>
                    </w:rPr>
                  </w:pPr>
                </w:p>
              </w:tc>
              <w:tc>
                <w:tcPr>
                  <w:tcW w:w="990" w:type="dxa"/>
                  <w:tcBorders>
                    <w:tl2br w:val="nil"/>
                    <w:tr2bl w:val="nil"/>
                  </w:tcBorders>
                  <w:noWrap w:val="0"/>
                  <w:vAlign w:val="center"/>
                </w:tcPr>
                <w:p w14:paraId="4E45791B">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color w:val="auto"/>
                      <w:spacing w:val="-2"/>
                      <w:sz w:val="21"/>
                      <w:szCs w:val="21"/>
                    </w:rPr>
                  </w:pPr>
                  <w:r>
                    <w:rPr>
                      <w:rFonts w:hint="default" w:ascii="Times New Roman" w:hAnsi="Times New Roman" w:eastAsia="宋体" w:cs="Times New Roman"/>
                      <w:color w:val="auto"/>
                      <w:spacing w:val="-2"/>
                      <w:sz w:val="21"/>
                      <w:szCs w:val="21"/>
                    </w:rPr>
                    <w:t>H</w:t>
                  </w:r>
                  <w:r>
                    <w:rPr>
                      <w:rFonts w:hint="default" w:ascii="Times New Roman" w:hAnsi="Times New Roman" w:eastAsia="宋体" w:cs="Times New Roman"/>
                      <w:color w:val="auto"/>
                      <w:spacing w:val="-2"/>
                      <w:sz w:val="21"/>
                      <w:szCs w:val="21"/>
                      <w:vertAlign w:val="subscript"/>
                    </w:rPr>
                    <w:t>2</w:t>
                  </w:r>
                  <w:r>
                    <w:rPr>
                      <w:rFonts w:hint="default" w:ascii="Times New Roman" w:hAnsi="Times New Roman" w:eastAsia="宋体" w:cs="Times New Roman"/>
                      <w:color w:val="auto"/>
                      <w:spacing w:val="-2"/>
                      <w:sz w:val="21"/>
                      <w:szCs w:val="21"/>
                    </w:rPr>
                    <w:t>S</w:t>
                  </w:r>
                </w:p>
              </w:tc>
              <w:tc>
                <w:tcPr>
                  <w:tcW w:w="1155" w:type="dxa"/>
                  <w:tcBorders>
                    <w:tl2br w:val="nil"/>
                    <w:tr2bl w:val="nil"/>
                  </w:tcBorders>
                  <w:noWrap w:val="0"/>
                  <w:vAlign w:val="center"/>
                </w:tcPr>
                <w:p w14:paraId="32D796F2">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0.0003</w:t>
                  </w:r>
                </w:p>
              </w:tc>
              <w:tc>
                <w:tcPr>
                  <w:tcW w:w="1914" w:type="dxa"/>
                  <w:vMerge w:val="continue"/>
                  <w:tcBorders>
                    <w:tl2br w:val="nil"/>
                    <w:tr2bl w:val="nil"/>
                  </w:tcBorders>
                  <w:noWrap w:val="0"/>
                  <w:vAlign w:val="center"/>
                </w:tcPr>
                <w:p w14:paraId="7F454D5B">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color w:val="auto"/>
                      <w:sz w:val="21"/>
                      <w:szCs w:val="21"/>
                      <w:vertAlign w:val="baseline"/>
                      <w:lang w:val="en-US" w:eastAsia="zh-CN"/>
                    </w:rPr>
                  </w:pPr>
                </w:p>
              </w:tc>
              <w:tc>
                <w:tcPr>
                  <w:tcW w:w="1116" w:type="dxa"/>
                  <w:tcBorders>
                    <w:tl2br w:val="nil"/>
                    <w:tr2bl w:val="nil"/>
                  </w:tcBorders>
                  <w:noWrap w:val="0"/>
                  <w:vAlign w:val="center"/>
                </w:tcPr>
                <w:p w14:paraId="689188FC">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50</w:t>
                  </w:r>
                </w:p>
              </w:tc>
              <w:tc>
                <w:tcPr>
                  <w:tcW w:w="1171" w:type="dxa"/>
                  <w:tcBorders>
                    <w:tl2br w:val="nil"/>
                    <w:tr2bl w:val="nil"/>
                  </w:tcBorders>
                  <w:noWrap w:val="0"/>
                  <w:vAlign w:val="center"/>
                </w:tcPr>
                <w:p w14:paraId="18E50216">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baseline"/>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0.00015</w:t>
                  </w:r>
                </w:p>
              </w:tc>
            </w:tr>
          </w:tbl>
          <w:p w14:paraId="6405F2AB">
            <w:pPr>
              <w:keepNext w:val="0"/>
              <w:keepLines w:val="0"/>
              <w:pageBreakBefore w:val="0"/>
              <w:widowControl w:val="0"/>
              <w:kinsoku/>
              <w:wordWrap/>
              <w:overflowPunct/>
              <w:topLinePunct w:val="0"/>
              <w:autoSpaceDE w:val="0"/>
              <w:autoSpaceDN w:val="0"/>
              <w:bidi w:val="0"/>
              <w:adjustRightInd w:val="0"/>
              <w:snapToGrid/>
              <w:spacing w:line="520" w:lineRule="exact"/>
              <w:ind w:left="0" w:leftChars="0" w:firstLine="482" w:firstLineChars="200"/>
              <w:jc w:val="both"/>
              <w:textAlignment w:val="baseline"/>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color w:val="auto"/>
                <w:sz w:val="24"/>
                <w:szCs w:val="24"/>
                <w:lang w:val="en-US" w:eastAsia="zh-CN"/>
              </w:rPr>
              <w:t>2</w:t>
            </w:r>
            <w:r>
              <w:rPr>
                <w:rFonts w:hint="default" w:ascii="Times New Roman" w:hAnsi="Times New Roman" w:eastAsia="宋体" w:cs="Times New Roman"/>
                <w:b/>
                <w:color w:val="auto"/>
                <w:sz w:val="24"/>
                <w:szCs w:val="24"/>
              </w:rPr>
              <w:t>、运营期</w:t>
            </w:r>
            <w:r>
              <w:rPr>
                <w:rFonts w:hint="default" w:ascii="Times New Roman" w:hAnsi="Times New Roman" w:eastAsia="宋体" w:cs="Times New Roman"/>
                <w:b/>
                <w:color w:val="auto"/>
                <w:sz w:val="24"/>
                <w:szCs w:val="24"/>
                <w:lang w:eastAsia="zh-CN"/>
              </w:rPr>
              <w:t>水</w:t>
            </w:r>
            <w:r>
              <w:rPr>
                <w:rFonts w:hint="default" w:ascii="Times New Roman" w:hAnsi="Times New Roman" w:eastAsia="宋体" w:cs="Times New Roman"/>
                <w:b/>
                <w:color w:val="auto"/>
                <w:sz w:val="24"/>
                <w:szCs w:val="24"/>
              </w:rPr>
              <w:t>环境影响和保护措施</w:t>
            </w:r>
          </w:p>
          <w:p w14:paraId="060D1AA6">
            <w:pPr>
              <w:pStyle w:val="45"/>
              <w:keepNext w:val="0"/>
              <w:keepLines w:val="0"/>
              <w:pageBreakBefore w:val="0"/>
              <w:widowControl w:val="0"/>
              <w:kinsoku/>
              <w:wordWrap/>
              <w:overflowPunct/>
              <w:topLinePunct/>
              <w:autoSpaceDE/>
              <w:autoSpaceDN/>
              <w:bidi w:val="0"/>
              <w:adjustRightInd/>
              <w:snapToGrid/>
              <w:spacing w:line="520" w:lineRule="exact"/>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（1）废水产生环节</w:t>
            </w:r>
          </w:p>
          <w:p w14:paraId="51C9E2F4">
            <w:pPr>
              <w:pStyle w:val="45"/>
              <w:keepNext w:val="0"/>
              <w:keepLines w:val="0"/>
              <w:pageBreakBefore w:val="0"/>
              <w:widowControl w:val="0"/>
              <w:kinsoku/>
              <w:wordWrap/>
              <w:overflowPunct/>
              <w:topLinePunct/>
              <w:autoSpaceDE/>
              <w:autoSpaceDN/>
              <w:bidi w:val="0"/>
              <w:adjustRightInd/>
              <w:snapToGrid/>
              <w:spacing w:line="520" w:lineRule="exact"/>
              <w:ind w:firstLine="480" w:firstLineChars="200"/>
              <w:jc w:val="both"/>
              <w:textAlignment w:val="auto"/>
              <w:rPr>
                <w:rFonts w:hint="eastAsia"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根据《医疗机构水污染物排放标准》（GB18466-2005）规定，医疗机构的办公区、非医疗生活区等污水与病区污水合流时，一律视为医疗机构污水。因此项目产生的污水全部按照医疗废水处理。本项目运营期产生的废水主要为医疗废水。</w:t>
            </w:r>
          </w:p>
          <w:p w14:paraId="26BF5111">
            <w:pPr>
              <w:pStyle w:val="45"/>
              <w:keepNext w:val="0"/>
              <w:keepLines w:val="0"/>
              <w:pageBreakBefore w:val="0"/>
              <w:widowControl w:val="0"/>
              <w:kinsoku/>
              <w:wordWrap/>
              <w:overflowPunct/>
              <w:topLinePunct/>
              <w:autoSpaceDE/>
              <w:autoSpaceDN/>
              <w:bidi w:val="0"/>
              <w:adjustRightInd/>
              <w:snapToGrid/>
              <w:spacing w:line="520" w:lineRule="exact"/>
              <w:ind w:firstLine="480" w:firstLineChars="200"/>
              <w:jc w:val="both"/>
              <w:textAlignment w:val="auto"/>
              <w:rPr>
                <w:rFonts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本项目</w:t>
            </w:r>
            <w:r>
              <w:rPr>
                <w:rFonts w:hint="eastAsia" w:ascii="Times New Roman" w:hAnsi="Times New Roman" w:cs="Times New Roman"/>
                <w:color w:val="auto"/>
                <w:sz w:val="24"/>
                <w:szCs w:val="24"/>
                <w:lang w:val="en-US" w:eastAsia="zh-CN"/>
              </w:rPr>
              <w:t>利用原洗衣房改</w:t>
            </w:r>
            <w:r>
              <w:rPr>
                <w:rFonts w:hint="eastAsia" w:ascii="Times New Roman" w:hAnsi="Times New Roman" w:cs="Times New Roman"/>
                <w:color w:val="auto"/>
                <w:sz w:val="24"/>
                <w:szCs w:val="24"/>
                <w:lang w:val="en-US"/>
              </w:rPr>
              <w:t>建1座污水处理站，采用“一级处理+消毒”工艺，占地面积</w:t>
            </w:r>
            <w:r>
              <w:rPr>
                <w:rFonts w:hint="eastAsia" w:ascii="Times New Roman" w:hAnsi="Times New Roman" w:cs="Times New Roman"/>
                <w:color w:val="auto"/>
                <w:sz w:val="24"/>
                <w:szCs w:val="24"/>
                <w:lang w:val="en-US" w:eastAsia="zh-CN"/>
              </w:rPr>
              <w:t>50</w:t>
            </w:r>
            <w:r>
              <w:rPr>
                <w:rFonts w:hint="eastAsia" w:ascii="Times New Roman" w:hAnsi="Times New Roman" w:cs="Times New Roman"/>
                <w:color w:val="auto"/>
                <w:sz w:val="24"/>
                <w:szCs w:val="24"/>
                <w:lang w:val="en-US"/>
              </w:rPr>
              <w:t>m</w:t>
            </w:r>
            <w:r>
              <w:rPr>
                <w:rFonts w:hint="eastAsia" w:ascii="Times New Roman" w:hAnsi="Times New Roman" w:cs="Times New Roman"/>
                <w:color w:val="auto"/>
                <w:sz w:val="24"/>
                <w:szCs w:val="24"/>
                <w:vertAlign w:val="superscript"/>
                <w:lang w:val="en-US"/>
              </w:rPr>
              <w:t>2</w:t>
            </w:r>
            <w:r>
              <w:rPr>
                <w:rFonts w:hint="eastAsia" w:ascii="Times New Roman" w:hAnsi="Times New Roman" w:cs="Times New Roman"/>
                <w:color w:val="auto"/>
                <w:sz w:val="24"/>
                <w:szCs w:val="24"/>
                <w:lang w:val="en-US"/>
              </w:rPr>
              <w:t>，处理规模为80m</w:t>
            </w:r>
            <w:r>
              <w:rPr>
                <w:rFonts w:hint="eastAsia" w:ascii="Times New Roman" w:hAnsi="Times New Roman" w:cs="Times New Roman"/>
                <w:color w:val="auto"/>
                <w:sz w:val="24"/>
                <w:szCs w:val="24"/>
                <w:vertAlign w:val="superscript"/>
                <w:lang w:val="en-US"/>
              </w:rPr>
              <w:t>3</w:t>
            </w:r>
            <w:r>
              <w:rPr>
                <w:rFonts w:hint="eastAsia" w:ascii="Times New Roman" w:hAnsi="Times New Roman" w:cs="Times New Roman"/>
                <w:color w:val="auto"/>
                <w:sz w:val="24"/>
                <w:szCs w:val="24"/>
                <w:lang w:val="en-US"/>
              </w:rPr>
              <w:t>/d，污水处理工艺</w:t>
            </w:r>
            <w:r>
              <w:rPr>
                <w:rFonts w:hint="eastAsia" w:ascii="Times New Roman" w:hAnsi="Times New Roman" w:cs="Times New Roman"/>
                <w:color w:val="auto"/>
                <w:sz w:val="24"/>
                <w:szCs w:val="24"/>
                <w:lang w:val="en-US" w:eastAsia="zh-CN"/>
              </w:rPr>
              <w:t>主要为</w:t>
            </w:r>
            <w:r>
              <w:rPr>
                <w:rFonts w:hint="eastAsia" w:ascii="Times New Roman" w:hAnsi="Times New Roman" w:cs="Times New Roman"/>
                <w:color w:val="auto"/>
                <w:sz w:val="24"/>
                <w:szCs w:val="24"/>
                <w:lang w:val="en-US"/>
              </w:rPr>
              <w:t>“</w:t>
            </w:r>
            <w:r>
              <w:rPr>
                <w:rFonts w:hint="eastAsia" w:ascii="Times New Roman" w:hAnsi="Times New Roman" w:cs="Times New Roman"/>
                <w:color w:val="auto"/>
                <w:sz w:val="24"/>
                <w:szCs w:val="24"/>
                <w:lang w:val="en-US" w:eastAsia="zh-CN"/>
              </w:rPr>
              <w:t>格栅+水解酸化+接触氧化+沉淀+MBR+消毒</w:t>
            </w:r>
            <w:r>
              <w:rPr>
                <w:rFonts w:hint="eastAsia" w:ascii="Times New Roman" w:hAnsi="Times New Roman" w:cs="Times New Roman"/>
                <w:color w:val="auto"/>
                <w:sz w:val="24"/>
                <w:szCs w:val="24"/>
                <w:lang w:val="en-US"/>
              </w:rPr>
              <w:t>”</w:t>
            </w:r>
            <w:r>
              <w:rPr>
                <w:rFonts w:hint="eastAsia" w:ascii="Times New Roman" w:hAnsi="Times New Roman" w:cs="Times New Roman"/>
                <w:color w:val="auto"/>
                <w:sz w:val="24"/>
                <w:szCs w:val="24"/>
                <w:lang w:val="en-US" w:eastAsia="zh-CN"/>
              </w:rPr>
              <w:t>工艺</w:t>
            </w:r>
            <w:r>
              <w:rPr>
                <w:rFonts w:ascii="Times New Roman" w:hAnsi="Times New Roman" w:cs="Times New Roman"/>
                <w:color w:val="auto"/>
                <w:sz w:val="24"/>
                <w:szCs w:val="24"/>
                <w:lang w:val="en-US"/>
              </w:rPr>
              <w:t>，该工艺具有技术成熟、效果稳定、污染物去除彻底、操作方便、运行灵活等优点。</w:t>
            </w:r>
          </w:p>
          <w:p w14:paraId="63567E1C">
            <w:pPr>
              <w:pStyle w:val="45"/>
              <w:keepNext w:val="0"/>
              <w:keepLines w:val="0"/>
              <w:pageBreakBefore w:val="0"/>
              <w:widowControl w:val="0"/>
              <w:numPr>
                <w:ilvl w:val="0"/>
                <w:numId w:val="0"/>
              </w:numPr>
              <w:tabs>
                <w:tab w:val="left" w:pos="895"/>
              </w:tabs>
              <w:kinsoku/>
              <w:wordWrap/>
              <w:overflowPunct/>
              <w:topLinePunct/>
              <w:autoSpaceDE/>
              <w:autoSpaceDN/>
              <w:bidi w:val="0"/>
              <w:adjustRightInd/>
              <w:snapToGrid/>
              <w:spacing w:line="520" w:lineRule="exact"/>
              <w:ind w:left="0" w:leftChars="0" w:firstLine="480" w:firstLineChars="200"/>
              <w:jc w:val="both"/>
              <w:textAlignment w:val="auto"/>
              <w:rPr>
                <w:rFonts w:hint="eastAsia" w:ascii="Times New Roman" w:hAnsi="Times New Roman" w:cs="Times New Roman"/>
                <w:color w:val="auto"/>
                <w:sz w:val="24"/>
                <w:highlight w:val="none"/>
                <w:lang w:val="en-US" w:eastAsia="zh-CN"/>
              </w:rPr>
            </w:pPr>
            <w:r>
              <w:rPr>
                <w:rFonts w:hint="eastAsia" w:ascii="Times New Roman" w:hAnsi="Times New Roman" w:eastAsia="宋体" w:cs="Times New Roman"/>
                <w:color w:val="auto"/>
                <w:sz w:val="24"/>
                <w:szCs w:val="22"/>
                <w:lang w:val="en-US" w:eastAsia="zh-CN" w:bidi="zh-CN"/>
              </w:rPr>
              <w:t>（2）</w:t>
            </w:r>
            <w:r>
              <w:rPr>
                <w:rFonts w:hint="eastAsia" w:ascii="Times New Roman" w:hAnsi="Times New Roman" w:cs="Times New Roman"/>
                <w:color w:val="auto"/>
                <w:sz w:val="24"/>
                <w:highlight w:val="none"/>
                <w:lang w:val="en-US" w:eastAsia="zh-CN"/>
              </w:rPr>
              <w:t>废水产生量</w:t>
            </w:r>
          </w:p>
          <w:p w14:paraId="1DB8AC33">
            <w:pPr>
              <w:pStyle w:val="45"/>
              <w:keepNext w:val="0"/>
              <w:keepLines w:val="0"/>
              <w:pageBreakBefore w:val="0"/>
              <w:widowControl w:val="0"/>
              <w:numPr>
                <w:ilvl w:val="0"/>
                <w:numId w:val="0"/>
              </w:numPr>
              <w:tabs>
                <w:tab w:val="left" w:pos="895"/>
              </w:tabs>
              <w:kinsoku/>
              <w:wordWrap/>
              <w:overflowPunct/>
              <w:topLinePunct/>
              <w:autoSpaceDE/>
              <w:autoSpaceDN/>
              <w:bidi w:val="0"/>
              <w:adjustRightInd/>
              <w:snapToGrid/>
              <w:spacing w:line="520" w:lineRule="exact"/>
              <w:ind w:left="0" w:leftChars="0" w:firstLine="480" w:firstLineChars="200"/>
              <w:jc w:val="both"/>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Ⅰ特殊废水预处理</w:t>
            </w:r>
          </w:p>
          <w:p w14:paraId="490F5FAE">
            <w:pPr>
              <w:pStyle w:val="45"/>
              <w:keepNext w:val="0"/>
              <w:keepLines w:val="0"/>
              <w:pageBreakBefore w:val="0"/>
              <w:widowControl w:val="0"/>
              <w:kinsoku/>
              <w:wordWrap/>
              <w:overflowPunct/>
              <w:topLinePunct/>
              <w:autoSpaceDE/>
              <w:autoSpaceDN/>
              <w:bidi w:val="0"/>
              <w:adjustRightInd/>
              <w:snapToGrid/>
              <w:spacing w:line="520" w:lineRule="exact"/>
              <w:ind w:firstLine="480" w:firstLineChars="200"/>
              <w:jc w:val="both"/>
              <w:textAlignment w:val="auto"/>
              <w:rPr>
                <w:rFonts w:hint="eastAsia" w:ascii="Times New Roman" w:hAnsi="Times New Roman" w:cs="Times New Roman"/>
                <w:b w:val="0"/>
                <w:bCs/>
                <w:color w:val="auto"/>
                <w:sz w:val="24"/>
                <w:lang w:val="en-US" w:eastAsia="zh-CN"/>
              </w:rPr>
            </w:pPr>
            <w:r>
              <w:rPr>
                <w:rFonts w:hint="eastAsia" w:ascii="Times New Roman" w:hAnsi="Times New Roman" w:cs="Times New Roman"/>
                <w:b w:val="0"/>
                <w:bCs/>
                <w:color w:val="auto"/>
                <w:sz w:val="24"/>
                <w:lang w:val="en-US" w:eastAsia="zh-CN"/>
              </w:rPr>
              <w:t>鄂尔多斯广厦医院无传染病菌废水；试验室废液不含重金属；血液、血清化学检查废水不含有重金属；无洗印废水；口腔科污水中不含有重金属。根据建设单位提供的数据，项目检验科使用药剂均为外购成品化验盒，不进行配制。检验科设小型实验室污水废水综合处理设备，废水经预处理后排入医院污水处理系统，医院检验科废水产生量约0.24m</w:t>
            </w:r>
            <w:r>
              <w:rPr>
                <w:rFonts w:hint="eastAsia" w:ascii="Times New Roman" w:hAnsi="Times New Roman" w:cs="Times New Roman"/>
                <w:b w:val="0"/>
                <w:bCs/>
                <w:color w:val="auto"/>
                <w:sz w:val="24"/>
                <w:vertAlign w:val="superscript"/>
                <w:lang w:val="en-US" w:eastAsia="zh-CN"/>
              </w:rPr>
              <w:t>3</w:t>
            </w:r>
            <w:r>
              <w:rPr>
                <w:rFonts w:hint="eastAsia" w:ascii="Times New Roman" w:hAnsi="Times New Roman" w:cs="Times New Roman"/>
                <w:b w:val="0"/>
                <w:bCs/>
                <w:color w:val="auto"/>
                <w:sz w:val="24"/>
                <w:lang w:val="en-US" w:eastAsia="zh-CN"/>
              </w:rPr>
              <w:t>/d（87.6m</w:t>
            </w:r>
            <w:r>
              <w:rPr>
                <w:rFonts w:hint="eastAsia" w:ascii="Times New Roman" w:hAnsi="Times New Roman" w:cs="Times New Roman"/>
                <w:b w:val="0"/>
                <w:bCs/>
                <w:color w:val="auto"/>
                <w:sz w:val="24"/>
                <w:vertAlign w:val="superscript"/>
                <w:lang w:val="en-US" w:eastAsia="zh-CN"/>
              </w:rPr>
              <w:t>3</w:t>
            </w:r>
            <w:r>
              <w:rPr>
                <w:rFonts w:hint="eastAsia" w:ascii="Times New Roman" w:hAnsi="Times New Roman" w:cs="Times New Roman"/>
                <w:b w:val="0"/>
                <w:bCs/>
                <w:color w:val="auto"/>
                <w:sz w:val="24"/>
                <w:lang w:val="en-US" w:eastAsia="zh-CN"/>
              </w:rPr>
              <w:t>/a）。</w:t>
            </w:r>
          </w:p>
          <w:p w14:paraId="31181DEF">
            <w:pPr>
              <w:pStyle w:val="45"/>
              <w:keepNext w:val="0"/>
              <w:keepLines w:val="0"/>
              <w:pageBreakBefore w:val="0"/>
              <w:widowControl w:val="0"/>
              <w:numPr>
                <w:ilvl w:val="0"/>
                <w:numId w:val="0"/>
              </w:numPr>
              <w:kinsoku/>
              <w:wordWrap/>
              <w:overflowPunct/>
              <w:topLinePunct/>
              <w:autoSpaceDE/>
              <w:autoSpaceDN/>
              <w:bidi w:val="0"/>
              <w:adjustRightInd/>
              <w:snapToGrid/>
              <w:spacing w:line="520" w:lineRule="exact"/>
              <w:ind w:firstLine="480" w:firstLineChars="200"/>
              <w:jc w:val="both"/>
              <w:textAlignment w:val="auto"/>
              <w:rPr>
                <w:rFonts w:ascii="Times New Roman" w:hAnsi="Times New Roman" w:cs="Times New Roman"/>
                <w:color w:val="auto"/>
                <w:sz w:val="24"/>
                <w:szCs w:val="24"/>
                <w:lang w:val="en-US"/>
              </w:rPr>
            </w:pPr>
            <w:r>
              <w:rPr>
                <w:rFonts w:hint="eastAsia" w:ascii="Times New Roman" w:hAnsi="Times New Roman" w:eastAsia="宋体" w:cs="Times New Roman"/>
                <w:color w:val="auto"/>
                <w:sz w:val="24"/>
                <w:szCs w:val="24"/>
                <w:lang w:val="en-US" w:eastAsia="zh-CN" w:bidi="zh-CN"/>
              </w:rPr>
              <w:t>Ⅱ</w:t>
            </w:r>
            <w:r>
              <w:rPr>
                <w:rFonts w:hint="eastAsia" w:ascii="Times New Roman" w:hAnsi="Times New Roman" w:cs="Times New Roman"/>
                <w:color w:val="auto"/>
                <w:sz w:val="24"/>
                <w:szCs w:val="24"/>
                <w:lang w:val="en-US" w:eastAsia="zh-CN"/>
              </w:rPr>
              <w:t>医疗</w:t>
            </w:r>
            <w:r>
              <w:rPr>
                <w:rFonts w:hint="eastAsia" w:ascii="Times New Roman" w:hAnsi="Times New Roman" w:cs="Times New Roman"/>
                <w:color w:val="auto"/>
                <w:sz w:val="24"/>
                <w:szCs w:val="24"/>
                <w:lang w:val="en-US"/>
              </w:rPr>
              <w:t>废水</w:t>
            </w:r>
          </w:p>
          <w:p w14:paraId="731F655F">
            <w:pPr>
              <w:pStyle w:val="45"/>
              <w:keepNext w:val="0"/>
              <w:keepLines w:val="0"/>
              <w:pageBreakBefore w:val="0"/>
              <w:widowControl w:val="0"/>
              <w:kinsoku/>
              <w:wordWrap/>
              <w:overflowPunct/>
              <w:topLinePunct/>
              <w:autoSpaceDE/>
              <w:autoSpaceDN/>
              <w:bidi w:val="0"/>
              <w:adjustRightInd/>
              <w:snapToGrid/>
              <w:spacing w:line="520" w:lineRule="exact"/>
              <w:ind w:firstLine="480" w:firstLineChars="200"/>
              <w:jc w:val="both"/>
              <w:textAlignment w:val="auto"/>
              <w:rPr>
                <w:rFonts w:hint="eastAsia" w:ascii="Times New Roman" w:hAnsi="Times New Roman" w:cs="Times New Roman"/>
                <w:color w:val="auto"/>
                <w:sz w:val="24"/>
                <w:szCs w:val="24"/>
                <w:lang w:val="en-US"/>
              </w:rPr>
            </w:pPr>
            <w:r>
              <w:rPr>
                <w:rFonts w:hint="eastAsia" w:ascii="Times New Roman" w:hAnsi="Times New Roman" w:cs="Times New Roman"/>
                <w:b w:val="0"/>
                <w:bCs/>
                <w:color w:val="auto"/>
                <w:sz w:val="24"/>
                <w:lang w:val="en-US" w:eastAsia="zh-CN"/>
              </w:rPr>
              <w:t>根据鄂尔多斯广厦医院在线数据，医疗废水流量平均值为0.4m</w:t>
            </w:r>
            <w:r>
              <w:rPr>
                <w:rFonts w:hint="eastAsia" w:ascii="Times New Roman" w:hAnsi="Times New Roman" w:cs="Times New Roman"/>
                <w:b w:val="0"/>
                <w:bCs/>
                <w:color w:val="auto"/>
                <w:sz w:val="24"/>
                <w:vertAlign w:val="superscript"/>
                <w:lang w:val="en-US" w:eastAsia="zh-CN"/>
              </w:rPr>
              <w:t>3</w:t>
            </w:r>
            <w:r>
              <w:rPr>
                <w:rFonts w:hint="eastAsia" w:ascii="Times New Roman" w:hAnsi="Times New Roman" w:cs="Times New Roman"/>
                <w:b w:val="0"/>
                <w:bCs/>
                <w:color w:val="auto"/>
                <w:sz w:val="24"/>
                <w:lang w:val="en-US" w:eastAsia="zh-CN"/>
              </w:rPr>
              <w:t>/h，污水产生量约为9.6m</w:t>
            </w:r>
            <w:r>
              <w:rPr>
                <w:rFonts w:hint="eastAsia" w:ascii="Times New Roman" w:hAnsi="Times New Roman" w:cs="Times New Roman"/>
                <w:b w:val="0"/>
                <w:bCs/>
                <w:color w:val="auto"/>
                <w:sz w:val="24"/>
                <w:vertAlign w:val="superscript"/>
                <w:lang w:val="en-US" w:eastAsia="zh-CN"/>
              </w:rPr>
              <w:t>3</w:t>
            </w:r>
            <w:r>
              <w:rPr>
                <w:rFonts w:hint="eastAsia" w:ascii="Times New Roman" w:hAnsi="Times New Roman" w:cs="Times New Roman"/>
                <w:b w:val="0"/>
                <w:bCs/>
                <w:color w:val="auto"/>
                <w:sz w:val="24"/>
                <w:lang w:val="en-US" w:eastAsia="zh-CN"/>
              </w:rPr>
              <w:t>/d（3504m</w:t>
            </w:r>
            <w:r>
              <w:rPr>
                <w:rFonts w:hint="eastAsia" w:ascii="Times New Roman" w:hAnsi="Times New Roman" w:cs="Times New Roman"/>
                <w:b w:val="0"/>
                <w:bCs/>
                <w:color w:val="auto"/>
                <w:sz w:val="24"/>
                <w:vertAlign w:val="superscript"/>
                <w:lang w:val="en-US" w:eastAsia="zh-CN"/>
              </w:rPr>
              <w:t>3</w:t>
            </w:r>
            <w:r>
              <w:rPr>
                <w:rFonts w:hint="eastAsia" w:ascii="Times New Roman" w:hAnsi="Times New Roman" w:cs="Times New Roman"/>
                <w:b w:val="0"/>
                <w:bCs/>
                <w:color w:val="auto"/>
                <w:sz w:val="24"/>
                <w:lang w:val="en-US" w:eastAsia="zh-CN"/>
              </w:rPr>
              <w:t>/a），运行负荷约20%。</w:t>
            </w:r>
            <w:r>
              <w:rPr>
                <w:rFonts w:hint="eastAsia" w:ascii="Times New Roman" w:hAnsi="Times New Roman" w:cs="Times New Roman"/>
                <w:color w:val="auto"/>
                <w:sz w:val="24"/>
                <w:highlight w:val="none"/>
                <w:lang w:val="en-US" w:eastAsia="zh-CN"/>
              </w:rPr>
              <w:t>本项目新增医疗废水产生量为44.8m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/d（16352m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/a）。故项目建成后医疗废水总量为54.4m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/d（19856m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/a）。</w:t>
            </w:r>
          </w:p>
          <w:p w14:paraId="0CDC6D12">
            <w:pPr>
              <w:pStyle w:val="45"/>
              <w:keepNext w:val="0"/>
              <w:keepLines w:val="0"/>
              <w:pageBreakBefore w:val="0"/>
              <w:widowControl w:val="0"/>
              <w:numPr>
                <w:ilvl w:val="0"/>
                <w:numId w:val="0"/>
              </w:numPr>
              <w:kinsoku/>
              <w:wordWrap/>
              <w:overflowPunct/>
              <w:topLinePunct/>
              <w:autoSpaceDE/>
              <w:autoSpaceDN/>
              <w:bidi w:val="0"/>
              <w:adjustRightInd/>
              <w:snapToGrid/>
              <w:spacing w:line="520" w:lineRule="exact"/>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eastAsia="宋体" w:cs="Times New Roman"/>
                <w:color w:val="auto"/>
                <w:sz w:val="24"/>
                <w:szCs w:val="24"/>
                <w:lang w:val="en-US" w:eastAsia="zh-CN" w:bidi="zh-CN"/>
              </w:rPr>
              <w:t>（3）</w:t>
            </w:r>
            <w:r>
              <w:rPr>
                <w:rFonts w:hint="eastAsia" w:ascii="Times New Roman" w:hAnsi="Times New Roman" w:cs="Times New Roman"/>
                <w:color w:val="auto"/>
                <w:sz w:val="24"/>
                <w:szCs w:val="24"/>
                <w:lang w:val="en-US"/>
              </w:rPr>
              <w:t>污水</w:t>
            </w:r>
            <w:r>
              <w:rPr>
                <w:rFonts w:hint="eastAsia" w:ascii="Times New Roman" w:hAnsi="Times New Roman" w:cs="Times New Roman"/>
                <w:color w:val="auto"/>
                <w:sz w:val="24"/>
                <w:szCs w:val="24"/>
                <w:lang w:val="en-US" w:eastAsia="zh-CN"/>
              </w:rPr>
              <w:t>处理站治理设施</w:t>
            </w:r>
          </w:p>
          <w:p w14:paraId="10EDDAA8">
            <w:pPr>
              <w:pStyle w:val="45"/>
              <w:keepNext w:val="0"/>
              <w:keepLines w:val="0"/>
              <w:pageBreakBefore w:val="0"/>
              <w:widowControl w:val="0"/>
              <w:numPr>
                <w:ilvl w:val="0"/>
                <w:numId w:val="0"/>
              </w:numPr>
              <w:kinsoku/>
              <w:wordWrap/>
              <w:overflowPunct/>
              <w:topLinePunct/>
              <w:autoSpaceDE/>
              <w:autoSpaceDN/>
              <w:bidi w:val="0"/>
              <w:adjustRightInd/>
              <w:snapToGrid/>
              <w:spacing w:line="520" w:lineRule="exact"/>
              <w:ind w:firstLine="480" w:firstLineChars="200"/>
              <w:jc w:val="both"/>
              <w:textAlignment w:val="auto"/>
              <w:rPr>
                <w:rFonts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①污水规模</w:t>
            </w:r>
          </w:p>
          <w:p w14:paraId="49015159">
            <w:pPr>
              <w:pStyle w:val="45"/>
              <w:keepNext w:val="0"/>
              <w:keepLines w:val="0"/>
              <w:pageBreakBefore w:val="0"/>
              <w:widowControl w:val="0"/>
              <w:kinsoku/>
              <w:wordWrap/>
              <w:overflowPunct/>
              <w:topLinePunct/>
              <w:autoSpaceDE/>
              <w:autoSpaceDN/>
              <w:bidi w:val="0"/>
              <w:adjustRightInd/>
              <w:snapToGrid/>
              <w:spacing w:line="520" w:lineRule="exact"/>
              <w:ind w:firstLine="480" w:firstLineChars="200"/>
              <w:jc w:val="both"/>
              <w:textAlignment w:val="auto"/>
              <w:rPr>
                <w:rFonts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本项目处理规模为80m</w:t>
            </w:r>
            <w:r>
              <w:rPr>
                <w:rFonts w:hint="eastAsia" w:ascii="Times New Roman" w:hAnsi="Times New Roman" w:cs="Times New Roman"/>
                <w:color w:val="auto"/>
                <w:sz w:val="24"/>
                <w:szCs w:val="24"/>
                <w:vertAlign w:val="superscript"/>
                <w:lang w:val="en-US"/>
              </w:rPr>
              <w:t>3</w:t>
            </w:r>
            <w:r>
              <w:rPr>
                <w:rFonts w:hint="eastAsia" w:ascii="Times New Roman" w:hAnsi="Times New Roman" w:cs="Times New Roman"/>
                <w:color w:val="auto"/>
                <w:sz w:val="24"/>
                <w:szCs w:val="24"/>
                <w:lang w:val="en-US"/>
              </w:rPr>
              <w:t>/d</w:t>
            </w:r>
            <w:r>
              <w:rPr>
                <w:rFonts w:ascii="Times New Roman" w:hAnsi="Times New Roman" w:cs="Times New Roman"/>
                <w:color w:val="auto"/>
                <w:sz w:val="24"/>
                <w:szCs w:val="24"/>
                <w:lang w:val="en-US"/>
              </w:rPr>
              <w:t>。</w:t>
            </w:r>
          </w:p>
          <w:p w14:paraId="62E683BE">
            <w:pPr>
              <w:pStyle w:val="45"/>
              <w:keepNext w:val="0"/>
              <w:keepLines w:val="0"/>
              <w:pageBreakBefore w:val="0"/>
              <w:widowControl w:val="0"/>
              <w:kinsoku/>
              <w:wordWrap/>
              <w:overflowPunct/>
              <w:topLinePunct/>
              <w:autoSpaceDE/>
              <w:autoSpaceDN/>
              <w:bidi w:val="0"/>
              <w:adjustRightInd/>
              <w:snapToGrid/>
              <w:spacing w:line="520" w:lineRule="exact"/>
              <w:ind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rPr>
              <w:t>②</w:t>
            </w:r>
            <w:r>
              <w:rPr>
                <w:rFonts w:hint="eastAsia" w:ascii="Times New Roman" w:hAnsi="Times New Roman" w:cs="Times New Roman"/>
                <w:color w:val="auto"/>
                <w:sz w:val="24"/>
                <w:szCs w:val="24"/>
                <w:lang w:val="en-US" w:eastAsia="zh-CN"/>
              </w:rPr>
              <w:t>污染物排放量</w:t>
            </w:r>
          </w:p>
          <w:p w14:paraId="20998904">
            <w:pPr>
              <w:pStyle w:val="57"/>
              <w:keepNext w:val="0"/>
              <w:keepLines w:val="0"/>
              <w:pageBreakBefore w:val="0"/>
              <w:widowControl w:val="0"/>
              <w:kinsoku/>
              <w:wordWrap/>
              <w:overflowPunct/>
              <w:topLinePunct/>
              <w:autoSpaceDE/>
              <w:autoSpaceDN/>
              <w:bidi w:val="0"/>
              <w:adjustRightInd/>
              <w:snapToGrid/>
              <w:spacing w:line="520" w:lineRule="exact"/>
              <w:ind w:left="0" w:leftChars="0" w:right="0" w:firstLine="472" w:firstLineChars="200"/>
              <w:jc w:val="both"/>
              <w:textAlignment w:val="auto"/>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本项目</w:t>
            </w:r>
            <w:r>
              <w:rPr>
                <w:rFonts w:hint="eastAsia" w:ascii="Times New Roman" w:hAnsi="Times New Roman" w:eastAsia="宋体" w:cs="Times New Roman"/>
                <w:color w:val="auto"/>
                <w:spacing w:val="-2"/>
                <w:sz w:val="24"/>
                <w:szCs w:val="24"/>
                <w:lang w:eastAsia="zh-CN"/>
              </w:rPr>
              <w:t>医疗废水</w:t>
            </w:r>
            <w:r>
              <w:rPr>
                <w:rFonts w:hint="default" w:ascii="Times New Roman" w:hAnsi="Times New Roman" w:eastAsia="宋体" w:cs="Times New Roman"/>
                <w:color w:val="auto"/>
                <w:spacing w:val="-2"/>
                <w:sz w:val="24"/>
                <w:szCs w:val="24"/>
              </w:rPr>
              <w:t>产生量为</w:t>
            </w:r>
            <w:r>
              <w:rPr>
                <w:rFonts w:hint="eastAsia" w:ascii="Times New Roman" w:hAnsi="Times New Roman" w:eastAsia="宋体" w:cs="Times New Roman"/>
                <w:color w:val="auto"/>
                <w:spacing w:val="0"/>
                <w:sz w:val="24"/>
                <w:szCs w:val="24"/>
                <w:lang w:val="en-US" w:eastAsia="zh-CN"/>
              </w:rPr>
              <w:t>54.4</w:t>
            </w:r>
            <w:r>
              <w:rPr>
                <w:rFonts w:hint="default" w:ascii="Times New Roman" w:hAnsi="Times New Roman" w:eastAsia="宋体" w:cs="Times New Roman"/>
                <w:color w:val="auto"/>
                <w:spacing w:val="-2"/>
                <w:sz w:val="24"/>
                <w:szCs w:val="24"/>
              </w:rPr>
              <w:t>m</w:t>
            </w:r>
            <w:r>
              <w:rPr>
                <w:rFonts w:hint="eastAsia" w:ascii="Times New Roman" w:hAnsi="Times New Roman" w:eastAsia="宋体" w:cs="Times New Roman"/>
                <w:color w:val="auto"/>
                <w:spacing w:val="-2"/>
                <w:sz w:val="24"/>
                <w:szCs w:val="24"/>
                <w:vertAlign w:val="superscript"/>
                <w:lang w:val="en-US" w:eastAsia="zh-CN"/>
              </w:rPr>
              <w:t>3</w:t>
            </w:r>
            <w:r>
              <w:rPr>
                <w:rFonts w:hint="default" w:ascii="Times New Roman" w:hAnsi="Times New Roman" w:eastAsia="宋体" w:cs="Times New Roman"/>
                <w:color w:val="auto"/>
                <w:spacing w:val="-2"/>
                <w:sz w:val="24"/>
                <w:szCs w:val="24"/>
              </w:rPr>
              <w:t>/d（</w:t>
            </w:r>
            <w:r>
              <w:rPr>
                <w:rFonts w:hint="eastAsia" w:ascii="Times New Roman" w:hAnsi="Times New Roman" w:eastAsia="宋体" w:cs="Times New Roman"/>
                <w:color w:val="auto"/>
                <w:spacing w:val="-2"/>
                <w:sz w:val="24"/>
                <w:szCs w:val="24"/>
                <w:lang w:val="en-US" w:eastAsia="zh-CN"/>
              </w:rPr>
              <w:t>19856</w:t>
            </w:r>
            <w:r>
              <w:rPr>
                <w:rFonts w:hint="default" w:ascii="Times New Roman" w:hAnsi="Times New Roman" w:eastAsia="宋体" w:cs="Times New Roman"/>
                <w:color w:val="auto"/>
                <w:spacing w:val="-2"/>
                <w:sz w:val="24"/>
                <w:szCs w:val="24"/>
              </w:rPr>
              <w:t>m</w:t>
            </w:r>
            <w:r>
              <w:rPr>
                <w:rFonts w:hint="eastAsia" w:ascii="Times New Roman" w:hAnsi="Times New Roman" w:eastAsia="宋体" w:cs="Times New Roman"/>
                <w:color w:val="auto"/>
                <w:spacing w:val="-2"/>
                <w:sz w:val="24"/>
                <w:szCs w:val="24"/>
                <w:vertAlign w:val="superscript"/>
                <w:lang w:val="en-US" w:eastAsia="zh-CN"/>
              </w:rPr>
              <w:t>3</w:t>
            </w:r>
            <w:r>
              <w:rPr>
                <w:rFonts w:hint="default" w:ascii="Times New Roman" w:hAnsi="Times New Roman" w:eastAsia="宋体" w:cs="Times New Roman"/>
                <w:color w:val="auto"/>
                <w:spacing w:val="-2"/>
                <w:sz w:val="24"/>
                <w:szCs w:val="24"/>
              </w:rPr>
              <w:t>/a</w:t>
            </w:r>
            <w:r>
              <w:rPr>
                <w:rFonts w:hint="default" w:ascii="Times New Roman" w:hAnsi="Times New Roman" w:eastAsia="宋体" w:cs="Times New Roman"/>
                <w:color w:val="auto"/>
                <w:spacing w:val="22"/>
                <w:sz w:val="24"/>
                <w:szCs w:val="24"/>
              </w:rPr>
              <w:t>），</w:t>
            </w:r>
            <w:r>
              <w:rPr>
                <w:rFonts w:hint="default" w:ascii="Times New Roman" w:hAnsi="Times New Roman" w:eastAsia="宋体" w:cs="Times New Roman"/>
                <w:color w:val="auto"/>
                <w:spacing w:val="-4"/>
                <w:sz w:val="24"/>
                <w:szCs w:val="24"/>
              </w:rPr>
              <w:t>废水中主要污染物为</w:t>
            </w:r>
            <w:r>
              <w:rPr>
                <w:rFonts w:hint="default" w:ascii="Times New Roman" w:hAnsi="Times New Roman" w:eastAsia="宋体" w:cs="Times New Roman"/>
                <w:color w:val="auto"/>
                <w:spacing w:val="-45"/>
                <w:sz w:val="24"/>
                <w:szCs w:val="24"/>
              </w:rPr>
              <w:t xml:space="preserve"> </w:t>
            </w:r>
            <w:r>
              <w:rPr>
                <w:rFonts w:hint="default" w:ascii="Times New Roman" w:hAnsi="Times New Roman" w:eastAsia="宋体" w:cs="Times New Roman"/>
                <w:color w:val="auto"/>
                <w:spacing w:val="-4"/>
                <w:sz w:val="24"/>
                <w:szCs w:val="24"/>
              </w:rPr>
              <w:t>SS、COD、BOD、</w:t>
            </w:r>
            <w:r>
              <w:rPr>
                <w:rFonts w:hint="default" w:ascii="Times New Roman" w:hAnsi="Times New Roman" w:eastAsia="宋体" w:cs="Times New Roman"/>
                <w:color w:val="auto"/>
                <w:spacing w:val="-5"/>
                <w:sz w:val="24"/>
                <w:szCs w:val="24"/>
              </w:rPr>
              <w:t>NH</w:t>
            </w:r>
            <w:r>
              <w:rPr>
                <w:rFonts w:hint="eastAsia" w:ascii="Times New Roman" w:hAnsi="Times New Roman" w:eastAsia="宋体" w:cs="Times New Roman"/>
                <w:color w:val="auto"/>
                <w:spacing w:val="-5"/>
                <w:sz w:val="24"/>
                <w:szCs w:val="24"/>
                <w:vertAlign w:val="subscript"/>
                <w:lang w:val="en-US" w:eastAsia="zh-CN"/>
              </w:rPr>
              <w:t>3</w:t>
            </w:r>
            <w:r>
              <w:rPr>
                <w:rFonts w:hint="default" w:ascii="Times New Roman" w:hAnsi="Times New Roman" w:eastAsia="宋体" w:cs="Times New Roman"/>
                <w:color w:val="auto"/>
                <w:spacing w:val="-5"/>
                <w:sz w:val="24"/>
                <w:szCs w:val="24"/>
              </w:rPr>
              <w:t>-N、动植物油、粪大肠菌</w:t>
            </w:r>
            <w:r>
              <w:rPr>
                <w:rFonts w:hint="default" w:ascii="Times New Roman" w:hAnsi="Times New Roman" w:eastAsia="宋体" w:cs="Times New Roman"/>
                <w:color w:val="auto"/>
                <w:spacing w:val="-4"/>
                <w:sz w:val="24"/>
                <w:szCs w:val="24"/>
              </w:rPr>
              <w:t>群（MPN/L）等，结合《医院污水处理工程技术规范》（HJ2029-2013）及</w:t>
            </w:r>
            <w:r>
              <w:rPr>
                <w:rFonts w:hint="default" w:ascii="Times New Roman" w:hAnsi="Times New Roman" w:eastAsia="宋体" w:cs="Times New Roman"/>
                <w:color w:val="auto"/>
                <w:spacing w:val="-3"/>
                <w:sz w:val="24"/>
                <w:szCs w:val="24"/>
              </w:rPr>
              <w:t>项目进出水水质设计情况，水污染物排放量详见表</w:t>
            </w:r>
            <w:r>
              <w:rPr>
                <w:rFonts w:hint="default" w:ascii="Times New Roman" w:hAnsi="Times New Roman" w:eastAsia="宋体" w:cs="Times New Roman"/>
                <w:color w:val="auto"/>
                <w:spacing w:val="-56"/>
                <w:sz w:val="24"/>
                <w:szCs w:val="24"/>
              </w:rPr>
              <w:t xml:space="preserve"> </w:t>
            </w:r>
            <w:r>
              <w:rPr>
                <w:rFonts w:hint="default" w:ascii="Times New Roman" w:hAnsi="Times New Roman" w:eastAsia="宋体" w:cs="Times New Roman"/>
                <w:color w:val="auto"/>
                <w:spacing w:val="-3"/>
                <w:sz w:val="24"/>
                <w:szCs w:val="24"/>
              </w:rPr>
              <w:t>4-</w:t>
            </w:r>
            <w:r>
              <w:rPr>
                <w:rFonts w:hint="default" w:ascii="Times New Roman" w:hAnsi="Times New Roman" w:eastAsia="宋体" w:cs="Times New Roman"/>
                <w:color w:val="auto"/>
                <w:spacing w:val="-33"/>
                <w:sz w:val="24"/>
                <w:szCs w:val="24"/>
              </w:rPr>
              <w:t xml:space="preserve"> </w:t>
            </w:r>
            <w:r>
              <w:rPr>
                <w:rFonts w:hint="eastAsia" w:ascii="Times New Roman" w:hAnsi="Times New Roman" w:eastAsia="宋体" w:cs="Times New Roman"/>
                <w:color w:val="auto"/>
                <w:spacing w:val="-3"/>
                <w:sz w:val="24"/>
                <w:szCs w:val="24"/>
                <w:lang w:val="en-US" w:eastAsia="zh-CN"/>
              </w:rPr>
              <w:t>3</w:t>
            </w:r>
            <w:r>
              <w:rPr>
                <w:rFonts w:hint="default" w:ascii="Times New Roman" w:hAnsi="Times New Roman" w:eastAsia="宋体" w:cs="Times New Roman"/>
                <w:color w:val="auto"/>
                <w:spacing w:val="-3"/>
                <w:sz w:val="24"/>
                <w:szCs w:val="24"/>
              </w:rPr>
              <w:t>。</w:t>
            </w:r>
          </w:p>
          <w:p w14:paraId="0D81FF92">
            <w:pPr>
              <w:keepNext w:val="0"/>
              <w:keepLines w:val="0"/>
              <w:pageBreakBefore w:val="0"/>
              <w:widowControl w:val="0"/>
              <w:kinsoku/>
              <w:wordWrap/>
              <w:overflowPunct/>
              <w:topLinePunct w:val="0"/>
              <w:autoSpaceDE/>
              <w:autoSpaceDN/>
              <w:bidi w:val="0"/>
              <w:adjustRightInd w:val="0"/>
              <w:snapToGrid/>
              <w:spacing w:before="157" w:beforeLines="50" w:line="240" w:lineRule="auto"/>
              <w:jc w:val="center"/>
              <w:textAlignment w:val="baseline"/>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bCs/>
                <w:color w:val="auto"/>
                <w:kern w:val="0"/>
                <w:sz w:val="24"/>
                <w:szCs w:val="24"/>
                <w:lang w:val="en-US" w:eastAsia="zh-CN"/>
              </w:rPr>
              <w:t>表4-</w:t>
            </w:r>
            <w:r>
              <w:rPr>
                <w:rFonts w:hint="eastAsia" w:ascii="Times New Roman" w:hAnsi="Times New Roman" w:eastAsia="宋体" w:cs="Times New Roman"/>
                <w:b/>
                <w:bCs/>
                <w:color w:val="auto"/>
                <w:kern w:val="0"/>
                <w:sz w:val="24"/>
                <w:szCs w:val="24"/>
                <w:lang w:val="en-US" w:eastAsia="zh-CN"/>
              </w:rPr>
              <w:t>3     污水处理设施设计进、出水质及处理效果一览表</w:t>
            </w:r>
          </w:p>
          <w:tbl>
            <w:tblPr>
              <w:tblStyle w:val="48"/>
              <w:tblW w:w="8338" w:type="dxa"/>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1497"/>
              <w:gridCol w:w="1946"/>
              <w:gridCol w:w="1141"/>
              <w:gridCol w:w="1491"/>
              <w:gridCol w:w="1171"/>
              <w:gridCol w:w="1092"/>
            </w:tblGrid>
            <w:tr w14:paraId="69897C9F">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497" w:type="dxa"/>
                  <w:tcBorders>
                    <w:tl2br w:val="nil"/>
                    <w:tr2bl w:val="nil"/>
                  </w:tcBorders>
                  <w:noWrap w:val="0"/>
                  <w:vAlign w:val="center"/>
                </w:tcPr>
                <w:p w14:paraId="27DB1D42">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污染因子</w:t>
                  </w:r>
                </w:p>
              </w:tc>
              <w:tc>
                <w:tcPr>
                  <w:tcW w:w="1946" w:type="dxa"/>
                  <w:tcBorders>
                    <w:tl2br w:val="nil"/>
                    <w:tr2bl w:val="nil"/>
                  </w:tcBorders>
                  <w:noWrap w:val="0"/>
                  <w:vAlign w:val="center"/>
                </w:tcPr>
                <w:p w14:paraId="7CDCC7B2">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进水水质</w:t>
                  </w:r>
                </w:p>
                <w:p w14:paraId="6285D701">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lang w:eastAsia="zh-CN"/>
                    </w:rPr>
                    <w:t>（</w:t>
                  </w:r>
                  <w:r>
                    <w:rPr>
                      <w:rFonts w:hint="default" w:ascii="Times New Roman" w:hAnsi="Times New Roman" w:eastAsia="宋体" w:cs="Times New Roman"/>
                      <w:b w:val="0"/>
                      <w:bCs w:val="0"/>
                      <w:color w:val="auto"/>
                      <w:kern w:val="0"/>
                      <w:sz w:val="21"/>
                      <w:szCs w:val="21"/>
                      <w:lang w:val="en-US" w:eastAsia="zh-CN"/>
                    </w:rPr>
                    <w:t>mg/L</w:t>
                  </w:r>
                  <w:r>
                    <w:rPr>
                      <w:rFonts w:hint="default" w:ascii="Times New Roman" w:hAnsi="Times New Roman" w:eastAsia="宋体" w:cs="Times New Roman"/>
                      <w:b w:val="0"/>
                      <w:bCs w:val="0"/>
                      <w:color w:val="auto"/>
                      <w:spacing w:val="0"/>
                      <w:position w:val="0"/>
                      <w:sz w:val="21"/>
                      <w:szCs w:val="21"/>
                      <w:lang w:eastAsia="zh-CN"/>
                    </w:rPr>
                    <w:t>）</w:t>
                  </w:r>
                </w:p>
              </w:tc>
              <w:tc>
                <w:tcPr>
                  <w:tcW w:w="1141" w:type="dxa"/>
                  <w:tcBorders>
                    <w:tl2br w:val="nil"/>
                    <w:tr2bl w:val="nil"/>
                  </w:tcBorders>
                  <w:noWrap w:val="0"/>
                  <w:vAlign w:val="center"/>
                </w:tcPr>
                <w:p w14:paraId="58980323">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color w:val="auto"/>
                      <w:spacing w:val="0"/>
                      <w:position w:val="0"/>
                      <w:sz w:val="21"/>
                      <w:szCs w:val="21"/>
                      <w:lang w:eastAsia="zh-CN"/>
                    </w:rPr>
                    <w:t>产生量（</w:t>
                  </w:r>
                  <w:r>
                    <w:rPr>
                      <w:rFonts w:hint="default" w:ascii="Times New Roman" w:hAnsi="Times New Roman" w:eastAsia="宋体" w:cs="Times New Roman"/>
                      <w:color w:val="auto"/>
                      <w:spacing w:val="0"/>
                      <w:position w:val="0"/>
                      <w:sz w:val="21"/>
                      <w:szCs w:val="21"/>
                      <w:lang w:val="en-US" w:eastAsia="zh-CN"/>
                    </w:rPr>
                    <w:t>t/a</w:t>
                  </w:r>
                  <w:r>
                    <w:rPr>
                      <w:rFonts w:hint="default" w:ascii="Times New Roman" w:hAnsi="Times New Roman" w:eastAsia="宋体" w:cs="Times New Roman"/>
                      <w:color w:val="auto"/>
                      <w:spacing w:val="0"/>
                      <w:position w:val="0"/>
                      <w:sz w:val="21"/>
                      <w:szCs w:val="21"/>
                      <w:lang w:eastAsia="zh-CN"/>
                    </w:rPr>
                    <w:t>）</w:t>
                  </w:r>
                </w:p>
              </w:tc>
              <w:tc>
                <w:tcPr>
                  <w:tcW w:w="1491" w:type="dxa"/>
                  <w:tcBorders>
                    <w:tl2br w:val="nil"/>
                    <w:tr2bl w:val="nil"/>
                  </w:tcBorders>
                  <w:noWrap w:val="0"/>
                  <w:vAlign w:val="center"/>
                </w:tcPr>
                <w:p w14:paraId="21421EC2">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color w:val="auto"/>
                      <w:spacing w:val="0"/>
                      <w:position w:val="0"/>
                      <w:sz w:val="21"/>
                      <w:szCs w:val="21"/>
                    </w:rPr>
                    <w:t>出水水质</w:t>
                  </w:r>
                  <w:r>
                    <w:rPr>
                      <w:rFonts w:hint="default" w:ascii="Times New Roman" w:hAnsi="Times New Roman" w:eastAsia="宋体" w:cs="Times New Roman"/>
                      <w:b w:val="0"/>
                      <w:bCs w:val="0"/>
                      <w:color w:val="auto"/>
                      <w:spacing w:val="0"/>
                      <w:position w:val="0"/>
                      <w:sz w:val="21"/>
                      <w:szCs w:val="21"/>
                      <w:lang w:eastAsia="zh-CN"/>
                    </w:rPr>
                    <w:t>（</w:t>
                  </w:r>
                  <w:r>
                    <w:rPr>
                      <w:rFonts w:hint="default" w:ascii="Times New Roman" w:hAnsi="Times New Roman" w:eastAsia="宋体" w:cs="Times New Roman"/>
                      <w:b w:val="0"/>
                      <w:bCs w:val="0"/>
                      <w:color w:val="auto"/>
                      <w:kern w:val="0"/>
                      <w:sz w:val="21"/>
                      <w:szCs w:val="21"/>
                      <w:lang w:val="en-US" w:eastAsia="zh-CN"/>
                    </w:rPr>
                    <w:t>mg/L</w:t>
                  </w:r>
                  <w:r>
                    <w:rPr>
                      <w:rFonts w:hint="default" w:ascii="Times New Roman" w:hAnsi="Times New Roman" w:eastAsia="宋体" w:cs="Times New Roman"/>
                      <w:b w:val="0"/>
                      <w:bCs w:val="0"/>
                      <w:color w:val="auto"/>
                      <w:spacing w:val="0"/>
                      <w:position w:val="0"/>
                      <w:sz w:val="21"/>
                      <w:szCs w:val="21"/>
                      <w:lang w:eastAsia="zh-CN"/>
                    </w:rPr>
                    <w:t>）</w:t>
                  </w:r>
                </w:p>
              </w:tc>
              <w:tc>
                <w:tcPr>
                  <w:tcW w:w="1171" w:type="dxa"/>
                  <w:tcBorders>
                    <w:tl2br w:val="nil"/>
                    <w:tr2bl w:val="nil"/>
                  </w:tcBorders>
                  <w:noWrap w:val="0"/>
                  <w:vAlign w:val="center"/>
                </w:tcPr>
                <w:p w14:paraId="3AE03638">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color w:val="auto"/>
                      <w:spacing w:val="0"/>
                      <w:position w:val="0"/>
                      <w:sz w:val="21"/>
                      <w:szCs w:val="21"/>
                      <w:lang w:eastAsia="zh-CN"/>
                    </w:rPr>
                    <w:t>排放量（</w:t>
                  </w:r>
                  <w:r>
                    <w:rPr>
                      <w:rFonts w:hint="default" w:ascii="Times New Roman" w:hAnsi="Times New Roman" w:eastAsia="宋体" w:cs="Times New Roman"/>
                      <w:color w:val="auto"/>
                      <w:spacing w:val="0"/>
                      <w:position w:val="0"/>
                      <w:sz w:val="21"/>
                      <w:szCs w:val="21"/>
                      <w:lang w:val="en-US" w:eastAsia="zh-CN"/>
                    </w:rPr>
                    <w:t>t/a</w:t>
                  </w:r>
                  <w:r>
                    <w:rPr>
                      <w:rFonts w:hint="default" w:ascii="Times New Roman" w:hAnsi="Times New Roman" w:eastAsia="宋体" w:cs="Times New Roman"/>
                      <w:color w:val="auto"/>
                      <w:spacing w:val="0"/>
                      <w:position w:val="0"/>
                      <w:sz w:val="21"/>
                      <w:szCs w:val="21"/>
                      <w:lang w:eastAsia="zh-CN"/>
                    </w:rPr>
                    <w:t>）</w:t>
                  </w:r>
                </w:p>
              </w:tc>
              <w:tc>
                <w:tcPr>
                  <w:tcW w:w="1092" w:type="dxa"/>
                  <w:tcBorders>
                    <w:tl2br w:val="nil"/>
                    <w:tr2bl w:val="nil"/>
                  </w:tcBorders>
                  <w:noWrap w:val="0"/>
                  <w:vAlign w:val="center"/>
                </w:tcPr>
                <w:p w14:paraId="1C20BF2B">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color w:val="auto"/>
                      <w:spacing w:val="0"/>
                      <w:position w:val="0"/>
                      <w:sz w:val="21"/>
                      <w:szCs w:val="21"/>
                    </w:rPr>
                    <w:t>去除率（%）</w:t>
                  </w:r>
                </w:p>
              </w:tc>
            </w:tr>
            <w:tr w14:paraId="216071C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497" w:type="dxa"/>
                  <w:tcBorders>
                    <w:tl2br w:val="nil"/>
                    <w:tr2bl w:val="nil"/>
                  </w:tcBorders>
                  <w:noWrap w:val="0"/>
                  <w:vAlign w:val="center"/>
                </w:tcPr>
                <w:p w14:paraId="7C7237E8">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COD</w:t>
                  </w:r>
                </w:p>
              </w:tc>
              <w:tc>
                <w:tcPr>
                  <w:tcW w:w="1946" w:type="dxa"/>
                  <w:tcBorders>
                    <w:tl2br w:val="nil"/>
                    <w:tr2bl w:val="nil"/>
                  </w:tcBorders>
                  <w:noWrap w:val="0"/>
                  <w:vAlign w:val="center"/>
                </w:tcPr>
                <w:p w14:paraId="544B18A0">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600</w:t>
                  </w:r>
                </w:p>
              </w:tc>
              <w:tc>
                <w:tcPr>
                  <w:tcW w:w="1141" w:type="dxa"/>
                  <w:tcBorders>
                    <w:tl2br w:val="nil"/>
                    <w:tr2bl w:val="nil"/>
                  </w:tcBorders>
                  <w:noWrap w:val="0"/>
                  <w:vAlign w:val="center"/>
                </w:tcPr>
                <w:p w14:paraId="685A63F5">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11.91</w:t>
                  </w:r>
                </w:p>
              </w:tc>
              <w:tc>
                <w:tcPr>
                  <w:tcW w:w="1491" w:type="dxa"/>
                  <w:tcBorders>
                    <w:tl2br w:val="nil"/>
                    <w:tr2bl w:val="nil"/>
                  </w:tcBorders>
                  <w:noWrap w:val="0"/>
                  <w:vAlign w:val="center"/>
                </w:tcPr>
                <w:p w14:paraId="15E514D6">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250</w:t>
                  </w:r>
                </w:p>
              </w:tc>
              <w:tc>
                <w:tcPr>
                  <w:tcW w:w="1171" w:type="dxa"/>
                  <w:tcBorders>
                    <w:tl2br w:val="nil"/>
                    <w:tr2bl w:val="nil"/>
                  </w:tcBorders>
                  <w:noWrap w:val="0"/>
                  <w:vAlign w:val="center"/>
                </w:tcPr>
                <w:p w14:paraId="5F67CC9E">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4.96</w:t>
                  </w:r>
                </w:p>
              </w:tc>
              <w:tc>
                <w:tcPr>
                  <w:tcW w:w="1092" w:type="dxa"/>
                  <w:tcBorders>
                    <w:tl2br w:val="nil"/>
                    <w:tr2bl w:val="nil"/>
                  </w:tcBorders>
                  <w:noWrap w:val="0"/>
                  <w:vAlign w:val="center"/>
                </w:tcPr>
                <w:p w14:paraId="623B28EE">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55</w:t>
                  </w:r>
                </w:p>
              </w:tc>
            </w:tr>
            <w:tr w14:paraId="0B6FD09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497" w:type="dxa"/>
                  <w:tcBorders>
                    <w:tl2br w:val="nil"/>
                    <w:tr2bl w:val="nil"/>
                  </w:tcBorders>
                  <w:noWrap w:val="0"/>
                  <w:vAlign w:val="center"/>
                </w:tcPr>
                <w:p w14:paraId="144CDA44">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BOD</w:t>
                  </w:r>
                  <w:r>
                    <w:rPr>
                      <w:rFonts w:hint="default" w:ascii="Times New Roman" w:hAnsi="Times New Roman" w:eastAsia="宋体" w:cs="Times New Roman"/>
                      <w:b w:val="0"/>
                      <w:bCs w:val="0"/>
                      <w:color w:val="auto"/>
                      <w:spacing w:val="0"/>
                      <w:position w:val="0"/>
                      <w:sz w:val="21"/>
                      <w:szCs w:val="21"/>
                      <w:vertAlign w:val="subscript"/>
                    </w:rPr>
                    <w:t>5</w:t>
                  </w:r>
                </w:p>
              </w:tc>
              <w:tc>
                <w:tcPr>
                  <w:tcW w:w="1946" w:type="dxa"/>
                  <w:tcBorders>
                    <w:tl2br w:val="nil"/>
                    <w:tr2bl w:val="nil"/>
                  </w:tcBorders>
                  <w:noWrap w:val="0"/>
                  <w:vAlign w:val="center"/>
                </w:tcPr>
                <w:p w14:paraId="727E155F">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eastAsia="zh-CN"/>
                    </w:rPr>
                    <w:t>2</w:t>
                  </w:r>
                  <w:r>
                    <w:rPr>
                      <w:rFonts w:hint="default" w:ascii="Times New Roman" w:hAnsi="Times New Roman" w:eastAsia="宋体" w:cs="Times New Roman"/>
                      <w:color w:val="auto"/>
                      <w:spacing w:val="0"/>
                      <w:position w:val="0"/>
                      <w:sz w:val="21"/>
                      <w:szCs w:val="21"/>
                      <w:lang w:val="en-US" w:eastAsia="zh-CN"/>
                    </w:rPr>
                    <w:t>40</w:t>
                  </w:r>
                </w:p>
              </w:tc>
              <w:tc>
                <w:tcPr>
                  <w:tcW w:w="1141" w:type="dxa"/>
                  <w:tcBorders>
                    <w:tl2br w:val="nil"/>
                    <w:tr2bl w:val="nil"/>
                  </w:tcBorders>
                  <w:noWrap w:val="0"/>
                  <w:vAlign w:val="center"/>
                </w:tcPr>
                <w:p w14:paraId="7FA1CF71">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4.77</w:t>
                  </w:r>
                </w:p>
              </w:tc>
              <w:tc>
                <w:tcPr>
                  <w:tcW w:w="1491" w:type="dxa"/>
                  <w:tcBorders>
                    <w:tl2br w:val="nil"/>
                    <w:tr2bl w:val="nil"/>
                  </w:tcBorders>
                  <w:noWrap w:val="0"/>
                  <w:vAlign w:val="center"/>
                </w:tcPr>
                <w:p w14:paraId="07756053">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100</w:t>
                  </w:r>
                </w:p>
              </w:tc>
              <w:tc>
                <w:tcPr>
                  <w:tcW w:w="1171" w:type="dxa"/>
                  <w:tcBorders>
                    <w:tl2br w:val="nil"/>
                    <w:tr2bl w:val="nil"/>
                  </w:tcBorders>
                  <w:noWrap w:val="0"/>
                  <w:vAlign w:val="center"/>
                </w:tcPr>
                <w:p w14:paraId="7F7BD031">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1.99</w:t>
                  </w:r>
                </w:p>
              </w:tc>
              <w:tc>
                <w:tcPr>
                  <w:tcW w:w="1092" w:type="dxa"/>
                  <w:tcBorders>
                    <w:tl2br w:val="nil"/>
                    <w:tr2bl w:val="nil"/>
                  </w:tcBorders>
                  <w:noWrap w:val="0"/>
                  <w:vAlign w:val="center"/>
                </w:tcPr>
                <w:p w14:paraId="1BACBC55">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58</w:t>
                  </w:r>
                </w:p>
              </w:tc>
            </w:tr>
            <w:tr w14:paraId="499673EF">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497" w:type="dxa"/>
                  <w:tcBorders>
                    <w:tl2br w:val="nil"/>
                    <w:tr2bl w:val="nil"/>
                  </w:tcBorders>
                  <w:noWrap w:val="0"/>
                  <w:vAlign w:val="center"/>
                </w:tcPr>
                <w:p w14:paraId="75EBBCBA">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NH</w:t>
                  </w:r>
                  <w:r>
                    <w:rPr>
                      <w:rFonts w:hint="default" w:ascii="Times New Roman" w:hAnsi="Times New Roman" w:eastAsia="宋体" w:cs="Times New Roman"/>
                      <w:b w:val="0"/>
                      <w:bCs w:val="0"/>
                      <w:color w:val="auto"/>
                      <w:spacing w:val="0"/>
                      <w:position w:val="0"/>
                      <w:sz w:val="21"/>
                      <w:szCs w:val="21"/>
                      <w:vertAlign w:val="subscript"/>
                    </w:rPr>
                    <w:t>3</w:t>
                  </w:r>
                  <w:r>
                    <w:rPr>
                      <w:rFonts w:hint="default" w:ascii="Times New Roman" w:hAnsi="Times New Roman" w:eastAsia="宋体" w:cs="Times New Roman"/>
                      <w:b w:val="0"/>
                      <w:bCs w:val="0"/>
                      <w:color w:val="auto"/>
                      <w:spacing w:val="0"/>
                      <w:position w:val="0"/>
                      <w:sz w:val="21"/>
                      <w:szCs w:val="21"/>
                    </w:rPr>
                    <w:t>-N</w:t>
                  </w:r>
                </w:p>
              </w:tc>
              <w:tc>
                <w:tcPr>
                  <w:tcW w:w="1946" w:type="dxa"/>
                  <w:tcBorders>
                    <w:tl2br w:val="nil"/>
                    <w:tr2bl w:val="nil"/>
                  </w:tcBorders>
                  <w:noWrap w:val="0"/>
                  <w:vAlign w:val="center"/>
                </w:tcPr>
                <w:p w14:paraId="0A6E4A21">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220</w:t>
                  </w:r>
                </w:p>
              </w:tc>
              <w:tc>
                <w:tcPr>
                  <w:tcW w:w="1141" w:type="dxa"/>
                  <w:tcBorders>
                    <w:tl2br w:val="nil"/>
                    <w:tr2bl w:val="nil"/>
                  </w:tcBorders>
                  <w:noWrap w:val="0"/>
                  <w:vAlign w:val="center"/>
                </w:tcPr>
                <w:p w14:paraId="7A546840">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4.37</w:t>
                  </w:r>
                </w:p>
              </w:tc>
              <w:tc>
                <w:tcPr>
                  <w:tcW w:w="1491" w:type="dxa"/>
                  <w:tcBorders>
                    <w:tl2br w:val="nil"/>
                    <w:tr2bl w:val="nil"/>
                  </w:tcBorders>
                  <w:noWrap w:val="0"/>
                  <w:vAlign w:val="center"/>
                </w:tcPr>
                <w:p w14:paraId="33F45266">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110</w:t>
                  </w:r>
                </w:p>
              </w:tc>
              <w:tc>
                <w:tcPr>
                  <w:tcW w:w="1171" w:type="dxa"/>
                  <w:tcBorders>
                    <w:tl2br w:val="nil"/>
                    <w:tr2bl w:val="nil"/>
                  </w:tcBorders>
                  <w:noWrap w:val="0"/>
                  <w:vAlign w:val="center"/>
                </w:tcPr>
                <w:p w14:paraId="2FE3E938">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2.18</w:t>
                  </w:r>
                </w:p>
              </w:tc>
              <w:tc>
                <w:tcPr>
                  <w:tcW w:w="1092" w:type="dxa"/>
                  <w:tcBorders>
                    <w:tl2br w:val="nil"/>
                    <w:tr2bl w:val="nil"/>
                  </w:tcBorders>
                  <w:noWrap w:val="0"/>
                  <w:vAlign w:val="center"/>
                </w:tcPr>
                <w:p w14:paraId="2EB63042">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50</w:t>
                  </w:r>
                </w:p>
              </w:tc>
            </w:tr>
            <w:tr w14:paraId="705A192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497" w:type="dxa"/>
                  <w:tcBorders>
                    <w:tl2br w:val="nil"/>
                    <w:tr2bl w:val="nil"/>
                  </w:tcBorders>
                  <w:noWrap w:val="0"/>
                  <w:vAlign w:val="center"/>
                </w:tcPr>
                <w:p w14:paraId="37CE42A8">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SS</w:t>
                  </w:r>
                </w:p>
              </w:tc>
              <w:tc>
                <w:tcPr>
                  <w:tcW w:w="1946" w:type="dxa"/>
                  <w:tcBorders>
                    <w:tl2br w:val="nil"/>
                    <w:tr2bl w:val="nil"/>
                  </w:tcBorders>
                  <w:noWrap w:val="0"/>
                  <w:vAlign w:val="center"/>
                </w:tcPr>
                <w:p w14:paraId="3C7A0F5E">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50</w:t>
                  </w:r>
                </w:p>
              </w:tc>
              <w:tc>
                <w:tcPr>
                  <w:tcW w:w="1141" w:type="dxa"/>
                  <w:tcBorders>
                    <w:tl2br w:val="nil"/>
                    <w:tr2bl w:val="nil"/>
                  </w:tcBorders>
                  <w:noWrap w:val="0"/>
                  <w:vAlign w:val="center"/>
                </w:tcPr>
                <w:p w14:paraId="58EF5167">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0.99</w:t>
                  </w:r>
                </w:p>
              </w:tc>
              <w:tc>
                <w:tcPr>
                  <w:tcW w:w="1491" w:type="dxa"/>
                  <w:tcBorders>
                    <w:tl2br w:val="nil"/>
                    <w:tr2bl w:val="nil"/>
                  </w:tcBorders>
                  <w:noWrap w:val="0"/>
                  <w:vAlign w:val="center"/>
                </w:tcPr>
                <w:p w14:paraId="3A8735E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8</w:t>
                  </w:r>
                </w:p>
              </w:tc>
              <w:tc>
                <w:tcPr>
                  <w:tcW w:w="1171" w:type="dxa"/>
                  <w:tcBorders>
                    <w:tl2br w:val="nil"/>
                    <w:tr2bl w:val="nil"/>
                  </w:tcBorders>
                  <w:noWrap w:val="0"/>
                  <w:vAlign w:val="center"/>
                </w:tcPr>
                <w:p w14:paraId="467BB2E3">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0.16</w:t>
                  </w:r>
                </w:p>
              </w:tc>
              <w:tc>
                <w:tcPr>
                  <w:tcW w:w="1092" w:type="dxa"/>
                  <w:tcBorders>
                    <w:tl2br w:val="nil"/>
                    <w:tr2bl w:val="nil"/>
                  </w:tcBorders>
                  <w:noWrap w:val="0"/>
                  <w:vAlign w:val="center"/>
                </w:tcPr>
                <w:p w14:paraId="6823D06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84</w:t>
                  </w:r>
                </w:p>
              </w:tc>
            </w:tr>
            <w:tr w14:paraId="753754B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497" w:type="dxa"/>
                  <w:tcBorders>
                    <w:tl2br w:val="nil"/>
                    <w:tr2bl w:val="nil"/>
                  </w:tcBorders>
                  <w:noWrap w:val="0"/>
                  <w:vAlign w:val="center"/>
                </w:tcPr>
                <w:p w14:paraId="28563C8A">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粪大肠菌群数</w:t>
                  </w:r>
                </w:p>
              </w:tc>
              <w:tc>
                <w:tcPr>
                  <w:tcW w:w="1946" w:type="dxa"/>
                  <w:tcBorders>
                    <w:tl2br w:val="nil"/>
                    <w:tr2bl w:val="nil"/>
                  </w:tcBorders>
                  <w:noWrap w:val="0"/>
                  <w:vAlign w:val="center"/>
                </w:tcPr>
                <w:p w14:paraId="5C0D05E2">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rPr>
                    <w:t>3.0 × 10</w:t>
                  </w:r>
                  <w:r>
                    <w:rPr>
                      <w:rFonts w:hint="default" w:ascii="Times New Roman" w:hAnsi="Times New Roman" w:eastAsia="宋体" w:cs="Times New Roman"/>
                      <w:color w:val="auto"/>
                      <w:spacing w:val="0"/>
                      <w:position w:val="0"/>
                      <w:sz w:val="21"/>
                      <w:szCs w:val="21"/>
                      <w:vertAlign w:val="superscript"/>
                      <w:lang w:val="en-US" w:eastAsia="zh-CN"/>
                    </w:rPr>
                    <w:t>8</w:t>
                  </w:r>
                  <w:r>
                    <w:rPr>
                      <w:rFonts w:hint="default" w:ascii="Times New Roman" w:hAnsi="Times New Roman" w:eastAsia="宋体" w:cs="Times New Roman"/>
                      <w:b w:val="0"/>
                      <w:bCs w:val="0"/>
                      <w:color w:val="auto"/>
                      <w:spacing w:val="0"/>
                      <w:position w:val="0"/>
                      <w:sz w:val="21"/>
                      <w:szCs w:val="21"/>
                    </w:rPr>
                    <w:t>（MPN/L）</w:t>
                  </w:r>
                </w:p>
              </w:tc>
              <w:tc>
                <w:tcPr>
                  <w:tcW w:w="1141" w:type="dxa"/>
                  <w:tcBorders>
                    <w:tl2br w:val="nil"/>
                    <w:tr2bl w:val="nil"/>
                  </w:tcBorders>
                  <w:noWrap w:val="0"/>
                  <w:vAlign w:val="center"/>
                </w:tcPr>
                <w:p w14:paraId="23C5862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w:t>
                  </w:r>
                </w:p>
              </w:tc>
              <w:tc>
                <w:tcPr>
                  <w:tcW w:w="1491" w:type="dxa"/>
                  <w:tcBorders>
                    <w:tl2br w:val="nil"/>
                    <w:tr2bl w:val="nil"/>
                  </w:tcBorders>
                  <w:noWrap w:val="0"/>
                  <w:vAlign w:val="center"/>
                </w:tcPr>
                <w:p w14:paraId="184EEA55">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5000</w:t>
                  </w:r>
                  <w:r>
                    <w:rPr>
                      <w:rFonts w:hint="default" w:ascii="Times New Roman" w:hAnsi="Times New Roman" w:eastAsia="宋体" w:cs="Times New Roman"/>
                      <w:b w:val="0"/>
                      <w:bCs w:val="0"/>
                      <w:color w:val="auto"/>
                      <w:spacing w:val="0"/>
                      <w:position w:val="0"/>
                      <w:sz w:val="21"/>
                      <w:szCs w:val="21"/>
                    </w:rPr>
                    <w:t>（MPN/L）</w:t>
                  </w:r>
                </w:p>
              </w:tc>
              <w:tc>
                <w:tcPr>
                  <w:tcW w:w="1171" w:type="dxa"/>
                  <w:tcBorders>
                    <w:tl2br w:val="nil"/>
                    <w:tr2bl w:val="nil"/>
                  </w:tcBorders>
                  <w:noWrap w:val="0"/>
                  <w:vAlign w:val="center"/>
                </w:tcPr>
                <w:p w14:paraId="758742D3">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w:t>
                  </w:r>
                </w:p>
              </w:tc>
              <w:tc>
                <w:tcPr>
                  <w:tcW w:w="1092" w:type="dxa"/>
                  <w:tcBorders>
                    <w:tl2br w:val="nil"/>
                    <w:tr2bl w:val="nil"/>
                  </w:tcBorders>
                  <w:noWrap w:val="0"/>
                  <w:vAlign w:val="center"/>
                </w:tcPr>
                <w:p w14:paraId="2FD91450">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99.99</w:t>
                  </w:r>
                </w:p>
              </w:tc>
            </w:tr>
            <w:tr w14:paraId="191CE09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497" w:type="dxa"/>
                  <w:tcBorders>
                    <w:tl2br w:val="nil"/>
                    <w:tr2bl w:val="nil"/>
                  </w:tcBorders>
                  <w:noWrap w:val="0"/>
                  <w:vAlign w:val="center"/>
                </w:tcPr>
                <w:p w14:paraId="47E6FEE7">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动植物油</w:t>
                  </w:r>
                </w:p>
              </w:tc>
              <w:tc>
                <w:tcPr>
                  <w:tcW w:w="1946" w:type="dxa"/>
                  <w:tcBorders>
                    <w:tl2br w:val="nil"/>
                    <w:tr2bl w:val="nil"/>
                  </w:tcBorders>
                  <w:noWrap w:val="0"/>
                  <w:vAlign w:val="center"/>
                </w:tcPr>
                <w:p w14:paraId="4AC0F25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2.8</w:t>
                  </w:r>
                </w:p>
              </w:tc>
              <w:tc>
                <w:tcPr>
                  <w:tcW w:w="1141" w:type="dxa"/>
                  <w:tcBorders>
                    <w:tl2br w:val="nil"/>
                    <w:tr2bl w:val="nil"/>
                  </w:tcBorders>
                  <w:noWrap w:val="0"/>
                  <w:vAlign w:val="center"/>
                </w:tcPr>
                <w:p w14:paraId="4668AA2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0.06</w:t>
                  </w:r>
                </w:p>
              </w:tc>
              <w:tc>
                <w:tcPr>
                  <w:tcW w:w="1491" w:type="dxa"/>
                  <w:tcBorders>
                    <w:tl2br w:val="nil"/>
                    <w:tr2bl w:val="nil"/>
                  </w:tcBorders>
                  <w:noWrap w:val="0"/>
                  <w:vAlign w:val="center"/>
                </w:tcPr>
                <w:p w14:paraId="5C05A7A6">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w:t>
                  </w:r>
                  <w:r>
                    <w:rPr>
                      <w:rFonts w:hint="default" w:ascii="Times New Roman" w:hAnsi="Times New Roman" w:eastAsia="宋体" w:cs="Times New Roman"/>
                      <w:color w:val="auto"/>
                      <w:spacing w:val="0"/>
                      <w:position w:val="0"/>
                      <w:sz w:val="21"/>
                      <w:szCs w:val="21"/>
                    </w:rPr>
                    <w:t>5</w:t>
                  </w:r>
                </w:p>
              </w:tc>
              <w:tc>
                <w:tcPr>
                  <w:tcW w:w="1171" w:type="dxa"/>
                  <w:tcBorders>
                    <w:tl2br w:val="nil"/>
                    <w:tr2bl w:val="nil"/>
                  </w:tcBorders>
                  <w:noWrap w:val="0"/>
                  <w:vAlign w:val="center"/>
                </w:tcPr>
                <w:p w14:paraId="5B3F22F6">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0.01</w:t>
                  </w:r>
                </w:p>
              </w:tc>
              <w:tc>
                <w:tcPr>
                  <w:tcW w:w="1092" w:type="dxa"/>
                  <w:tcBorders>
                    <w:tl2br w:val="nil"/>
                    <w:tr2bl w:val="nil"/>
                  </w:tcBorders>
                  <w:noWrap w:val="0"/>
                  <w:vAlign w:val="center"/>
                </w:tcPr>
                <w:p w14:paraId="7FCD770F">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82</w:t>
                  </w:r>
                </w:p>
              </w:tc>
            </w:tr>
          </w:tbl>
          <w:p w14:paraId="3C97907D">
            <w:pPr>
              <w:pStyle w:val="45"/>
              <w:keepNext w:val="0"/>
              <w:keepLines w:val="0"/>
              <w:pageBreakBefore w:val="0"/>
              <w:widowControl w:val="0"/>
              <w:tabs>
                <w:tab w:val="left" w:pos="895"/>
              </w:tabs>
              <w:kinsoku/>
              <w:wordWrap/>
              <w:overflowPunct/>
              <w:topLinePunct/>
              <w:autoSpaceDE/>
              <w:autoSpaceDN/>
              <w:bidi w:val="0"/>
              <w:spacing w:line="520" w:lineRule="exact"/>
              <w:ind w:firstLine="480" w:firstLineChars="200"/>
              <w:jc w:val="both"/>
              <w:textAlignment w:val="auto"/>
              <w:rPr>
                <w:rFonts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③污水处理工艺</w:t>
            </w:r>
          </w:p>
          <w:p w14:paraId="2FF1270B">
            <w:pPr>
              <w:pStyle w:val="45"/>
              <w:keepNext w:val="0"/>
              <w:keepLines w:val="0"/>
              <w:pageBreakBefore w:val="0"/>
              <w:widowControl w:val="0"/>
              <w:tabs>
                <w:tab w:val="left" w:pos="895"/>
              </w:tabs>
              <w:kinsoku/>
              <w:wordWrap/>
              <w:overflowPunct/>
              <w:topLinePunct/>
              <w:autoSpaceDE/>
              <w:autoSpaceDN/>
              <w:bidi w:val="0"/>
              <w:spacing w:line="520" w:lineRule="exact"/>
              <w:ind w:firstLine="480" w:firstLineChars="200"/>
              <w:jc w:val="both"/>
              <w:textAlignment w:val="auto"/>
              <w:rPr>
                <w:rFonts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污水处理工艺采用“格栅+水解酸化+接触氧化+沉淀+MBR+消毒”工艺，该工艺具有技术成熟、效果稳定、污染物去除彻底、操作方便、运行灵活等优点。</w:t>
            </w:r>
          </w:p>
          <w:p w14:paraId="2944F7CB">
            <w:pPr>
              <w:pStyle w:val="45"/>
              <w:keepNext w:val="0"/>
              <w:keepLines w:val="0"/>
              <w:pageBreakBefore w:val="0"/>
              <w:widowControl w:val="0"/>
              <w:tabs>
                <w:tab w:val="left" w:pos="895"/>
              </w:tabs>
              <w:kinsoku/>
              <w:wordWrap/>
              <w:overflowPunct/>
              <w:topLinePunct/>
              <w:autoSpaceDE/>
              <w:autoSpaceDN/>
              <w:bidi w:val="0"/>
              <w:spacing w:line="520" w:lineRule="exact"/>
              <w:ind w:firstLine="480" w:firstLineChars="200"/>
              <w:jc w:val="both"/>
              <w:textAlignment w:val="auto"/>
              <w:rPr>
                <w:rFonts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Ⅰ：预处理</w:t>
            </w:r>
          </w:p>
          <w:p w14:paraId="0B1FBFD7">
            <w:pPr>
              <w:keepNext w:val="0"/>
              <w:keepLines w:val="0"/>
              <w:pageBreakBefore w:val="0"/>
              <w:widowControl w:val="0"/>
              <w:numPr>
                <w:ilvl w:val="0"/>
                <w:numId w:val="0"/>
              </w:numPr>
              <w:kinsoku/>
              <w:wordWrap/>
              <w:overflowPunct/>
              <w:topLinePunct/>
              <w:autoSpaceDE/>
              <w:autoSpaceDN/>
              <w:bidi w:val="0"/>
              <w:adjustRightInd/>
              <w:snapToGrid w:val="0"/>
              <w:spacing w:line="520" w:lineRule="exact"/>
              <w:ind w:firstLine="480" w:firstLineChars="200"/>
              <w:jc w:val="both"/>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检验科设小型实验室污水废水综合处理设备，废水经预处理后排入医院污水处理系统。</w:t>
            </w:r>
          </w:p>
          <w:p w14:paraId="3B6DC09F">
            <w:pPr>
              <w:keepNext w:val="0"/>
              <w:keepLines w:val="0"/>
              <w:pageBreakBefore w:val="0"/>
              <w:widowControl w:val="0"/>
              <w:numPr>
                <w:ilvl w:val="0"/>
                <w:numId w:val="0"/>
              </w:numPr>
              <w:kinsoku/>
              <w:wordWrap/>
              <w:overflowPunct/>
              <w:topLinePunct/>
              <w:autoSpaceDE/>
              <w:autoSpaceDN/>
              <w:bidi w:val="0"/>
              <w:adjustRightInd/>
              <w:snapToGrid w:val="0"/>
              <w:spacing w:line="520" w:lineRule="exact"/>
              <w:ind w:firstLine="480" w:firstLineChars="200"/>
              <w:jc w:val="both"/>
              <w:textAlignment w:val="auto"/>
              <w:rPr>
                <w:color w:val="auto"/>
                <w:sz w:val="24"/>
              </w:rPr>
            </w:pPr>
            <w:r>
              <w:rPr>
                <w:rFonts w:hint="eastAsia" w:ascii="Times New Roman" w:hAnsi="Times New Roman" w:eastAsia="宋体" w:cs="Times New Roman"/>
                <w:b w:val="0"/>
                <w:bCs w:val="0"/>
                <w:caps w:val="0"/>
                <w:color w:val="auto"/>
                <w:sz w:val="24"/>
                <w:szCs w:val="24"/>
                <w:highlight w:val="none"/>
                <w:lang w:val="en-US" w:eastAsia="zh-CN"/>
              </w:rPr>
              <w:t>门诊、急诊、检验、住院人员生活污水，经废水管道收集至化粪池内，</w:t>
            </w:r>
            <w:r>
              <w:rPr>
                <w:color w:val="auto"/>
                <w:sz w:val="24"/>
              </w:rPr>
              <w:t>经格栅截留较大的固形物质，</w:t>
            </w:r>
            <w:r>
              <w:rPr>
                <w:rFonts w:hint="eastAsia"/>
                <w:color w:val="auto"/>
                <w:sz w:val="24"/>
                <w:lang w:eastAsia="zh-CN"/>
              </w:rPr>
              <w:t>通过调节池进行流量调节后</w:t>
            </w:r>
            <w:r>
              <w:rPr>
                <w:color w:val="auto"/>
                <w:sz w:val="24"/>
              </w:rPr>
              <w:t>进入</w:t>
            </w:r>
            <w:r>
              <w:rPr>
                <w:rFonts w:hint="eastAsia"/>
                <w:color w:val="auto"/>
                <w:sz w:val="24"/>
                <w:lang w:val="en-US" w:eastAsia="zh-CN"/>
              </w:rPr>
              <w:t>水解酸化池</w:t>
            </w:r>
            <w:r>
              <w:rPr>
                <w:color w:val="auto"/>
                <w:sz w:val="24"/>
              </w:rPr>
              <w:t>进行</w:t>
            </w:r>
            <w:r>
              <w:rPr>
                <w:rFonts w:hint="eastAsia"/>
                <w:color w:val="auto"/>
                <w:sz w:val="24"/>
                <w:lang w:eastAsia="zh-CN"/>
              </w:rPr>
              <w:t>生物</w:t>
            </w:r>
            <w:r>
              <w:rPr>
                <w:color w:val="auto"/>
                <w:sz w:val="24"/>
              </w:rPr>
              <w:t>处理。</w:t>
            </w:r>
          </w:p>
          <w:p w14:paraId="3D981968">
            <w:pPr>
              <w:pStyle w:val="31"/>
              <w:keepNext w:val="0"/>
              <w:keepLines w:val="0"/>
              <w:pageBreakBefore w:val="0"/>
              <w:widowControl w:val="0"/>
              <w:numPr>
                <w:ilvl w:val="0"/>
                <w:numId w:val="0"/>
              </w:numPr>
              <w:kinsoku/>
              <w:wordWrap/>
              <w:overflowPunct/>
              <w:topLinePunct/>
              <w:autoSpaceDE/>
              <w:autoSpaceDN/>
              <w:bidi w:val="0"/>
              <w:adjustRightInd w:val="0"/>
              <w:snapToGrid w:val="0"/>
              <w:spacing w:line="520" w:lineRule="exact"/>
              <w:ind w:left="0" w:leftChars="0" w:right="0" w:firstLine="480" w:firstLineChars="200"/>
              <w:jc w:val="both"/>
              <w:textAlignment w:val="auto"/>
              <w:rPr>
                <w:rFonts w:hint="eastAsia"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b w:val="0"/>
                <w:bCs w:val="0"/>
                <w:caps w:val="0"/>
                <w:color w:val="auto"/>
                <w:sz w:val="24"/>
                <w:szCs w:val="24"/>
                <w:highlight w:val="none"/>
                <w:lang w:val="en-US" w:eastAsia="zh-CN"/>
              </w:rPr>
              <w:t>Ⅱ</w:t>
            </w:r>
            <w:r>
              <w:rPr>
                <w:rFonts w:hint="eastAsia" w:ascii="Times New Roman" w:hAnsi="Times New Roman" w:cs="Times New Roman"/>
                <w:color w:val="auto"/>
                <w:sz w:val="24"/>
                <w:szCs w:val="24"/>
                <w:lang w:val="en-US" w:eastAsia="zh-CN"/>
              </w:rPr>
              <w:t>一</w:t>
            </w:r>
            <w:r>
              <w:rPr>
                <w:rFonts w:hint="eastAsia" w:ascii="Times New Roman" w:hAnsi="Times New Roman" w:cs="Times New Roman"/>
                <w:color w:val="auto"/>
                <w:sz w:val="24"/>
                <w:szCs w:val="24"/>
                <w:lang w:val="en-US"/>
              </w:rPr>
              <w:t>级处理工艺</w:t>
            </w:r>
            <w:r>
              <w:rPr>
                <w:rFonts w:hint="eastAsia" w:ascii="Times New Roman" w:hAnsi="Times New Roman"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水解酸化+接触氧化+MBR）</w:t>
            </w:r>
          </w:p>
          <w:p w14:paraId="222C3AC3">
            <w:pPr>
              <w:pStyle w:val="31"/>
              <w:keepNext w:val="0"/>
              <w:keepLines w:val="0"/>
              <w:pageBreakBefore w:val="0"/>
              <w:widowControl w:val="0"/>
              <w:numPr>
                <w:ilvl w:val="0"/>
                <w:numId w:val="0"/>
              </w:numPr>
              <w:kinsoku/>
              <w:wordWrap/>
              <w:overflowPunct/>
              <w:topLinePunct/>
              <w:autoSpaceDE/>
              <w:autoSpaceDN/>
              <w:bidi w:val="0"/>
              <w:adjustRightInd w:val="0"/>
              <w:snapToGrid w:val="0"/>
              <w:spacing w:line="520" w:lineRule="exact"/>
              <w:ind w:left="0" w:leftChars="0" w:right="0" w:firstLine="480" w:firstLineChars="200"/>
              <w:jc w:val="both"/>
              <w:textAlignment w:val="auto"/>
              <w:rPr>
                <w:rFonts w:hint="eastAsia" w:ascii="Times New Roman" w:hAnsi="Times New Roman" w:eastAsia="宋体" w:cs="Times New Roman"/>
                <w:b w:val="0"/>
                <w:bCs w:val="0"/>
                <w:caps w:val="0"/>
                <w:color w:val="auto"/>
                <w:sz w:val="24"/>
                <w:szCs w:val="24"/>
                <w:highlight w:val="none"/>
                <w:lang w:val="en-US" w:eastAsia="zh-CN"/>
              </w:rPr>
            </w:pPr>
            <w:r>
              <w:rPr>
                <w:rFonts w:hint="eastAsia" w:ascii="Times New Roman" w:hAnsi="Times New Roman" w:eastAsia="宋体" w:cs="Times New Roman"/>
                <w:b w:val="0"/>
                <w:bCs w:val="0"/>
                <w:caps w:val="0"/>
                <w:color w:val="auto"/>
                <w:sz w:val="24"/>
                <w:szCs w:val="24"/>
                <w:highlight w:val="none"/>
                <w:lang w:val="en-US" w:eastAsia="zh-CN"/>
              </w:rPr>
              <w:t>水解酸化阶段是废水通过水解酸化反应池，加入适量的酸性物质，使废水中的有机物质发生水解反应，将大分子有机物分解成小分子、易于降解的有机物，提高废水的可生化性；接触氧化阶段利用好氧微生物进一步降解有机物沉淀；MBR（膜法）指利用管状中空纤维膜丝及管壁上的微孔截留住活性污泥以及绝大多数的悬浮物，出水清澈透明，将净化后的水和活性污泥进行固液分离。</w:t>
            </w:r>
          </w:p>
          <w:p w14:paraId="7D876623">
            <w:pPr>
              <w:pStyle w:val="31"/>
              <w:keepNext w:val="0"/>
              <w:keepLines w:val="0"/>
              <w:pageBreakBefore w:val="0"/>
              <w:widowControl w:val="0"/>
              <w:numPr>
                <w:ilvl w:val="0"/>
                <w:numId w:val="0"/>
              </w:numPr>
              <w:kinsoku/>
              <w:wordWrap/>
              <w:overflowPunct/>
              <w:topLinePunct/>
              <w:autoSpaceDE/>
              <w:autoSpaceDN/>
              <w:bidi w:val="0"/>
              <w:adjustRightInd w:val="0"/>
              <w:snapToGrid w:val="0"/>
              <w:spacing w:line="520" w:lineRule="exact"/>
              <w:ind w:left="0" w:leftChars="0" w:right="0" w:rightChars="0" w:firstLine="480" w:firstLineChars="200"/>
              <w:jc w:val="both"/>
              <w:textAlignment w:val="auto"/>
              <w:rPr>
                <w:rFonts w:hint="eastAsia" w:ascii="Times New Roman" w:hAnsi="Times New Roman" w:eastAsia="宋体" w:cs="Times New Roman"/>
                <w:b w:val="0"/>
                <w:bCs w:val="0"/>
                <w:caps w:val="0"/>
                <w:color w:val="auto"/>
                <w:sz w:val="24"/>
                <w:szCs w:val="24"/>
                <w:highlight w:val="none"/>
                <w:lang w:val="en-US" w:eastAsia="zh-CN"/>
              </w:rPr>
            </w:pPr>
            <w:r>
              <w:rPr>
                <w:rFonts w:hint="eastAsia" w:ascii="Times New Roman" w:hAnsi="Times New Roman" w:cs="Times New Roman"/>
                <w:color w:val="auto"/>
                <w:sz w:val="24"/>
                <w:szCs w:val="24"/>
                <w:lang w:val="en-US"/>
              </w:rPr>
              <w:t>Ⅲ</w:t>
            </w:r>
            <w:r>
              <w:rPr>
                <w:rFonts w:hint="eastAsia" w:ascii="Times New Roman" w:hAnsi="Times New Roman" w:eastAsia="宋体" w:cs="Times New Roman"/>
                <w:b w:val="0"/>
                <w:bCs w:val="0"/>
                <w:caps w:val="0"/>
                <w:color w:val="auto"/>
                <w:sz w:val="24"/>
                <w:szCs w:val="24"/>
                <w:highlight w:val="none"/>
                <w:lang w:val="en-US" w:eastAsia="zh-CN"/>
              </w:rPr>
              <w:t>二氯异氰尿酸钠消毒工艺</w:t>
            </w:r>
          </w:p>
          <w:p w14:paraId="790B4A35">
            <w:pPr>
              <w:pStyle w:val="31"/>
              <w:keepNext w:val="0"/>
              <w:keepLines w:val="0"/>
              <w:pageBreakBefore w:val="0"/>
              <w:widowControl w:val="0"/>
              <w:numPr>
                <w:ilvl w:val="0"/>
                <w:numId w:val="0"/>
              </w:numPr>
              <w:kinsoku/>
              <w:wordWrap/>
              <w:overflowPunct/>
              <w:topLinePunct/>
              <w:autoSpaceDE/>
              <w:autoSpaceDN/>
              <w:bidi w:val="0"/>
              <w:adjustRightInd w:val="0"/>
              <w:snapToGrid w:val="0"/>
              <w:spacing w:line="520" w:lineRule="exact"/>
              <w:ind w:left="0" w:leftChars="0" w:right="0" w:rightChars="0" w:firstLine="480" w:firstLineChars="200"/>
              <w:jc w:val="both"/>
              <w:textAlignment w:val="auto"/>
              <w:rPr>
                <w:rFonts w:hint="eastAsia" w:ascii="Times New Roman" w:hAnsi="Times New Roman" w:eastAsia="宋体" w:cs="Times New Roman"/>
                <w:b w:val="0"/>
                <w:bCs w:val="0"/>
                <w:caps w:val="0"/>
                <w:color w:val="auto"/>
                <w:sz w:val="24"/>
                <w:szCs w:val="24"/>
                <w:highlight w:val="none"/>
                <w:lang w:val="en-US" w:eastAsia="zh-CN"/>
              </w:rPr>
            </w:pPr>
            <w:r>
              <w:rPr>
                <w:rFonts w:hint="eastAsia" w:ascii="Times New Roman" w:hAnsi="Times New Roman" w:eastAsia="宋体" w:cs="Times New Roman"/>
                <w:b w:val="0"/>
                <w:bCs w:val="0"/>
                <w:caps w:val="0"/>
                <w:color w:val="auto"/>
                <w:sz w:val="24"/>
                <w:szCs w:val="24"/>
                <w:highlight w:val="none"/>
                <w:lang w:val="en-US" w:eastAsia="zh-CN"/>
              </w:rPr>
              <w:t>污水经预处理+一级处理工艺处理后，有机污染物的去除已达到排放标准，但仍含有大量的致病细菌和寄生虫卵，因此需进行消毒处理。本工程消毒工艺选用二氯异氰尿酸钠消毒工艺</w:t>
            </w:r>
            <w:r>
              <w:rPr>
                <w:rFonts w:hint="eastAsia" w:ascii="Times New Roman" w:hAnsi="Times New Roman" w:cs="Times New Roman"/>
                <w:b w:val="0"/>
                <w:bCs w:val="0"/>
                <w:caps w:val="0"/>
                <w:color w:val="auto"/>
                <w:sz w:val="24"/>
                <w:szCs w:val="24"/>
                <w:highlight w:val="none"/>
                <w:lang w:val="en-US" w:eastAsia="zh-CN"/>
              </w:rPr>
              <w:t>，</w:t>
            </w:r>
            <w:r>
              <w:rPr>
                <w:rFonts w:hint="eastAsia" w:ascii="Times New Roman" w:hAnsi="Times New Roman" w:eastAsia="宋体" w:cs="Times New Roman"/>
                <w:b w:val="0"/>
                <w:bCs w:val="0"/>
                <w:caps w:val="0"/>
                <w:color w:val="auto"/>
                <w:sz w:val="24"/>
                <w:szCs w:val="24"/>
                <w:highlight w:val="none"/>
                <w:lang w:val="en-US" w:eastAsia="zh-CN"/>
              </w:rPr>
              <w:t xml:space="preserve"> 消毒工艺选取参考下表。</w:t>
            </w:r>
          </w:p>
          <w:p w14:paraId="73248A59">
            <w:pPr>
              <w:keepNext w:val="0"/>
              <w:keepLines w:val="0"/>
              <w:pageBreakBefore w:val="0"/>
              <w:widowControl w:val="0"/>
              <w:kinsoku/>
              <w:wordWrap/>
              <w:overflowPunct/>
              <w:topLinePunct w:val="0"/>
              <w:autoSpaceDE w:val="0"/>
              <w:autoSpaceDN w:val="0"/>
              <w:bidi w:val="0"/>
              <w:adjustRightInd w:val="0"/>
              <w:snapToGrid w:val="0"/>
              <w:spacing w:line="520" w:lineRule="exact"/>
              <w:ind w:firstLine="0" w:firstLineChars="0"/>
              <w:jc w:val="center"/>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
                <w:bCs/>
                <w:color w:val="auto"/>
                <w:sz w:val="24"/>
                <w:szCs w:val="24"/>
                <w:lang w:val="en-US"/>
              </w:rPr>
              <w:t>表</w:t>
            </w:r>
            <w:r>
              <w:rPr>
                <w:rFonts w:hint="eastAsia" w:ascii="Times New Roman" w:hAnsi="Times New Roman" w:eastAsia="宋体" w:cs="Times New Roman"/>
                <w:b/>
                <w:bCs/>
                <w:color w:val="auto"/>
                <w:sz w:val="24"/>
                <w:szCs w:val="24"/>
                <w:lang w:val="en-US" w:eastAsia="zh-CN"/>
              </w:rPr>
              <w:t>4</w:t>
            </w:r>
            <w:r>
              <w:rPr>
                <w:rFonts w:hint="default" w:ascii="Times New Roman" w:hAnsi="Times New Roman" w:eastAsia="宋体" w:cs="Times New Roman"/>
                <w:b/>
                <w:bCs/>
                <w:color w:val="auto"/>
                <w:sz w:val="24"/>
                <w:szCs w:val="24"/>
                <w:lang w:val="en-US"/>
              </w:rPr>
              <w:t>-</w:t>
            </w:r>
            <w:r>
              <w:rPr>
                <w:rFonts w:hint="eastAsia" w:ascii="Times New Roman" w:hAnsi="Times New Roman" w:cs="Times New Roman"/>
                <w:b/>
                <w:bCs/>
                <w:color w:val="auto"/>
                <w:sz w:val="24"/>
                <w:szCs w:val="24"/>
                <w:lang w:val="en-US" w:eastAsia="zh-CN"/>
              </w:rPr>
              <w:t>4</w:t>
            </w:r>
            <w:r>
              <w:rPr>
                <w:rFonts w:hint="default" w:ascii="Times New Roman" w:hAnsi="Times New Roman" w:eastAsia="宋体" w:cs="Times New Roman"/>
                <w:b/>
                <w:bCs/>
                <w:color w:val="auto"/>
                <w:sz w:val="24"/>
                <w:szCs w:val="24"/>
                <w:lang w:val="en-US"/>
              </w:rPr>
              <w:t xml:space="preserve"> </w:t>
            </w:r>
            <w:r>
              <w:rPr>
                <w:rFonts w:hint="default" w:ascii="Times New Roman" w:hAnsi="Times New Roman" w:eastAsia="宋体" w:cs="Times New Roman"/>
                <w:b/>
                <w:bCs/>
                <w:color w:val="auto"/>
                <w:sz w:val="24"/>
                <w:szCs w:val="24"/>
                <w:lang w:val="en-US" w:eastAsia="zh-CN"/>
              </w:rPr>
              <w:t xml:space="preserve">    常用消毒方法比较</w:t>
            </w:r>
          </w:p>
          <w:tbl>
            <w:tblPr>
              <w:tblStyle w:val="20"/>
              <w:tblW w:w="8278"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102"/>
              <w:gridCol w:w="1692"/>
              <w:gridCol w:w="2283"/>
              <w:gridCol w:w="885"/>
              <w:gridCol w:w="2316"/>
            </w:tblGrid>
            <w:tr w14:paraId="1C4597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2" w:type="dxa"/>
                  <w:tcBorders>
                    <w:tl2br w:val="nil"/>
                    <w:tr2bl w:val="nil"/>
                  </w:tcBorders>
                  <w:noWrap/>
                  <w:tcMar>
                    <w:top w:w="15" w:type="dxa"/>
                    <w:left w:w="15" w:type="dxa"/>
                    <w:right w:w="15" w:type="dxa"/>
                  </w:tcMar>
                  <w:vAlign w:val="center"/>
                </w:tcPr>
                <w:p w14:paraId="7266C769">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firstLineChars="0"/>
                    <w:jc w:val="center"/>
                    <w:textAlignment w:val="auto"/>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eastAsia="zh-CN"/>
                    </w:rPr>
                    <w:t>消毒剂</w:t>
                  </w:r>
                </w:p>
              </w:tc>
              <w:tc>
                <w:tcPr>
                  <w:tcW w:w="1692" w:type="dxa"/>
                  <w:tcBorders>
                    <w:tl2br w:val="nil"/>
                    <w:tr2bl w:val="nil"/>
                  </w:tcBorders>
                  <w:noWrap/>
                  <w:tcMar>
                    <w:top w:w="15" w:type="dxa"/>
                    <w:left w:w="15" w:type="dxa"/>
                    <w:right w:w="15" w:type="dxa"/>
                  </w:tcMar>
                  <w:vAlign w:val="center"/>
                </w:tcPr>
                <w:p w14:paraId="4B378929">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firstLineChars="0"/>
                    <w:jc w:val="center"/>
                    <w:textAlignment w:val="auto"/>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eastAsia="zh-CN"/>
                    </w:rPr>
                    <w:t>优点</w:t>
                  </w:r>
                </w:p>
              </w:tc>
              <w:tc>
                <w:tcPr>
                  <w:tcW w:w="2283" w:type="dxa"/>
                  <w:tcBorders>
                    <w:tl2br w:val="nil"/>
                    <w:tr2bl w:val="nil"/>
                  </w:tcBorders>
                  <w:noWrap/>
                  <w:tcMar>
                    <w:top w:w="15" w:type="dxa"/>
                    <w:left w:w="15" w:type="dxa"/>
                    <w:right w:w="15" w:type="dxa"/>
                  </w:tcMar>
                  <w:vAlign w:val="center"/>
                </w:tcPr>
                <w:p w14:paraId="1C239403">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firstLineChars="0"/>
                    <w:jc w:val="center"/>
                    <w:textAlignment w:val="auto"/>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eastAsia="zh-CN"/>
                    </w:rPr>
                    <w:t>缺点</w:t>
                  </w:r>
                </w:p>
              </w:tc>
              <w:tc>
                <w:tcPr>
                  <w:tcW w:w="885" w:type="dxa"/>
                  <w:tcBorders>
                    <w:tl2br w:val="nil"/>
                    <w:tr2bl w:val="nil"/>
                  </w:tcBorders>
                  <w:noWrap/>
                  <w:tcMar>
                    <w:top w:w="15" w:type="dxa"/>
                    <w:left w:w="15" w:type="dxa"/>
                    <w:right w:w="15" w:type="dxa"/>
                  </w:tcMar>
                  <w:vAlign w:val="center"/>
                </w:tcPr>
                <w:p w14:paraId="119453C2">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消毒效果</w:t>
                  </w:r>
                </w:p>
              </w:tc>
              <w:tc>
                <w:tcPr>
                  <w:tcW w:w="2316" w:type="dxa"/>
                  <w:tcBorders>
                    <w:tl2br w:val="nil"/>
                    <w:tr2bl w:val="nil"/>
                  </w:tcBorders>
                  <w:noWrap/>
                  <w:tcMar>
                    <w:top w:w="15" w:type="dxa"/>
                    <w:left w:w="15" w:type="dxa"/>
                    <w:right w:w="15" w:type="dxa"/>
                  </w:tcMar>
                  <w:vAlign w:val="center"/>
                </w:tcPr>
                <w:p w14:paraId="7CC63919">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firstLineChars="0"/>
                    <w:jc w:val="center"/>
                    <w:textAlignment w:val="auto"/>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val="en-US" w:eastAsia="zh-CN" w:bidi="ar-SA"/>
                    </w:rPr>
                    <w:t>使用条件</w:t>
                  </w:r>
                </w:p>
              </w:tc>
            </w:tr>
            <w:tr w14:paraId="2A7841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2" w:type="dxa"/>
                  <w:tcBorders>
                    <w:tl2br w:val="nil"/>
                    <w:tr2bl w:val="nil"/>
                  </w:tcBorders>
                  <w:noWrap/>
                  <w:tcMar>
                    <w:top w:w="15" w:type="dxa"/>
                    <w:left w:w="15" w:type="dxa"/>
                    <w:right w:w="15" w:type="dxa"/>
                  </w:tcMar>
                  <w:vAlign w:val="center"/>
                </w:tcPr>
                <w:p w14:paraId="5DC4F27B">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firstLineChars="0"/>
                    <w:jc w:val="center"/>
                    <w:textAlignment w:val="auto"/>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val="en-US" w:eastAsia="zh-CN" w:bidi="ar-SA"/>
                    </w:rPr>
                    <w:t>氯</w:t>
                  </w:r>
                </w:p>
                <w:p w14:paraId="3055F71D">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firstLineChars="0"/>
                    <w:jc w:val="center"/>
                    <w:textAlignment w:val="auto"/>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val="en-US" w:eastAsia="zh-CN" w:bidi="ar-SA"/>
                    </w:rPr>
                    <w:t>（Cl</w:t>
                  </w:r>
                  <w:r>
                    <w:rPr>
                      <w:rFonts w:hint="default" w:ascii="Times New Roman" w:hAnsi="Times New Roman" w:eastAsia="宋体" w:cs="Times New Roman"/>
                      <w:color w:val="auto"/>
                      <w:spacing w:val="0"/>
                      <w:sz w:val="21"/>
                      <w:szCs w:val="21"/>
                      <w:vertAlign w:val="subscript"/>
                      <w:lang w:val="en-US" w:eastAsia="zh-CN" w:bidi="ar-SA"/>
                    </w:rPr>
                    <w:t>2</w:t>
                  </w:r>
                  <w:r>
                    <w:rPr>
                      <w:rFonts w:hint="default" w:ascii="Times New Roman" w:hAnsi="Times New Roman" w:eastAsia="宋体" w:cs="Times New Roman"/>
                      <w:color w:val="auto"/>
                      <w:spacing w:val="0"/>
                      <w:sz w:val="21"/>
                      <w:szCs w:val="21"/>
                      <w:lang w:val="en-US" w:eastAsia="zh-CN" w:bidi="ar-SA"/>
                    </w:rPr>
                    <w:t>）</w:t>
                  </w:r>
                </w:p>
              </w:tc>
              <w:tc>
                <w:tcPr>
                  <w:tcW w:w="1692" w:type="dxa"/>
                  <w:tcBorders>
                    <w:tl2br w:val="nil"/>
                    <w:tr2bl w:val="nil"/>
                  </w:tcBorders>
                  <w:noWrap/>
                  <w:tcMar>
                    <w:top w:w="15" w:type="dxa"/>
                    <w:left w:w="15" w:type="dxa"/>
                    <w:right w:w="15" w:type="dxa"/>
                  </w:tcMar>
                  <w:vAlign w:val="center"/>
                </w:tcPr>
                <w:p w14:paraId="122619E2">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val="en-US" w:eastAsia="zh-CN" w:bidi="ar-SA"/>
                    </w:rPr>
                    <w:t>具有持续消毒作用；工艺简单。技术成熟；操作简单，投量准确</w:t>
                  </w:r>
                </w:p>
              </w:tc>
              <w:tc>
                <w:tcPr>
                  <w:tcW w:w="2283" w:type="dxa"/>
                  <w:tcBorders>
                    <w:tl2br w:val="nil"/>
                    <w:tr2bl w:val="nil"/>
                  </w:tcBorders>
                  <w:noWrap/>
                  <w:tcMar>
                    <w:top w:w="15" w:type="dxa"/>
                    <w:left w:w="15" w:type="dxa"/>
                    <w:right w:w="15" w:type="dxa"/>
                  </w:tcMar>
                  <w:vAlign w:val="center"/>
                </w:tcPr>
                <w:p w14:paraId="3EDE4B67">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val="en-US" w:eastAsia="zh-CN" w:bidi="ar-SA"/>
                    </w:rPr>
                    <w:t>产生具致癌、致畸作用的有机氯化物（THM</w:t>
                  </w:r>
                  <w:r>
                    <w:rPr>
                      <w:rFonts w:hint="default" w:ascii="Times New Roman" w:hAnsi="Times New Roman" w:eastAsia="宋体" w:cs="Times New Roman"/>
                      <w:color w:val="auto"/>
                      <w:spacing w:val="0"/>
                      <w:sz w:val="21"/>
                      <w:szCs w:val="21"/>
                      <w:vertAlign w:val="baseline"/>
                      <w:lang w:val="en-US" w:eastAsia="zh-CN" w:bidi="ar-SA"/>
                    </w:rPr>
                    <w:t>s</w:t>
                  </w:r>
                  <w:r>
                    <w:rPr>
                      <w:rFonts w:hint="default" w:ascii="Times New Roman" w:hAnsi="Times New Roman" w:eastAsia="宋体" w:cs="Times New Roman"/>
                      <w:color w:val="auto"/>
                      <w:spacing w:val="0"/>
                      <w:sz w:val="21"/>
                      <w:szCs w:val="21"/>
                      <w:lang w:val="en-US" w:eastAsia="zh-CN" w:bidi="ar-SA"/>
                    </w:rPr>
                    <w:t>）；处理水有氯或氯酚味；氯气腐蚀性强；运行管理具有一定的危险性</w:t>
                  </w:r>
                </w:p>
              </w:tc>
              <w:tc>
                <w:tcPr>
                  <w:tcW w:w="885" w:type="dxa"/>
                  <w:vMerge w:val="restart"/>
                  <w:tcBorders>
                    <w:tl2br w:val="nil"/>
                    <w:tr2bl w:val="nil"/>
                  </w:tcBorders>
                  <w:noWrap/>
                  <w:tcMar>
                    <w:top w:w="15" w:type="dxa"/>
                    <w:left w:w="15" w:type="dxa"/>
                    <w:right w:w="15" w:type="dxa"/>
                  </w:tcMar>
                  <w:vAlign w:val="center"/>
                </w:tcPr>
                <w:p w14:paraId="754E5465">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能有效杀菌，但杀灭病毒效果较差</w:t>
                  </w:r>
                </w:p>
              </w:tc>
              <w:tc>
                <w:tcPr>
                  <w:tcW w:w="2316" w:type="dxa"/>
                  <w:tcBorders>
                    <w:tl2br w:val="nil"/>
                    <w:tr2bl w:val="nil"/>
                  </w:tcBorders>
                  <w:noWrap/>
                  <w:tcMar>
                    <w:top w:w="15" w:type="dxa"/>
                    <w:left w:w="15" w:type="dxa"/>
                    <w:right w:w="15" w:type="dxa"/>
                  </w:tcMar>
                  <w:vAlign w:val="center"/>
                </w:tcPr>
                <w:p w14:paraId="46B4714F">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val="en-US" w:eastAsia="zh-CN" w:bidi="ar-SA"/>
                    </w:rPr>
                    <w:t>远离人口聚居区的规模较大（&gt;1000床）且管理水平较高的医院污水处理系统</w:t>
                  </w:r>
                </w:p>
              </w:tc>
            </w:tr>
            <w:tr w14:paraId="03C3FA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2" w:type="dxa"/>
                  <w:tcBorders>
                    <w:tl2br w:val="nil"/>
                    <w:tr2bl w:val="nil"/>
                  </w:tcBorders>
                  <w:noWrap/>
                  <w:tcMar>
                    <w:top w:w="15" w:type="dxa"/>
                    <w:left w:w="15" w:type="dxa"/>
                    <w:right w:w="15" w:type="dxa"/>
                  </w:tcMar>
                  <w:vAlign w:val="center"/>
                </w:tcPr>
                <w:p w14:paraId="21EC2F1E">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次氯酸钠（</w:t>
                  </w:r>
                  <w:r>
                    <w:rPr>
                      <w:rFonts w:hint="default" w:ascii="Times New Roman" w:hAnsi="Times New Roman" w:eastAsia="宋体" w:cs="Times New Roman"/>
                      <w:color w:val="auto"/>
                      <w:spacing w:val="0"/>
                      <w:sz w:val="21"/>
                      <w:szCs w:val="21"/>
                      <w:lang w:val="en-US" w:eastAsia="zh-CN"/>
                    </w:rPr>
                    <w:t>NaOCl</w:t>
                  </w:r>
                  <w:r>
                    <w:rPr>
                      <w:rFonts w:hint="default" w:ascii="Times New Roman" w:hAnsi="Times New Roman" w:eastAsia="宋体" w:cs="Times New Roman"/>
                      <w:color w:val="auto"/>
                      <w:spacing w:val="0"/>
                      <w:sz w:val="21"/>
                      <w:szCs w:val="21"/>
                      <w:lang w:eastAsia="zh-CN"/>
                    </w:rPr>
                    <w:t>）</w:t>
                  </w:r>
                </w:p>
              </w:tc>
              <w:tc>
                <w:tcPr>
                  <w:tcW w:w="1692" w:type="dxa"/>
                  <w:tcBorders>
                    <w:tl2br w:val="nil"/>
                    <w:tr2bl w:val="nil"/>
                  </w:tcBorders>
                  <w:noWrap/>
                  <w:tcMar>
                    <w:top w:w="15" w:type="dxa"/>
                    <w:left w:w="15" w:type="dxa"/>
                    <w:right w:w="15" w:type="dxa"/>
                  </w:tcMar>
                  <w:vAlign w:val="center"/>
                </w:tcPr>
                <w:p w14:paraId="26DDD030">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无毒，运行、管理无危险性</w:t>
                  </w:r>
                </w:p>
              </w:tc>
              <w:tc>
                <w:tcPr>
                  <w:tcW w:w="2283" w:type="dxa"/>
                  <w:tcBorders>
                    <w:tl2br w:val="nil"/>
                    <w:tr2bl w:val="nil"/>
                  </w:tcBorders>
                  <w:noWrap/>
                  <w:tcMar>
                    <w:top w:w="15" w:type="dxa"/>
                    <w:left w:w="15" w:type="dxa"/>
                    <w:right w:w="15" w:type="dxa"/>
                  </w:tcMar>
                  <w:vAlign w:val="center"/>
                </w:tcPr>
                <w:p w14:paraId="4533F72F">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pacing w:val="0"/>
                      <w:sz w:val="21"/>
                      <w:szCs w:val="21"/>
                      <w:lang w:val="en-US" w:eastAsia="zh-CN" w:bidi="ar-SA"/>
                    </w:rPr>
                    <w:t>产生具致癌、致畸作用的有机氯化物（THM</w:t>
                  </w:r>
                  <w:r>
                    <w:rPr>
                      <w:rFonts w:hint="default" w:ascii="Times New Roman" w:hAnsi="Times New Roman" w:eastAsia="宋体" w:cs="Times New Roman"/>
                      <w:color w:val="auto"/>
                      <w:spacing w:val="0"/>
                      <w:sz w:val="21"/>
                      <w:szCs w:val="21"/>
                      <w:vertAlign w:val="baseline"/>
                      <w:lang w:val="en-US" w:eastAsia="zh-CN" w:bidi="ar-SA"/>
                    </w:rPr>
                    <w:t>s</w:t>
                  </w:r>
                  <w:r>
                    <w:rPr>
                      <w:rFonts w:hint="default" w:ascii="Times New Roman" w:hAnsi="Times New Roman" w:eastAsia="宋体" w:cs="Times New Roman"/>
                      <w:color w:val="auto"/>
                      <w:spacing w:val="0"/>
                      <w:sz w:val="21"/>
                      <w:szCs w:val="21"/>
                      <w:lang w:val="en-US" w:eastAsia="zh-CN" w:bidi="ar-SA"/>
                    </w:rPr>
                    <w:t>）；使水的</w:t>
                  </w:r>
                  <w:r>
                    <w:rPr>
                      <w:rFonts w:hint="eastAsia" w:ascii="Times New Roman" w:hAnsi="Times New Roman" w:eastAsia="宋体" w:cs="Times New Roman"/>
                      <w:color w:val="auto"/>
                      <w:spacing w:val="0"/>
                      <w:sz w:val="21"/>
                      <w:szCs w:val="21"/>
                      <w:lang w:val="en-US" w:eastAsia="zh-CN" w:bidi="ar-SA"/>
                    </w:rPr>
                    <w:t>p</w:t>
                  </w:r>
                  <w:r>
                    <w:rPr>
                      <w:rFonts w:hint="default" w:ascii="Times New Roman" w:hAnsi="Times New Roman" w:eastAsia="宋体" w:cs="Times New Roman"/>
                      <w:color w:val="auto"/>
                      <w:spacing w:val="0"/>
                      <w:sz w:val="21"/>
                      <w:szCs w:val="21"/>
                      <w:lang w:val="en-US" w:eastAsia="zh-CN" w:bidi="ar-SA"/>
                    </w:rPr>
                    <w:t>H值升高</w:t>
                  </w:r>
                </w:p>
              </w:tc>
              <w:tc>
                <w:tcPr>
                  <w:tcW w:w="885" w:type="dxa"/>
                  <w:vMerge w:val="continue"/>
                  <w:tcBorders>
                    <w:tl2br w:val="nil"/>
                    <w:tr2bl w:val="nil"/>
                  </w:tcBorders>
                  <w:noWrap/>
                  <w:tcMar>
                    <w:top w:w="15" w:type="dxa"/>
                    <w:left w:w="15" w:type="dxa"/>
                    <w:right w:w="15" w:type="dxa"/>
                  </w:tcMar>
                  <w:vAlign w:val="center"/>
                </w:tcPr>
                <w:p w14:paraId="73B90110">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sz w:val="21"/>
                      <w:szCs w:val="21"/>
                    </w:rPr>
                  </w:pPr>
                </w:p>
              </w:tc>
              <w:tc>
                <w:tcPr>
                  <w:tcW w:w="2316" w:type="dxa"/>
                  <w:tcBorders>
                    <w:tl2br w:val="nil"/>
                    <w:tr2bl w:val="nil"/>
                  </w:tcBorders>
                  <w:noWrap/>
                  <w:tcMar>
                    <w:top w:w="15" w:type="dxa"/>
                    <w:left w:w="15" w:type="dxa"/>
                    <w:right w:w="15" w:type="dxa"/>
                  </w:tcMar>
                  <w:vAlign w:val="center"/>
                </w:tcPr>
                <w:p w14:paraId="7B348AAF">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pacing w:val="0"/>
                      <w:sz w:val="21"/>
                      <w:szCs w:val="21"/>
                      <w:lang w:eastAsia="zh-CN"/>
                    </w:rPr>
                    <w:t>规模</w:t>
                  </w:r>
                  <w:r>
                    <w:rPr>
                      <w:rFonts w:hint="default" w:ascii="Times New Roman" w:hAnsi="Times New Roman" w:eastAsia="宋体" w:cs="Times New Roman"/>
                      <w:color w:val="auto"/>
                      <w:spacing w:val="0"/>
                      <w:sz w:val="21"/>
                      <w:szCs w:val="21"/>
                      <w:lang w:val="en-US" w:eastAsia="zh-CN"/>
                    </w:rPr>
                    <w:t>&lt;300床的经济欠发达地区医院污水处理消毒系统</w:t>
                  </w:r>
                </w:p>
              </w:tc>
            </w:tr>
            <w:tr w14:paraId="77211A4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2" w:type="dxa"/>
                  <w:tcBorders>
                    <w:tl2br w:val="nil"/>
                    <w:tr2bl w:val="nil"/>
                  </w:tcBorders>
                  <w:noWrap/>
                  <w:tcMar>
                    <w:top w:w="15" w:type="dxa"/>
                    <w:left w:w="15" w:type="dxa"/>
                    <w:right w:w="15" w:type="dxa"/>
                  </w:tcMar>
                  <w:vAlign w:val="center"/>
                </w:tcPr>
                <w:p w14:paraId="68BE12F6">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二氧化氯（</w:t>
                  </w:r>
                  <w:r>
                    <w:rPr>
                      <w:rFonts w:hint="default" w:ascii="Times New Roman" w:hAnsi="Times New Roman" w:eastAsia="宋体" w:cs="Times New Roman"/>
                      <w:color w:val="auto"/>
                      <w:spacing w:val="0"/>
                      <w:sz w:val="21"/>
                      <w:szCs w:val="21"/>
                      <w:lang w:val="en-US" w:eastAsia="zh-CN"/>
                    </w:rPr>
                    <w:t>ClO</w:t>
                  </w:r>
                  <w:r>
                    <w:rPr>
                      <w:rFonts w:hint="default" w:ascii="Times New Roman" w:hAnsi="Times New Roman" w:eastAsia="宋体" w:cs="Times New Roman"/>
                      <w:color w:val="auto"/>
                      <w:spacing w:val="0"/>
                      <w:sz w:val="21"/>
                      <w:szCs w:val="21"/>
                      <w:vertAlign w:val="subscript"/>
                      <w:lang w:val="en-US" w:eastAsia="zh-CN"/>
                    </w:rPr>
                    <w:t>2</w:t>
                  </w:r>
                  <w:r>
                    <w:rPr>
                      <w:rFonts w:hint="default" w:ascii="Times New Roman" w:hAnsi="Times New Roman" w:eastAsia="宋体" w:cs="Times New Roman"/>
                      <w:color w:val="auto"/>
                      <w:spacing w:val="0"/>
                      <w:sz w:val="21"/>
                      <w:szCs w:val="21"/>
                      <w:lang w:eastAsia="zh-CN"/>
                    </w:rPr>
                    <w:t>）</w:t>
                  </w:r>
                </w:p>
              </w:tc>
              <w:tc>
                <w:tcPr>
                  <w:tcW w:w="1692" w:type="dxa"/>
                  <w:tcBorders>
                    <w:tl2br w:val="nil"/>
                    <w:tr2bl w:val="nil"/>
                  </w:tcBorders>
                  <w:noWrap/>
                  <w:tcMar>
                    <w:top w:w="15" w:type="dxa"/>
                    <w:left w:w="15" w:type="dxa"/>
                    <w:right w:w="15" w:type="dxa"/>
                  </w:tcMar>
                  <w:vAlign w:val="center"/>
                </w:tcPr>
                <w:p w14:paraId="5EB688F5">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pacing w:val="0"/>
                      <w:sz w:val="21"/>
                      <w:szCs w:val="21"/>
                      <w:lang w:eastAsia="zh-CN"/>
                    </w:rPr>
                    <w:t>具有强烈的氧化作用，不产生</w:t>
                  </w:r>
                  <w:r>
                    <w:rPr>
                      <w:rFonts w:hint="default" w:ascii="Times New Roman" w:hAnsi="Times New Roman" w:eastAsia="宋体" w:cs="Times New Roman"/>
                      <w:color w:val="auto"/>
                      <w:spacing w:val="0"/>
                      <w:sz w:val="21"/>
                      <w:szCs w:val="21"/>
                      <w:lang w:val="en-US" w:eastAsia="zh-CN" w:bidi="ar-SA"/>
                    </w:rPr>
                    <w:t>有机氯化物（THM</w:t>
                  </w:r>
                  <w:r>
                    <w:rPr>
                      <w:rFonts w:hint="default" w:ascii="Times New Roman" w:hAnsi="Times New Roman" w:eastAsia="宋体" w:cs="Times New Roman"/>
                      <w:color w:val="auto"/>
                      <w:spacing w:val="0"/>
                      <w:sz w:val="21"/>
                      <w:szCs w:val="21"/>
                      <w:vertAlign w:val="baseline"/>
                      <w:lang w:val="en-US" w:eastAsia="zh-CN" w:bidi="ar-SA"/>
                    </w:rPr>
                    <w:t>s</w:t>
                  </w:r>
                  <w:r>
                    <w:rPr>
                      <w:rFonts w:hint="default" w:ascii="Times New Roman" w:hAnsi="Times New Roman" w:eastAsia="宋体" w:cs="Times New Roman"/>
                      <w:color w:val="auto"/>
                      <w:spacing w:val="0"/>
                      <w:sz w:val="21"/>
                      <w:szCs w:val="21"/>
                      <w:lang w:val="en-US" w:eastAsia="zh-CN" w:bidi="ar-SA"/>
                    </w:rPr>
                    <w:t>）；投放简单方便；不受PH影响</w:t>
                  </w:r>
                </w:p>
              </w:tc>
              <w:tc>
                <w:tcPr>
                  <w:tcW w:w="2283" w:type="dxa"/>
                  <w:tcBorders>
                    <w:tl2br w:val="nil"/>
                    <w:tr2bl w:val="nil"/>
                  </w:tcBorders>
                  <w:noWrap/>
                  <w:tcMar>
                    <w:top w:w="15" w:type="dxa"/>
                    <w:left w:w="15" w:type="dxa"/>
                    <w:right w:w="15" w:type="dxa"/>
                  </w:tcMar>
                  <w:vAlign w:val="center"/>
                </w:tcPr>
                <w:p w14:paraId="1478B7CC">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lang w:val="en-US" w:eastAsia="zh-CN"/>
                    </w:rPr>
                    <w:t>ClO</w:t>
                  </w:r>
                  <w:r>
                    <w:rPr>
                      <w:rFonts w:hint="default" w:ascii="Times New Roman" w:hAnsi="Times New Roman" w:eastAsia="宋体" w:cs="Times New Roman"/>
                      <w:color w:val="auto"/>
                      <w:spacing w:val="0"/>
                      <w:sz w:val="21"/>
                      <w:szCs w:val="21"/>
                      <w:vertAlign w:val="subscript"/>
                      <w:lang w:val="en-US" w:eastAsia="zh-CN"/>
                    </w:rPr>
                    <w:t>2</w:t>
                  </w:r>
                  <w:r>
                    <w:rPr>
                      <w:rFonts w:hint="default" w:ascii="Times New Roman" w:hAnsi="Times New Roman" w:eastAsia="宋体" w:cs="Times New Roman"/>
                      <w:color w:val="auto"/>
                      <w:spacing w:val="0"/>
                      <w:sz w:val="21"/>
                      <w:szCs w:val="21"/>
                      <w:vertAlign w:val="baseline"/>
                      <w:lang w:val="en-US" w:eastAsia="zh-CN"/>
                    </w:rPr>
                    <w:t>运行、管理有一定的危险性；只能就地生产，就地使用；制取设备复杂；操作管理要求高</w:t>
                  </w:r>
                </w:p>
              </w:tc>
              <w:tc>
                <w:tcPr>
                  <w:tcW w:w="885" w:type="dxa"/>
                  <w:vMerge w:val="continue"/>
                  <w:tcBorders>
                    <w:tl2br w:val="nil"/>
                    <w:tr2bl w:val="nil"/>
                  </w:tcBorders>
                  <w:noWrap/>
                  <w:tcMar>
                    <w:top w:w="15" w:type="dxa"/>
                    <w:left w:w="15" w:type="dxa"/>
                    <w:right w:w="15" w:type="dxa"/>
                  </w:tcMar>
                  <w:vAlign w:val="center"/>
                </w:tcPr>
                <w:p w14:paraId="0E307B2C">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sz w:val="21"/>
                      <w:szCs w:val="21"/>
                    </w:rPr>
                  </w:pPr>
                </w:p>
              </w:tc>
              <w:tc>
                <w:tcPr>
                  <w:tcW w:w="2316" w:type="dxa"/>
                  <w:tcBorders>
                    <w:tl2br w:val="nil"/>
                    <w:tr2bl w:val="nil"/>
                  </w:tcBorders>
                  <w:noWrap/>
                  <w:tcMar>
                    <w:top w:w="15" w:type="dxa"/>
                    <w:left w:w="15" w:type="dxa"/>
                    <w:right w:w="15" w:type="dxa"/>
                  </w:tcMar>
                  <w:vAlign w:val="center"/>
                </w:tcPr>
                <w:p w14:paraId="005B94C1">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适用于各种规模医院污水的消毒处理，但要求管理水平较高</w:t>
                  </w:r>
                </w:p>
              </w:tc>
            </w:tr>
            <w:tr w14:paraId="2451D1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2" w:type="dxa"/>
                  <w:tcBorders>
                    <w:tl2br w:val="nil"/>
                    <w:tr2bl w:val="nil"/>
                  </w:tcBorders>
                  <w:noWrap/>
                  <w:tcMar>
                    <w:top w:w="15" w:type="dxa"/>
                    <w:left w:w="15" w:type="dxa"/>
                    <w:right w:w="15" w:type="dxa"/>
                  </w:tcMar>
                  <w:vAlign w:val="center"/>
                </w:tcPr>
                <w:p w14:paraId="2EC82F27">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臭氧</w:t>
                  </w:r>
                </w:p>
                <w:p w14:paraId="166BF906">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w:t>
                  </w:r>
                  <w:r>
                    <w:rPr>
                      <w:rFonts w:hint="default" w:ascii="Times New Roman" w:hAnsi="Times New Roman" w:eastAsia="宋体" w:cs="Times New Roman"/>
                      <w:color w:val="auto"/>
                      <w:spacing w:val="0"/>
                      <w:sz w:val="21"/>
                      <w:szCs w:val="21"/>
                      <w:lang w:val="en-US" w:eastAsia="zh-CN"/>
                    </w:rPr>
                    <w:t>O</w:t>
                  </w:r>
                  <w:r>
                    <w:rPr>
                      <w:rFonts w:hint="default" w:ascii="Times New Roman" w:hAnsi="Times New Roman" w:eastAsia="宋体" w:cs="Times New Roman"/>
                      <w:color w:val="auto"/>
                      <w:spacing w:val="0"/>
                      <w:sz w:val="21"/>
                      <w:szCs w:val="21"/>
                      <w:vertAlign w:val="subscript"/>
                      <w:lang w:val="en-US" w:eastAsia="zh-CN"/>
                    </w:rPr>
                    <w:t>3</w:t>
                  </w:r>
                  <w:r>
                    <w:rPr>
                      <w:rFonts w:hint="default" w:ascii="Times New Roman" w:hAnsi="Times New Roman" w:eastAsia="宋体" w:cs="Times New Roman"/>
                      <w:color w:val="auto"/>
                      <w:spacing w:val="0"/>
                      <w:sz w:val="21"/>
                      <w:szCs w:val="21"/>
                      <w:lang w:eastAsia="zh-CN"/>
                    </w:rPr>
                    <w:t>）</w:t>
                  </w:r>
                </w:p>
              </w:tc>
              <w:tc>
                <w:tcPr>
                  <w:tcW w:w="1692" w:type="dxa"/>
                  <w:tcBorders>
                    <w:tl2br w:val="nil"/>
                    <w:tr2bl w:val="nil"/>
                  </w:tcBorders>
                  <w:noWrap/>
                  <w:tcMar>
                    <w:top w:w="15" w:type="dxa"/>
                    <w:left w:w="15" w:type="dxa"/>
                    <w:right w:w="15" w:type="dxa"/>
                  </w:tcMar>
                  <w:vAlign w:val="center"/>
                </w:tcPr>
                <w:p w14:paraId="2891C1C1">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lang w:eastAsia="zh-CN"/>
                    </w:rPr>
                    <w:t>有强氧化能力，接触时间短；不产生</w:t>
                  </w:r>
                  <w:r>
                    <w:rPr>
                      <w:rFonts w:hint="default" w:ascii="Times New Roman" w:hAnsi="Times New Roman" w:eastAsia="宋体" w:cs="Times New Roman"/>
                      <w:color w:val="auto"/>
                      <w:spacing w:val="0"/>
                      <w:sz w:val="21"/>
                      <w:szCs w:val="21"/>
                      <w:lang w:val="en-US" w:eastAsia="zh-CN" w:bidi="ar-SA"/>
                    </w:rPr>
                    <w:t>有机氯化物；不受PH影响；能增加水中溶解氧</w:t>
                  </w:r>
                </w:p>
              </w:tc>
              <w:tc>
                <w:tcPr>
                  <w:tcW w:w="2283" w:type="dxa"/>
                  <w:tcBorders>
                    <w:tl2br w:val="nil"/>
                    <w:tr2bl w:val="nil"/>
                  </w:tcBorders>
                  <w:noWrap/>
                  <w:tcMar>
                    <w:top w:w="15" w:type="dxa"/>
                    <w:left w:w="15" w:type="dxa"/>
                    <w:right w:w="15" w:type="dxa"/>
                  </w:tcMar>
                  <w:vAlign w:val="center"/>
                </w:tcPr>
                <w:p w14:paraId="18D4528C">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臭氧运行、管理有一定的危险性；操作复杂；制取臭氧的产率低；电能消耗大；基建投资较大；运行成本高</w:t>
                  </w:r>
                </w:p>
              </w:tc>
              <w:tc>
                <w:tcPr>
                  <w:tcW w:w="885" w:type="dxa"/>
                  <w:tcBorders>
                    <w:tl2br w:val="nil"/>
                    <w:tr2bl w:val="nil"/>
                  </w:tcBorders>
                  <w:noWrap/>
                  <w:tcMar>
                    <w:top w:w="15" w:type="dxa"/>
                    <w:left w:w="15" w:type="dxa"/>
                    <w:right w:w="15" w:type="dxa"/>
                  </w:tcMar>
                  <w:vAlign w:val="center"/>
                </w:tcPr>
                <w:p w14:paraId="5F7CECB4">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杀菌和杀灭病毒的效果均很好</w:t>
                  </w:r>
                </w:p>
              </w:tc>
              <w:tc>
                <w:tcPr>
                  <w:tcW w:w="2316" w:type="dxa"/>
                  <w:tcBorders>
                    <w:tl2br w:val="nil"/>
                    <w:tr2bl w:val="nil"/>
                  </w:tcBorders>
                  <w:noWrap/>
                  <w:tcMar>
                    <w:top w:w="15" w:type="dxa"/>
                    <w:left w:w="15" w:type="dxa"/>
                    <w:right w:w="15" w:type="dxa"/>
                  </w:tcMar>
                  <w:vAlign w:val="center"/>
                </w:tcPr>
                <w:p w14:paraId="7B105718">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传染病医院污水应优先采用臭氧消毒；处理出水再生回用或排入水体对水体和环境造成不良影响时应首选臭氧消毒</w:t>
                  </w:r>
                </w:p>
              </w:tc>
            </w:tr>
            <w:tr w14:paraId="2570FCB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2" w:type="dxa"/>
                  <w:tcBorders>
                    <w:tl2br w:val="nil"/>
                    <w:tr2bl w:val="nil"/>
                  </w:tcBorders>
                  <w:noWrap/>
                  <w:tcMar>
                    <w:top w:w="15" w:type="dxa"/>
                    <w:left w:w="15" w:type="dxa"/>
                    <w:right w:w="15" w:type="dxa"/>
                  </w:tcMar>
                  <w:vAlign w:val="center"/>
                </w:tcPr>
                <w:p w14:paraId="7E831840">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紫外线</w:t>
                  </w:r>
                </w:p>
              </w:tc>
              <w:tc>
                <w:tcPr>
                  <w:tcW w:w="1692" w:type="dxa"/>
                  <w:tcBorders>
                    <w:tl2br w:val="nil"/>
                    <w:tr2bl w:val="nil"/>
                  </w:tcBorders>
                  <w:noWrap/>
                  <w:tcMar>
                    <w:top w:w="15" w:type="dxa"/>
                    <w:left w:w="15" w:type="dxa"/>
                    <w:right w:w="15" w:type="dxa"/>
                  </w:tcMar>
                  <w:vAlign w:val="center"/>
                </w:tcPr>
                <w:p w14:paraId="0E886F33">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无有害的残余物质；无臭味；操作简单，易实现自动化；运行管理和维修费用低</w:t>
                  </w:r>
                </w:p>
              </w:tc>
              <w:tc>
                <w:tcPr>
                  <w:tcW w:w="2283" w:type="dxa"/>
                  <w:tcBorders>
                    <w:tl2br w:val="nil"/>
                    <w:tr2bl w:val="nil"/>
                  </w:tcBorders>
                  <w:noWrap/>
                  <w:tcMar>
                    <w:top w:w="15" w:type="dxa"/>
                    <w:left w:w="15" w:type="dxa"/>
                    <w:right w:w="15" w:type="dxa"/>
                  </w:tcMar>
                  <w:vAlign w:val="center"/>
                </w:tcPr>
                <w:p w14:paraId="3968A333">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电耗大；紫外灯管与石英套管需定期更换；对处理水的水质要求较高；无后续杀菌作用</w:t>
                  </w:r>
                </w:p>
              </w:tc>
              <w:tc>
                <w:tcPr>
                  <w:tcW w:w="885" w:type="dxa"/>
                  <w:tcBorders>
                    <w:tl2br w:val="nil"/>
                    <w:tr2bl w:val="nil"/>
                  </w:tcBorders>
                  <w:noWrap/>
                  <w:tcMar>
                    <w:top w:w="15" w:type="dxa"/>
                    <w:left w:w="15" w:type="dxa"/>
                    <w:right w:w="15" w:type="dxa"/>
                  </w:tcMar>
                  <w:vAlign w:val="center"/>
                </w:tcPr>
                <w:p w14:paraId="1AD48DEB">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效果好，但对悬浮物浓度有要求</w:t>
                  </w:r>
                </w:p>
              </w:tc>
              <w:tc>
                <w:tcPr>
                  <w:tcW w:w="2316" w:type="dxa"/>
                  <w:tcBorders>
                    <w:tl2br w:val="nil"/>
                    <w:tr2bl w:val="nil"/>
                  </w:tcBorders>
                  <w:noWrap/>
                  <w:tcMar>
                    <w:top w:w="15" w:type="dxa"/>
                    <w:left w:w="15" w:type="dxa"/>
                    <w:right w:w="15" w:type="dxa"/>
                  </w:tcMar>
                  <w:vAlign w:val="center"/>
                </w:tcPr>
                <w:p w14:paraId="1F782672">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pacing w:val="0"/>
                      <w:sz w:val="21"/>
                      <w:szCs w:val="21"/>
                      <w:lang w:eastAsia="zh-CN"/>
                    </w:rPr>
                    <w:t>当二级处理出水</w:t>
                  </w:r>
                  <w:r>
                    <w:rPr>
                      <w:rFonts w:hint="default" w:ascii="Times New Roman" w:hAnsi="Times New Roman" w:eastAsia="宋体" w:cs="Times New Roman"/>
                      <w:color w:val="auto"/>
                      <w:spacing w:val="0"/>
                      <w:sz w:val="21"/>
                      <w:szCs w:val="21"/>
                      <w:lang w:val="en-US" w:eastAsia="zh-CN"/>
                    </w:rPr>
                    <w:t>254nm紫外线透射率</w:t>
                  </w:r>
                  <w:r>
                    <w:rPr>
                      <w:rFonts w:hint="default" w:ascii="Times New Roman" w:hAnsi="Times New Roman" w:eastAsia="宋体" w:cs="Times New Roman"/>
                      <w:b w:val="0"/>
                      <w:bCs w:val="0"/>
                      <w:caps w:val="0"/>
                      <w:color w:val="auto"/>
                      <w:sz w:val="21"/>
                      <w:szCs w:val="21"/>
                      <w:highlight w:val="none"/>
                      <w:lang w:val="en-US" w:eastAsia="zh-CN"/>
                    </w:rPr>
                    <w:t>≮60%、悬浮物浓度&lt;20mg/L时，或特殊要求情况（如排入有特殊要求的水域）可采用紫外线消毒方式</w:t>
                  </w:r>
                </w:p>
              </w:tc>
            </w:tr>
          </w:tbl>
          <w:p w14:paraId="73F2EA27">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本项目使用含氯消毒剂二氯异氰尿酸钠（C</w:t>
            </w:r>
            <w:r>
              <w:rPr>
                <w:rFonts w:hint="default" w:ascii="Times New Roman" w:hAnsi="Times New Roman" w:eastAsia="宋体" w:cs="Times New Roman"/>
                <w:b w:val="0"/>
                <w:bCs w:val="0"/>
                <w:caps w:val="0"/>
                <w:color w:val="auto"/>
                <w:sz w:val="24"/>
                <w:szCs w:val="24"/>
                <w:highlight w:val="none"/>
                <w:vertAlign w:val="subscript"/>
                <w:lang w:val="en-US" w:eastAsia="zh-CN"/>
              </w:rPr>
              <w:t>3</w:t>
            </w:r>
            <w:r>
              <w:rPr>
                <w:rFonts w:hint="default" w:ascii="Times New Roman" w:hAnsi="Times New Roman" w:eastAsia="宋体" w:cs="Times New Roman"/>
                <w:b w:val="0"/>
                <w:bCs w:val="0"/>
                <w:caps w:val="0"/>
                <w:color w:val="auto"/>
                <w:sz w:val="24"/>
                <w:szCs w:val="24"/>
                <w:highlight w:val="none"/>
                <w:lang w:val="en-US" w:eastAsia="zh-CN"/>
              </w:rPr>
              <w:t>O</w:t>
            </w:r>
            <w:r>
              <w:rPr>
                <w:rFonts w:hint="default" w:ascii="Times New Roman" w:hAnsi="Times New Roman" w:eastAsia="宋体" w:cs="Times New Roman"/>
                <w:b w:val="0"/>
                <w:bCs w:val="0"/>
                <w:caps w:val="0"/>
                <w:color w:val="auto"/>
                <w:sz w:val="24"/>
                <w:szCs w:val="24"/>
                <w:highlight w:val="none"/>
                <w:vertAlign w:val="subscript"/>
                <w:lang w:val="en-US" w:eastAsia="zh-CN"/>
              </w:rPr>
              <w:t>3</w:t>
            </w:r>
            <w:r>
              <w:rPr>
                <w:rFonts w:hint="default" w:ascii="Times New Roman" w:hAnsi="Times New Roman" w:eastAsia="宋体" w:cs="Times New Roman"/>
                <w:b w:val="0"/>
                <w:bCs w:val="0"/>
                <w:caps w:val="0"/>
                <w:color w:val="auto"/>
                <w:sz w:val="24"/>
                <w:szCs w:val="24"/>
                <w:highlight w:val="none"/>
                <w:lang w:val="en-US" w:eastAsia="zh-CN"/>
              </w:rPr>
              <w:t>N</w:t>
            </w:r>
            <w:r>
              <w:rPr>
                <w:rFonts w:hint="default" w:ascii="Times New Roman" w:hAnsi="Times New Roman" w:eastAsia="宋体" w:cs="Times New Roman"/>
                <w:b w:val="0"/>
                <w:bCs w:val="0"/>
                <w:caps w:val="0"/>
                <w:color w:val="auto"/>
                <w:sz w:val="24"/>
                <w:szCs w:val="24"/>
                <w:highlight w:val="none"/>
                <w:vertAlign w:val="subscript"/>
                <w:lang w:val="en-US" w:eastAsia="zh-CN"/>
              </w:rPr>
              <w:t>3</w:t>
            </w:r>
            <w:r>
              <w:rPr>
                <w:rFonts w:hint="default" w:ascii="Times New Roman" w:hAnsi="Times New Roman" w:eastAsia="宋体" w:cs="Times New Roman"/>
                <w:b w:val="0"/>
                <w:bCs w:val="0"/>
                <w:caps w:val="0"/>
                <w:color w:val="auto"/>
                <w:sz w:val="24"/>
                <w:szCs w:val="24"/>
                <w:highlight w:val="none"/>
                <w:lang w:val="en-US" w:eastAsia="zh-CN"/>
              </w:rPr>
              <w:t>Cl</w:t>
            </w:r>
            <w:r>
              <w:rPr>
                <w:rFonts w:hint="default" w:ascii="Times New Roman" w:hAnsi="Times New Roman" w:eastAsia="宋体" w:cs="Times New Roman"/>
                <w:b w:val="0"/>
                <w:bCs w:val="0"/>
                <w:caps w:val="0"/>
                <w:color w:val="auto"/>
                <w:sz w:val="24"/>
                <w:szCs w:val="24"/>
                <w:highlight w:val="none"/>
                <w:vertAlign w:val="subscript"/>
                <w:lang w:val="en-US" w:eastAsia="zh-CN"/>
              </w:rPr>
              <w:t>2</w:t>
            </w:r>
            <w:r>
              <w:rPr>
                <w:rFonts w:hint="default" w:ascii="Times New Roman" w:hAnsi="Times New Roman" w:eastAsia="宋体" w:cs="Times New Roman"/>
                <w:b w:val="0"/>
                <w:bCs w:val="0"/>
                <w:caps w:val="0"/>
                <w:color w:val="auto"/>
                <w:sz w:val="24"/>
                <w:szCs w:val="24"/>
                <w:highlight w:val="none"/>
                <w:lang w:val="en-US" w:eastAsia="zh-CN"/>
              </w:rPr>
              <w:t>Na）</w:t>
            </w:r>
            <w:r>
              <w:rPr>
                <w:rFonts w:hint="default" w:ascii="Times New Roman" w:hAnsi="Times New Roman" w:eastAsia="宋体" w:cs="Times New Roman"/>
                <w:b w:val="0"/>
                <w:bCs w:val="0"/>
                <w:caps w:val="0"/>
                <w:color w:val="auto"/>
                <w:sz w:val="24"/>
                <w:szCs w:val="24"/>
                <w:highlight w:val="none"/>
                <w:lang w:val="en-US" w:eastAsia="zh-CN"/>
              </w:rPr>
              <w:tab/>
            </w:r>
            <w:r>
              <w:rPr>
                <w:rFonts w:hint="default" w:ascii="Times New Roman" w:hAnsi="Times New Roman" w:eastAsia="宋体" w:cs="Times New Roman"/>
                <w:b w:val="0"/>
                <w:bCs w:val="0"/>
                <w:caps w:val="0"/>
                <w:color w:val="auto"/>
                <w:sz w:val="24"/>
                <w:szCs w:val="24"/>
                <w:highlight w:val="none"/>
                <w:lang w:val="en-US" w:eastAsia="zh-CN"/>
              </w:rPr>
              <w:t>，是氧化性杀菌剂中杀菌最为广谱、高效、安全的消毒剂；可强力杀灭细菌芽孢、细菌繁殖体、真菌等各种致病性微生物，对肝炎病毒有特效杀灭作用。</w:t>
            </w:r>
          </w:p>
          <w:p w14:paraId="1EAFF959">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Ⅳ污泥处理工艺</w:t>
            </w:r>
          </w:p>
          <w:p w14:paraId="02258901">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根据《医院污水处理工程技术规范》（HJ2029-2013）要求，污泥脱水宜采用离心式脱水机，脱水污泥含水率应小于80%，医院污泥应按危险废物处理处置。污泥清掏前进行监测，达到《医疗机构水污染物排放标准》（GB 18466-2005）表4医疗机构污泥控制标准中综合医疗机构和其他医疗机构标准要求。</w:t>
            </w:r>
          </w:p>
          <w:p w14:paraId="6F1AB9E2">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本项目污泥采用离心式浓缩脱水一体机进行浓缩脱水，脱水后泥饼暂存于危废暂存库暂存，定期由鄂尔多斯市馨蕊医疗废物处置有限责任公司处置，污泥滤液返回调节池再次处理。</w:t>
            </w:r>
          </w:p>
          <w:p w14:paraId="230FF8F4">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（4）污水排放方式：项目为医院建设项目，年工作365天，每天工作24h；项目废水为间接排放，废水经化粪池收集预处理后，排入污水处理设施处理，出水水质达到《医疗机构水污染物排放标准》（GB 18466-2005）表2综合医疗机构和其他医疗机构水污染物排放限值（日均值）预处理标准要求后排入市政污水管网最终进入东胜区北郊水质净化厂。</w:t>
            </w:r>
          </w:p>
          <w:p w14:paraId="2FE9E2AA">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2" w:firstLineChars="200"/>
              <w:jc w:val="both"/>
              <w:textAlignment w:val="auto"/>
              <w:rPr>
                <w:rFonts w:hint="default" w:ascii="Times New Roman" w:hAnsi="Times New Roman" w:eastAsia="宋体" w:cs="Times New Roman"/>
                <w:b/>
                <w:bCs/>
                <w:caps w:val="0"/>
                <w:color w:val="auto"/>
                <w:sz w:val="24"/>
                <w:szCs w:val="24"/>
                <w:highlight w:val="none"/>
                <w:lang w:val="en-US" w:eastAsia="zh-CN"/>
              </w:rPr>
            </w:pPr>
            <w:r>
              <w:rPr>
                <w:rFonts w:hint="default" w:ascii="Times New Roman" w:hAnsi="Times New Roman" w:eastAsia="宋体" w:cs="Times New Roman"/>
                <w:b/>
                <w:bCs/>
                <w:caps w:val="0"/>
                <w:color w:val="auto"/>
                <w:sz w:val="24"/>
                <w:szCs w:val="24"/>
                <w:highlight w:val="none"/>
                <w:lang w:val="en-US" w:eastAsia="zh-CN"/>
              </w:rPr>
              <w:t>污水处理厂依托可行性分析：</w:t>
            </w:r>
          </w:p>
          <w:p w14:paraId="3718DDC6">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东胜区北郊水质净化厂位于东胜城区北郊绕城线外（公园街道办事处碾盘梁村前社），占地328亩。东胜区北郊水质净化厂污水处理规模一期6万m</w:t>
            </w:r>
            <w:r>
              <w:rPr>
                <w:rFonts w:hint="default" w:ascii="Times New Roman" w:hAnsi="Times New Roman" w:eastAsia="宋体" w:cs="Times New Roman"/>
                <w:b w:val="0"/>
                <w:bCs w:val="0"/>
                <w:caps w:val="0"/>
                <w:color w:val="auto"/>
                <w:sz w:val="24"/>
                <w:szCs w:val="24"/>
                <w:highlight w:val="none"/>
                <w:vertAlign w:val="superscript"/>
                <w:lang w:val="en-US" w:eastAsia="zh-CN"/>
              </w:rPr>
              <w:t>3</w:t>
            </w:r>
            <w:r>
              <w:rPr>
                <w:rFonts w:hint="default" w:ascii="Times New Roman" w:hAnsi="Times New Roman" w:eastAsia="宋体" w:cs="Times New Roman"/>
                <w:b w:val="0"/>
                <w:bCs w:val="0"/>
                <w:caps w:val="0"/>
                <w:color w:val="auto"/>
                <w:sz w:val="24"/>
                <w:szCs w:val="24"/>
                <w:highlight w:val="none"/>
                <w:lang w:val="en-US" w:eastAsia="zh-CN"/>
              </w:rPr>
              <w:t>/d，二期4万m</w:t>
            </w:r>
            <w:r>
              <w:rPr>
                <w:rFonts w:hint="default" w:ascii="Times New Roman" w:hAnsi="Times New Roman" w:eastAsia="宋体" w:cs="Times New Roman"/>
                <w:b w:val="0"/>
                <w:bCs w:val="0"/>
                <w:caps w:val="0"/>
                <w:color w:val="auto"/>
                <w:sz w:val="24"/>
                <w:szCs w:val="24"/>
                <w:highlight w:val="none"/>
                <w:vertAlign w:val="superscript"/>
                <w:lang w:val="en-US" w:eastAsia="zh-CN"/>
              </w:rPr>
              <w:t>3</w:t>
            </w:r>
            <w:r>
              <w:rPr>
                <w:rFonts w:hint="default" w:ascii="Times New Roman" w:hAnsi="Times New Roman" w:eastAsia="宋体" w:cs="Times New Roman"/>
                <w:b w:val="0"/>
                <w:bCs w:val="0"/>
                <w:caps w:val="0"/>
                <w:color w:val="auto"/>
                <w:sz w:val="24"/>
                <w:szCs w:val="24"/>
                <w:highlight w:val="none"/>
                <w:lang w:val="en-US" w:eastAsia="zh-CN"/>
              </w:rPr>
              <w:t>/d。一期工程主体工艺采用“卡鲁塞尔2000改良型TU氧化沟+絮凝沉淀+滤池+臭氧脱色+超滤工艺”，二期工程采用强化脱氮除磷膜生物反应器（MBR）技术。本项目废水排放量较小，东胜区北郊水质净化厂能完全接纳该部分废水。因此，项目废水接管可行。北郊水质净化厂出水水质达到了《城镇污水处理厂污染物排放标准》及修改单一级A标准，并同时满足《城市污水再生利用景观环境用水水质》（GBT18921-2019）、《城市污水再生利用城市杂用水水质》（GBT18920-2020）和《城市污水再生利用工业用水水质》（GBT19923-2005）的水质要求，北郊水质净化厂所处理的中水主要用于工业用冷却用水和工艺用水、东胜城区景观用水。</w:t>
            </w:r>
          </w:p>
          <w:p w14:paraId="2537BB85">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（5）工艺可行性分析</w:t>
            </w:r>
          </w:p>
          <w:p w14:paraId="5BF0386B">
            <w:pPr>
              <w:pStyle w:val="57"/>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0" w:firstLineChars="200"/>
              <w:jc w:val="both"/>
              <w:textAlignment w:val="auto"/>
              <w:rPr>
                <w:rFonts w:hint="default" w:ascii="Times New Roman" w:hAnsi="Times New Roman" w:eastAsia="宋体" w:cs="Times New Roman"/>
                <w:color w:val="auto"/>
                <w:spacing w:val="-2"/>
                <w:sz w:val="24"/>
                <w:szCs w:val="24"/>
                <w:lang w:val="en-US" w:eastAsia="zh-CN"/>
              </w:rPr>
            </w:pPr>
            <w:r>
              <w:rPr>
                <w:rFonts w:hint="default" w:ascii="Times New Roman" w:hAnsi="Times New Roman" w:eastAsia="宋体" w:cs="Times New Roman"/>
                <w:b w:val="0"/>
                <w:bCs w:val="0"/>
                <w:caps w:val="0"/>
                <w:color w:val="auto"/>
                <w:sz w:val="24"/>
                <w:szCs w:val="24"/>
                <w:highlight w:val="none"/>
                <w:lang w:val="en-US" w:eastAsia="zh-CN"/>
              </w:rPr>
              <w:t>Ⅰ</w:t>
            </w:r>
            <w:r>
              <w:rPr>
                <w:rFonts w:hint="default" w:ascii="Times New Roman" w:hAnsi="Times New Roman" w:eastAsia="宋体" w:cs="Times New Roman"/>
                <w:color w:val="auto"/>
                <w:spacing w:val="-2"/>
                <w:sz w:val="24"/>
                <w:szCs w:val="24"/>
                <w:lang w:val="en-US" w:eastAsia="zh-CN"/>
              </w:rPr>
              <w:t>污水处理站废水特征</w:t>
            </w:r>
          </w:p>
          <w:p w14:paraId="43A8D41C">
            <w:pPr>
              <w:pStyle w:val="57"/>
              <w:keepNext w:val="0"/>
              <w:keepLines w:val="0"/>
              <w:pageBreakBefore w:val="0"/>
              <w:widowControl w:val="0"/>
              <w:kinsoku/>
              <w:wordWrap/>
              <w:overflowPunct/>
              <w:topLinePunct w:val="0"/>
              <w:autoSpaceDE/>
              <w:autoSpaceDN/>
              <w:bidi w:val="0"/>
              <w:adjustRightInd/>
              <w:snapToGrid/>
              <w:spacing w:line="520" w:lineRule="exact"/>
              <w:ind w:left="0" w:leftChars="0" w:firstLine="472" w:firstLineChars="200"/>
              <w:jc w:val="both"/>
              <w:textAlignment w:val="auto"/>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①含有大量的病原体，如病菌、病毒和寄生虫卵等，包括粪大肠菌群、大肠菌群、伤寒杆菌、痢疾杆菌、肠道病毒、肝炎病毒等；</w:t>
            </w:r>
          </w:p>
          <w:p w14:paraId="10172C38">
            <w:pPr>
              <w:pStyle w:val="57"/>
              <w:keepNext w:val="0"/>
              <w:keepLines w:val="0"/>
              <w:pageBreakBefore w:val="0"/>
              <w:widowControl w:val="0"/>
              <w:kinsoku/>
              <w:wordWrap/>
              <w:overflowPunct/>
              <w:topLinePunct w:val="0"/>
              <w:autoSpaceDE/>
              <w:autoSpaceDN/>
              <w:bidi w:val="0"/>
              <w:adjustRightInd/>
              <w:snapToGrid/>
              <w:spacing w:line="520" w:lineRule="exact"/>
              <w:ind w:left="0" w:leftChars="0" w:firstLine="472" w:firstLineChars="200"/>
              <w:jc w:val="both"/>
              <w:textAlignment w:val="auto"/>
              <w:rPr>
                <w:rFonts w:hint="default" w:ascii="Times New Roman" w:hAnsi="Times New Roman" w:eastAsia="宋体" w:cs="Times New Roman"/>
                <w:color w:val="auto"/>
                <w:spacing w:val="-2"/>
                <w:sz w:val="24"/>
                <w:szCs w:val="24"/>
                <w:lang w:eastAsia="zh-CN"/>
              </w:rPr>
            </w:pPr>
            <w:r>
              <w:rPr>
                <w:rFonts w:hint="default" w:ascii="Times New Roman" w:hAnsi="Times New Roman" w:eastAsia="宋体" w:cs="Times New Roman"/>
                <w:color w:val="auto"/>
                <w:spacing w:val="-2"/>
                <w:sz w:val="24"/>
                <w:szCs w:val="24"/>
              </w:rPr>
              <w:t>②含有消毒剂、药剂、试剂等多种化学物质。其污染因子主要表现在 COD、BOD、SS、NH</w:t>
            </w:r>
            <w:r>
              <w:rPr>
                <w:rFonts w:hint="default" w:ascii="Times New Roman" w:hAnsi="Times New Roman" w:eastAsia="宋体" w:cs="Times New Roman"/>
                <w:color w:val="auto"/>
                <w:spacing w:val="-2"/>
                <w:sz w:val="24"/>
                <w:szCs w:val="24"/>
                <w:vertAlign w:val="subscript"/>
              </w:rPr>
              <w:t>3</w:t>
            </w:r>
            <w:r>
              <w:rPr>
                <w:rFonts w:hint="default" w:ascii="Times New Roman" w:hAnsi="Times New Roman" w:eastAsia="宋体" w:cs="Times New Roman"/>
                <w:color w:val="auto"/>
                <w:spacing w:val="-2"/>
                <w:sz w:val="24"/>
                <w:szCs w:val="24"/>
              </w:rPr>
              <w:t>-N、粪大肠菌群、动植物油及 LAS 等</w:t>
            </w:r>
            <w:r>
              <w:rPr>
                <w:rFonts w:hint="default" w:ascii="Times New Roman" w:hAnsi="Times New Roman" w:eastAsia="宋体" w:cs="Times New Roman"/>
                <w:color w:val="auto"/>
                <w:spacing w:val="-2"/>
                <w:sz w:val="24"/>
                <w:szCs w:val="24"/>
                <w:lang w:eastAsia="zh-CN"/>
              </w:rPr>
              <w:t>；</w:t>
            </w:r>
          </w:p>
          <w:p w14:paraId="7216A114">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③医院污水具有水量小，波动大，流量不规则，存在季节性和周期性差异。夏季排水量大，其他季节排水量相对较小。工作日排水量大，休息日排水量小，昼夜、早晚差距大等特征。</w:t>
            </w:r>
          </w:p>
          <w:p w14:paraId="3D59F832">
            <w:pPr>
              <w:pStyle w:val="45"/>
              <w:keepNext w:val="0"/>
              <w:keepLines w:val="0"/>
              <w:pageBreakBefore w:val="0"/>
              <w:widowControl w:val="0"/>
              <w:kinsoku/>
              <w:wordWrap/>
              <w:overflowPunct/>
              <w:topLinePunct w:val="0"/>
              <w:autoSpaceDE/>
              <w:autoSpaceDN/>
              <w:bidi w:val="0"/>
              <w:snapToGrid/>
              <w:spacing w:line="520" w:lineRule="exact"/>
              <w:ind w:left="0" w:leftChars="0" w:firstLine="480" w:firstLineChars="200"/>
              <w:jc w:val="both"/>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Ⅱ处理规模可行性分析</w:t>
            </w:r>
          </w:p>
          <w:p w14:paraId="155BA78E">
            <w:pPr>
              <w:pStyle w:val="45"/>
              <w:keepNext w:val="0"/>
              <w:keepLines w:val="0"/>
              <w:pageBreakBefore w:val="0"/>
              <w:widowControl w:val="0"/>
              <w:kinsoku/>
              <w:wordWrap/>
              <w:overflowPunct/>
              <w:topLinePunct w:val="0"/>
              <w:autoSpaceDE/>
              <w:autoSpaceDN/>
              <w:bidi w:val="0"/>
              <w:snapToGrid/>
              <w:spacing w:line="520" w:lineRule="exact"/>
              <w:ind w:left="0" w:leftChars="0" w:firstLine="480" w:firstLineChars="200"/>
              <w:jc w:val="both"/>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本项目</w:t>
            </w:r>
            <w:r>
              <w:rPr>
                <w:rFonts w:hint="default" w:ascii="Times New Roman" w:hAnsi="Times New Roman" w:eastAsia="宋体" w:cs="Times New Roman"/>
                <w:color w:val="auto"/>
                <w:sz w:val="24"/>
                <w:szCs w:val="24"/>
                <w:lang w:val="en-US" w:eastAsia="zh-CN"/>
              </w:rPr>
              <w:t>污水处理站</w:t>
            </w:r>
            <w:r>
              <w:rPr>
                <w:rFonts w:hint="default" w:ascii="Times New Roman" w:hAnsi="Times New Roman" w:eastAsia="宋体" w:cs="Times New Roman"/>
                <w:color w:val="auto"/>
                <w:sz w:val="24"/>
                <w:szCs w:val="24"/>
                <w:lang w:val="en-US"/>
              </w:rPr>
              <w:t>进出水水量为</w:t>
            </w:r>
            <w:r>
              <w:rPr>
                <w:rFonts w:hint="default" w:ascii="Times New Roman" w:hAnsi="Times New Roman" w:eastAsia="宋体" w:cs="Times New Roman"/>
                <w:color w:val="auto"/>
                <w:sz w:val="24"/>
                <w:szCs w:val="24"/>
                <w:lang w:val="en-US" w:eastAsia="zh-CN"/>
              </w:rPr>
              <w:t>54.4</w:t>
            </w:r>
            <w:r>
              <w:rPr>
                <w:rFonts w:hint="default" w:ascii="Times New Roman" w:hAnsi="Times New Roman" w:eastAsia="宋体" w:cs="Times New Roman"/>
                <w:color w:val="auto"/>
                <w:sz w:val="24"/>
                <w:szCs w:val="24"/>
                <w:lang w:val="en-US"/>
              </w:rPr>
              <w:t>m</w:t>
            </w:r>
            <w:r>
              <w:rPr>
                <w:rFonts w:hint="default" w:ascii="Times New Roman" w:hAnsi="Times New Roman" w:eastAsia="宋体" w:cs="Times New Roman"/>
                <w:color w:val="auto"/>
                <w:sz w:val="24"/>
                <w:szCs w:val="24"/>
                <w:vertAlign w:val="superscript"/>
                <w:lang w:val="en-US"/>
              </w:rPr>
              <w:t>3</w:t>
            </w:r>
            <w:r>
              <w:rPr>
                <w:rFonts w:hint="default" w:ascii="Times New Roman" w:hAnsi="Times New Roman" w:eastAsia="宋体" w:cs="Times New Roman"/>
                <w:color w:val="auto"/>
                <w:sz w:val="24"/>
                <w:szCs w:val="24"/>
                <w:lang w:val="en-US"/>
              </w:rPr>
              <w:t>/</w:t>
            </w:r>
            <w:r>
              <w:rPr>
                <w:rFonts w:hint="default" w:ascii="Times New Roman" w:hAnsi="Times New Roman" w:eastAsia="宋体" w:cs="Times New Roman"/>
                <w:color w:val="auto"/>
                <w:sz w:val="24"/>
                <w:szCs w:val="24"/>
                <w:lang w:val="en-US" w:eastAsia="zh-CN"/>
              </w:rPr>
              <w:t>d</w:t>
            </w:r>
            <w:r>
              <w:rPr>
                <w:rFonts w:hint="default" w:ascii="Times New Roman" w:hAnsi="Times New Roman" w:eastAsia="宋体" w:cs="Times New Roman"/>
                <w:color w:val="auto"/>
                <w:sz w:val="24"/>
                <w:szCs w:val="24"/>
                <w:lang w:val="en-US"/>
              </w:rPr>
              <w:t>，运行时间36</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val="en-US"/>
              </w:rPr>
              <w:t>天。污水处理间设计规模为</w:t>
            </w:r>
            <w:r>
              <w:rPr>
                <w:rFonts w:hint="default" w:ascii="Times New Roman" w:hAnsi="Times New Roman" w:eastAsia="宋体" w:cs="Times New Roman"/>
                <w:color w:val="auto"/>
                <w:sz w:val="24"/>
                <w:szCs w:val="24"/>
                <w:lang w:val="en-US" w:eastAsia="zh-CN"/>
              </w:rPr>
              <w:t>80</w:t>
            </w:r>
            <w:r>
              <w:rPr>
                <w:rFonts w:hint="default" w:ascii="Times New Roman" w:hAnsi="Times New Roman" w:eastAsia="宋体" w:cs="Times New Roman"/>
                <w:color w:val="auto"/>
                <w:sz w:val="24"/>
                <w:szCs w:val="24"/>
                <w:lang w:val="en-US"/>
              </w:rPr>
              <w:t>m</w:t>
            </w:r>
            <w:r>
              <w:rPr>
                <w:rFonts w:hint="default" w:ascii="Times New Roman" w:hAnsi="Times New Roman" w:eastAsia="宋体" w:cs="Times New Roman"/>
                <w:color w:val="auto"/>
                <w:sz w:val="24"/>
                <w:szCs w:val="24"/>
                <w:vertAlign w:val="superscript"/>
                <w:lang w:val="en-US"/>
              </w:rPr>
              <w:t>3</w:t>
            </w:r>
            <w:r>
              <w:rPr>
                <w:rFonts w:hint="default" w:ascii="Times New Roman" w:hAnsi="Times New Roman" w:eastAsia="宋体" w:cs="Times New Roman"/>
                <w:color w:val="auto"/>
                <w:sz w:val="24"/>
                <w:szCs w:val="24"/>
                <w:lang w:val="en-US"/>
              </w:rPr>
              <w:t>/d，可满足项目排水水量的处理要求。</w:t>
            </w:r>
            <w:r>
              <w:rPr>
                <w:rFonts w:hint="default" w:ascii="Times New Roman" w:hAnsi="Times New Roman" w:eastAsia="宋体" w:cs="Times New Roman"/>
                <w:color w:val="auto"/>
                <w:sz w:val="24"/>
                <w:szCs w:val="24"/>
                <w:lang w:val="en-US" w:eastAsia="zh-CN"/>
              </w:rPr>
              <w:t>因此，</w:t>
            </w:r>
            <w:r>
              <w:rPr>
                <w:rFonts w:hint="default" w:ascii="Times New Roman" w:hAnsi="Times New Roman" w:eastAsia="宋体" w:cs="Times New Roman"/>
                <w:color w:val="auto"/>
                <w:sz w:val="24"/>
                <w:szCs w:val="24"/>
                <w:lang w:val="en-US"/>
              </w:rPr>
              <w:t>本项目污水处理</w:t>
            </w:r>
            <w:r>
              <w:rPr>
                <w:rFonts w:hint="default" w:ascii="Times New Roman" w:hAnsi="Times New Roman" w:eastAsia="宋体" w:cs="Times New Roman"/>
                <w:color w:val="auto"/>
                <w:sz w:val="24"/>
                <w:szCs w:val="24"/>
                <w:lang w:val="en-US" w:eastAsia="zh-CN"/>
              </w:rPr>
              <w:t>规模</w:t>
            </w:r>
            <w:r>
              <w:rPr>
                <w:rFonts w:hint="default" w:ascii="Times New Roman" w:hAnsi="Times New Roman" w:eastAsia="宋体" w:cs="Times New Roman"/>
                <w:color w:val="auto"/>
                <w:sz w:val="24"/>
                <w:szCs w:val="24"/>
                <w:lang w:val="en-US"/>
              </w:rPr>
              <w:t>可行。</w:t>
            </w:r>
          </w:p>
          <w:p w14:paraId="164CBF35">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color w:val="auto"/>
                <w:spacing w:val="-2"/>
                <w:sz w:val="24"/>
                <w:szCs w:val="24"/>
                <w:lang w:eastAsia="zh-CN"/>
              </w:rPr>
            </w:pPr>
            <w:r>
              <w:rPr>
                <w:rFonts w:hint="default" w:ascii="Times New Roman" w:hAnsi="Times New Roman" w:eastAsia="宋体" w:cs="Times New Roman"/>
                <w:b w:val="0"/>
                <w:bCs w:val="0"/>
                <w:caps w:val="0"/>
                <w:color w:val="auto"/>
                <w:sz w:val="24"/>
                <w:szCs w:val="24"/>
                <w:highlight w:val="none"/>
                <w:lang w:val="en-US" w:eastAsia="zh-CN"/>
              </w:rPr>
              <w:t>Ⅲ</w:t>
            </w:r>
            <w:r>
              <w:rPr>
                <w:rFonts w:hint="default" w:ascii="Times New Roman" w:hAnsi="Times New Roman" w:eastAsia="宋体" w:cs="Times New Roman"/>
                <w:color w:val="auto"/>
                <w:spacing w:val="-2"/>
                <w:sz w:val="24"/>
                <w:szCs w:val="24"/>
              </w:rPr>
              <w:t>污水处理工艺</w:t>
            </w:r>
            <w:r>
              <w:rPr>
                <w:rFonts w:hint="default" w:ascii="Times New Roman" w:hAnsi="Times New Roman" w:eastAsia="宋体" w:cs="Times New Roman"/>
                <w:color w:val="auto"/>
                <w:spacing w:val="-2"/>
                <w:sz w:val="24"/>
                <w:szCs w:val="24"/>
                <w:lang w:eastAsia="zh-CN"/>
              </w:rPr>
              <w:t>可行性分析</w:t>
            </w:r>
          </w:p>
          <w:p w14:paraId="371F835C">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医院污水中所含的主要污染物为：病原体（寄生虫卵、病原菌、病毒等）、有机物、漂浮及悬浮物、放射性污染物等。通常采取物化+生化方法处理，主要工艺有絮凝沉淀+水解酸化+深度氧化+消毒法。</w:t>
            </w:r>
          </w:p>
          <w:p w14:paraId="028B874A">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水解酸化—生物接触氧化法克服了常规好氧活性污泥法处理高浓度有机废水能耗高、稀释水量大、占地面积大以及运转费用高等缺点。接触氧化池是浸没曝气式生物滤池，池中设有填料，利用填料上挂有的生物膜将废水中的有机物质吸附并氧化分解。微生物所需要的氧气采用风机曝气。接触氧化池具有以下特点：</w:t>
            </w:r>
          </w:p>
          <w:p w14:paraId="636517E6">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A</w:t>
            </w:r>
            <w:r>
              <w:rPr>
                <w:rFonts w:hint="default" w:ascii="Times New Roman" w:hAnsi="Times New Roman" w:eastAsia="宋体" w:cs="Times New Roman"/>
                <w:b w:val="0"/>
                <w:bCs w:val="0"/>
                <w:caps w:val="0"/>
                <w:color w:val="auto"/>
                <w:sz w:val="24"/>
                <w:szCs w:val="24"/>
                <w:highlight w:val="none"/>
                <w:lang w:val="en-US" w:eastAsia="zh-CN"/>
              </w:rPr>
              <w:t>.填料比表面积大，池内充氧条件好，接触氧化池内单位容积的生物量高于活性污泥法曝气池及生物滤池，因此，它可以达到较高的容积负荷；</w:t>
            </w:r>
          </w:p>
          <w:p w14:paraId="6D0FB546">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B</w:t>
            </w:r>
            <w:r>
              <w:rPr>
                <w:rFonts w:hint="default" w:ascii="Times New Roman" w:hAnsi="Times New Roman" w:eastAsia="宋体" w:cs="Times New Roman"/>
                <w:b w:val="0"/>
                <w:bCs w:val="0"/>
                <w:caps w:val="0"/>
                <w:color w:val="auto"/>
                <w:sz w:val="24"/>
                <w:szCs w:val="24"/>
                <w:highlight w:val="none"/>
                <w:lang w:val="en-US" w:eastAsia="zh-CN"/>
              </w:rPr>
              <w:t>.由于相当一部分微生物固着生长在填料表面，运行管理方便；</w:t>
            </w:r>
          </w:p>
          <w:p w14:paraId="5CBB8BE4">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C</w:t>
            </w:r>
            <w:r>
              <w:rPr>
                <w:rFonts w:hint="default" w:ascii="Times New Roman" w:hAnsi="Times New Roman" w:eastAsia="宋体" w:cs="Times New Roman"/>
                <w:b w:val="0"/>
                <w:bCs w:val="0"/>
                <w:caps w:val="0"/>
                <w:color w:val="auto"/>
                <w:sz w:val="24"/>
                <w:szCs w:val="24"/>
                <w:highlight w:val="none"/>
                <w:lang w:val="en-US" w:eastAsia="zh-CN"/>
              </w:rPr>
              <w:t>.由于池内固着量多，水流属完全混合型，因此它对水质、水量的骤变有较强的适用能力。</w:t>
            </w:r>
          </w:p>
          <w:p w14:paraId="3A745458">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去除水中可生物降解的有机污染物，可采用膜将净化后的水和活性污泥进行固液分离。MBR工艺其高效的处理效果，已被广泛的应用于各领域的污水处理。MBR工艺具有以下特点：</w:t>
            </w:r>
          </w:p>
          <w:p w14:paraId="12A0E46E">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A</w:t>
            </w:r>
            <w:r>
              <w:rPr>
                <w:rFonts w:hint="default" w:ascii="Times New Roman" w:hAnsi="Times New Roman" w:eastAsia="宋体" w:cs="Times New Roman"/>
                <w:b w:val="0"/>
                <w:bCs w:val="0"/>
                <w:caps w:val="0"/>
                <w:color w:val="auto"/>
                <w:sz w:val="24"/>
                <w:szCs w:val="24"/>
                <w:highlight w:val="none"/>
                <w:lang w:val="en-US" w:eastAsia="zh-CN"/>
              </w:rPr>
              <w:t>.采用MBR工艺，由于污泥浓度高，可以在高负荷下运转，所以可以大幅度地节约占地面积；</w:t>
            </w:r>
          </w:p>
          <w:p w14:paraId="691205C0">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B</w:t>
            </w:r>
            <w:r>
              <w:rPr>
                <w:rFonts w:hint="default" w:ascii="Times New Roman" w:hAnsi="Times New Roman" w:eastAsia="宋体" w:cs="Times New Roman"/>
                <w:b w:val="0"/>
                <w:bCs w:val="0"/>
                <w:caps w:val="0"/>
                <w:color w:val="auto"/>
                <w:sz w:val="24"/>
                <w:szCs w:val="24"/>
                <w:highlight w:val="none"/>
                <w:lang w:val="en-US" w:eastAsia="zh-CN"/>
              </w:rPr>
              <w:t>.出水水质稳定、透明度高。中空纤维膜能够截留几乎所有的微生物，尤其是针对难以沉淀的、增殖速度慢的微生物，因此系统内的生物相极大丰富，活性污泥驯化、增量的过程大大缩短，处理的深度和系统抗冲击的能力得以加强，出水水质非常稳定；</w:t>
            </w:r>
          </w:p>
          <w:p w14:paraId="3B8F2F29">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C</w:t>
            </w:r>
            <w:r>
              <w:rPr>
                <w:rFonts w:hint="default" w:ascii="Times New Roman" w:hAnsi="Times New Roman" w:eastAsia="宋体" w:cs="Times New Roman"/>
                <w:b w:val="0"/>
                <w:bCs w:val="0"/>
                <w:caps w:val="0"/>
                <w:color w:val="auto"/>
                <w:sz w:val="24"/>
                <w:szCs w:val="24"/>
                <w:highlight w:val="none"/>
                <w:lang w:val="en-US" w:eastAsia="zh-CN"/>
              </w:rPr>
              <w:t>.运行管理方便、维护简单。传统的好氧活性污泥处理工艺，在高污泥负荷的情况</w:t>
            </w:r>
            <w:r>
              <w:rPr>
                <w:rFonts w:hint="eastAsia" w:ascii="Times New Roman" w:hAnsi="Times New Roman" w:eastAsia="宋体" w:cs="Times New Roman"/>
                <w:b w:val="0"/>
                <w:bCs w:val="0"/>
                <w:caps w:val="0"/>
                <w:color w:val="auto"/>
                <w:sz w:val="24"/>
                <w:szCs w:val="24"/>
                <w:highlight w:val="none"/>
                <w:lang w:val="en-US" w:eastAsia="zh-CN"/>
              </w:rPr>
              <w:t>下</w:t>
            </w:r>
            <w:r>
              <w:rPr>
                <w:rFonts w:hint="default" w:ascii="Times New Roman" w:hAnsi="Times New Roman" w:eastAsia="宋体" w:cs="Times New Roman"/>
                <w:b w:val="0"/>
                <w:bCs w:val="0"/>
                <w:caps w:val="0"/>
                <w:color w:val="auto"/>
                <w:sz w:val="24"/>
                <w:szCs w:val="24"/>
                <w:highlight w:val="none"/>
                <w:lang w:val="en-US" w:eastAsia="zh-CN"/>
              </w:rPr>
              <w:t>运行会出现污泥膨胀现象，导致系统不能正常运行、出水不达标。而MBR工艺是通过膜的抽吸来进行泥水分离，因此，污泥膨胀对于MBR出水的影响远小于传统工艺，因此运行管理非常方便；</w:t>
            </w:r>
          </w:p>
          <w:p w14:paraId="2908E9AA">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D</w:t>
            </w:r>
            <w:r>
              <w:rPr>
                <w:rFonts w:hint="default" w:ascii="Times New Roman" w:hAnsi="Times New Roman" w:eastAsia="宋体" w:cs="Times New Roman"/>
                <w:b w:val="0"/>
                <w:bCs w:val="0"/>
                <w:caps w:val="0"/>
                <w:color w:val="auto"/>
                <w:sz w:val="24"/>
                <w:szCs w:val="24"/>
                <w:highlight w:val="none"/>
                <w:lang w:val="en-US" w:eastAsia="zh-CN"/>
              </w:rPr>
              <w:t>.泥龄长。膜分离使污水中的大分子难降解成分，在体积有限的生物反应器内有足够的停留时间，大大提高了难降解有机物的降解效率。反应器在高容积负荷、低污泥负荷、长泥龄下运行，可以实现基本无剩余污泥排放。由于泥龄长，更加适合世代时间长的微生物生长，有利于去除污水中难降解的有机物质；</w:t>
            </w:r>
          </w:p>
          <w:p w14:paraId="5A4FC8EB">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E</w:t>
            </w:r>
            <w:r>
              <w:rPr>
                <w:rFonts w:hint="default" w:ascii="Times New Roman" w:hAnsi="Times New Roman" w:eastAsia="宋体" w:cs="Times New Roman"/>
                <w:b w:val="0"/>
                <w:bCs w:val="0"/>
                <w:caps w:val="0"/>
                <w:color w:val="auto"/>
                <w:sz w:val="24"/>
                <w:szCs w:val="24"/>
                <w:highlight w:val="none"/>
                <w:lang w:val="en-US" w:eastAsia="zh-CN"/>
              </w:rPr>
              <w:t>.抗冲击性强。当进水水量短时间内有较大变化时，可以考虑短时间加大膜的通过流量以达到缓解冲击的目的。当进水水质变化时，由于有较高的污泥浓度，在一定范围内也可以达到缓解冲击的目的。</w:t>
            </w:r>
          </w:p>
          <w:p w14:paraId="0E38297B">
            <w:pPr>
              <w:pStyle w:val="31"/>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default" w:ascii="Times New Roman" w:hAnsi="Times New Roman" w:eastAsia="宋体" w:cs="Times New Roman"/>
                <w:b w:val="0"/>
                <w:bCs w:val="0"/>
                <w:caps w:val="0"/>
                <w:color w:val="auto"/>
                <w:sz w:val="24"/>
                <w:szCs w:val="24"/>
                <w:highlight w:val="none"/>
                <w:lang w:val="en-US" w:eastAsia="zh-CN"/>
              </w:rPr>
            </w:pPr>
            <w:r>
              <w:rPr>
                <w:rFonts w:hint="default" w:ascii="Times New Roman" w:hAnsi="Times New Roman" w:eastAsia="宋体" w:cs="Times New Roman"/>
                <w:b w:val="0"/>
                <w:bCs w:val="0"/>
                <w:caps w:val="0"/>
                <w:color w:val="auto"/>
                <w:sz w:val="24"/>
                <w:szCs w:val="24"/>
                <w:highlight w:val="none"/>
                <w:lang w:val="en-US" w:eastAsia="zh-CN"/>
              </w:rPr>
              <w:t>综上所述，采取水解酸化—生物接触氧化+MBR可解决占地面积小，节省空间、提高污水出水水质，工艺可行。</w:t>
            </w:r>
          </w:p>
          <w:p w14:paraId="3C7B2611">
            <w:pPr>
              <w:keepNext w:val="0"/>
              <w:keepLines w:val="0"/>
              <w:pageBreakBefore w:val="0"/>
              <w:widowControl w:val="0"/>
              <w:kinsoku/>
              <w:wordWrap/>
              <w:overflowPunct/>
              <w:topLinePunct w:val="0"/>
              <w:autoSpaceDE/>
              <w:autoSpaceDN/>
              <w:bidi w:val="0"/>
              <w:adjustRightInd w:val="0"/>
              <w:snapToGrid/>
              <w:spacing w:before="157" w:beforeLines="50" w:line="240" w:lineRule="auto"/>
              <w:jc w:val="center"/>
              <w:textAlignment w:val="baseline"/>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bCs/>
                <w:color w:val="auto"/>
                <w:kern w:val="0"/>
                <w:sz w:val="24"/>
                <w:szCs w:val="24"/>
                <w:lang w:val="en-US" w:eastAsia="zh-CN"/>
              </w:rPr>
              <w:t>表4-</w:t>
            </w:r>
            <w:r>
              <w:rPr>
                <w:rFonts w:hint="eastAsia" w:ascii="Times New Roman" w:hAnsi="Times New Roman" w:cs="Times New Roman"/>
                <w:b/>
                <w:bCs/>
                <w:color w:val="auto"/>
                <w:kern w:val="0"/>
                <w:sz w:val="24"/>
                <w:szCs w:val="24"/>
                <w:lang w:val="en-US" w:eastAsia="zh-CN"/>
              </w:rPr>
              <w:t>5</w:t>
            </w:r>
            <w:r>
              <w:rPr>
                <w:rFonts w:hint="eastAsia" w:ascii="Times New Roman" w:hAnsi="Times New Roman" w:eastAsia="宋体" w:cs="Times New Roman"/>
                <w:b/>
                <w:bCs/>
                <w:color w:val="auto"/>
                <w:kern w:val="0"/>
                <w:sz w:val="24"/>
                <w:szCs w:val="24"/>
                <w:lang w:val="en-US" w:eastAsia="zh-CN"/>
              </w:rPr>
              <w:t xml:space="preserve">    项目水污染物产生及排放情况表</w:t>
            </w:r>
          </w:p>
          <w:tbl>
            <w:tblPr>
              <w:tblStyle w:val="48"/>
              <w:tblW w:w="8325" w:type="dxa"/>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281"/>
              <w:gridCol w:w="394"/>
              <w:gridCol w:w="645"/>
              <w:gridCol w:w="660"/>
              <w:gridCol w:w="885"/>
              <w:gridCol w:w="555"/>
              <w:gridCol w:w="540"/>
              <w:gridCol w:w="720"/>
              <w:gridCol w:w="735"/>
              <w:gridCol w:w="885"/>
              <w:gridCol w:w="1665"/>
              <w:gridCol w:w="360"/>
            </w:tblGrid>
            <w:tr w14:paraId="3F928550">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1" w:type="dxa"/>
                  <w:vMerge w:val="restart"/>
                  <w:tcBorders>
                    <w:tl2br w:val="nil"/>
                    <w:tr2bl w:val="nil"/>
                  </w:tcBorders>
                  <w:noWrap w:val="0"/>
                  <w:vAlign w:val="center"/>
                </w:tcPr>
                <w:p w14:paraId="767142E4">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序号</w:t>
                  </w:r>
                </w:p>
              </w:tc>
              <w:tc>
                <w:tcPr>
                  <w:tcW w:w="394" w:type="dxa"/>
                  <w:vMerge w:val="restart"/>
                  <w:tcBorders>
                    <w:tl2br w:val="nil"/>
                    <w:tr2bl w:val="nil"/>
                  </w:tcBorders>
                  <w:noWrap w:val="0"/>
                  <w:vAlign w:val="center"/>
                </w:tcPr>
                <w:p w14:paraId="4716A858">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废</w:t>
                  </w:r>
                </w:p>
                <w:p w14:paraId="10137F6F">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水</w:t>
                  </w:r>
                </w:p>
                <w:p w14:paraId="0380D3B6">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类</w:t>
                  </w:r>
                </w:p>
                <w:p w14:paraId="4A245E45">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别</w:t>
                  </w:r>
                </w:p>
              </w:tc>
              <w:tc>
                <w:tcPr>
                  <w:tcW w:w="645" w:type="dxa"/>
                  <w:vMerge w:val="restart"/>
                  <w:tcBorders>
                    <w:tl2br w:val="nil"/>
                    <w:tr2bl w:val="nil"/>
                  </w:tcBorders>
                  <w:noWrap w:val="0"/>
                  <w:vAlign w:val="center"/>
                </w:tcPr>
                <w:p w14:paraId="15604CA2">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污染物</w:t>
                  </w:r>
                </w:p>
                <w:p w14:paraId="7393D709">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种类</w:t>
                  </w:r>
                </w:p>
              </w:tc>
              <w:tc>
                <w:tcPr>
                  <w:tcW w:w="660" w:type="dxa"/>
                  <w:vMerge w:val="restart"/>
                  <w:tcBorders>
                    <w:tl2br w:val="nil"/>
                    <w:tr2bl w:val="nil"/>
                  </w:tcBorders>
                  <w:noWrap w:val="0"/>
                  <w:vAlign w:val="center"/>
                </w:tcPr>
                <w:p w14:paraId="2DCD3C64">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污染物产生量</w:t>
                  </w:r>
                </w:p>
                <w:p w14:paraId="56AC397C">
                  <w:pPr>
                    <w:pStyle w:val="11"/>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w:t>
                  </w:r>
                  <w:r>
                    <w:rPr>
                      <w:rFonts w:hint="default" w:ascii="Times New Roman" w:hAnsi="Times New Roman" w:eastAsia="宋体" w:cs="Times New Roman"/>
                      <w:b w:val="0"/>
                      <w:bCs w:val="0"/>
                      <w:color w:val="auto"/>
                      <w:spacing w:val="0"/>
                      <w:position w:val="0"/>
                      <w:sz w:val="21"/>
                      <w:szCs w:val="21"/>
                      <w:lang w:val="en-US" w:eastAsia="zh-CN"/>
                    </w:rPr>
                    <w:t>t/a</w:t>
                  </w:r>
                  <w:r>
                    <w:rPr>
                      <w:rFonts w:hint="default" w:ascii="Times New Roman" w:hAnsi="Times New Roman" w:eastAsia="宋体" w:cs="Times New Roman"/>
                      <w:b w:val="0"/>
                      <w:bCs w:val="0"/>
                      <w:color w:val="auto"/>
                      <w:spacing w:val="0"/>
                      <w:position w:val="0"/>
                      <w:sz w:val="21"/>
                      <w:szCs w:val="21"/>
                      <w:lang w:eastAsia="zh-CN"/>
                    </w:rPr>
                    <w:t>）</w:t>
                  </w:r>
                </w:p>
              </w:tc>
              <w:tc>
                <w:tcPr>
                  <w:tcW w:w="885" w:type="dxa"/>
                  <w:vMerge w:val="restart"/>
                  <w:tcBorders>
                    <w:tl2br w:val="nil"/>
                    <w:tr2bl w:val="nil"/>
                  </w:tcBorders>
                  <w:noWrap w:val="0"/>
                  <w:vAlign w:val="center"/>
                </w:tcPr>
                <w:p w14:paraId="4693587A">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污染物</w:t>
                  </w:r>
                </w:p>
                <w:p w14:paraId="3DE3CA27">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产生浓度</w:t>
                  </w:r>
                </w:p>
                <w:p w14:paraId="228DBD31">
                  <w:pPr>
                    <w:pStyle w:val="11"/>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（mg/L）</w:t>
                  </w:r>
                </w:p>
              </w:tc>
              <w:tc>
                <w:tcPr>
                  <w:tcW w:w="1815" w:type="dxa"/>
                  <w:gridSpan w:val="3"/>
                  <w:tcBorders>
                    <w:tl2br w:val="nil"/>
                    <w:tr2bl w:val="nil"/>
                  </w:tcBorders>
                  <w:noWrap w:val="0"/>
                  <w:vAlign w:val="center"/>
                </w:tcPr>
                <w:p w14:paraId="5F8663B0">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lang w:eastAsia="zh-CN"/>
                    </w:rPr>
                    <w:t>污染治理设施</w:t>
                  </w:r>
                </w:p>
              </w:tc>
              <w:tc>
                <w:tcPr>
                  <w:tcW w:w="735" w:type="dxa"/>
                  <w:vMerge w:val="restart"/>
                  <w:tcBorders>
                    <w:tl2br w:val="nil"/>
                    <w:tr2bl w:val="nil"/>
                  </w:tcBorders>
                  <w:noWrap w:val="0"/>
                  <w:vAlign w:val="center"/>
                </w:tcPr>
                <w:p w14:paraId="6A1F3060">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污染物</w:t>
                  </w:r>
                </w:p>
                <w:p w14:paraId="62EBD0A4">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排放量（</w:t>
                  </w:r>
                  <w:r>
                    <w:rPr>
                      <w:rFonts w:hint="default" w:ascii="Times New Roman" w:hAnsi="Times New Roman" w:eastAsia="宋体" w:cs="Times New Roman"/>
                      <w:b w:val="0"/>
                      <w:bCs w:val="0"/>
                      <w:color w:val="auto"/>
                      <w:spacing w:val="0"/>
                      <w:position w:val="0"/>
                      <w:sz w:val="21"/>
                      <w:szCs w:val="21"/>
                      <w:lang w:val="en-US" w:eastAsia="zh-CN"/>
                    </w:rPr>
                    <w:t>t/a</w:t>
                  </w:r>
                  <w:r>
                    <w:rPr>
                      <w:rFonts w:hint="default" w:ascii="Times New Roman" w:hAnsi="Times New Roman" w:eastAsia="宋体" w:cs="Times New Roman"/>
                      <w:b w:val="0"/>
                      <w:bCs w:val="0"/>
                      <w:color w:val="auto"/>
                      <w:spacing w:val="0"/>
                      <w:position w:val="0"/>
                      <w:sz w:val="21"/>
                      <w:szCs w:val="21"/>
                      <w:lang w:eastAsia="zh-CN"/>
                    </w:rPr>
                    <w:t>）</w:t>
                  </w:r>
                </w:p>
              </w:tc>
              <w:tc>
                <w:tcPr>
                  <w:tcW w:w="885" w:type="dxa"/>
                  <w:vMerge w:val="restart"/>
                  <w:tcBorders>
                    <w:tl2br w:val="nil"/>
                    <w:tr2bl w:val="nil"/>
                  </w:tcBorders>
                  <w:noWrap w:val="0"/>
                  <w:vAlign w:val="center"/>
                </w:tcPr>
                <w:p w14:paraId="06758B60">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污染物</w:t>
                  </w:r>
                </w:p>
                <w:p w14:paraId="7B886271">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排放浓度</w:t>
                  </w:r>
                  <w:r>
                    <w:rPr>
                      <w:rFonts w:hint="default" w:ascii="Times New Roman" w:hAnsi="Times New Roman" w:eastAsia="宋体" w:cs="Times New Roman"/>
                      <w:color w:val="auto"/>
                      <w:sz w:val="21"/>
                      <w:szCs w:val="21"/>
                      <w:lang w:val="en-US" w:eastAsia="zh-CN"/>
                    </w:rPr>
                    <w:t>（mg/L）</w:t>
                  </w:r>
                </w:p>
              </w:tc>
              <w:tc>
                <w:tcPr>
                  <w:tcW w:w="1665" w:type="dxa"/>
                  <w:vMerge w:val="restart"/>
                  <w:tcBorders>
                    <w:tl2br w:val="nil"/>
                    <w:tr2bl w:val="nil"/>
                  </w:tcBorders>
                  <w:noWrap w:val="0"/>
                  <w:vAlign w:val="center"/>
                </w:tcPr>
                <w:p w14:paraId="73150D68">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污染物</w:t>
                  </w:r>
                </w:p>
                <w:p w14:paraId="38C52B8E">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排放去向</w:t>
                  </w:r>
                </w:p>
              </w:tc>
              <w:tc>
                <w:tcPr>
                  <w:tcW w:w="360" w:type="dxa"/>
                  <w:vMerge w:val="restart"/>
                  <w:tcBorders>
                    <w:tl2br w:val="nil"/>
                    <w:tr2bl w:val="nil"/>
                  </w:tcBorders>
                  <w:noWrap w:val="0"/>
                  <w:vAlign w:val="center"/>
                </w:tcPr>
                <w:p w14:paraId="73102F22">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排放</w:t>
                  </w:r>
                </w:p>
                <w:p w14:paraId="4F8378E5">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方式</w:t>
                  </w:r>
                </w:p>
              </w:tc>
            </w:tr>
            <w:tr w14:paraId="1F632DC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1" w:type="dxa"/>
                  <w:vMerge w:val="continue"/>
                  <w:tcBorders>
                    <w:tl2br w:val="nil"/>
                    <w:tr2bl w:val="nil"/>
                  </w:tcBorders>
                  <w:noWrap w:val="0"/>
                  <w:vAlign w:val="center"/>
                </w:tcPr>
                <w:p w14:paraId="1480E4FF">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z w:val="21"/>
                      <w:szCs w:val="21"/>
                    </w:rPr>
                  </w:pPr>
                </w:p>
              </w:tc>
              <w:tc>
                <w:tcPr>
                  <w:tcW w:w="394" w:type="dxa"/>
                  <w:vMerge w:val="continue"/>
                  <w:tcBorders>
                    <w:tl2br w:val="nil"/>
                    <w:tr2bl w:val="nil"/>
                  </w:tcBorders>
                  <w:noWrap w:val="0"/>
                  <w:vAlign w:val="center"/>
                </w:tcPr>
                <w:p w14:paraId="6EC4D6F1">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z w:val="21"/>
                      <w:szCs w:val="21"/>
                    </w:rPr>
                  </w:pPr>
                </w:p>
              </w:tc>
              <w:tc>
                <w:tcPr>
                  <w:tcW w:w="645" w:type="dxa"/>
                  <w:vMerge w:val="continue"/>
                  <w:tcBorders>
                    <w:tl2br w:val="nil"/>
                    <w:tr2bl w:val="nil"/>
                  </w:tcBorders>
                  <w:noWrap w:val="0"/>
                  <w:vAlign w:val="center"/>
                </w:tcPr>
                <w:p w14:paraId="567D03D4">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z w:val="21"/>
                      <w:szCs w:val="21"/>
                    </w:rPr>
                  </w:pPr>
                </w:p>
              </w:tc>
              <w:tc>
                <w:tcPr>
                  <w:tcW w:w="660" w:type="dxa"/>
                  <w:vMerge w:val="continue"/>
                  <w:tcBorders>
                    <w:tl2br w:val="nil"/>
                    <w:tr2bl w:val="nil"/>
                  </w:tcBorders>
                  <w:noWrap w:val="0"/>
                  <w:vAlign w:val="center"/>
                </w:tcPr>
                <w:p w14:paraId="10946BCF">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z w:val="21"/>
                      <w:szCs w:val="21"/>
                    </w:rPr>
                  </w:pPr>
                </w:p>
              </w:tc>
              <w:tc>
                <w:tcPr>
                  <w:tcW w:w="885" w:type="dxa"/>
                  <w:vMerge w:val="continue"/>
                  <w:tcBorders>
                    <w:tl2br w:val="nil"/>
                    <w:tr2bl w:val="nil"/>
                  </w:tcBorders>
                  <w:noWrap w:val="0"/>
                  <w:vAlign w:val="center"/>
                </w:tcPr>
                <w:p w14:paraId="278A8038">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z w:val="21"/>
                      <w:szCs w:val="21"/>
                    </w:rPr>
                  </w:pPr>
                </w:p>
              </w:tc>
              <w:tc>
                <w:tcPr>
                  <w:tcW w:w="555" w:type="dxa"/>
                  <w:tcBorders>
                    <w:tl2br w:val="nil"/>
                    <w:tr2bl w:val="nil"/>
                  </w:tcBorders>
                  <w:noWrap w:val="0"/>
                  <w:vAlign w:val="center"/>
                </w:tcPr>
                <w:p w14:paraId="58DDFA3A">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治理</w:t>
                  </w:r>
                </w:p>
                <w:p w14:paraId="0284BE5D">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工艺</w:t>
                  </w:r>
                </w:p>
              </w:tc>
              <w:tc>
                <w:tcPr>
                  <w:tcW w:w="540" w:type="dxa"/>
                  <w:tcBorders>
                    <w:tl2br w:val="nil"/>
                    <w:tr2bl w:val="nil"/>
                  </w:tcBorders>
                  <w:noWrap w:val="0"/>
                  <w:vAlign w:val="center"/>
                </w:tcPr>
                <w:p w14:paraId="00390B01">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治理</w:t>
                  </w:r>
                </w:p>
                <w:p w14:paraId="212148FC">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效率</w:t>
                  </w:r>
                  <w:r>
                    <w:rPr>
                      <w:rFonts w:hint="default" w:ascii="Times New Roman" w:hAnsi="Times New Roman" w:eastAsia="宋体" w:cs="Times New Roman"/>
                      <w:color w:val="auto"/>
                      <w:sz w:val="21"/>
                      <w:szCs w:val="21"/>
                      <w:lang w:val="en-US" w:eastAsia="zh-CN"/>
                    </w:rPr>
                    <w:t>%</w:t>
                  </w:r>
                </w:p>
              </w:tc>
              <w:tc>
                <w:tcPr>
                  <w:tcW w:w="720" w:type="dxa"/>
                  <w:tcBorders>
                    <w:tl2br w:val="nil"/>
                    <w:tr2bl w:val="nil"/>
                  </w:tcBorders>
                  <w:noWrap w:val="0"/>
                  <w:vAlign w:val="center"/>
                </w:tcPr>
                <w:p w14:paraId="00784EA6">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是否为可行性工艺</w:t>
                  </w:r>
                </w:p>
              </w:tc>
              <w:tc>
                <w:tcPr>
                  <w:tcW w:w="735" w:type="dxa"/>
                  <w:vMerge w:val="continue"/>
                  <w:tcBorders>
                    <w:tl2br w:val="nil"/>
                    <w:tr2bl w:val="nil"/>
                  </w:tcBorders>
                  <w:noWrap w:val="0"/>
                  <w:vAlign w:val="center"/>
                </w:tcPr>
                <w:p w14:paraId="5A654E00">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z w:val="21"/>
                      <w:szCs w:val="21"/>
                    </w:rPr>
                  </w:pPr>
                </w:p>
              </w:tc>
              <w:tc>
                <w:tcPr>
                  <w:tcW w:w="885" w:type="dxa"/>
                  <w:vMerge w:val="continue"/>
                  <w:tcBorders>
                    <w:tl2br w:val="nil"/>
                    <w:tr2bl w:val="nil"/>
                  </w:tcBorders>
                  <w:noWrap w:val="0"/>
                  <w:vAlign w:val="center"/>
                </w:tcPr>
                <w:p w14:paraId="1ED994C5">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z w:val="21"/>
                      <w:szCs w:val="21"/>
                    </w:rPr>
                  </w:pPr>
                </w:p>
              </w:tc>
              <w:tc>
                <w:tcPr>
                  <w:tcW w:w="1665" w:type="dxa"/>
                  <w:vMerge w:val="continue"/>
                  <w:tcBorders>
                    <w:tl2br w:val="nil"/>
                    <w:tr2bl w:val="nil"/>
                  </w:tcBorders>
                  <w:noWrap w:val="0"/>
                  <w:vAlign w:val="center"/>
                </w:tcPr>
                <w:p w14:paraId="6C0967AF">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z w:val="21"/>
                      <w:szCs w:val="21"/>
                    </w:rPr>
                  </w:pPr>
                </w:p>
              </w:tc>
              <w:tc>
                <w:tcPr>
                  <w:tcW w:w="360" w:type="dxa"/>
                  <w:vMerge w:val="continue"/>
                  <w:tcBorders>
                    <w:tl2br w:val="nil"/>
                    <w:tr2bl w:val="nil"/>
                  </w:tcBorders>
                  <w:noWrap w:val="0"/>
                  <w:vAlign w:val="center"/>
                </w:tcPr>
                <w:p w14:paraId="760FCDE5">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z w:val="21"/>
                      <w:szCs w:val="21"/>
                    </w:rPr>
                  </w:pPr>
                </w:p>
              </w:tc>
            </w:tr>
            <w:tr w14:paraId="06C522D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1" w:type="dxa"/>
                  <w:vMerge w:val="restart"/>
                  <w:tcBorders>
                    <w:tl2br w:val="nil"/>
                    <w:tr2bl w:val="nil"/>
                  </w:tcBorders>
                  <w:noWrap w:val="0"/>
                  <w:vAlign w:val="center"/>
                </w:tcPr>
                <w:p w14:paraId="32742D2B">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bidi="ar-SA"/>
                    </w:rPr>
                    <w:t>1</w:t>
                  </w:r>
                </w:p>
              </w:tc>
              <w:tc>
                <w:tcPr>
                  <w:tcW w:w="394" w:type="dxa"/>
                  <w:vMerge w:val="restart"/>
                  <w:tcBorders>
                    <w:tl2br w:val="nil"/>
                    <w:tr2bl w:val="nil"/>
                  </w:tcBorders>
                  <w:noWrap w:val="0"/>
                  <w:vAlign w:val="center"/>
                </w:tcPr>
                <w:p w14:paraId="04FE3CF0">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eastAsia="zh-CN"/>
                    </w:rPr>
                  </w:pPr>
                  <w:r>
                    <w:rPr>
                      <w:rFonts w:hint="default" w:ascii="Times New Roman" w:hAnsi="Times New Roman" w:eastAsia="宋体" w:cs="Times New Roman"/>
                      <w:color w:val="auto"/>
                      <w:spacing w:val="0"/>
                      <w:position w:val="0"/>
                      <w:sz w:val="21"/>
                      <w:szCs w:val="21"/>
                      <w:lang w:eastAsia="zh-CN"/>
                    </w:rPr>
                    <w:t>综</w:t>
                  </w:r>
                </w:p>
                <w:p w14:paraId="70BF309D">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eastAsia="zh-CN"/>
                    </w:rPr>
                  </w:pPr>
                  <w:r>
                    <w:rPr>
                      <w:rFonts w:hint="default" w:ascii="Times New Roman" w:hAnsi="Times New Roman" w:eastAsia="宋体" w:cs="Times New Roman"/>
                      <w:color w:val="auto"/>
                      <w:spacing w:val="0"/>
                      <w:position w:val="0"/>
                      <w:sz w:val="21"/>
                      <w:szCs w:val="21"/>
                      <w:lang w:eastAsia="zh-CN"/>
                    </w:rPr>
                    <w:t>合</w:t>
                  </w:r>
                </w:p>
                <w:p w14:paraId="082B108F">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eastAsia="zh-CN"/>
                    </w:rPr>
                  </w:pPr>
                  <w:r>
                    <w:rPr>
                      <w:rFonts w:hint="default" w:ascii="Times New Roman" w:hAnsi="Times New Roman" w:eastAsia="宋体" w:cs="Times New Roman"/>
                      <w:color w:val="auto"/>
                      <w:spacing w:val="0"/>
                      <w:position w:val="0"/>
                      <w:sz w:val="21"/>
                      <w:szCs w:val="21"/>
                      <w:lang w:eastAsia="zh-CN"/>
                    </w:rPr>
                    <w:t>废</w:t>
                  </w:r>
                </w:p>
                <w:p w14:paraId="3AB0F472">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eastAsia="zh-CN"/>
                    </w:rPr>
                  </w:pPr>
                  <w:r>
                    <w:rPr>
                      <w:rFonts w:hint="default" w:ascii="Times New Roman" w:hAnsi="Times New Roman" w:eastAsia="宋体" w:cs="Times New Roman"/>
                      <w:color w:val="auto"/>
                      <w:spacing w:val="0"/>
                      <w:position w:val="0"/>
                      <w:sz w:val="21"/>
                      <w:szCs w:val="21"/>
                      <w:lang w:eastAsia="zh-CN"/>
                    </w:rPr>
                    <w:t>水</w:t>
                  </w:r>
                </w:p>
              </w:tc>
              <w:tc>
                <w:tcPr>
                  <w:tcW w:w="645" w:type="dxa"/>
                  <w:tcBorders>
                    <w:tl2br w:val="nil"/>
                    <w:tr2bl w:val="nil"/>
                  </w:tcBorders>
                  <w:noWrap w:val="0"/>
                  <w:vAlign w:val="center"/>
                </w:tcPr>
                <w:p w14:paraId="546BFA27">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COD</w:t>
                  </w:r>
                </w:p>
              </w:tc>
              <w:tc>
                <w:tcPr>
                  <w:tcW w:w="660" w:type="dxa"/>
                  <w:tcBorders>
                    <w:tl2br w:val="nil"/>
                    <w:tr2bl w:val="nil"/>
                  </w:tcBorders>
                  <w:noWrap w:val="0"/>
                  <w:vAlign w:val="center"/>
                </w:tcPr>
                <w:p w14:paraId="48F4729B">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11.91</w:t>
                  </w:r>
                </w:p>
              </w:tc>
              <w:tc>
                <w:tcPr>
                  <w:tcW w:w="885" w:type="dxa"/>
                  <w:tcBorders>
                    <w:tl2br w:val="nil"/>
                    <w:tr2bl w:val="nil"/>
                  </w:tcBorders>
                  <w:noWrap w:val="0"/>
                  <w:vAlign w:val="center"/>
                </w:tcPr>
                <w:p w14:paraId="18FAF991">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600</w:t>
                  </w:r>
                </w:p>
              </w:tc>
              <w:tc>
                <w:tcPr>
                  <w:tcW w:w="555" w:type="dxa"/>
                  <w:vMerge w:val="restart"/>
                  <w:tcBorders>
                    <w:tl2br w:val="nil"/>
                    <w:tr2bl w:val="nil"/>
                  </w:tcBorders>
                  <w:noWrap w:val="0"/>
                  <w:vAlign w:val="center"/>
                </w:tcPr>
                <w:p w14:paraId="04EEC8B3">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z w:val="21"/>
                      <w:szCs w:val="21"/>
                      <w:lang w:val="en-US"/>
                    </w:rPr>
                    <w:t>水解酸化+接触氧化</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rPr>
                    <w:t>MBR+消毒</w:t>
                  </w:r>
                </w:p>
              </w:tc>
              <w:tc>
                <w:tcPr>
                  <w:tcW w:w="540" w:type="dxa"/>
                  <w:tcBorders>
                    <w:tl2br w:val="nil"/>
                    <w:tr2bl w:val="nil"/>
                  </w:tcBorders>
                  <w:noWrap w:val="0"/>
                  <w:vAlign w:val="center"/>
                </w:tcPr>
                <w:p w14:paraId="051DAA2B">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55</w:t>
                  </w:r>
                </w:p>
              </w:tc>
              <w:tc>
                <w:tcPr>
                  <w:tcW w:w="720" w:type="dxa"/>
                  <w:vMerge w:val="restart"/>
                  <w:tcBorders>
                    <w:tl2br w:val="nil"/>
                    <w:tr2bl w:val="nil"/>
                  </w:tcBorders>
                  <w:noWrap w:val="0"/>
                  <w:vAlign w:val="center"/>
                </w:tcPr>
                <w:p w14:paraId="01088F5B">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是</w:t>
                  </w:r>
                </w:p>
              </w:tc>
              <w:tc>
                <w:tcPr>
                  <w:tcW w:w="735" w:type="dxa"/>
                  <w:tcBorders>
                    <w:tl2br w:val="nil"/>
                    <w:tr2bl w:val="nil"/>
                  </w:tcBorders>
                  <w:noWrap w:val="0"/>
                  <w:vAlign w:val="center"/>
                </w:tcPr>
                <w:p w14:paraId="497D15C7">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4.96</w:t>
                  </w:r>
                </w:p>
              </w:tc>
              <w:tc>
                <w:tcPr>
                  <w:tcW w:w="885" w:type="dxa"/>
                  <w:tcBorders>
                    <w:tl2br w:val="nil"/>
                    <w:tr2bl w:val="nil"/>
                  </w:tcBorders>
                  <w:noWrap w:val="0"/>
                  <w:vAlign w:val="center"/>
                </w:tcPr>
                <w:p w14:paraId="7D0C8782">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lang w:val="en-US" w:eastAsia="zh-CN"/>
                    </w:rPr>
                    <w:t>250</w:t>
                  </w:r>
                </w:p>
              </w:tc>
              <w:tc>
                <w:tcPr>
                  <w:tcW w:w="1665" w:type="dxa"/>
                  <w:vMerge w:val="restart"/>
                  <w:tcBorders>
                    <w:tl2br w:val="nil"/>
                    <w:tr2bl w:val="nil"/>
                  </w:tcBorders>
                  <w:noWrap w:val="0"/>
                  <w:vAlign w:val="center"/>
                </w:tcPr>
                <w:p w14:paraId="2365D39F">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达到《医疗机构水污染物排放标准》（GB 18466-2005）表2 预处理标准要求后排入市政管网</w:t>
                  </w:r>
                  <w:r>
                    <w:rPr>
                      <w:rFonts w:hint="eastAsia" w:ascii="Times New Roman" w:hAnsi="Times New Roman" w:eastAsia="宋体" w:cs="Times New Roman"/>
                      <w:color w:val="auto"/>
                      <w:spacing w:val="0"/>
                      <w:position w:val="0"/>
                      <w:sz w:val="21"/>
                      <w:szCs w:val="21"/>
                      <w:lang w:val="en-US" w:eastAsia="zh-CN"/>
                    </w:rPr>
                    <w:t>，</w:t>
                  </w:r>
                  <w:r>
                    <w:rPr>
                      <w:rFonts w:hint="default" w:ascii="Times New Roman" w:hAnsi="Times New Roman" w:eastAsia="宋体" w:cs="Times New Roman"/>
                      <w:color w:val="auto"/>
                      <w:spacing w:val="0"/>
                      <w:position w:val="0"/>
                      <w:sz w:val="21"/>
                      <w:szCs w:val="21"/>
                      <w:lang w:val="en-US" w:eastAsia="zh-CN"/>
                    </w:rPr>
                    <w:t>最终进入东胜区北郊水质净化厂。</w:t>
                  </w:r>
                </w:p>
              </w:tc>
              <w:tc>
                <w:tcPr>
                  <w:tcW w:w="360" w:type="dxa"/>
                  <w:vMerge w:val="restart"/>
                  <w:tcBorders>
                    <w:tl2br w:val="nil"/>
                    <w:tr2bl w:val="nil"/>
                  </w:tcBorders>
                  <w:noWrap w:val="0"/>
                  <w:vAlign w:val="center"/>
                </w:tcPr>
                <w:p w14:paraId="0F8A1A74">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间接排放</w:t>
                  </w:r>
                </w:p>
              </w:tc>
            </w:tr>
            <w:tr w14:paraId="6101AD5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1" w:type="dxa"/>
                  <w:vMerge w:val="continue"/>
                  <w:tcBorders>
                    <w:tl2br w:val="nil"/>
                    <w:tr2bl w:val="nil"/>
                  </w:tcBorders>
                  <w:noWrap w:val="0"/>
                  <w:vAlign w:val="center"/>
                </w:tcPr>
                <w:p w14:paraId="6689ABC6">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en-US" w:bidi="ar-SA"/>
                    </w:rPr>
                  </w:pPr>
                </w:p>
              </w:tc>
              <w:tc>
                <w:tcPr>
                  <w:tcW w:w="394" w:type="dxa"/>
                  <w:vMerge w:val="continue"/>
                  <w:tcBorders>
                    <w:tl2br w:val="nil"/>
                    <w:tr2bl w:val="nil"/>
                  </w:tcBorders>
                  <w:noWrap w:val="0"/>
                  <w:vAlign w:val="center"/>
                </w:tcPr>
                <w:p w14:paraId="67AEDD9F">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eastAsia="zh-CN"/>
                    </w:rPr>
                  </w:pPr>
                </w:p>
              </w:tc>
              <w:tc>
                <w:tcPr>
                  <w:tcW w:w="645" w:type="dxa"/>
                  <w:tcBorders>
                    <w:tl2br w:val="nil"/>
                    <w:tr2bl w:val="nil"/>
                  </w:tcBorders>
                  <w:noWrap w:val="0"/>
                  <w:vAlign w:val="center"/>
                </w:tcPr>
                <w:p w14:paraId="50557307">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BOD</w:t>
                  </w:r>
                  <w:r>
                    <w:rPr>
                      <w:rFonts w:hint="default" w:ascii="Times New Roman" w:hAnsi="Times New Roman" w:eastAsia="宋体" w:cs="Times New Roman"/>
                      <w:color w:val="auto"/>
                      <w:spacing w:val="0"/>
                      <w:position w:val="0"/>
                      <w:sz w:val="21"/>
                      <w:szCs w:val="21"/>
                      <w:vertAlign w:val="subscript"/>
                      <w:lang w:val="en-US" w:eastAsia="zh-CN"/>
                    </w:rPr>
                    <w:t>5</w:t>
                  </w:r>
                </w:p>
              </w:tc>
              <w:tc>
                <w:tcPr>
                  <w:tcW w:w="660" w:type="dxa"/>
                  <w:tcBorders>
                    <w:tl2br w:val="nil"/>
                    <w:tr2bl w:val="nil"/>
                  </w:tcBorders>
                  <w:noWrap w:val="0"/>
                  <w:vAlign w:val="center"/>
                </w:tcPr>
                <w:p w14:paraId="3BB11B02">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4.77</w:t>
                  </w:r>
                </w:p>
              </w:tc>
              <w:tc>
                <w:tcPr>
                  <w:tcW w:w="885" w:type="dxa"/>
                  <w:tcBorders>
                    <w:tl2br w:val="nil"/>
                    <w:tr2bl w:val="nil"/>
                  </w:tcBorders>
                  <w:noWrap w:val="0"/>
                  <w:vAlign w:val="center"/>
                </w:tcPr>
                <w:p w14:paraId="32CCCC89">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240</w:t>
                  </w:r>
                </w:p>
              </w:tc>
              <w:tc>
                <w:tcPr>
                  <w:tcW w:w="555" w:type="dxa"/>
                  <w:vMerge w:val="continue"/>
                  <w:tcBorders>
                    <w:tl2br w:val="nil"/>
                    <w:tr2bl w:val="nil"/>
                  </w:tcBorders>
                  <w:noWrap w:val="0"/>
                  <w:vAlign w:val="center"/>
                </w:tcPr>
                <w:p w14:paraId="228CFF11">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540" w:type="dxa"/>
                  <w:tcBorders>
                    <w:tl2br w:val="nil"/>
                    <w:tr2bl w:val="nil"/>
                  </w:tcBorders>
                  <w:noWrap w:val="0"/>
                  <w:vAlign w:val="center"/>
                </w:tcPr>
                <w:p w14:paraId="665949A4">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58</w:t>
                  </w:r>
                </w:p>
              </w:tc>
              <w:tc>
                <w:tcPr>
                  <w:tcW w:w="720" w:type="dxa"/>
                  <w:vMerge w:val="continue"/>
                  <w:tcBorders>
                    <w:tl2br w:val="nil"/>
                    <w:tr2bl w:val="nil"/>
                  </w:tcBorders>
                  <w:noWrap w:val="0"/>
                  <w:vAlign w:val="center"/>
                </w:tcPr>
                <w:p w14:paraId="18366204">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735" w:type="dxa"/>
                  <w:tcBorders>
                    <w:tl2br w:val="nil"/>
                    <w:tr2bl w:val="nil"/>
                  </w:tcBorders>
                  <w:noWrap w:val="0"/>
                  <w:vAlign w:val="center"/>
                </w:tcPr>
                <w:p w14:paraId="4C3CDB25">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1.99</w:t>
                  </w:r>
                </w:p>
              </w:tc>
              <w:tc>
                <w:tcPr>
                  <w:tcW w:w="885" w:type="dxa"/>
                  <w:tcBorders>
                    <w:tl2br w:val="nil"/>
                    <w:tr2bl w:val="nil"/>
                  </w:tcBorders>
                  <w:noWrap w:val="0"/>
                  <w:vAlign w:val="center"/>
                </w:tcPr>
                <w:p w14:paraId="48B6EC6B">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100</w:t>
                  </w:r>
                </w:p>
              </w:tc>
              <w:tc>
                <w:tcPr>
                  <w:tcW w:w="1665" w:type="dxa"/>
                  <w:vMerge w:val="continue"/>
                  <w:tcBorders>
                    <w:tl2br w:val="nil"/>
                    <w:tr2bl w:val="nil"/>
                  </w:tcBorders>
                  <w:noWrap w:val="0"/>
                  <w:vAlign w:val="center"/>
                </w:tcPr>
                <w:p w14:paraId="42174F41">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360" w:type="dxa"/>
                  <w:vMerge w:val="continue"/>
                  <w:tcBorders>
                    <w:tl2br w:val="nil"/>
                    <w:tr2bl w:val="nil"/>
                  </w:tcBorders>
                  <w:noWrap w:val="0"/>
                  <w:vAlign w:val="center"/>
                </w:tcPr>
                <w:p w14:paraId="13B6054F">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p>
              </w:tc>
            </w:tr>
            <w:tr w14:paraId="2F9BAE4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1" w:type="dxa"/>
                  <w:vMerge w:val="continue"/>
                  <w:tcBorders>
                    <w:tl2br w:val="nil"/>
                    <w:tr2bl w:val="nil"/>
                  </w:tcBorders>
                  <w:noWrap w:val="0"/>
                  <w:vAlign w:val="center"/>
                </w:tcPr>
                <w:p w14:paraId="0D701ED5">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en-US" w:bidi="ar-SA"/>
                    </w:rPr>
                  </w:pPr>
                </w:p>
              </w:tc>
              <w:tc>
                <w:tcPr>
                  <w:tcW w:w="394" w:type="dxa"/>
                  <w:vMerge w:val="continue"/>
                  <w:tcBorders>
                    <w:tl2br w:val="nil"/>
                    <w:tr2bl w:val="nil"/>
                  </w:tcBorders>
                  <w:noWrap w:val="0"/>
                  <w:vAlign w:val="center"/>
                </w:tcPr>
                <w:p w14:paraId="017E1796">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5" w:type="dxa"/>
                  <w:tcBorders>
                    <w:tl2br w:val="nil"/>
                    <w:tr2bl w:val="nil"/>
                  </w:tcBorders>
                  <w:noWrap w:val="0"/>
                  <w:vAlign w:val="center"/>
                </w:tcPr>
                <w:p w14:paraId="3604923E">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eastAsia="zh-CN"/>
                    </w:rPr>
                    <w:t>NH</w:t>
                  </w:r>
                  <w:r>
                    <w:rPr>
                      <w:rFonts w:hint="default" w:ascii="Times New Roman" w:hAnsi="Times New Roman" w:eastAsia="宋体" w:cs="Times New Roman"/>
                      <w:color w:val="auto"/>
                      <w:spacing w:val="0"/>
                      <w:position w:val="0"/>
                      <w:sz w:val="21"/>
                      <w:szCs w:val="21"/>
                      <w:vertAlign w:val="subscript"/>
                      <w:lang w:val="en-US" w:eastAsia="zh-CN"/>
                    </w:rPr>
                    <w:t>3</w:t>
                  </w:r>
                  <w:r>
                    <w:rPr>
                      <w:rFonts w:hint="default" w:ascii="Times New Roman" w:hAnsi="Times New Roman" w:eastAsia="宋体" w:cs="Times New Roman"/>
                      <w:color w:val="auto"/>
                      <w:spacing w:val="0"/>
                      <w:position w:val="0"/>
                      <w:sz w:val="21"/>
                      <w:szCs w:val="21"/>
                      <w:lang w:val="en-US" w:eastAsia="zh-CN"/>
                    </w:rPr>
                    <w:t>-N</w:t>
                  </w:r>
                </w:p>
              </w:tc>
              <w:tc>
                <w:tcPr>
                  <w:tcW w:w="660" w:type="dxa"/>
                  <w:tcBorders>
                    <w:tl2br w:val="nil"/>
                    <w:tr2bl w:val="nil"/>
                  </w:tcBorders>
                  <w:noWrap w:val="0"/>
                  <w:vAlign w:val="center"/>
                </w:tcPr>
                <w:p w14:paraId="7E51DFF0">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4.37</w:t>
                  </w:r>
                </w:p>
              </w:tc>
              <w:tc>
                <w:tcPr>
                  <w:tcW w:w="885" w:type="dxa"/>
                  <w:tcBorders>
                    <w:tl2br w:val="nil"/>
                    <w:tr2bl w:val="nil"/>
                  </w:tcBorders>
                  <w:noWrap w:val="0"/>
                  <w:vAlign w:val="center"/>
                </w:tcPr>
                <w:p w14:paraId="33C17018">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eastAsia="zh-CN"/>
                    </w:rPr>
                    <w:t>220</w:t>
                  </w:r>
                </w:p>
              </w:tc>
              <w:tc>
                <w:tcPr>
                  <w:tcW w:w="555" w:type="dxa"/>
                  <w:vMerge w:val="continue"/>
                  <w:tcBorders>
                    <w:tl2br w:val="nil"/>
                    <w:tr2bl w:val="nil"/>
                  </w:tcBorders>
                  <w:noWrap w:val="0"/>
                  <w:vAlign w:val="center"/>
                </w:tcPr>
                <w:p w14:paraId="3A6D96B2">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zh-CN"/>
                    </w:rPr>
                  </w:pPr>
                </w:p>
              </w:tc>
              <w:tc>
                <w:tcPr>
                  <w:tcW w:w="540" w:type="dxa"/>
                  <w:tcBorders>
                    <w:tl2br w:val="nil"/>
                    <w:tr2bl w:val="nil"/>
                  </w:tcBorders>
                  <w:noWrap w:val="0"/>
                  <w:vAlign w:val="center"/>
                </w:tcPr>
                <w:p w14:paraId="220B198B">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50</w:t>
                  </w:r>
                </w:p>
              </w:tc>
              <w:tc>
                <w:tcPr>
                  <w:tcW w:w="720" w:type="dxa"/>
                  <w:vMerge w:val="continue"/>
                  <w:tcBorders>
                    <w:tl2br w:val="nil"/>
                    <w:tr2bl w:val="nil"/>
                  </w:tcBorders>
                  <w:noWrap w:val="0"/>
                  <w:vAlign w:val="center"/>
                </w:tcPr>
                <w:p w14:paraId="5180B22E">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zh-CN"/>
                    </w:rPr>
                  </w:pPr>
                </w:p>
              </w:tc>
              <w:tc>
                <w:tcPr>
                  <w:tcW w:w="735" w:type="dxa"/>
                  <w:tcBorders>
                    <w:tl2br w:val="nil"/>
                    <w:tr2bl w:val="nil"/>
                  </w:tcBorders>
                  <w:noWrap w:val="0"/>
                  <w:vAlign w:val="center"/>
                </w:tcPr>
                <w:p w14:paraId="603D3FC9">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eastAsia="zh-CN"/>
                    </w:rPr>
                    <w:t>2.18</w:t>
                  </w:r>
                </w:p>
              </w:tc>
              <w:tc>
                <w:tcPr>
                  <w:tcW w:w="885" w:type="dxa"/>
                  <w:tcBorders>
                    <w:tl2br w:val="nil"/>
                    <w:tr2bl w:val="nil"/>
                  </w:tcBorders>
                  <w:noWrap w:val="0"/>
                  <w:vAlign w:val="center"/>
                </w:tcPr>
                <w:p w14:paraId="1B0D71E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110</w:t>
                  </w:r>
                </w:p>
              </w:tc>
              <w:tc>
                <w:tcPr>
                  <w:tcW w:w="1665" w:type="dxa"/>
                  <w:vMerge w:val="continue"/>
                  <w:tcBorders>
                    <w:tl2br w:val="nil"/>
                    <w:tr2bl w:val="nil"/>
                  </w:tcBorders>
                  <w:noWrap w:val="0"/>
                  <w:vAlign w:val="center"/>
                </w:tcPr>
                <w:p w14:paraId="19E8CA8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zh-CN"/>
                    </w:rPr>
                  </w:pPr>
                </w:p>
              </w:tc>
              <w:tc>
                <w:tcPr>
                  <w:tcW w:w="360" w:type="dxa"/>
                  <w:vMerge w:val="continue"/>
                  <w:tcBorders>
                    <w:tl2br w:val="nil"/>
                    <w:tr2bl w:val="nil"/>
                  </w:tcBorders>
                  <w:noWrap w:val="0"/>
                  <w:vAlign w:val="center"/>
                </w:tcPr>
                <w:p w14:paraId="03CBB5E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r>
            <w:tr w14:paraId="7A027CA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1" w:type="dxa"/>
                  <w:vMerge w:val="continue"/>
                  <w:tcBorders>
                    <w:tl2br w:val="nil"/>
                    <w:tr2bl w:val="nil"/>
                  </w:tcBorders>
                  <w:noWrap w:val="0"/>
                  <w:vAlign w:val="center"/>
                </w:tcPr>
                <w:p w14:paraId="0A626DAA">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ar-SA"/>
                    </w:rPr>
                  </w:pPr>
                </w:p>
              </w:tc>
              <w:tc>
                <w:tcPr>
                  <w:tcW w:w="394" w:type="dxa"/>
                  <w:vMerge w:val="continue"/>
                  <w:tcBorders>
                    <w:tl2br w:val="nil"/>
                    <w:tr2bl w:val="nil"/>
                  </w:tcBorders>
                  <w:noWrap w:val="0"/>
                  <w:vAlign w:val="center"/>
                </w:tcPr>
                <w:p w14:paraId="398F3D88">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eastAsia="zh-CN"/>
                    </w:rPr>
                  </w:pPr>
                </w:p>
              </w:tc>
              <w:tc>
                <w:tcPr>
                  <w:tcW w:w="645" w:type="dxa"/>
                  <w:tcBorders>
                    <w:tl2br w:val="nil"/>
                    <w:tr2bl w:val="nil"/>
                  </w:tcBorders>
                  <w:noWrap w:val="0"/>
                  <w:vAlign w:val="center"/>
                </w:tcPr>
                <w:p w14:paraId="2CFB92ED">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SS</w:t>
                  </w:r>
                </w:p>
              </w:tc>
              <w:tc>
                <w:tcPr>
                  <w:tcW w:w="660" w:type="dxa"/>
                  <w:tcBorders>
                    <w:tl2br w:val="nil"/>
                    <w:tr2bl w:val="nil"/>
                  </w:tcBorders>
                  <w:noWrap w:val="0"/>
                  <w:vAlign w:val="center"/>
                </w:tcPr>
                <w:p w14:paraId="7825653C">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0.99</w:t>
                  </w:r>
                </w:p>
              </w:tc>
              <w:tc>
                <w:tcPr>
                  <w:tcW w:w="885" w:type="dxa"/>
                  <w:tcBorders>
                    <w:tl2br w:val="nil"/>
                    <w:tr2bl w:val="nil"/>
                  </w:tcBorders>
                  <w:noWrap w:val="0"/>
                  <w:vAlign w:val="center"/>
                </w:tcPr>
                <w:p w14:paraId="63C8B113">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50</w:t>
                  </w:r>
                </w:p>
              </w:tc>
              <w:tc>
                <w:tcPr>
                  <w:tcW w:w="555" w:type="dxa"/>
                  <w:vMerge w:val="continue"/>
                  <w:tcBorders>
                    <w:tl2br w:val="nil"/>
                    <w:tr2bl w:val="nil"/>
                  </w:tcBorders>
                  <w:noWrap w:val="0"/>
                  <w:vAlign w:val="center"/>
                </w:tcPr>
                <w:p w14:paraId="0DE867D5">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540" w:type="dxa"/>
                  <w:tcBorders>
                    <w:tl2br w:val="nil"/>
                    <w:tr2bl w:val="nil"/>
                  </w:tcBorders>
                  <w:noWrap w:val="0"/>
                  <w:vAlign w:val="center"/>
                </w:tcPr>
                <w:p w14:paraId="025F6823">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84</w:t>
                  </w:r>
                </w:p>
              </w:tc>
              <w:tc>
                <w:tcPr>
                  <w:tcW w:w="720" w:type="dxa"/>
                  <w:vMerge w:val="continue"/>
                  <w:tcBorders>
                    <w:tl2br w:val="nil"/>
                    <w:tr2bl w:val="nil"/>
                  </w:tcBorders>
                  <w:noWrap w:val="0"/>
                  <w:vAlign w:val="center"/>
                </w:tcPr>
                <w:p w14:paraId="6DB6D2CB">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735" w:type="dxa"/>
                  <w:tcBorders>
                    <w:tl2br w:val="nil"/>
                    <w:tr2bl w:val="nil"/>
                  </w:tcBorders>
                  <w:noWrap w:val="0"/>
                  <w:vAlign w:val="center"/>
                </w:tcPr>
                <w:p w14:paraId="189989D3">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0.16</w:t>
                  </w:r>
                </w:p>
              </w:tc>
              <w:tc>
                <w:tcPr>
                  <w:tcW w:w="885" w:type="dxa"/>
                  <w:tcBorders>
                    <w:tl2br w:val="nil"/>
                    <w:tr2bl w:val="nil"/>
                  </w:tcBorders>
                  <w:noWrap w:val="0"/>
                  <w:vAlign w:val="center"/>
                </w:tcPr>
                <w:p w14:paraId="1A71EFEC">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8</w:t>
                  </w:r>
                </w:p>
              </w:tc>
              <w:tc>
                <w:tcPr>
                  <w:tcW w:w="1665" w:type="dxa"/>
                  <w:vMerge w:val="continue"/>
                  <w:tcBorders>
                    <w:tl2br w:val="nil"/>
                    <w:tr2bl w:val="nil"/>
                  </w:tcBorders>
                  <w:noWrap w:val="0"/>
                  <w:vAlign w:val="center"/>
                </w:tcPr>
                <w:p w14:paraId="72ECE95B">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360" w:type="dxa"/>
                  <w:vMerge w:val="continue"/>
                  <w:tcBorders>
                    <w:tl2br w:val="nil"/>
                    <w:tr2bl w:val="nil"/>
                  </w:tcBorders>
                  <w:noWrap w:val="0"/>
                  <w:vAlign w:val="center"/>
                </w:tcPr>
                <w:p w14:paraId="5A2222CD">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p>
              </w:tc>
            </w:tr>
            <w:tr w14:paraId="17D6A1A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1" w:type="dxa"/>
                  <w:vMerge w:val="continue"/>
                  <w:tcBorders>
                    <w:tl2br w:val="nil"/>
                    <w:tr2bl w:val="nil"/>
                  </w:tcBorders>
                  <w:noWrap w:val="0"/>
                  <w:vAlign w:val="center"/>
                </w:tcPr>
                <w:p w14:paraId="27813419">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ar-SA"/>
                    </w:rPr>
                  </w:pPr>
                </w:p>
              </w:tc>
              <w:tc>
                <w:tcPr>
                  <w:tcW w:w="394" w:type="dxa"/>
                  <w:vMerge w:val="continue"/>
                  <w:tcBorders>
                    <w:tl2br w:val="nil"/>
                    <w:tr2bl w:val="nil"/>
                  </w:tcBorders>
                  <w:noWrap w:val="0"/>
                  <w:vAlign w:val="center"/>
                </w:tcPr>
                <w:p w14:paraId="7A3A29DF">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5" w:type="dxa"/>
                  <w:tcBorders>
                    <w:tl2br w:val="nil"/>
                    <w:tr2bl w:val="nil"/>
                  </w:tcBorders>
                  <w:noWrap w:val="0"/>
                  <w:vAlign w:val="center"/>
                </w:tcPr>
                <w:p w14:paraId="71A595E8">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eastAsia="zh-CN"/>
                    </w:rPr>
                    <w:t>粪大肠菌群数</w:t>
                  </w:r>
                </w:p>
              </w:tc>
              <w:tc>
                <w:tcPr>
                  <w:tcW w:w="660" w:type="dxa"/>
                  <w:tcBorders>
                    <w:tl2br w:val="nil"/>
                    <w:tr2bl w:val="nil"/>
                  </w:tcBorders>
                  <w:noWrap w:val="0"/>
                  <w:vAlign w:val="center"/>
                </w:tcPr>
                <w:p w14:paraId="4A78DD65">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w:t>
                  </w:r>
                </w:p>
              </w:tc>
              <w:tc>
                <w:tcPr>
                  <w:tcW w:w="885" w:type="dxa"/>
                  <w:tcBorders>
                    <w:tl2br w:val="nil"/>
                    <w:tr2bl w:val="nil"/>
                  </w:tcBorders>
                  <w:noWrap w:val="0"/>
                  <w:vAlign w:val="center"/>
                </w:tcPr>
                <w:p w14:paraId="18E707E3">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vertAlign w:val="superscript"/>
                      <w:lang w:val="en-US" w:eastAsia="zh-CN"/>
                    </w:rPr>
                  </w:pPr>
                  <w:r>
                    <w:rPr>
                      <w:rFonts w:hint="default" w:ascii="Times New Roman" w:hAnsi="Times New Roman" w:eastAsia="宋体" w:cs="Times New Roman"/>
                      <w:color w:val="auto"/>
                      <w:spacing w:val="0"/>
                      <w:position w:val="0"/>
                      <w:sz w:val="21"/>
                      <w:szCs w:val="21"/>
                      <w:lang w:val="en-US" w:eastAsia="zh-CN"/>
                    </w:rPr>
                    <w:t>3.0 ×10</w:t>
                  </w:r>
                  <w:r>
                    <w:rPr>
                      <w:rFonts w:hint="default" w:ascii="Times New Roman" w:hAnsi="Times New Roman" w:eastAsia="宋体" w:cs="Times New Roman"/>
                      <w:color w:val="auto"/>
                      <w:spacing w:val="0"/>
                      <w:position w:val="0"/>
                      <w:sz w:val="21"/>
                      <w:szCs w:val="21"/>
                      <w:vertAlign w:val="superscript"/>
                      <w:lang w:val="en-US" w:eastAsia="zh-CN"/>
                    </w:rPr>
                    <w:t>8</w:t>
                  </w:r>
                </w:p>
                <w:p w14:paraId="4C52DEBF">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eastAsia="zh-CN"/>
                    </w:rPr>
                    <w:t>(MPN/L)</w:t>
                  </w:r>
                </w:p>
              </w:tc>
              <w:tc>
                <w:tcPr>
                  <w:tcW w:w="555" w:type="dxa"/>
                  <w:vMerge w:val="continue"/>
                  <w:tcBorders>
                    <w:tl2br w:val="nil"/>
                    <w:tr2bl w:val="nil"/>
                  </w:tcBorders>
                  <w:noWrap w:val="0"/>
                  <w:vAlign w:val="center"/>
                </w:tcPr>
                <w:p w14:paraId="3BFDEEFB">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zh-CN"/>
                    </w:rPr>
                  </w:pPr>
                </w:p>
              </w:tc>
              <w:tc>
                <w:tcPr>
                  <w:tcW w:w="540" w:type="dxa"/>
                  <w:tcBorders>
                    <w:tl2br w:val="nil"/>
                    <w:tr2bl w:val="nil"/>
                  </w:tcBorders>
                  <w:noWrap w:val="0"/>
                  <w:vAlign w:val="center"/>
                </w:tcPr>
                <w:p w14:paraId="34883338">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99.99</w:t>
                  </w:r>
                </w:p>
              </w:tc>
              <w:tc>
                <w:tcPr>
                  <w:tcW w:w="720" w:type="dxa"/>
                  <w:vMerge w:val="continue"/>
                  <w:tcBorders>
                    <w:tl2br w:val="nil"/>
                    <w:tr2bl w:val="nil"/>
                  </w:tcBorders>
                  <w:noWrap w:val="0"/>
                  <w:vAlign w:val="center"/>
                </w:tcPr>
                <w:p w14:paraId="6314CD23">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zh-CN"/>
                    </w:rPr>
                  </w:pPr>
                </w:p>
              </w:tc>
              <w:tc>
                <w:tcPr>
                  <w:tcW w:w="735" w:type="dxa"/>
                  <w:tcBorders>
                    <w:tl2br w:val="nil"/>
                    <w:tr2bl w:val="nil"/>
                  </w:tcBorders>
                  <w:noWrap w:val="0"/>
                  <w:vAlign w:val="center"/>
                </w:tcPr>
                <w:p w14:paraId="20930A85">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eastAsia="zh-CN"/>
                    </w:rPr>
                    <w:t>--</w:t>
                  </w:r>
                </w:p>
              </w:tc>
              <w:tc>
                <w:tcPr>
                  <w:tcW w:w="885" w:type="dxa"/>
                  <w:tcBorders>
                    <w:tl2br w:val="nil"/>
                    <w:tr2bl w:val="nil"/>
                  </w:tcBorders>
                  <w:noWrap w:val="0"/>
                  <w:vAlign w:val="center"/>
                </w:tcPr>
                <w:p w14:paraId="63AB1551">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5000</w:t>
                  </w:r>
                </w:p>
                <w:p w14:paraId="7BE9989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(MPN/L)</w:t>
                  </w:r>
                </w:p>
              </w:tc>
              <w:tc>
                <w:tcPr>
                  <w:tcW w:w="1665" w:type="dxa"/>
                  <w:vMerge w:val="continue"/>
                  <w:tcBorders>
                    <w:tl2br w:val="nil"/>
                    <w:tr2bl w:val="nil"/>
                  </w:tcBorders>
                  <w:noWrap w:val="0"/>
                  <w:vAlign w:val="center"/>
                </w:tcPr>
                <w:p w14:paraId="0960D2D2">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zh-CN"/>
                    </w:rPr>
                  </w:pPr>
                </w:p>
              </w:tc>
              <w:tc>
                <w:tcPr>
                  <w:tcW w:w="360" w:type="dxa"/>
                  <w:vMerge w:val="continue"/>
                  <w:tcBorders>
                    <w:tl2br w:val="nil"/>
                    <w:tr2bl w:val="nil"/>
                  </w:tcBorders>
                  <w:noWrap w:val="0"/>
                  <w:vAlign w:val="center"/>
                </w:tcPr>
                <w:p w14:paraId="0ACB2E2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r>
            <w:tr w14:paraId="4077F9CF">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1" w:type="dxa"/>
                  <w:vMerge w:val="continue"/>
                  <w:tcBorders>
                    <w:tl2br w:val="nil"/>
                    <w:tr2bl w:val="nil"/>
                  </w:tcBorders>
                  <w:noWrap w:val="0"/>
                  <w:vAlign w:val="center"/>
                </w:tcPr>
                <w:p w14:paraId="62868EC2">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ar-SA"/>
                    </w:rPr>
                  </w:pPr>
                </w:p>
              </w:tc>
              <w:tc>
                <w:tcPr>
                  <w:tcW w:w="394" w:type="dxa"/>
                  <w:vMerge w:val="continue"/>
                  <w:tcBorders>
                    <w:tl2br w:val="nil"/>
                    <w:tr2bl w:val="nil"/>
                  </w:tcBorders>
                  <w:noWrap w:val="0"/>
                  <w:vAlign w:val="center"/>
                </w:tcPr>
                <w:p w14:paraId="38E86DB0">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5" w:type="dxa"/>
                  <w:tcBorders>
                    <w:tl2br w:val="nil"/>
                    <w:tr2bl w:val="nil"/>
                  </w:tcBorders>
                  <w:noWrap w:val="0"/>
                  <w:vAlign w:val="center"/>
                </w:tcPr>
                <w:p w14:paraId="4625911E">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动植物油</w:t>
                  </w:r>
                </w:p>
              </w:tc>
              <w:tc>
                <w:tcPr>
                  <w:tcW w:w="660" w:type="dxa"/>
                  <w:tcBorders>
                    <w:tl2br w:val="nil"/>
                    <w:tr2bl w:val="nil"/>
                  </w:tcBorders>
                  <w:noWrap w:val="0"/>
                  <w:vAlign w:val="center"/>
                </w:tcPr>
                <w:p w14:paraId="518B8466">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0.06</w:t>
                  </w:r>
                </w:p>
              </w:tc>
              <w:tc>
                <w:tcPr>
                  <w:tcW w:w="885" w:type="dxa"/>
                  <w:tcBorders>
                    <w:tl2br w:val="nil"/>
                    <w:tr2bl w:val="nil"/>
                  </w:tcBorders>
                  <w:noWrap w:val="0"/>
                  <w:vAlign w:val="center"/>
                </w:tcPr>
                <w:p w14:paraId="39E2A768">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2.8</w:t>
                  </w:r>
                </w:p>
              </w:tc>
              <w:tc>
                <w:tcPr>
                  <w:tcW w:w="555" w:type="dxa"/>
                  <w:vMerge w:val="continue"/>
                  <w:tcBorders>
                    <w:tl2br w:val="nil"/>
                    <w:tr2bl w:val="nil"/>
                  </w:tcBorders>
                  <w:noWrap w:val="0"/>
                  <w:vAlign w:val="center"/>
                </w:tcPr>
                <w:p w14:paraId="4937C788">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540" w:type="dxa"/>
                  <w:tcBorders>
                    <w:tl2br w:val="nil"/>
                    <w:tr2bl w:val="nil"/>
                  </w:tcBorders>
                  <w:noWrap w:val="0"/>
                  <w:vAlign w:val="center"/>
                </w:tcPr>
                <w:p w14:paraId="187CC78C">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82</w:t>
                  </w:r>
                </w:p>
              </w:tc>
              <w:tc>
                <w:tcPr>
                  <w:tcW w:w="720" w:type="dxa"/>
                  <w:vMerge w:val="continue"/>
                  <w:tcBorders>
                    <w:tl2br w:val="nil"/>
                    <w:tr2bl w:val="nil"/>
                  </w:tcBorders>
                  <w:noWrap w:val="0"/>
                  <w:vAlign w:val="center"/>
                </w:tcPr>
                <w:p w14:paraId="080DB630">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735" w:type="dxa"/>
                  <w:tcBorders>
                    <w:tl2br w:val="nil"/>
                    <w:tr2bl w:val="nil"/>
                  </w:tcBorders>
                  <w:noWrap w:val="0"/>
                  <w:vAlign w:val="center"/>
                </w:tcPr>
                <w:p w14:paraId="1C4A2A57">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0.01</w:t>
                  </w:r>
                </w:p>
              </w:tc>
              <w:tc>
                <w:tcPr>
                  <w:tcW w:w="885" w:type="dxa"/>
                  <w:tcBorders>
                    <w:tl2br w:val="nil"/>
                    <w:tr2bl w:val="nil"/>
                  </w:tcBorders>
                  <w:noWrap w:val="0"/>
                  <w:vAlign w:val="center"/>
                </w:tcPr>
                <w:p w14:paraId="6DD555DC">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0.5</w:t>
                  </w:r>
                </w:p>
              </w:tc>
              <w:tc>
                <w:tcPr>
                  <w:tcW w:w="1665" w:type="dxa"/>
                  <w:vMerge w:val="continue"/>
                  <w:tcBorders>
                    <w:tl2br w:val="nil"/>
                    <w:tr2bl w:val="nil"/>
                  </w:tcBorders>
                  <w:noWrap w:val="0"/>
                  <w:vAlign w:val="center"/>
                </w:tcPr>
                <w:p w14:paraId="725DA1F8">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360" w:type="dxa"/>
                  <w:vMerge w:val="continue"/>
                  <w:tcBorders>
                    <w:tl2br w:val="nil"/>
                    <w:tr2bl w:val="nil"/>
                  </w:tcBorders>
                  <w:noWrap w:val="0"/>
                  <w:vAlign w:val="center"/>
                </w:tcPr>
                <w:p w14:paraId="55F7A501">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r>
          </w:tbl>
          <w:p w14:paraId="743BF865">
            <w:pPr>
              <w:keepNext w:val="0"/>
              <w:keepLines w:val="0"/>
              <w:pageBreakBefore w:val="0"/>
              <w:widowControl w:val="0"/>
              <w:kinsoku/>
              <w:wordWrap/>
              <w:overflowPunct/>
              <w:topLinePunct w:val="0"/>
              <w:autoSpaceDE/>
              <w:autoSpaceDN/>
              <w:bidi w:val="0"/>
              <w:adjustRightInd w:val="0"/>
              <w:snapToGrid/>
              <w:spacing w:before="157" w:beforeLines="50" w:line="240" w:lineRule="auto"/>
              <w:jc w:val="center"/>
              <w:textAlignment w:val="baseline"/>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bCs/>
                <w:color w:val="auto"/>
                <w:kern w:val="0"/>
                <w:sz w:val="24"/>
                <w:szCs w:val="24"/>
                <w:lang w:val="en-US" w:eastAsia="zh-CN"/>
              </w:rPr>
              <w:t>表4-</w:t>
            </w:r>
            <w:r>
              <w:rPr>
                <w:rFonts w:hint="eastAsia" w:ascii="Times New Roman" w:hAnsi="Times New Roman" w:cs="Times New Roman"/>
                <w:b/>
                <w:bCs/>
                <w:color w:val="auto"/>
                <w:kern w:val="0"/>
                <w:sz w:val="24"/>
                <w:szCs w:val="24"/>
                <w:lang w:val="en-US" w:eastAsia="zh-CN"/>
              </w:rPr>
              <w:t>6</w:t>
            </w:r>
            <w:r>
              <w:rPr>
                <w:rFonts w:hint="eastAsia" w:ascii="Times New Roman" w:hAnsi="Times New Roman" w:eastAsia="宋体" w:cs="Times New Roman"/>
                <w:b/>
                <w:bCs/>
                <w:color w:val="auto"/>
                <w:kern w:val="0"/>
                <w:sz w:val="24"/>
                <w:szCs w:val="24"/>
                <w:lang w:val="en-US" w:eastAsia="zh-CN"/>
              </w:rPr>
              <w:t xml:space="preserve">    废水排放口基本情况</w:t>
            </w:r>
          </w:p>
          <w:tbl>
            <w:tblPr>
              <w:tblStyle w:val="48"/>
              <w:tblW w:w="8357" w:type="dxa"/>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271"/>
              <w:gridCol w:w="781"/>
              <w:gridCol w:w="1514"/>
              <w:gridCol w:w="825"/>
              <w:gridCol w:w="1095"/>
              <w:gridCol w:w="2325"/>
              <w:gridCol w:w="450"/>
              <w:gridCol w:w="1096"/>
            </w:tblGrid>
            <w:tr w14:paraId="2BBC620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098" w:hRule="atLeast"/>
                <w:jc w:val="center"/>
              </w:trPr>
              <w:tc>
                <w:tcPr>
                  <w:tcW w:w="271" w:type="dxa"/>
                  <w:tcBorders>
                    <w:tl2br w:val="nil"/>
                    <w:tr2bl w:val="nil"/>
                  </w:tcBorders>
                  <w:noWrap w:val="0"/>
                  <w:vAlign w:val="center"/>
                </w:tcPr>
                <w:p w14:paraId="70FF28A7">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序号</w:t>
                  </w:r>
                </w:p>
              </w:tc>
              <w:tc>
                <w:tcPr>
                  <w:tcW w:w="781" w:type="dxa"/>
                  <w:tcBorders>
                    <w:tl2br w:val="nil"/>
                    <w:tr2bl w:val="nil"/>
                  </w:tcBorders>
                  <w:noWrap w:val="0"/>
                  <w:vAlign w:val="center"/>
                </w:tcPr>
                <w:p w14:paraId="0D269F45">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排放口编号</w:t>
                  </w:r>
                </w:p>
              </w:tc>
              <w:tc>
                <w:tcPr>
                  <w:tcW w:w="1514" w:type="dxa"/>
                  <w:tcBorders>
                    <w:tl2br w:val="nil"/>
                    <w:tr2bl w:val="nil"/>
                  </w:tcBorders>
                  <w:noWrap w:val="0"/>
                  <w:vAlign w:val="center"/>
                </w:tcPr>
                <w:p w14:paraId="524E0BDD">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排放口地理坐标</w:t>
                  </w:r>
                </w:p>
              </w:tc>
              <w:tc>
                <w:tcPr>
                  <w:tcW w:w="825" w:type="dxa"/>
                  <w:tcBorders>
                    <w:tl2br w:val="nil"/>
                    <w:tr2bl w:val="nil"/>
                  </w:tcBorders>
                  <w:noWrap w:val="0"/>
                  <w:vAlign w:val="center"/>
                </w:tcPr>
                <w:p w14:paraId="7BD4CBF5">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b w:val="0"/>
                      <w:bCs w:val="0"/>
                      <w:color w:val="auto"/>
                      <w:spacing w:val="0"/>
                      <w:position w:val="0"/>
                      <w:sz w:val="21"/>
                      <w:szCs w:val="21"/>
                      <w:lang w:eastAsia="zh-CN"/>
                    </w:rPr>
                    <w:t>废水排放量</w:t>
                  </w:r>
                </w:p>
              </w:tc>
              <w:tc>
                <w:tcPr>
                  <w:tcW w:w="1095" w:type="dxa"/>
                  <w:tcBorders>
                    <w:tl2br w:val="nil"/>
                    <w:tr2bl w:val="nil"/>
                  </w:tcBorders>
                  <w:noWrap w:val="0"/>
                  <w:vAlign w:val="center"/>
                </w:tcPr>
                <w:p w14:paraId="57E046EB">
                  <w:pPr>
                    <w:pStyle w:val="11"/>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val="0"/>
                      <w:color w:val="auto"/>
                      <w:spacing w:val="0"/>
                      <w:position w:val="0"/>
                      <w:sz w:val="21"/>
                      <w:szCs w:val="21"/>
                      <w:lang w:eastAsia="zh-CN"/>
                    </w:rPr>
                    <w:t>排放去向</w:t>
                  </w:r>
                </w:p>
              </w:tc>
              <w:tc>
                <w:tcPr>
                  <w:tcW w:w="2325" w:type="dxa"/>
                  <w:tcBorders>
                    <w:tl2br w:val="nil"/>
                    <w:tr2bl w:val="nil"/>
                  </w:tcBorders>
                  <w:noWrap w:val="0"/>
                  <w:vAlign w:val="center"/>
                </w:tcPr>
                <w:p w14:paraId="7343DC1D">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排放规律</w:t>
                  </w:r>
                </w:p>
              </w:tc>
              <w:tc>
                <w:tcPr>
                  <w:tcW w:w="450" w:type="dxa"/>
                  <w:tcBorders>
                    <w:tl2br w:val="nil"/>
                    <w:tr2bl w:val="nil"/>
                  </w:tcBorders>
                  <w:noWrap w:val="0"/>
                  <w:vAlign w:val="center"/>
                </w:tcPr>
                <w:p w14:paraId="304E2FA1">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排放时段</w:t>
                  </w:r>
                </w:p>
              </w:tc>
              <w:tc>
                <w:tcPr>
                  <w:tcW w:w="1096" w:type="dxa"/>
                  <w:tcBorders>
                    <w:tl2br w:val="nil"/>
                    <w:tr2bl w:val="nil"/>
                  </w:tcBorders>
                  <w:noWrap w:val="0"/>
                  <w:vAlign w:val="center"/>
                </w:tcPr>
                <w:p w14:paraId="7977B4AE">
                  <w:pPr>
                    <w:pStyle w:val="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b w:val="0"/>
                      <w:bCs w:val="0"/>
                      <w:color w:val="auto"/>
                      <w:spacing w:val="0"/>
                      <w:position w:val="0"/>
                      <w:sz w:val="21"/>
                      <w:szCs w:val="21"/>
                      <w:lang w:eastAsia="zh-CN"/>
                    </w:rPr>
                  </w:pPr>
                  <w:r>
                    <w:rPr>
                      <w:rFonts w:hint="default" w:ascii="Times New Roman" w:hAnsi="Times New Roman" w:eastAsia="宋体" w:cs="Times New Roman"/>
                      <w:color w:val="auto"/>
                      <w:sz w:val="21"/>
                      <w:szCs w:val="21"/>
                      <w:lang w:eastAsia="zh-CN"/>
                    </w:rPr>
                    <w:t>收纳污水处理厂信息</w:t>
                  </w:r>
                </w:p>
              </w:tc>
            </w:tr>
            <w:tr w14:paraId="73DE396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108" w:hRule="atLeast"/>
                <w:jc w:val="center"/>
              </w:trPr>
              <w:tc>
                <w:tcPr>
                  <w:tcW w:w="271" w:type="dxa"/>
                  <w:tcBorders>
                    <w:tl2br w:val="nil"/>
                    <w:tr2bl w:val="nil"/>
                  </w:tcBorders>
                  <w:noWrap w:val="0"/>
                  <w:vAlign w:val="center"/>
                </w:tcPr>
                <w:p w14:paraId="4E0515E2">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bidi="ar-SA"/>
                    </w:rPr>
                    <w:t>1</w:t>
                  </w:r>
                </w:p>
              </w:tc>
              <w:tc>
                <w:tcPr>
                  <w:tcW w:w="781" w:type="dxa"/>
                  <w:tcBorders>
                    <w:tl2br w:val="nil"/>
                    <w:tr2bl w:val="nil"/>
                  </w:tcBorders>
                  <w:noWrap w:val="0"/>
                  <w:vAlign w:val="center"/>
                </w:tcPr>
                <w:p w14:paraId="1FF012E2">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DW001</w:t>
                  </w:r>
                </w:p>
              </w:tc>
              <w:tc>
                <w:tcPr>
                  <w:tcW w:w="1514" w:type="dxa"/>
                  <w:tcBorders>
                    <w:tl2br w:val="nil"/>
                    <w:tr2bl w:val="nil"/>
                  </w:tcBorders>
                  <w:noWrap w:val="0"/>
                  <w:vAlign w:val="center"/>
                </w:tcPr>
                <w:p w14:paraId="278246E1">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default" w:ascii="Times New Roman" w:hAnsi="Times New Roman" w:eastAsia="宋体" w:cs="Times New Roman"/>
                      <w:b w:val="0"/>
                      <w:bCs w:val="0"/>
                      <w:color w:val="auto"/>
                      <w:sz w:val="21"/>
                      <w:szCs w:val="21"/>
                      <w:lang w:val="en-US" w:eastAsia="zh-CN" w:bidi="zh-CN"/>
                    </w:rPr>
                  </w:pPr>
                  <w:r>
                    <w:rPr>
                      <w:rFonts w:hint="default" w:ascii="Times New Roman" w:hAnsi="Times New Roman" w:eastAsia="宋体" w:cs="Times New Roman"/>
                      <w:b w:val="0"/>
                      <w:bCs w:val="0"/>
                      <w:color w:val="auto"/>
                      <w:sz w:val="21"/>
                      <w:szCs w:val="21"/>
                      <w:lang w:val="en-US" w:eastAsia="zh-CN" w:bidi="zh-CN"/>
                    </w:rPr>
                    <w:t>109°59'8.628"，39°48'26.146"</w:t>
                  </w:r>
                </w:p>
              </w:tc>
              <w:tc>
                <w:tcPr>
                  <w:tcW w:w="825" w:type="dxa"/>
                  <w:tcBorders>
                    <w:tl2br w:val="nil"/>
                    <w:tr2bl w:val="nil"/>
                  </w:tcBorders>
                  <w:noWrap w:val="0"/>
                  <w:vAlign w:val="center"/>
                </w:tcPr>
                <w:p w14:paraId="081A17B2">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54.4</w:t>
                  </w:r>
                  <w:r>
                    <w:rPr>
                      <w:rFonts w:hint="default" w:ascii="Times New Roman" w:hAnsi="Times New Roman" w:eastAsia="宋体" w:cs="Times New Roman"/>
                      <w:b w:val="0"/>
                      <w:bCs w:val="0"/>
                      <w:color w:val="auto"/>
                      <w:spacing w:val="0"/>
                      <w:position w:val="0"/>
                      <w:sz w:val="21"/>
                      <w:szCs w:val="21"/>
                      <w:lang w:eastAsia="zh-CN"/>
                    </w:rPr>
                    <w:t>（</w:t>
                  </w:r>
                  <w:r>
                    <w:rPr>
                      <w:rFonts w:hint="default" w:ascii="Times New Roman" w:hAnsi="Times New Roman" w:eastAsia="宋体" w:cs="Times New Roman"/>
                      <w:b w:val="0"/>
                      <w:bCs w:val="0"/>
                      <w:color w:val="auto"/>
                      <w:spacing w:val="0"/>
                      <w:position w:val="0"/>
                      <w:sz w:val="21"/>
                      <w:szCs w:val="21"/>
                      <w:lang w:val="en-US" w:eastAsia="zh-CN"/>
                    </w:rPr>
                    <w:t>m</w:t>
                  </w:r>
                  <w:r>
                    <w:rPr>
                      <w:rFonts w:hint="default" w:ascii="Times New Roman" w:hAnsi="Times New Roman" w:eastAsia="宋体" w:cs="Times New Roman"/>
                      <w:b w:val="0"/>
                      <w:bCs w:val="0"/>
                      <w:color w:val="auto"/>
                      <w:spacing w:val="0"/>
                      <w:position w:val="0"/>
                      <w:sz w:val="21"/>
                      <w:szCs w:val="21"/>
                      <w:vertAlign w:val="superscript"/>
                      <w:lang w:val="en-US" w:eastAsia="zh-CN"/>
                    </w:rPr>
                    <w:t>3</w:t>
                  </w:r>
                  <w:r>
                    <w:rPr>
                      <w:rFonts w:hint="default" w:ascii="Times New Roman" w:hAnsi="Times New Roman" w:eastAsia="宋体" w:cs="Times New Roman"/>
                      <w:b w:val="0"/>
                      <w:bCs w:val="0"/>
                      <w:color w:val="auto"/>
                      <w:spacing w:val="0"/>
                      <w:position w:val="0"/>
                      <w:sz w:val="21"/>
                      <w:szCs w:val="21"/>
                      <w:lang w:val="en-US" w:eastAsia="zh-CN"/>
                    </w:rPr>
                    <w:t>/d</w:t>
                  </w:r>
                  <w:r>
                    <w:rPr>
                      <w:rFonts w:hint="default" w:ascii="Times New Roman" w:hAnsi="Times New Roman" w:eastAsia="宋体" w:cs="Times New Roman"/>
                      <w:b w:val="0"/>
                      <w:bCs w:val="0"/>
                      <w:color w:val="auto"/>
                      <w:spacing w:val="0"/>
                      <w:position w:val="0"/>
                      <w:sz w:val="21"/>
                      <w:szCs w:val="21"/>
                      <w:lang w:eastAsia="zh-CN"/>
                    </w:rPr>
                    <w:t>）</w:t>
                  </w:r>
                </w:p>
              </w:tc>
              <w:tc>
                <w:tcPr>
                  <w:tcW w:w="1095" w:type="dxa"/>
                  <w:tcBorders>
                    <w:tl2br w:val="nil"/>
                    <w:tr2bl w:val="nil"/>
                  </w:tcBorders>
                  <w:noWrap w:val="0"/>
                  <w:vAlign w:val="center"/>
                </w:tcPr>
                <w:p w14:paraId="62E6A744">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东胜区北郊水质净化厂</w:t>
                  </w:r>
                </w:p>
              </w:tc>
              <w:tc>
                <w:tcPr>
                  <w:tcW w:w="2325" w:type="dxa"/>
                  <w:tcBorders>
                    <w:tl2br w:val="nil"/>
                    <w:tr2bl w:val="nil"/>
                  </w:tcBorders>
                  <w:noWrap w:val="0"/>
                  <w:vAlign w:val="center"/>
                </w:tcPr>
                <w:p w14:paraId="6E506656">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连续排放，排放期间流量不稳定，但有周期性规律</w:t>
                  </w:r>
                </w:p>
              </w:tc>
              <w:tc>
                <w:tcPr>
                  <w:tcW w:w="450" w:type="dxa"/>
                  <w:tcBorders>
                    <w:tl2br w:val="nil"/>
                    <w:tr2bl w:val="nil"/>
                  </w:tcBorders>
                  <w:noWrap w:val="0"/>
                  <w:vAlign w:val="center"/>
                </w:tcPr>
                <w:p w14:paraId="2F492638">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全天</w:t>
                  </w:r>
                </w:p>
              </w:tc>
              <w:tc>
                <w:tcPr>
                  <w:tcW w:w="1096" w:type="dxa"/>
                  <w:tcBorders>
                    <w:tl2br w:val="nil"/>
                    <w:tr2bl w:val="nil"/>
                  </w:tcBorders>
                  <w:noWrap w:val="0"/>
                  <w:vAlign w:val="center"/>
                </w:tcPr>
                <w:p w14:paraId="6ADA8156">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东胜区北郊水质净化厂</w:t>
                  </w:r>
                </w:p>
              </w:tc>
            </w:tr>
          </w:tbl>
          <w:p w14:paraId="24278D94">
            <w:pPr>
              <w:pStyle w:val="45"/>
              <w:spacing w:line="520" w:lineRule="exact"/>
              <w:ind w:firstLine="482" w:firstLineChars="200"/>
              <w:jc w:val="both"/>
              <w:rPr>
                <w:rFonts w:ascii="Times New Roman" w:hAnsi="Times New Roman" w:cs="Times New Roman"/>
                <w:b/>
                <w:bCs/>
                <w:color w:val="auto"/>
                <w:sz w:val="24"/>
                <w:szCs w:val="24"/>
                <w:lang w:val="en-US"/>
              </w:rPr>
            </w:pPr>
            <w:r>
              <w:rPr>
                <w:rFonts w:ascii="Times New Roman" w:hAnsi="Times New Roman" w:cs="Times New Roman"/>
                <w:b/>
                <w:bCs/>
                <w:color w:val="auto"/>
                <w:sz w:val="24"/>
                <w:szCs w:val="24"/>
              </w:rPr>
              <w:t>3、运营期噪声环境影响和保护措施</w:t>
            </w:r>
          </w:p>
          <w:p w14:paraId="7240D1C5">
            <w:pPr>
              <w:pStyle w:val="45"/>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bCs/>
                <w:color w:val="auto"/>
                <w:sz w:val="24"/>
                <w:szCs w:val="24"/>
                <w:lang w:val="en-US"/>
              </w:rPr>
              <w:t>项目运营过程中</w:t>
            </w:r>
            <w:r>
              <w:rPr>
                <w:rFonts w:hint="default" w:ascii="Times New Roman" w:hAnsi="Times New Roman" w:cs="Times New Roman"/>
                <w:bCs/>
                <w:color w:val="auto"/>
                <w:sz w:val="24"/>
                <w:szCs w:val="24"/>
                <w:lang w:val="en-US" w:eastAsia="zh-CN"/>
              </w:rPr>
              <w:t>昼间噪声</w:t>
            </w:r>
            <w:r>
              <w:rPr>
                <w:rFonts w:hint="default" w:ascii="Times New Roman" w:hAnsi="Times New Roman" w:cs="Times New Roman"/>
                <w:bCs/>
                <w:color w:val="auto"/>
                <w:sz w:val="24"/>
                <w:szCs w:val="24"/>
                <w:lang w:val="en-US"/>
              </w:rPr>
              <w:t>主要为</w:t>
            </w:r>
            <w:r>
              <w:rPr>
                <w:rFonts w:hint="default" w:ascii="Times New Roman" w:hAnsi="Times New Roman" w:cs="Times New Roman"/>
                <w:color w:val="auto"/>
                <w:sz w:val="24"/>
                <w:lang w:val="en-US" w:eastAsia="zh-CN"/>
              </w:rPr>
              <w:t>污水处理站设备运行产生的噪声、车辆噪声及人员噪声</w:t>
            </w:r>
            <w:r>
              <w:rPr>
                <w:rFonts w:hint="default" w:ascii="Times New Roman" w:hAnsi="Times New Roman" w:cs="Times New Roman"/>
                <w:color w:val="auto"/>
                <w:sz w:val="24"/>
                <w:szCs w:val="24"/>
                <w:lang w:val="en-US" w:eastAsia="zh-CN"/>
              </w:rPr>
              <w:t>。夜间噪声主要为</w:t>
            </w:r>
            <w:r>
              <w:rPr>
                <w:rFonts w:hint="default" w:ascii="Times New Roman" w:hAnsi="Times New Roman" w:cs="Times New Roman"/>
                <w:color w:val="auto"/>
                <w:sz w:val="24"/>
                <w:lang w:val="en-US" w:eastAsia="zh-CN"/>
              </w:rPr>
              <w:t>污水处理站设备运行产生的噪声，具体内容见下表。</w:t>
            </w:r>
          </w:p>
          <w:p w14:paraId="1B33ECCA">
            <w:pPr>
              <w:adjustRightInd w:val="0"/>
              <w:snapToGrid w:val="0"/>
              <w:spacing w:line="520" w:lineRule="exact"/>
              <w:jc w:val="center"/>
              <w:rPr>
                <w:rFonts w:ascii="Times New Roman" w:hAnsi="Times New Roman"/>
                <w:bCs/>
                <w:color w:val="auto"/>
                <w:sz w:val="24"/>
                <w:szCs w:val="24"/>
                <w:lang w:val="en-US"/>
              </w:rPr>
            </w:pPr>
            <w:r>
              <w:rPr>
                <w:rFonts w:hint="eastAsia" w:ascii="Times New Roman" w:hAnsi="Times New Roman" w:cs="Times New Roman"/>
                <w:b/>
                <w:bCs/>
                <w:color w:val="auto"/>
                <w:sz w:val="24"/>
                <w:szCs w:val="24"/>
                <w:lang w:val="en-US" w:eastAsia="zh-CN"/>
              </w:rPr>
              <w:t xml:space="preserve">                                 </w:t>
            </w:r>
            <w:r>
              <w:rPr>
                <w:rFonts w:hint="eastAsia" w:ascii="Times New Roman" w:hAnsi="Times New Roman" w:cs="Times New Roman"/>
                <w:b/>
                <w:bCs/>
                <w:color w:val="auto"/>
                <w:sz w:val="24"/>
                <w:szCs w:val="24"/>
                <w:lang w:val="en-US"/>
              </w:rPr>
              <w:t>表4-</w:t>
            </w:r>
            <w:r>
              <w:rPr>
                <w:rFonts w:hint="eastAsia" w:ascii="Times New Roman" w:hAnsi="Times New Roman" w:cs="Times New Roman"/>
                <w:b/>
                <w:bCs/>
                <w:color w:val="auto"/>
                <w:sz w:val="24"/>
                <w:szCs w:val="24"/>
                <w:lang w:val="en-US" w:eastAsia="zh-CN"/>
              </w:rPr>
              <w:t>7</w:t>
            </w:r>
            <w:r>
              <w:rPr>
                <w:rFonts w:hint="eastAsia" w:ascii="Times New Roman" w:hAnsi="Times New Roman" w:cs="Times New Roman"/>
                <w:b/>
                <w:bCs/>
                <w:color w:val="auto"/>
                <w:sz w:val="24"/>
                <w:szCs w:val="24"/>
                <w:lang w:val="en-US"/>
              </w:rPr>
              <w:t xml:space="preserve">  </w:t>
            </w:r>
            <w:r>
              <w:rPr>
                <w:rFonts w:hint="eastAsia" w:ascii="Times New Roman" w:hAnsi="Times New Roman" w:cs="Times New Roman"/>
                <w:b/>
                <w:bCs/>
                <w:color w:val="auto"/>
                <w:sz w:val="24"/>
                <w:szCs w:val="24"/>
                <w:lang w:val="en-US" w:eastAsia="zh-CN"/>
              </w:rPr>
              <w:t xml:space="preserve">   </w:t>
            </w:r>
            <w:r>
              <w:rPr>
                <w:rFonts w:hint="eastAsia" w:ascii="Times New Roman" w:hAnsi="Times New Roman" w:cs="Times New Roman"/>
                <w:b/>
                <w:bCs/>
                <w:color w:val="auto"/>
                <w:sz w:val="24"/>
                <w:szCs w:val="24"/>
                <w:lang w:val="en-US"/>
              </w:rPr>
              <w:t xml:space="preserve"> </w:t>
            </w:r>
            <w:r>
              <w:rPr>
                <w:rFonts w:hint="eastAsia" w:ascii="Times New Roman" w:hAnsi="Times New Roman" w:cs="Times New Roman"/>
                <w:b/>
                <w:bCs/>
                <w:color w:val="auto"/>
                <w:sz w:val="24"/>
                <w:szCs w:val="24"/>
                <w:lang w:val="en-US" w:eastAsia="zh-CN"/>
              </w:rPr>
              <w:t>主要设备噪声源强一览</w:t>
            </w:r>
            <w:r>
              <w:rPr>
                <w:rFonts w:hint="eastAsia" w:ascii="Times New Roman" w:hAnsi="Times New Roman" w:cs="Times New Roman"/>
                <w:b/>
                <w:bCs/>
                <w:color w:val="auto"/>
                <w:sz w:val="24"/>
                <w:szCs w:val="24"/>
                <w:lang w:val="en-US"/>
              </w:rPr>
              <w:t>表                      单位：dB(A)</w:t>
            </w:r>
          </w:p>
          <w:tbl>
            <w:tblPr>
              <w:tblStyle w:val="20"/>
              <w:tblW w:w="825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85"/>
              <w:gridCol w:w="1982"/>
              <w:gridCol w:w="870"/>
              <w:gridCol w:w="3615"/>
              <w:gridCol w:w="1105"/>
            </w:tblGrid>
            <w:tr w14:paraId="45F391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5" w:type="dxa"/>
                  <w:tcBorders>
                    <w:tl2br w:val="nil"/>
                    <w:tr2bl w:val="nil"/>
                  </w:tcBorders>
                  <w:noWrap/>
                  <w:tcMar>
                    <w:top w:w="15" w:type="dxa"/>
                    <w:left w:w="15" w:type="dxa"/>
                    <w:right w:w="15" w:type="dxa"/>
                  </w:tcMar>
                  <w:vAlign w:val="center"/>
                </w:tcPr>
                <w:p w14:paraId="4C086591">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kern w:val="0"/>
                      <w:sz w:val="21"/>
                      <w:szCs w:val="21"/>
                      <w:lang w:eastAsia="zh-CN" w:bidi="ar"/>
                    </w:rPr>
                    <w:t>序号</w:t>
                  </w:r>
                </w:p>
              </w:tc>
              <w:tc>
                <w:tcPr>
                  <w:tcW w:w="1982" w:type="dxa"/>
                  <w:tcBorders>
                    <w:tl2br w:val="nil"/>
                    <w:tr2bl w:val="nil"/>
                  </w:tcBorders>
                  <w:noWrap/>
                  <w:tcMar>
                    <w:top w:w="15" w:type="dxa"/>
                    <w:left w:w="15" w:type="dxa"/>
                    <w:right w:w="15" w:type="dxa"/>
                  </w:tcMar>
                  <w:vAlign w:val="center"/>
                </w:tcPr>
                <w:p w14:paraId="562FD152">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kern w:val="0"/>
                      <w:sz w:val="21"/>
                      <w:szCs w:val="21"/>
                      <w:lang w:eastAsia="zh-CN" w:bidi="ar"/>
                    </w:rPr>
                    <w:t>噪声源</w:t>
                  </w:r>
                </w:p>
              </w:tc>
              <w:tc>
                <w:tcPr>
                  <w:tcW w:w="870" w:type="dxa"/>
                  <w:tcBorders>
                    <w:tl2br w:val="nil"/>
                    <w:tr2bl w:val="nil"/>
                  </w:tcBorders>
                  <w:noWrap/>
                  <w:tcMar>
                    <w:top w:w="15" w:type="dxa"/>
                    <w:left w:w="15" w:type="dxa"/>
                    <w:right w:w="15" w:type="dxa"/>
                  </w:tcMar>
                  <w:vAlign w:val="center"/>
                </w:tcPr>
                <w:p w14:paraId="0F2003CA">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kern w:val="0"/>
                      <w:sz w:val="21"/>
                      <w:szCs w:val="21"/>
                      <w:lang w:eastAsia="zh-CN" w:bidi="ar"/>
                    </w:rPr>
                  </w:pPr>
                  <w:r>
                    <w:rPr>
                      <w:rFonts w:hint="default" w:ascii="Times New Roman" w:hAnsi="Times New Roman" w:eastAsia="宋体" w:cs="Times New Roman"/>
                      <w:color w:val="auto"/>
                      <w:kern w:val="0"/>
                      <w:sz w:val="21"/>
                      <w:szCs w:val="21"/>
                      <w:lang w:eastAsia="zh-CN" w:bidi="ar"/>
                    </w:rPr>
                    <w:t>源强</w:t>
                  </w:r>
                </w:p>
              </w:tc>
              <w:tc>
                <w:tcPr>
                  <w:tcW w:w="3615" w:type="dxa"/>
                  <w:tcBorders>
                    <w:tl2br w:val="nil"/>
                    <w:tr2bl w:val="nil"/>
                  </w:tcBorders>
                  <w:noWrap/>
                  <w:tcMar>
                    <w:top w:w="15" w:type="dxa"/>
                    <w:left w:w="15" w:type="dxa"/>
                    <w:right w:w="15" w:type="dxa"/>
                  </w:tcMar>
                  <w:vAlign w:val="center"/>
                </w:tcPr>
                <w:p w14:paraId="5DEBD90A">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kern w:val="0"/>
                      <w:sz w:val="21"/>
                      <w:szCs w:val="21"/>
                      <w:lang w:eastAsia="zh-CN" w:bidi="ar"/>
                    </w:rPr>
                    <w:t>降噪措施</w:t>
                  </w:r>
                </w:p>
              </w:tc>
              <w:tc>
                <w:tcPr>
                  <w:tcW w:w="1105" w:type="dxa"/>
                  <w:tcBorders>
                    <w:tl2br w:val="nil"/>
                    <w:tr2bl w:val="nil"/>
                  </w:tcBorders>
                  <w:noWrap/>
                  <w:tcMar>
                    <w:top w:w="15" w:type="dxa"/>
                    <w:left w:w="15" w:type="dxa"/>
                    <w:right w:w="15" w:type="dxa"/>
                  </w:tcMar>
                  <w:vAlign w:val="center"/>
                </w:tcPr>
                <w:p w14:paraId="0DF2D8C7">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衰减后源强</w:t>
                  </w:r>
                </w:p>
              </w:tc>
            </w:tr>
            <w:tr w14:paraId="530066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85" w:type="dxa"/>
                  <w:tcBorders>
                    <w:tl2br w:val="nil"/>
                    <w:tr2bl w:val="nil"/>
                  </w:tcBorders>
                  <w:noWrap w:val="0"/>
                  <w:tcMar>
                    <w:top w:w="15" w:type="dxa"/>
                    <w:left w:w="15" w:type="dxa"/>
                    <w:right w:w="15" w:type="dxa"/>
                  </w:tcMar>
                  <w:vAlign w:val="center"/>
                </w:tcPr>
                <w:p w14:paraId="5190B5BF">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1982" w:type="dxa"/>
                  <w:tcBorders>
                    <w:tl2br w:val="nil"/>
                    <w:tr2bl w:val="nil"/>
                  </w:tcBorders>
                  <w:noWrap w:val="0"/>
                  <w:tcMar>
                    <w:top w:w="15" w:type="dxa"/>
                    <w:left w:w="15" w:type="dxa"/>
                    <w:right w:w="15" w:type="dxa"/>
                  </w:tcMar>
                  <w:vAlign w:val="center"/>
                </w:tcPr>
                <w:p w14:paraId="2741C591">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污水处理站设备噪声</w:t>
                  </w:r>
                </w:p>
              </w:tc>
              <w:tc>
                <w:tcPr>
                  <w:tcW w:w="870" w:type="dxa"/>
                  <w:tcBorders>
                    <w:tl2br w:val="nil"/>
                    <w:tr2bl w:val="nil"/>
                  </w:tcBorders>
                  <w:noWrap/>
                  <w:tcMar>
                    <w:top w:w="15" w:type="dxa"/>
                    <w:left w:w="15" w:type="dxa"/>
                    <w:right w:w="15" w:type="dxa"/>
                  </w:tcMar>
                  <w:vAlign w:val="center"/>
                </w:tcPr>
                <w:p w14:paraId="7804315F">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75-85</w:t>
                  </w:r>
                </w:p>
              </w:tc>
              <w:tc>
                <w:tcPr>
                  <w:tcW w:w="3615" w:type="dxa"/>
                  <w:vMerge w:val="restart"/>
                  <w:tcBorders>
                    <w:tl2br w:val="nil"/>
                    <w:tr2bl w:val="nil"/>
                  </w:tcBorders>
                  <w:noWrap/>
                  <w:tcMar>
                    <w:top w:w="15" w:type="dxa"/>
                    <w:left w:w="15" w:type="dxa"/>
                    <w:right w:w="15" w:type="dxa"/>
                  </w:tcMar>
                  <w:vAlign w:val="center"/>
                </w:tcPr>
                <w:p w14:paraId="0678BE64">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kern w:val="0"/>
                      <w:sz w:val="21"/>
                      <w:szCs w:val="21"/>
                      <w:lang w:val="en-US" w:eastAsia="zh-CN" w:bidi="ar"/>
                    </w:rPr>
                    <w:t>选用低噪声设备；</w:t>
                  </w:r>
                  <w:r>
                    <w:rPr>
                      <w:rFonts w:hint="default" w:ascii="Times New Roman" w:hAnsi="Times New Roman" w:eastAsia="宋体" w:cs="Times New Roman"/>
                      <w:color w:val="auto"/>
                      <w:sz w:val="21"/>
                      <w:szCs w:val="21"/>
                      <w:lang w:val="en-US"/>
                    </w:rPr>
                    <w:t>提高建筑门窗的隔声性能</w:t>
                  </w:r>
                  <w:r>
                    <w:rPr>
                      <w:rFonts w:hint="default" w:ascii="Times New Roman" w:hAnsi="Times New Roman" w:eastAsia="宋体" w:cs="Times New Roman"/>
                      <w:color w:val="auto"/>
                      <w:sz w:val="21"/>
                      <w:szCs w:val="21"/>
                      <w:lang w:val="en-US" w:eastAsia="zh-CN"/>
                    </w:rPr>
                    <w:t>；严格限制机动车辆进入院区，避免区内病人受到交通噪声的干扰，进入院区的车辆禁止鸣笛并设置减速</w:t>
                  </w:r>
                </w:p>
              </w:tc>
              <w:tc>
                <w:tcPr>
                  <w:tcW w:w="1105" w:type="dxa"/>
                  <w:tcBorders>
                    <w:tl2br w:val="nil"/>
                    <w:tr2bl w:val="nil"/>
                  </w:tcBorders>
                  <w:noWrap w:val="0"/>
                  <w:tcMar>
                    <w:top w:w="15" w:type="dxa"/>
                    <w:left w:w="15" w:type="dxa"/>
                    <w:right w:w="15" w:type="dxa"/>
                  </w:tcMar>
                  <w:vAlign w:val="center"/>
                </w:tcPr>
                <w:p w14:paraId="7546147B">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&lt;70</w:t>
                  </w:r>
                </w:p>
              </w:tc>
            </w:tr>
            <w:tr w14:paraId="4B83E7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85" w:type="dxa"/>
                  <w:tcBorders>
                    <w:tl2br w:val="nil"/>
                    <w:tr2bl w:val="nil"/>
                  </w:tcBorders>
                  <w:noWrap w:val="0"/>
                  <w:tcMar>
                    <w:top w:w="15" w:type="dxa"/>
                    <w:left w:w="15" w:type="dxa"/>
                    <w:right w:w="15" w:type="dxa"/>
                  </w:tcMar>
                  <w:vAlign w:val="center"/>
                </w:tcPr>
                <w:p w14:paraId="16FA5200">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lang w:val="en-US" w:eastAsia="zh-CN"/>
                    </w:rPr>
                    <w:t>2</w:t>
                  </w:r>
                </w:p>
              </w:tc>
              <w:tc>
                <w:tcPr>
                  <w:tcW w:w="1982" w:type="dxa"/>
                  <w:tcBorders>
                    <w:tl2br w:val="nil"/>
                    <w:tr2bl w:val="nil"/>
                  </w:tcBorders>
                  <w:noWrap w:val="0"/>
                  <w:tcMar>
                    <w:top w:w="15" w:type="dxa"/>
                    <w:left w:w="15" w:type="dxa"/>
                    <w:right w:w="15" w:type="dxa"/>
                  </w:tcMar>
                  <w:vAlign w:val="center"/>
                </w:tcPr>
                <w:p w14:paraId="556F0C61">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医疗设备运行噪声</w:t>
                  </w:r>
                </w:p>
              </w:tc>
              <w:tc>
                <w:tcPr>
                  <w:tcW w:w="870" w:type="dxa"/>
                  <w:tcBorders>
                    <w:tl2br w:val="nil"/>
                    <w:tr2bl w:val="nil"/>
                  </w:tcBorders>
                  <w:noWrap/>
                  <w:tcMar>
                    <w:top w:w="15" w:type="dxa"/>
                    <w:left w:w="15" w:type="dxa"/>
                    <w:right w:w="15" w:type="dxa"/>
                  </w:tcMar>
                  <w:vAlign w:val="center"/>
                </w:tcPr>
                <w:p w14:paraId="717BA885">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60-80</w:t>
                  </w:r>
                </w:p>
              </w:tc>
              <w:tc>
                <w:tcPr>
                  <w:tcW w:w="3615" w:type="dxa"/>
                  <w:vMerge w:val="continue"/>
                  <w:tcBorders>
                    <w:tl2br w:val="nil"/>
                    <w:tr2bl w:val="nil"/>
                  </w:tcBorders>
                  <w:noWrap/>
                  <w:tcMar>
                    <w:top w:w="15" w:type="dxa"/>
                    <w:left w:w="15" w:type="dxa"/>
                    <w:right w:w="15" w:type="dxa"/>
                  </w:tcMar>
                  <w:vAlign w:val="center"/>
                </w:tcPr>
                <w:p w14:paraId="3C3A3C09">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kern w:val="0"/>
                      <w:sz w:val="21"/>
                      <w:szCs w:val="21"/>
                      <w:lang w:val="en-US" w:eastAsia="zh-CN" w:bidi="ar"/>
                    </w:rPr>
                  </w:pPr>
                </w:p>
              </w:tc>
              <w:tc>
                <w:tcPr>
                  <w:tcW w:w="1105" w:type="dxa"/>
                  <w:tcBorders>
                    <w:tl2br w:val="nil"/>
                    <w:tr2bl w:val="nil"/>
                  </w:tcBorders>
                  <w:noWrap w:val="0"/>
                  <w:tcMar>
                    <w:top w:w="15" w:type="dxa"/>
                    <w:left w:w="15" w:type="dxa"/>
                    <w:right w:w="15" w:type="dxa"/>
                  </w:tcMar>
                  <w:vAlign w:val="center"/>
                </w:tcPr>
                <w:p w14:paraId="66498D76">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&lt;60</w:t>
                  </w:r>
                </w:p>
              </w:tc>
            </w:tr>
            <w:tr w14:paraId="7D0A6E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85" w:type="dxa"/>
                  <w:tcBorders>
                    <w:tl2br w:val="nil"/>
                    <w:tr2bl w:val="nil"/>
                  </w:tcBorders>
                  <w:noWrap w:val="0"/>
                  <w:tcMar>
                    <w:top w:w="15" w:type="dxa"/>
                    <w:left w:w="15" w:type="dxa"/>
                    <w:right w:w="15" w:type="dxa"/>
                  </w:tcMar>
                  <w:vAlign w:val="center"/>
                </w:tcPr>
                <w:p w14:paraId="57EB3F17">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lang w:val="en-US" w:eastAsia="zh-CN"/>
                    </w:rPr>
                    <w:t>3</w:t>
                  </w:r>
                </w:p>
              </w:tc>
              <w:tc>
                <w:tcPr>
                  <w:tcW w:w="1982" w:type="dxa"/>
                  <w:tcBorders>
                    <w:tl2br w:val="nil"/>
                    <w:tr2bl w:val="nil"/>
                  </w:tcBorders>
                  <w:noWrap w:val="0"/>
                  <w:tcMar>
                    <w:top w:w="15" w:type="dxa"/>
                    <w:left w:w="15" w:type="dxa"/>
                    <w:right w:w="15" w:type="dxa"/>
                  </w:tcMar>
                  <w:vAlign w:val="center"/>
                </w:tcPr>
                <w:p w14:paraId="1AE1DDD9">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车辆噪声</w:t>
                  </w:r>
                </w:p>
              </w:tc>
              <w:tc>
                <w:tcPr>
                  <w:tcW w:w="870" w:type="dxa"/>
                  <w:tcBorders>
                    <w:tl2br w:val="nil"/>
                    <w:tr2bl w:val="nil"/>
                  </w:tcBorders>
                  <w:noWrap/>
                  <w:tcMar>
                    <w:top w:w="15" w:type="dxa"/>
                    <w:left w:w="15" w:type="dxa"/>
                    <w:right w:w="15" w:type="dxa"/>
                  </w:tcMar>
                  <w:vAlign w:val="center"/>
                </w:tcPr>
                <w:p w14:paraId="3A58A98D">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70-85</w:t>
                  </w:r>
                </w:p>
              </w:tc>
              <w:tc>
                <w:tcPr>
                  <w:tcW w:w="3615" w:type="dxa"/>
                  <w:vMerge w:val="continue"/>
                  <w:tcBorders>
                    <w:tl2br w:val="nil"/>
                    <w:tr2bl w:val="nil"/>
                  </w:tcBorders>
                  <w:noWrap/>
                  <w:tcMar>
                    <w:top w:w="15" w:type="dxa"/>
                    <w:left w:w="15" w:type="dxa"/>
                    <w:right w:w="15" w:type="dxa"/>
                  </w:tcMar>
                  <w:vAlign w:val="center"/>
                </w:tcPr>
                <w:p w14:paraId="273FD201">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p>
              </w:tc>
              <w:tc>
                <w:tcPr>
                  <w:tcW w:w="1105" w:type="dxa"/>
                  <w:tcBorders>
                    <w:tl2br w:val="nil"/>
                    <w:tr2bl w:val="nil"/>
                  </w:tcBorders>
                  <w:noWrap w:val="0"/>
                  <w:tcMar>
                    <w:top w:w="15" w:type="dxa"/>
                    <w:left w:w="15" w:type="dxa"/>
                    <w:right w:w="15" w:type="dxa"/>
                  </w:tcMar>
                  <w:vAlign w:val="center"/>
                </w:tcPr>
                <w:p w14:paraId="13E5810C">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&lt;60</w:t>
                  </w:r>
                </w:p>
              </w:tc>
            </w:tr>
            <w:tr w14:paraId="76FB06B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85" w:type="dxa"/>
                  <w:tcBorders>
                    <w:tl2br w:val="nil"/>
                    <w:tr2bl w:val="nil"/>
                  </w:tcBorders>
                  <w:noWrap w:val="0"/>
                  <w:tcMar>
                    <w:top w:w="15" w:type="dxa"/>
                    <w:left w:w="15" w:type="dxa"/>
                    <w:right w:w="15" w:type="dxa"/>
                  </w:tcMar>
                  <w:vAlign w:val="center"/>
                </w:tcPr>
                <w:p w14:paraId="6BA1E5C0">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w:t>
                  </w:r>
                </w:p>
              </w:tc>
              <w:tc>
                <w:tcPr>
                  <w:tcW w:w="1982" w:type="dxa"/>
                  <w:tcBorders>
                    <w:tl2br w:val="nil"/>
                    <w:tr2bl w:val="nil"/>
                  </w:tcBorders>
                  <w:noWrap w:val="0"/>
                  <w:tcMar>
                    <w:top w:w="15" w:type="dxa"/>
                    <w:left w:w="15" w:type="dxa"/>
                    <w:right w:w="15" w:type="dxa"/>
                  </w:tcMar>
                  <w:vAlign w:val="center"/>
                </w:tcPr>
                <w:p w14:paraId="30B15DBF">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人员噪声</w:t>
                  </w:r>
                </w:p>
              </w:tc>
              <w:tc>
                <w:tcPr>
                  <w:tcW w:w="870" w:type="dxa"/>
                  <w:tcBorders>
                    <w:tl2br w:val="nil"/>
                    <w:tr2bl w:val="nil"/>
                  </w:tcBorders>
                  <w:noWrap/>
                  <w:tcMar>
                    <w:top w:w="15" w:type="dxa"/>
                    <w:left w:w="15" w:type="dxa"/>
                    <w:right w:w="15" w:type="dxa"/>
                  </w:tcMar>
                  <w:vAlign w:val="center"/>
                </w:tcPr>
                <w:p w14:paraId="19ACD369">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60-70</w:t>
                  </w:r>
                </w:p>
              </w:tc>
              <w:tc>
                <w:tcPr>
                  <w:tcW w:w="3615" w:type="dxa"/>
                  <w:vMerge w:val="continue"/>
                  <w:tcBorders>
                    <w:tl2br w:val="nil"/>
                    <w:tr2bl w:val="nil"/>
                  </w:tcBorders>
                  <w:noWrap/>
                  <w:tcMar>
                    <w:top w:w="15" w:type="dxa"/>
                    <w:left w:w="15" w:type="dxa"/>
                    <w:right w:w="15" w:type="dxa"/>
                  </w:tcMar>
                  <w:vAlign w:val="center"/>
                </w:tcPr>
                <w:p w14:paraId="74B91B76">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p>
              </w:tc>
              <w:tc>
                <w:tcPr>
                  <w:tcW w:w="1105" w:type="dxa"/>
                  <w:tcBorders>
                    <w:tl2br w:val="nil"/>
                    <w:tr2bl w:val="nil"/>
                  </w:tcBorders>
                  <w:noWrap w:val="0"/>
                  <w:tcMar>
                    <w:top w:w="15" w:type="dxa"/>
                    <w:left w:w="15" w:type="dxa"/>
                    <w:right w:w="15" w:type="dxa"/>
                  </w:tcMar>
                  <w:vAlign w:val="center"/>
                </w:tcPr>
                <w:p w14:paraId="7FC8C755">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&lt;55</w:t>
                  </w:r>
                </w:p>
              </w:tc>
            </w:tr>
          </w:tbl>
          <w:p w14:paraId="1ED5B925">
            <w:pPr>
              <w:keepNext w:val="0"/>
              <w:keepLines w:val="0"/>
              <w:pageBreakBefore w:val="0"/>
              <w:widowControl w:val="0"/>
              <w:kinsoku/>
              <w:wordWrap/>
              <w:overflowPunct/>
              <w:topLinePunct w:val="0"/>
              <w:autoSpaceDE/>
              <w:autoSpaceDN/>
              <w:bidi w:val="0"/>
              <w:spacing w:line="520" w:lineRule="exact"/>
              <w:ind w:left="0" w:leftChars="0" w:firstLine="482" w:firstLineChars="200"/>
              <w:jc w:val="both"/>
              <w:rPr>
                <w:rFonts w:hint="default" w:ascii="Times New Roman" w:hAnsi="Times New Roman" w:cs="Times New Roman"/>
                <w:b/>
                <w:bCs w:val="0"/>
                <w:color w:val="auto"/>
                <w:sz w:val="24"/>
                <w:szCs w:val="24"/>
                <w:lang w:val="en-US" w:eastAsia="zh-CN" w:bidi="ar-SA"/>
              </w:rPr>
            </w:pPr>
            <w:r>
              <w:rPr>
                <w:rFonts w:hint="default" w:ascii="Times New Roman" w:hAnsi="Times New Roman" w:cs="Times New Roman"/>
                <w:b/>
                <w:bCs w:val="0"/>
                <w:color w:val="auto"/>
                <w:sz w:val="24"/>
                <w:szCs w:val="24"/>
                <w:lang w:val="en-US" w:eastAsia="zh-CN" w:bidi="ar-SA"/>
              </w:rPr>
              <w:t>声环境影响分析</w:t>
            </w:r>
          </w:p>
          <w:p w14:paraId="3AD78A52">
            <w:pPr>
              <w:keepNext w:val="0"/>
              <w:keepLines w:val="0"/>
              <w:pageBreakBefore w:val="0"/>
              <w:widowControl w:val="0"/>
              <w:kinsoku/>
              <w:wordWrap/>
              <w:overflowPunct/>
              <w:topLinePunct w:val="0"/>
              <w:autoSpaceDE/>
              <w:autoSpaceDN/>
              <w:bidi w:val="0"/>
              <w:spacing w:line="520" w:lineRule="exact"/>
              <w:ind w:left="0" w:leftChars="0" w:firstLine="480" w:firstLineChars="200"/>
              <w:jc w:val="both"/>
              <w:rPr>
                <w:rFonts w:hint="default" w:ascii="Times New Roman" w:hAnsi="Times New Roman" w:cs="Times New Roman"/>
                <w:bCs/>
                <w:color w:val="auto"/>
                <w:sz w:val="24"/>
                <w:szCs w:val="24"/>
                <w:lang w:val="en-US" w:bidi="ar-SA"/>
              </w:rPr>
            </w:pPr>
            <w:r>
              <w:rPr>
                <w:rFonts w:hint="default" w:ascii="Times New Roman" w:hAnsi="Times New Roman" w:cs="Times New Roman"/>
                <w:bCs/>
                <w:color w:val="auto"/>
                <w:sz w:val="24"/>
                <w:szCs w:val="24"/>
                <w:lang w:val="en-US" w:bidi="ar-SA"/>
              </w:rPr>
              <w:t>（1）预测模式</w:t>
            </w:r>
          </w:p>
          <w:p w14:paraId="4D377E2C">
            <w:pPr>
              <w:keepNext w:val="0"/>
              <w:keepLines w:val="0"/>
              <w:pageBreakBefore w:val="0"/>
              <w:widowControl w:val="0"/>
              <w:kinsoku/>
              <w:wordWrap/>
              <w:overflowPunct/>
              <w:topLinePunct w:val="0"/>
              <w:autoSpaceDE/>
              <w:autoSpaceDN/>
              <w:bidi w:val="0"/>
              <w:spacing w:line="520" w:lineRule="exact"/>
              <w:ind w:left="0" w:leftChars="0" w:firstLine="482"/>
              <w:jc w:val="both"/>
              <w:rPr>
                <w:rFonts w:hint="default"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bidi="ar-SA"/>
              </w:rPr>
              <w:t>根据《环境影响评价技术导则 声环境》（HJ2.4-</w:t>
            </w:r>
            <w:r>
              <w:rPr>
                <w:rFonts w:hint="default" w:ascii="Times New Roman" w:hAnsi="Times New Roman" w:cs="Times New Roman"/>
                <w:color w:val="auto"/>
                <w:kern w:val="2"/>
                <w:sz w:val="24"/>
                <w:szCs w:val="24"/>
                <w:lang w:val="en-US" w:eastAsia="zh-CN" w:bidi="ar-SA"/>
              </w:rPr>
              <w:t>2022</w:t>
            </w:r>
            <w:r>
              <w:rPr>
                <w:rFonts w:hint="default" w:ascii="Times New Roman" w:hAnsi="Times New Roman" w:cs="Times New Roman"/>
                <w:color w:val="auto"/>
                <w:kern w:val="2"/>
                <w:sz w:val="24"/>
                <w:szCs w:val="24"/>
                <w:lang w:val="en-US" w:bidi="ar-SA"/>
              </w:rPr>
              <w:t>）中的要求，本次评价采取导则推荐模式。</w:t>
            </w:r>
          </w:p>
          <w:p w14:paraId="79F79D48">
            <w:pPr>
              <w:keepNext w:val="0"/>
              <w:keepLines w:val="0"/>
              <w:pageBreakBefore w:val="0"/>
              <w:widowControl w:val="0"/>
              <w:kinsoku/>
              <w:wordWrap/>
              <w:overflowPunct/>
              <w:topLinePunct w:val="0"/>
              <w:autoSpaceDE/>
              <w:autoSpaceDN/>
              <w:bidi w:val="0"/>
              <w:spacing w:line="520" w:lineRule="exact"/>
              <w:ind w:left="0" w:leftChars="0" w:firstLine="480" w:firstLineChars="200"/>
              <w:jc w:val="both"/>
              <w:rPr>
                <w:rFonts w:hint="default"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bidi="ar-SA"/>
              </w:rPr>
              <w:t>①声级计算</w:t>
            </w:r>
          </w:p>
          <w:p w14:paraId="0464B527">
            <w:pPr>
              <w:keepNext w:val="0"/>
              <w:keepLines w:val="0"/>
              <w:pageBreakBefore w:val="0"/>
              <w:widowControl w:val="0"/>
              <w:kinsoku/>
              <w:wordWrap/>
              <w:overflowPunct/>
              <w:topLinePunct w:val="0"/>
              <w:autoSpaceDE/>
              <w:autoSpaceDN/>
              <w:bidi w:val="0"/>
              <w:spacing w:line="520" w:lineRule="exact"/>
              <w:ind w:left="0" w:leftChars="0" w:firstLine="480" w:firstLineChars="200"/>
              <w:jc w:val="both"/>
              <w:rPr>
                <w:rFonts w:hint="default"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bidi="ar-SA"/>
              </w:rPr>
              <w:t>本次预测</w:t>
            </w:r>
            <w:r>
              <w:rPr>
                <w:rFonts w:hint="default" w:ascii="Times New Roman" w:hAnsi="Times New Roman" w:cs="Times New Roman"/>
                <w:bCs/>
                <w:color w:val="auto"/>
                <w:kern w:val="2"/>
                <w:sz w:val="24"/>
                <w:szCs w:val="24"/>
                <w:lang w:val="en-US" w:bidi="ar-SA"/>
              </w:rPr>
              <w:t>仅考虑距离衰减量、屏障衰减量因素。</w:t>
            </w:r>
          </w:p>
          <w:p w14:paraId="4629E941">
            <w:pPr>
              <w:keepNext w:val="0"/>
              <w:keepLines w:val="0"/>
              <w:pageBreakBefore w:val="0"/>
              <w:widowControl w:val="0"/>
              <w:kinsoku/>
              <w:wordWrap/>
              <w:overflowPunct/>
              <w:topLinePunct w:val="0"/>
              <w:autoSpaceDE/>
              <w:autoSpaceDN/>
              <w:bidi w:val="0"/>
              <w:spacing w:line="520" w:lineRule="exact"/>
              <w:ind w:left="0" w:leftChars="0" w:firstLine="480" w:firstLineChars="200"/>
              <w:jc w:val="both"/>
              <w:rPr>
                <w:rFonts w:hint="default" w:ascii="Times New Roman" w:hAnsi="Times New Roman" w:cs="Times New Roman"/>
                <w:color w:val="auto"/>
                <w:kern w:val="2"/>
                <w:sz w:val="24"/>
                <w:szCs w:val="24"/>
                <w:lang w:val="nb-NO" w:bidi="ar-SA"/>
              </w:rPr>
            </w:pPr>
            <w:r>
              <w:rPr>
                <w:rFonts w:hint="default" w:ascii="Times New Roman" w:hAnsi="Times New Roman" w:cs="Times New Roman"/>
                <w:color w:val="auto"/>
                <w:kern w:val="2"/>
                <w:sz w:val="24"/>
                <w:szCs w:val="24"/>
                <w:lang w:val="nb-NO" w:eastAsia="zh-CN" w:bidi="ar-SA"/>
              </w:rPr>
              <w:t>Lp(r)＝Lw+DC－(Adiv＋Aatm＋Agr＋Abar＋Amisc)</w:t>
            </w:r>
          </w:p>
          <w:p w14:paraId="227F7409">
            <w:pPr>
              <w:keepNext w:val="0"/>
              <w:keepLines w:val="0"/>
              <w:pageBreakBefore w:val="0"/>
              <w:widowControl w:val="0"/>
              <w:kinsoku/>
              <w:wordWrap/>
              <w:overflowPunct/>
              <w:topLinePunct w:val="0"/>
              <w:autoSpaceDE/>
              <w:autoSpaceDN/>
              <w:bidi w:val="0"/>
              <w:spacing w:line="520" w:lineRule="exact"/>
              <w:ind w:left="0" w:leftChars="0" w:firstLine="480" w:firstLineChars="200"/>
              <w:jc w:val="both"/>
              <w:rPr>
                <w:rFonts w:hint="default" w:ascii="Times New Roman" w:hAnsi="Times New Roman" w:cs="Times New Roman"/>
                <w:color w:val="auto"/>
                <w:kern w:val="2"/>
                <w:sz w:val="24"/>
                <w:szCs w:val="24"/>
                <w:lang w:val="en-US" w:eastAsia="zh-CN" w:bidi="ar-SA"/>
              </w:rPr>
            </w:pPr>
            <w:r>
              <w:rPr>
                <w:rFonts w:hint="default" w:ascii="Times New Roman" w:hAnsi="Times New Roman" w:cs="Times New Roman"/>
                <w:color w:val="auto"/>
                <w:kern w:val="2"/>
                <w:sz w:val="24"/>
                <w:szCs w:val="24"/>
                <w:lang w:val="en-US" w:eastAsia="zh-CN" w:bidi="ar-SA"/>
              </w:rPr>
              <w:t>Lp(r) ——预测点处声压级，dB；</w:t>
            </w:r>
          </w:p>
          <w:p w14:paraId="2DB582AB">
            <w:pPr>
              <w:keepNext w:val="0"/>
              <w:keepLines w:val="0"/>
              <w:pageBreakBefore w:val="0"/>
              <w:widowControl w:val="0"/>
              <w:kinsoku/>
              <w:wordWrap/>
              <w:overflowPunct/>
              <w:topLinePunct w:val="0"/>
              <w:autoSpaceDE/>
              <w:autoSpaceDN/>
              <w:bidi w:val="0"/>
              <w:spacing w:line="520" w:lineRule="exact"/>
              <w:ind w:left="0" w:leftChars="0" w:firstLine="480" w:firstLineChars="200"/>
              <w:jc w:val="both"/>
              <w:rPr>
                <w:rFonts w:hint="default"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eastAsia="zh-CN" w:bidi="ar-SA"/>
              </w:rPr>
              <w:t xml:space="preserve">Lw ——由点声源产生的声功率级（A计权或倍频带），dB； </w:t>
            </w:r>
          </w:p>
          <w:p w14:paraId="6193E675">
            <w:pPr>
              <w:keepNext w:val="0"/>
              <w:keepLines w:val="0"/>
              <w:pageBreakBefore w:val="0"/>
              <w:widowControl w:val="0"/>
              <w:kinsoku/>
              <w:wordWrap/>
              <w:overflowPunct/>
              <w:topLinePunct w:val="0"/>
              <w:autoSpaceDE/>
              <w:autoSpaceDN/>
              <w:bidi w:val="0"/>
              <w:spacing w:line="520" w:lineRule="exact"/>
              <w:ind w:left="0" w:leftChars="0" w:firstLine="480" w:firstLineChars="200"/>
              <w:jc w:val="both"/>
              <w:rPr>
                <w:rFonts w:hint="default"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eastAsia="zh-CN" w:bidi="ar-SA"/>
              </w:rPr>
              <w:t xml:space="preserve">DC ——指向性校正，它描述点声源的等效连续声压级与产生声功率级Lw的全向点声源在规定方向的声级的偏差程度，dB； </w:t>
            </w:r>
          </w:p>
          <w:p w14:paraId="02799B4E">
            <w:pPr>
              <w:keepNext w:val="0"/>
              <w:keepLines w:val="0"/>
              <w:pageBreakBefore w:val="0"/>
              <w:widowControl w:val="0"/>
              <w:kinsoku/>
              <w:wordWrap/>
              <w:overflowPunct/>
              <w:topLinePunct w:val="0"/>
              <w:autoSpaceDE/>
              <w:autoSpaceDN/>
              <w:bidi w:val="0"/>
              <w:spacing w:line="520" w:lineRule="exact"/>
              <w:ind w:left="0" w:leftChars="0" w:firstLine="480" w:firstLineChars="200"/>
              <w:jc w:val="both"/>
              <w:rPr>
                <w:rFonts w:hint="default"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eastAsia="zh-CN" w:bidi="ar-SA"/>
              </w:rPr>
              <w:t xml:space="preserve">Adiv ——几何发散引起的衰减，dB； </w:t>
            </w:r>
          </w:p>
          <w:p w14:paraId="0C1A120B">
            <w:pPr>
              <w:keepNext w:val="0"/>
              <w:keepLines w:val="0"/>
              <w:pageBreakBefore w:val="0"/>
              <w:widowControl w:val="0"/>
              <w:kinsoku/>
              <w:wordWrap/>
              <w:overflowPunct/>
              <w:topLinePunct w:val="0"/>
              <w:autoSpaceDE/>
              <w:autoSpaceDN/>
              <w:bidi w:val="0"/>
              <w:spacing w:line="520" w:lineRule="exact"/>
              <w:ind w:left="0" w:leftChars="0" w:firstLine="480" w:firstLineChars="200"/>
              <w:jc w:val="both"/>
              <w:rPr>
                <w:rFonts w:hint="default"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eastAsia="zh-CN" w:bidi="ar-SA"/>
              </w:rPr>
              <w:t xml:space="preserve">Aatm ——大气吸收引起的衰减，dB； </w:t>
            </w:r>
          </w:p>
          <w:p w14:paraId="79543084">
            <w:pPr>
              <w:keepNext w:val="0"/>
              <w:keepLines w:val="0"/>
              <w:pageBreakBefore w:val="0"/>
              <w:widowControl w:val="0"/>
              <w:kinsoku/>
              <w:wordWrap/>
              <w:overflowPunct/>
              <w:topLinePunct w:val="0"/>
              <w:autoSpaceDE/>
              <w:autoSpaceDN/>
              <w:bidi w:val="0"/>
              <w:spacing w:line="520" w:lineRule="exact"/>
              <w:ind w:left="0" w:leftChars="0" w:firstLine="480" w:firstLineChars="200"/>
              <w:jc w:val="both"/>
              <w:rPr>
                <w:rFonts w:hint="default"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eastAsia="zh-CN" w:bidi="ar-SA"/>
              </w:rPr>
              <w:t xml:space="preserve">Agr ——地面效应引起的衰减，dB； </w:t>
            </w:r>
          </w:p>
          <w:p w14:paraId="14ED7A10">
            <w:pPr>
              <w:keepNext w:val="0"/>
              <w:keepLines w:val="0"/>
              <w:pageBreakBefore w:val="0"/>
              <w:widowControl w:val="0"/>
              <w:kinsoku/>
              <w:wordWrap/>
              <w:overflowPunct/>
              <w:topLinePunct w:val="0"/>
              <w:autoSpaceDE/>
              <w:autoSpaceDN/>
              <w:bidi w:val="0"/>
              <w:spacing w:line="520" w:lineRule="exact"/>
              <w:ind w:left="0" w:leftChars="0" w:firstLine="480" w:firstLineChars="200"/>
              <w:jc w:val="both"/>
              <w:rPr>
                <w:rFonts w:hint="default"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eastAsia="zh-CN" w:bidi="ar-SA"/>
              </w:rPr>
              <w:t xml:space="preserve">Abar ——障碍物屏蔽引起的衰减，dB； </w:t>
            </w:r>
          </w:p>
          <w:p w14:paraId="3A7B3CFA">
            <w:pPr>
              <w:keepNext w:val="0"/>
              <w:keepLines w:val="0"/>
              <w:pageBreakBefore w:val="0"/>
              <w:widowControl w:val="0"/>
              <w:kinsoku/>
              <w:wordWrap/>
              <w:overflowPunct/>
              <w:topLinePunct w:val="0"/>
              <w:autoSpaceDE/>
              <w:autoSpaceDN/>
              <w:bidi w:val="0"/>
              <w:spacing w:line="520" w:lineRule="exact"/>
              <w:ind w:left="0" w:leftChars="0" w:firstLine="480" w:firstLineChars="200"/>
              <w:jc w:val="both"/>
              <w:rPr>
                <w:rFonts w:hint="default"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eastAsia="zh-CN" w:bidi="ar-SA"/>
              </w:rPr>
              <w:t>Amisc ——其他多方面效应引起的衰减，dB。</w:t>
            </w:r>
          </w:p>
          <w:p w14:paraId="1E03082C">
            <w:pPr>
              <w:keepNext w:val="0"/>
              <w:keepLines w:val="0"/>
              <w:pageBreakBefore w:val="0"/>
              <w:widowControl w:val="0"/>
              <w:kinsoku/>
              <w:wordWrap/>
              <w:overflowPunct/>
              <w:topLinePunct w:val="0"/>
              <w:autoSpaceDE/>
              <w:autoSpaceDN/>
              <w:bidi w:val="0"/>
              <w:spacing w:line="520" w:lineRule="exact"/>
              <w:ind w:left="0" w:leftChars="0" w:firstLine="480" w:firstLineChars="200"/>
              <w:jc w:val="both"/>
              <w:rPr>
                <w:rFonts w:hint="default"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bidi="ar-SA"/>
              </w:rPr>
              <w:t>②几何发散</w:t>
            </w:r>
          </w:p>
          <w:p w14:paraId="63610C76">
            <w:pPr>
              <w:keepNext w:val="0"/>
              <w:keepLines w:val="0"/>
              <w:pageBreakBefore w:val="0"/>
              <w:widowControl w:val="0"/>
              <w:kinsoku/>
              <w:wordWrap/>
              <w:overflowPunct/>
              <w:topLinePunct w:val="0"/>
              <w:autoSpaceDE/>
              <w:autoSpaceDN/>
              <w:bidi w:val="0"/>
              <w:spacing w:line="520" w:lineRule="exact"/>
              <w:ind w:left="0" w:leftChars="0" w:firstLine="480" w:firstLineChars="200"/>
              <w:jc w:val="both"/>
              <w:rPr>
                <w:rFonts w:hint="default"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bidi="ar-SA"/>
              </w:rPr>
              <w:t>对于室外点声源，不考虑其指向性，几何发散衰减计算公式为：</w:t>
            </w:r>
          </w:p>
          <w:p w14:paraId="4C19B1B0">
            <w:pPr>
              <w:keepNext w:val="0"/>
              <w:keepLines w:val="0"/>
              <w:pageBreakBefore w:val="0"/>
              <w:widowControl w:val="0"/>
              <w:kinsoku/>
              <w:wordWrap/>
              <w:overflowPunct/>
              <w:topLinePunct w:val="0"/>
              <w:autoSpaceDE/>
              <w:autoSpaceDN/>
              <w:bidi w:val="0"/>
              <w:spacing w:line="520" w:lineRule="exact"/>
              <w:ind w:left="0" w:leftChars="0" w:firstLine="480" w:firstLineChars="200"/>
              <w:jc w:val="both"/>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kern w:val="2"/>
                <w:sz w:val="24"/>
                <w:szCs w:val="24"/>
                <w:lang w:val="nb-NO" w:bidi="ar-SA"/>
              </w:rPr>
              <w:t>LA（r）=LA</w:t>
            </w:r>
            <w:r>
              <w:rPr>
                <w:rFonts w:hint="default" w:ascii="Times New Roman" w:hAnsi="Times New Roman" w:cs="Times New Roman"/>
                <w:color w:val="auto"/>
                <w:kern w:val="2"/>
                <w:sz w:val="24"/>
                <w:szCs w:val="24"/>
                <w:lang w:val="en-US" w:eastAsia="zh-CN" w:bidi="ar-SA"/>
              </w:rPr>
              <w:t>w</w:t>
            </w:r>
            <w:r>
              <w:rPr>
                <w:rFonts w:hint="default" w:ascii="Times New Roman" w:hAnsi="Times New Roman" w:cs="Times New Roman"/>
                <w:color w:val="auto"/>
                <w:kern w:val="2"/>
                <w:sz w:val="24"/>
                <w:szCs w:val="24"/>
                <w:lang w:val="nb-NO" w:bidi="ar-SA"/>
              </w:rPr>
              <w:t>－20Lg（r/r0）</w:t>
            </w:r>
            <w:r>
              <w:rPr>
                <w:rFonts w:hint="default" w:ascii="Times New Roman" w:hAnsi="Times New Roman" w:cs="Times New Roman"/>
                <w:bCs/>
                <w:color w:val="auto"/>
                <w:kern w:val="2"/>
                <w:sz w:val="24"/>
                <w:szCs w:val="24"/>
                <w:lang w:val="en-US" w:bidi="ar-SA"/>
              </w:rPr>
              <w:t>-</w:t>
            </w:r>
            <w:r>
              <w:rPr>
                <w:rFonts w:hint="default" w:ascii="Times New Roman" w:hAnsi="Times New Roman" w:cs="Times New Roman"/>
                <w:bCs/>
                <w:color w:val="auto"/>
                <w:kern w:val="2"/>
                <w:sz w:val="24"/>
                <w:szCs w:val="24"/>
                <w:lang w:val="en-US" w:eastAsia="zh-CN" w:bidi="ar-SA"/>
              </w:rPr>
              <w:t>TL</w:t>
            </w:r>
          </w:p>
          <w:p w14:paraId="786E11D3">
            <w:pPr>
              <w:keepNext w:val="0"/>
              <w:keepLines w:val="0"/>
              <w:pageBreakBefore w:val="0"/>
              <w:widowControl w:val="0"/>
              <w:kinsoku/>
              <w:wordWrap/>
              <w:overflowPunct/>
              <w:topLinePunct w:val="0"/>
              <w:autoSpaceDE/>
              <w:autoSpaceDN/>
              <w:bidi w:val="0"/>
              <w:spacing w:line="520" w:lineRule="exact"/>
              <w:ind w:left="0" w:leftChars="0" w:firstLine="480" w:firstLineChars="200"/>
              <w:jc w:val="both"/>
              <w:rPr>
                <w:rFonts w:hint="default"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bidi="ar-SA"/>
              </w:rPr>
              <w:t xml:space="preserve">LA(r) ——距声源 r 处的 A 声级，dB(A)； </w:t>
            </w:r>
          </w:p>
          <w:p w14:paraId="1FB883DB">
            <w:pPr>
              <w:keepNext w:val="0"/>
              <w:keepLines w:val="0"/>
              <w:pageBreakBefore w:val="0"/>
              <w:widowControl w:val="0"/>
              <w:kinsoku/>
              <w:wordWrap/>
              <w:overflowPunct/>
              <w:topLinePunct w:val="0"/>
              <w:autoSpaceDE/>
              <w:autoSpaceDN/>
              <w:bidi w:val="0"/>
              <w:spacing w:line="520" w:lineRule="exact"/>
              <w:ind w:left="0" w:leftChars="0" w:firstLine="480" w:firstLineChars="200"/>
              <w:jc w:val="both"/>
              <w:rPr>
                <w:rFonts w:hint="default"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bidi="ar-SA"/>
              </w:rPr>
              <w:t>LAw——点声源 A 计权声功率级，dB；</w:t>
            </w:r>
          </w:p>
          <w:p w14:paraId="6463D6CA">
            <w:pPr>
              <w:keepNext w:val="0"/>
              <w:keepLines w:val="0"/>
              <w:pageBreakBefore w:val="0"/>
              <w:widowControl w:val="0"/>
              <w:kinsoku/>
              <w:wordWrap/>
              <w:overflowPunct/>
              <w:topLinePunct w:val="0"/>
              <w:autoSpaceDE/>
              <w:autoSpaceDN/>
              <w:bidi w:val="0"/>
              <w:spacing w:line="520" w:lineRule="exact"/>
              <w:ind w:left="0" w:leftChars="0" w:firstLine="480" w:firstLineChars="200"/>
              <w:jc w:val="both"/>
              <w:rPr>
                <w:rFonts w:hint="default"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bidi="ar-SA"/>
              </w:rPr>
              <w:t xml:space="preserve"> </w:t>
            </w:r>
            <w:r>
              <w:rPr>
                <w:rFonts w:hint="default" w:ascii="Times New Roman" w:hAnsi="Times New Roman" w:cs="Times New Roman"/>
                <w:color w:val="auto"/>
                <w:kern w:val="2"/>
                <w:sz w:val="24"/>
                <w:szCs w:val="24"/>
                <w:lang w:val="en-US" w:eastAsia="zh-CN" w:bidi="ar-SA"/>
              </w:rPr>
              <w:t>r/r0</w:t>
            </w:r>
            <w:r>
              <w:rPr>
                <w:rFonts w:hint="default" w:ascii="Times New Roman" w:hAnsi="Times New Roman" w:cs="Times New Roman"/>
                <w:color w:val="auto"/>
                <w:kern w:val="2"/>
                <w:sz w:val="24"/>
                <w:szCs w:val="24"/>
                <w:lang w:val="en-US" w:bidi="ar-SA"/>
              </w:rPr>
              <w:t xml:space="preserve"> ——预测点距声源的距离</w:t>
            </w:r>
            <w:r>
              <w:rPr>
                <w:rFonts w:hint="default" w:ascii="Times New Roman" w:hAnsi="Times New Roman" w:cs="Times New Roman"/>
                <w:color w:val="auto"/>
                <w:kern w:val="2"/>
                <w:sz w:val="24"/>
                <w:szCs w:val="24"/>
                <w:lang w:val="en-US" w:eastAsia="zh-CN" w:bidi="ar-SA"/>
              </w:rPr>
              <w:t>，m</w:t>
            </w:r>
            <w:r>
              <w:rPr>
                <w:rFonts w:hint="default" w:ascii="Times New Roman" w:hAnsi="Times New Roman" w:cs="Times New Roman"/>
                <w:color w:val="auto"/>
                <w:kern w:val="2"/>
                <w:sz w:val="24"/>
                <w:szCs w:val="24"/>
                <w:lang w:val="en-US" w:bidi="ar-SA"/>
              </w:rPr>
              <w:t>。</w:t>
            </w:r>
          </w:p>
          <w:p w14:paraId="2F3A050A">
            <w:pPr>
              <w:keepNext w:val="0"/>
              <w:keepLines w:val="0"/>
              <w:pageBreakBefore w:val="0"/>
              <w:widowControl w:val="0"/>
              <w:kinsoku/>
              <w:wordWrap/>
              <w:overflowPunct/>
              <w:topLinePunct w:val="0"/>
              <w:autoSpaceDE/>
              <w:autoSpaceDN/>
              <w:bidi w:val="0"/>
              <w:spacing w:line="520" w:lineRule="exact"/>
              <w:ind w:left="0" w:leftChars="0" w:right="0" w:firstLine="480" w:firstLineChars="200"/>
              <w:jc w:val="both"/>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遮挡物引起的衰减</w:t>
            </w:r>
          </w:p>
          <w:p w14:paraId="151B0E5D">
            <w:pPr>
              <w:keepNext w:val="0"/>
              <w:keepLines w:val="0"/>
              <w:pageBreakBefore w:val="0"/>
              <w:widowControl w:val="0"/>
              <w:kinsoku/>
              <w:wordWrap/>
              <w:overflowPunct/>
              <w:topLinePunct w:val="0"/>
              <w:autoSpaceDE/>
              <w:autoSpaceDN/>
              <w:bidi w:val="0"/>
              <w:spacing w:line="520" w:lineRule="exact"/>
              <w:ind w:left="0" w:leftChars="0"/>
              <w:jc w:val="both"/>
              <w:rPr>
                <w:rFonts w:hint="default" w:ascii="Times New Roman" w:hAnsi="Times New Roman" w:cs="Times New Roman"/>
                <w:color w:val="auto"/>
                <w:kern w:val="2"/>
                <w:sz w:val="24"/>
                <w:szCs w:val="24"/>
                <w:lang w:val="en-US" w:bidi="ar-SA"/>
              </w:rPr>
            </w:pPr>
            <w:r>
              <w:rPr>
                <w:rFonts w:hint="default" w:ascii="Times New Roman" w:hAnsi="Times New Roman" w:eastAsia="宋体" w:cs="Times New Roman"/>
                <w:bCs/>
                <w:color w:val="auto"/>
                <w:sz w:val="24"/>
                <w:szCs w:val="24"/>
              </w:rPr>
              <w:t>式中：TL—墙壁隔声量，TL取</w:t>
            </w:r>
            <w:r>
              <w:rPr>
                <w:rFonts w:hint="default" w:ascii="Times New Roman" w:hAnsi="Times New Roman" w:eastAsia="宋体" w:cs="Times New Roman"/>
                <w:bCs/>
                <w:color w:val="auto"/>
                <w:sz w:val="24"/>
                <w:szCs w:val="24"/>
                <w:lang w:val="en-US" w:eastAsia="zh-CN"/>
              </w:rPr>
              <w:t>11</w:t>
            </w:r>
            <w:r>
              <w:rPr>
                <w:rFonts w:hint="default" w:ascii="Times New Roman" w:hAnsi="Times New Roman" w:eastAsia="宋体" w:cs="Times New Roman"/>
                <w:bCs/>
                <w:color w:val="auto"/>
                <w:sz w:val="24"/>
                <w:szCs w:val="24"/>
              </w:rPr>
              <w:t>dB（A）</w:t>
            </w:r>
          </w:p>
          <w:p w14:paraId="2632DD68">
            <w:pPr>
              <w:keepNext w:val="0"/>
              <w:keepLines w:val="0"/>
              <w:pageBreakBefore w:val="0"/>
              <w:widowControl w:val="0"/>
              <w:kinsoku/>
              <w:wordWrap/>
              <w:overflowPunct/>
              <w:topLinePunct w:val="0"/>
              <w:autoSpaceDE/>
              <w:autoSpaceDN/>
              <w:bidi w:val="0"/>
              <w:spacing w:line="520" w:lineRule="exact"/>
              <w:ind w:left="0" w:leftChars="0"/>
              <w:jc w:val="both"/>
              <w:rPr>
                <w:rFonts w:hint="default"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bidi="ar-SA"/>
              </w:rPr>
              <w:t>③预测点的预测等效声级(</w:t>
            </w:r>
            <w:r>
              <w:rPr>
                <w:rFonts w:hint="default" w:ascii="Times New Roman" w:hAnsi="Times New Roman" w:cs="Times New Roman"/>
                <w:i/>
                <w:iCs/>
                <w:color w:val="auto"/>
                <w:kern w:val="2"/>
                <w:sz w:val="24"/>
                <w:szCs w:val="24"/>
                <w:lang w:val="en-US" w:bidi="ar-SA"/>
              </w:rPr>
              <w:t xml:space="preserve">Leq </w:t>
            </w:r>
            <w:r>
              <w:rPr>
                <w:rFonts w:hint="default" w:ascii="Times New Roman" w:hAnsi="Times New Roman" w:cs="Times New Roman"/>
                <w:color w:val="auto"/>
                <w:kern w:val="2"/>
                <w:sz w:val="24"/>
                <w:szCs w:val="24"/>
                <w:lang w:val="en-US" w:bidi="ar-SA"/>
              </w:rPr>
              <w:t>)计算</w:t>
            </w:r>
          </w:p>
          <w:p w14:paraId="28AEDF73">
            <w:pPr>
              <w:keepNext w:val="0"/>
              <w:keepLines w:val="0"/>
              <w:pageBreakBefore w:val="0"/>
              <w:widowControl w:val="0"/>
              <w:kinsoku/>
              <w:wordWrap/>
              <w:overflowPunct/>
              <w:topLinePunct w:val="0"/>
              <w:autoSpaceDE/>
              <w:autoSpaceDN/>
              <w:bidi w:val="0"/>
              <w:adjustRightInd w:val="0"/>
              <w:snapToGrid w:val="0"/>
              <w:spacing w:line="240" w:lineRule="auto"/>
              <w:ind w:left="0" w:leftChars="0"/>
              <w:jc w:val="both"/>
              <w:rPr>
                <w:rFonts w:hint="default" w:ascii="Times New Roman" w:hAnsi="Times New Roman" w:cs="Times New Roman"/>
                <w:bCs/>
                <w:color w:val="auto"/>
                <w:sz w:val="24"/>
                <w:szCs w:val="24"/>
                <w:lang w:val="en-US"/>
              </w:rPr>
            </w:pPr>
            <w:r>
              <w:rPr>
                <w:rFonts w:hint="default" w:ascii="Times New Roman" w:hAnsi="Times New Roman" w:cs="Times New Roman"/>
                <w:color w:val="auto"/>
                <w:sz w:val="24"/>
                <w:szCs w:val="24"/>
                <w:lang w:val="en-US"/>
              </w:rPr>
              <w:t xml:space="preserve">    </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drawing>
                <wp:inline distT="0" distB="0" distL="114300" distR="114300">
                  <wp:extent cx="2029460" cy="354965"/>
                  <wp:effectExtent l="0" t="0" r="8890" b="0"/>
                  <wp:docPr id="9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2"/>
                          <pic:cNvPicPr>
                            <a:picLocks noChangeAspect="1"/>
                          </pic:cNvPicPr>
                        </pic:nvPicPr>
                        <pic:blipFill>
                          <a:blip r:embed="rId24"/>
                          <a:stretch>
                            <a:fillRect/>
                          </a:stretch>
                        </pic:blipFill>
                        <pic:spPr>
                          <a:xfrm>
                            <a:off x="0" y="0"/>
                            <a:ext cx="2029460" cy="354965"/>
                          </a:xfrm>
                          <a:prstGeom prst="rect">
                            <a:avLst/>
                          </a:prstGeom>
                          <a:noFill/>
                          <a:ln>
                            <a:noFill/>
                          </a:ln>
                        </pic:spPr>
                      </pic:pic>
                    </a:graphicData>
                  </a:graphic>
                </wp:inline>
              </w:drawing>
            </w:r>
          </w:p>
          <w:p w14:paraId="089C314B">
            <w:pPr>
              <w:pStyle w:val="29"/>
              <w:keepNext w:val="0"/>
              <w:keepLines w:val="0"/>
              <w:pageBreakBefore w:val="0"/>
              <w:widowControl w:val="0"/>
              <w:kinsoku/>
              <w:wordWrap/>
              <w:overflowPunct/>
              <w:topLinePunct w:val="0"/>
              <w:autoSpaceDE/>
              <w:autoSpaceDN/>
              <w:bidi w:val="0"/>
              <w:spacing w:line="520" w:lineRule="exact"/>
              <w:ind w:left="0" w:leftChars="0" w:firstLine="480"/>
              <w:jc w:val="both"/>
              <w:rPr>
                <w:rFonts w:hint="default" w:ascii="Times New Roman" w:hAnsi="Times New Roman" w:cs="Times New Roman"/>
                <w:bCs/>
                <w:color w:val="auto"/>
                <w:sz w:val="24"/>
                <w:szCs w:val="24"/>
                <w:lang w:val="en-US"/>
              </w:rPr>
            </w:pPr>
            <w:r>
              <w:rPr>
                <w:rFonts w:hint="default" w:ascii="Times New Roman" w:hAnsi="Times New Roman" w:cs="Times New Roman"/>
                <w:bCs/>
                <w:color w:val="auto"/>
                <w:sz w:val="24"/>
                <w:szCs w:val="24"/>
                <w:lang w:val="en-US"/>
              </w:rPr>
              <w:t>式中：</w:t>
            </w:r>
          </w:p>
          <w:p w14:paraId="5851A636">
            <w:pPr>
              <w:pStyle w:val="29"/>
              <w:keepNext w:val="0"/>
              <w:keepLines w:val="0"/>
              <w:pageBreakBefore w:val="0"/>
              <w:widowControl w:val="0"/>
              <w:kinsoku/>
              <w:wordWrap/>
              <w:overflowPunct/>
              <w:topLinePunct w:val="0"/>
              <w:autoSpaceDE/>
              <w:autoSpaceDN/>
              <w:bidi w:val="0"/>
              <w:spacing w:line="520" w:lineRule="exact"/>
              <w:ind w:left="0" w:leftChars="0" w:firstLine="480"/>
              <w:jc w:val="both"/>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Leq ——预测点的噪声预测值，dB；</w:t>
            </w:r>
          </w:p>
          <w:p w14:paraId="35B9EFEE">
            <w:pPr>
              <w:pStyle w:val="29"/>
              <w:keepNext w:val="0"/>
              <w:keepLines w:val="0"/>
              <w:pageBreakBefore w:val="0"/>
              <w:widowControl w:val="0"/>
              <w:kinsoku/>
              <w:wordWrap/>
              <w:overflowPunct/>
              <w:topLinePunct w:val="0"/>
              <w:autoSpaceDE/>
              <w:autoSpaceDN/>
              <w:bidi w:val="0"/>
              <w:spacing w:line="520" w:lineRule="exact"/>
              <w:ind w:left="0" w:leftChars="0" w:firstLine="480"/>
              <w:jc w:val="both"/>
              <w:rPr>
                <w:rFonts w:hint="default" w:ascii="Times New Roman" w:hAnsi="Times New Roman" w:cs="Times New Roman"/>
                <w:bCs/>
                <w:color w:val="auto"/>
                <w:sz w:val="24"/>
                <w:szCs w:val="24"/>
                <w:lang w:val="en-US"/>
              </w:rPr>
            </w:pPr>
            <w:r>
              <w:rPr>
                <w:rFonts w:hint="default" w:ascii="Times New Roman" w:hAnsi="Times New Roman" w:cs="Times New Roman"/>
                <w:bCs/>
                <w:color w:val="auto"/>
                <w:sz w:val="24"/>
                <w:szCs w:val="24"/>
                <w:lang w:val="en-US" w:eastAsia="zh-CN"/>
              </w:rPr>
              <w:t xml:space="preserve">Leqg——建设项目声源在预测点产生的噪声贡献值，dB； </w:t>
            </w:r>
          </w:p>
          <w:p w14:paraId="6F740DF3">
            <w:pPr>
              <w:pStyle w:val="29"/>
              <w:keepNext w:val="0"/>
              <w:keepLines w:val="0"/>
              <w:pageBreakBefore w:val="0"/>
              <w:widowControl w:val="0"/>
              <w:kinsoku/>
              <w:wordWrap/>
              <w:overflowPunct/>
              <w:topLinePunct w:val="0"/>
              <w:autoSpaceDE/>
              <w:autoSpaceDN/>
              <w:bidi w:val="0"/>
              <w:spacing w:line="520" w:lineRule="exact"/>
              <w:ind w:left="0" w:leftChars="0" w:firstLine="480"/>
              <w:jc w:val="both"/>
              <w:rPr>
                <w:rFonts w:hint="default" w:ascii="Times New Roman" w:hAnsi="Times New Roman" w:cs="Times New Roman"/>
                <w:bCs/>
                <w:color w:val="auto"/>
                <w:sz w:val="24"/>
                <w:szCs w:val="24"/>
                <w:lang w:val="en-US"/>
              </w:rPr>
            </w:pPr>
            <w:r>
              <w:rPr>
                <w:rFonts w:hint="default" w:ascii="Times New Roman" w:hAnsi="Times New Roman" w:cs="Times New Roman"/>
                <w:bCs/>
                <w:color w:val="auto"/>
                <w:sz w:val="24"/>
                <w:szCs w:val="24"/>
                <w:lang w:val="en-US" w:eastAsia="zh-CN"/>
              </w:rPr>
              <w:t>Leqb——预测点的背景噪声值，dB。</w:t>
            </w:r>
          </w:p>
          <w:p w14:paraId="10A3B8D0">
            <w:pPr>
              <w:keepNext w:val="0"/>
              <w:keepLines w:val="0"/>
              <w:pageBreakBefore w:val="0"/>
              <w:widowControl w:val="0"/>
              <w:kinsoku/>
              <w:wordWrap/>
              <w:overflowPunct/>
              <w:topLinePunct w:val="0"/>
              <w:autoSpaceDE/>
              <w:autoSpaceDN/>
              <w:bidi w:val="0"/>
              <w:spacing w:line="520" w:lineRule="exact"/>
              <w:ind w:left="0" w:leftChars="0" w:firstLine="482"/>
              <w:jc w:val="both"/>
              <w:rPr>
                <w:rFonts w:hint="default"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bidi="ar-SA"/>
              </w:rPr>
              <w:t>（2）预测结果及评价</w:t>
            </w:r>
          </w:p>
          <w:p w14:paraId="1B6FBBBC">
            <w:pPr>
              <w:keepNext w:val="0"/>
              <w:keepLines w:val="0"/>
              <w:pageBreakBefore w:val="0"/>
              <w:widowControl w:val="0"/>
              <w:kinsoku/>
              <w:wordWrap/>
              <w:overflowPunct/>
              <w:topLinePunct w:val="0"/>
              <w:autoSpaceDE/>
              <w:autoSpaceDN/>
              <w:bidi w:val="0"/>
              <w:spacing w:line="520" w:lineRule="exact"/>
              <w:ind w:left="0" w:leftChars="0" w:firstLine="482"/>
              <w:jc w:val="both"/>
              <w:textAlignment w:val="baseline"/>
              <w:rPr>
                <w:rFonts w:hint="default"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bidi="ar-SA"/>
              </w:rPr>
              <w:t>根据项目的</w:t>
            </w:r>
            <w:r>
              <w:rPr>
                <w:rFonts w:hint="default" w:ascii="Times New Roman" w:hAnsi="Times New Roman" w:cs="Times New Roman"/>
                <w:color w:val="auto"/>
                <w:kern w:val="2"/>
                <w:sz w:val="24"/>
                <w:szCs w:val="24"/>
                <w:lang w:val="en-US" w:eastAsia="zh-CN" w:bidi="ar-SA"/>
              </w:rPr>
              <w:t>噪声</w:t>
            </w:r>
            <w:r>
              <w:rPr>
                <w:rFonts w:hint="default" w:ascii="Times New Roman" w:hAnsi="Times New Roman" w:cs="Times New Roman"/>
                <w:color w:val="auto"/>
                <w:kern w:val="2"/>
                <w:sz w:val="24"/>
                <w:szCs w:val="24"/>
                <w:lang w:val="en-US" w:bidi="ar-SA"/>
              </w:rPr>
              <w:t>声级、所在位置，利用噪声预测模式和方法，对厂界噪声进行预测计算，得到项目建成后各预测点的昼夜噪声级。</w:t>
            </w:r>
          </w:p>
          <w:p w14:paraId="5ADFFA25">
            <w:pPr>
              <w:keepNext w:val="0"/>
              <w:keepLines w:val="0"/>
              <w:pageBreakBefore w:val="0"/>
              <w:widowControl w:val="0"/>
              <w:kinsoku/>
              <w:wordWrap/>
              <w:overflowPunct/>
              <w:topLinePunct w:val="0"/>
              <w:autoSpaceDE/>
              <w:autoSpaceDN/>
              <w:bidi w:val="0"/>
              <w:spacing w:line="520" w:lineRule="exact"/>
              <w:ind w:left="0" w:leftChars="0" w:firstLine="482"/>
              <w:jc w:val="both"/>
              <w:textAlignment w:val="baseline"/>
              <w:rPr>
                <w:rFonts w:ascii="Times New Roman" w:hAnsi="Times New Roman" w:cs="Times New Roman"/>
                <w:color w:val="auto"/>
                <w:kern w:val="2"/>
                <w:sz w:val="24"/>
                <w:szCs w:val="24"/>
                <w:lang w:val="en-US" w:bidi="ar-SA"/>
              </w:rPr>
            </w:pPr>
            <w:r>
              <w:rPr>
                <w:rFonts w:hint="default" w:ascii="Times New Roman" w:hAnsi="Times New Roman" w:cs="Times New Roman"/>
                <w:color w:val="auto"/>
                <w:kern w:val="2"/>
                <w:sz w:val="24"/>
                <w:szCs w:val="24"/>
                <w:lang w:val="en-US" w:bidi="ar-SA"/>
              </w:rPr>
              <w:t>噪声影响预测结果见表4-</w:t>
            </w:r>
            <w:r>
              <w:rPr>
                <w:rFonts w:hint="eastAsia" w:ascii="Times New Roman" w:hAnsi="Times New Roman" w:cs="Times New Roman"/>
                <w:color w:val="auto"/>
                <w:kern w:val="2"/>
                <w:sz w:val="24"/>
                <w:szCs w:val="24"/>
                <w:lang w:val="en-US" w:eastAsia="zh-CN" w:bidi="ar-SA"/>
              </w:rPr>
              <w:t>8</w:t>
            </w:r>
            <w:r>
              <w:rPr>
                <w:rFonts w:hint="default" w:ascii="Times New Roman" w:hAnsi="Times New Roman" w:cs="Times New Roman"/>
                <w:color w:val="auto"/>
                <w:kern w:val="2"/>
                <w:sz w:val="24"/>
                <w:szCs w:val="24"/>
                <w:lang w:val="en-US" w:bidi="ar-SA"/>
              </w:rPr>
              <w:t>。</w:t>
            </w:r>
          </w:p>
          <w:p w14:paraId="46B7591D">
            <w:pPr>
              <w:adjustRightInd w:val="0"/>
              <w:snapToGrid w:val="0"/>
              <w:spacing w:line="520" w:lineRule="exact"/>
              <w:jc w:val="center"/>
              <w:rPr>
                <w:rFonts w:ascii="Times New Roman" w:hAnsi="Times New Roman"/>
                <w:bCs/>
                <w:color w:val="auto"/>
                <w:sz w:val="24"/>
                <w:szCs w:val="24"/>
                <w:lang w:val="en-US"/>
              </w:rPr>
            </w:pPr>
            <w:r>
              <w:rPr>
                <w:rFonts w:hint="eastAsia" w:ascii="Times New Roman" w:hAnsi="Times New Roman" w:cs="Times New Roman"/>
                <w:b/>
                <w:bCs/>
                <w:color w:val="auto"/>
                <w:sz w:val="24"/>
                <w:szCs w:val="24"/>
                <w:lang w:val="en-US" w:eastAsia="zh-CN"/>
              </w:rPr>
              <w:t xml:space="preserve">                                         </w:t>
            </w:r>
            <w:r>
              <w:rPr>
                <w:rFonts w:hint="eastAsia" w:ascii="Times New Roman" w:hAnsi="Times New Roman" w:cs="Times New Roman"/>
                <w:b/>
                <w:bCs/>
                <w:color w:val="auto"/>
                <w:sz w:val="24"/>
                <w:szCs w:val="24"/>
                <w:lang w:val="en-US"/>
              </w:rPr>
              <w:t>表4-</w:t>
            </w:r>
            <w:r>
              <w:rPr>
                <w:rFonts w:hint="eastAsia" w:ascii="Times New Roman" w:hAnsi="Times New Roman" w:cs="Times New Roman"/>
                <w:b/>
                <w:bCs/>
                <w:color w:val="auto"/>
                <w:sz w:val="24"/>
                <w:szCs w:val="24"/>
                <w:lang w:val="en-US" w:eastAsia="zh-CN"/>
              </w:rPr>
              <w:t xml:space="preserve">8  </w:t>
            </w:r>
            <w:r>
              <w:rPr>
                <w:rFonts w:hint="eastAsia" w:ascii="Times New Roman" w:hAnsi="Times New Roman" w:cs="Times New Roman"/>
                <w:b/>
                <w:bCs/>
                <w:color w:val="auto"/>
                <w:sz w:val="24"/>
                <w:szCs w:val="24"/>
                <w:lang w:val="en-US"/>
              </w:rPr>
              <w:t xml:space="preserve">  噪声影响预测结果表                           单位：dB(A)</w:t>
            </w:r>
          </w:p>
          <w:tbl>
            <w:tblPr>
              <w:tblStyle w:val="20"/>
              <w:tblW w:w="833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417"/>
              <w:gridCol w:w="865"/>
              <w:gridCol w:w="865"/>
              <w:gridCol w:w="865"/>
              <w:gridCol w:w="865"/>
              <w:gridCol w:w="865"/>
              <w:gridCol w:w="865"/>
              <w:gridCol w:w="865"/>
              <w:gridCol w:w="865"/>
            </w:tblGrid>
            <w:tr w14:paraId="270DD6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417" w:type="dxa"/>
                  <w:vMerge w:val="restart"/>
                  <w:tcBorders>
                    <w:tl2br w:val="nil"/>
                    <w:tr2bl w:val="nil"/>
                  </w:tcBorders>
                  <w:noWrap/>
                  <w:tcMar>
                    <w:top w:w="15" w:type="dxa"/>
                    <w:left w:w="15" w:type="dxa"/>
                    <w:right w:w="15" w:type="dxa"/>
                  </w:tcMar>
                  <w:vAlign w:val="center"/>
                </w:tcPr>
                <w:p w14:paraId="6BB9B063">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预测点</w:t>
                  </w:r>
                </w:p>
              </w:tc>
              <w:tc>
                <w:tcPr>
                  <w:tcW w:w="2595" w:type="dxa"/>
                  <w:gridSpan w:val="3"/>
                  <w:tcBorders>
                    <w:tl2br w:val="nil"/>
                    <w:tr2bl w:val="nil"/>
                  </w:tcBorders>
                  <w:noWrap/>
                  <w:tcMar>
                    <w:top w:w="15" w:type="dxa"/>
                    <w:left w:w="15" w:type="dxa"/>
                    <w:right w:w="15" w:type="dxa"/>
                  </w:tcMar>
                  <w:vAlign w:val="center"/>
                </w:tcPr>
                <w:p w14:paraId="3D85510A">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昼间</w:t>
                  </w:r>
                </w:p>
              </w:tc>
              <w:tc>
                <w:tcPr>
                  <w:tcW w:w="865" w:type="dxa"/>
                  <w:vMerge w:val="restart"/>
                  <w:tcBorders>
                    <w:tl2br w:val="nil"/>
                    <w:tr2bl w:val="nil"/>
                  </w:tcBorders>
                  <w:noWrap/>
                  <w:tcMar>
                    <w:top w:w="15" w:type="dxa"/>
                    <w:left w:w="15" w:type="dxa"/>
                    <w:right w:w="15" w:type="dxa"/>
                  </w:tcMar>
                  <w:vAlign w:val="center"/>
                </w:tcPr>
                <w:p w14:paraId="10E26C97">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标准值</w:t>
                  </w:r>
                </w:p>
              </w:tc>
              <w:tc>
                <w:tcPr>
                  <w:tcW w:w="2595" w:type="dxa"/>
                  <w:gridSpan w:val="3"/>
                  <w:tcBorders>
                    <w:tl2br w:val="nil"/>
                    <w:tr2bl w:val="nil"/>
                  </w:tcBorders>
                  <w:noWrap/>
                  <w:tcMar>
                    <w:top w:w="15" w:type="dxa"/>
                    <w:left w:w="15" w:type="dxa"/>
                    <w:right w:w="15" w:type="dxa"/>
                  </w:tcMar>
                  <w:vAlign w:val="center"/>
                </w:tcPr>
                <w:p w14:paraId="42DF737C">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夜间</w:t>
                  </w:r>
                </w:p>
              </w:tc>
              <w:tc>
                <w:tcPr>
                  <w:tcW w:w="865" w:type="dxa"/>
                  <w:vMerge w:val="restart"/>
                  <w:tcBorders>
                    <w:tl2br w:val="nil"/>
                    <w:tr2bl w:val="nil"/>
                  </w:tcBorders>
                  <w:noWrap/>
                  <w:tcMar>
                    <w:top w:w="15" w:type="dxa"/>
                    <w:left w:w="15" w:type="dxa"/>
                    <w:right w:w="15" w:type="dxa"/>
                  </w:tcMar>
                  <w:vAlign w:val="center"/>
                </w:tcPr>
                <w:p w14:paraId="1509C11E">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标准值</w:t>
                  </w:r>
                </w:p>
              </w:tc>
            </w:tr>
            <w:tr w14:paraId="3FA930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417" w:type="dxa"/>
                  <w:vMerge w:val="continue"/>
                  <w:tcBorders>
                    <w:tl2br w:val="nil"/>
                    <w:tr2bl w:val="nil"/>
                  </w:tcBorders>
                  <w:noWrap/>
                  <w:tcMar>
                    <w:top w:w="15" w:type="dxa"/>
                    <w:left w:w="15" w:type="dxa"/>
                    <w:right w:w="15" w:type="dxa"/>
                  </w:tcMar>
                  <w:vAlign w:val="center"/>
                </w:tcPr>
                <w:p w14:paraId="7C06BE0B">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sz w:val="21"/>
                      <w:szCs w:val="21"/>
                    </w:rPr>
                  </w:pPr>
                </w:p>
              </w:tc>
              <w:tc>
                <w:tcPr>
                  <w:tcW w:w="865" w:type="dxa"/>
                  <w:tcBorders>
                    <w:tl2br w:val="nil"/>
                    <w:tr2bl w:val="nil"/>
                  </w:tcBorders>
                  <w:noWrap/>
                  <w:tcMar>
                    <w:top w:w="15" w:type="dxa"/>
                    <w:left w:w="15" w:type="dxa"/>
                    <w:right w:w="15" w:type="dxa"/>
                  </w:tcMar>
                  <w:vAlign w:val="center"/>
                </w:tcPr>
                <w:p w14:paraId="042D9FB1">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贡献值</w:t>
                  </w:r>
                </w:p>
              </w:tc>
              <w:tc>
                <w:tcPr>
                  <w:tcW w:w="865" w:type="dxa"/>
                  <w:tcBorders>
                    <w:tl2br w:val="nil"/>
                    <w:tr2bl w:val="nil"/>
                  </w:tcBorders>
                  <w:noWrap/>
                  <w:tcMar>
                    <w:top w:w="15" w:type="dxa"/>
                    <w:left w:w="15" w:type="dxa"/>
                    <w:right w:w="15" w:type="dxa"/>
                  </w:tcMar>
                  <w:vAlign w:val="center"/>
                </w:tcPr>
                <w:p w14:paraId="217C3B45">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现状值</w:t>
                  </w:r>
                </w:p>
              </w:tc>
              <w:tc>
                <w:tcPr>
                  <w:tcW w:w="865" w:type="dxa"/>
                  <w:tcBorders>
                    <w:tl2br w:val="nil"/>
                    <w:tr2bl w:val="nil"/>
                  </w:tcBorders>
                  <w:noWrap/>
                  <w:tcMar>
                    <w:top w:w="15" w:type="dxa"/>
                    <w:left w:w="15" w:type="dxa"/>
                    <w:right w:w="15" w:type="dxa"/>
                  </w:tcMar>
                  <w:vAlign w:val="center"/>
                </w:tcPr>
                <w:p w14:paraId="7C182C93">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叠加值</w:t>
                  </w:r>
                </w:p>
              </w:tc>
              <w:tc>
                <w:tcPr>
                  <w:tcW w:w="865" w:type="dxa"/>
                  <w:vMerge w:val="continue"/>
                  <w:tcBorders>
                    <w:tl2br w:val="nil"/>
                    <w:tr2bl w:val="nil"/>
                  </w:tcBorders>
                  <w:noWrap/>
                  <w:tcMar>
                    <w:top w:w="15" w:type="dxa"/>
                    <w:left w:w="15" w:type="dxa"/>
                    <w:right w:w="15" w:type="dxa"/>
                  </w:tcMar>
                  <w:vAlign w:val="center"/>
                </w:tcPr>
                <w:p w14:paraId="026EA880">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sz w:val="21"/>
                      <w:szCs w:val="21"/>
                    </w:rPr>
                  </w:pPr>
                </w:p>
              </w:tc>
              <w:tc>
                <w:tcPr>
                  <w:tcW w:w="865" w:type="dxa"/>
                  <w:tcBorders>
                    <w:tl2br w:val="nil"/>
                    <w:tr2bl w:val="nil"/>
                  </w:tcBorders>
                  <w:noWrap/>
                  <w:tcMar>
                    <w:top w:w="15" w:type="dxa"/>
                    <w:left w:w="15" w:type="dxa"/>
                    <w:right w:w="15" w:type="dxa"/>
                  </w:tcMar>
                  <w:vAlign w:val="center"/>
                </w:tcPr>
                <w:p w14:paraId="04F676E3">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贡献值</w:t>
                  </w:r>
                </w:p>
              </w:tc>
              <w:tc>
                <w:tcPr>
                  <w:tcW w:w="865" w:type="dxa"/>
                  <w:tcBorders>
                    <w:tl2br w:val="nil"/>
                    <w:tr2bl w:val="nil"/>
                  </w:tcBorders>
                  <w:noWrap/>
                  <w:tcMar>
                    <w:top w:w="15" w:type="dxa"/>
                    <w:left w:w="15" w:type="dxa"/>
                    <w:right w:w="15" w:type="dxa"/>
                  </w:tcMar>
                  <w:vAlign w:val="center"/>
                </w:tcPr>
                <w:p w14:paraId="3C5093C6">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现状值</w:t>
                  </w:r>
                </w:p>
              </w:tc>
              <w:tc>
                <w:tcPr>
                  <w:tcW w:w="865" w:type="dxa"/>
                  <w:tcBorders>
                    <w:tl2br w:val="nil"/>
                    <w:tr2bl w:val="nil"/>
                  </w:tcBorders>
                  <w:noWrap/>
                  <w:tcMar>
                    <w:top w:w="15" w:type="dxa"/>
                    <w:left w:w="15" w:type="dxa"/>
                    <w:right w:w="15" w:type="dxa"/>
                  </w:tcMar>
                  <w:vAlign w:val="center"/>
                </w:tcPr>
                <w:p w14:paraId="58EBA5B9">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叠加值</w:t>
                  </w:r>
                </w:p>
              </w:tc>
              <w:tc>
                <w:tcPr>
                  <w:tcW w:w="865" w:type="dxa"/>
                  <w:vMerge w:val="continue"/>
                  <w:tcBorders>
                    <w:tl2br w:val="nil"/>
                    <w:tr2bl w:val="nil"/>
                  </w:tcBorders>
                  <w:noWrap/>
                  <w:tcMar>
                    <w:top w:w="15" w:type="dxa"/>
                    <w:left w:w="15" w:type="dxa"/>
                    <w:right w:w="15" w:type="dxa"/>
                  </w:tcMar>
                  <w:vAlign w:val="center"/>
                </w:tcPr>
                <w:p w14:paraId="619195CA">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sz w:val="21"/>
                      <w:szCs w:val="21"/>
                    </w:rPr>
                  </w:pPr>
                </w:p>
              </w:tc>
            </w:tr>
            <w:tr w14:paraId="09DA50D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417" w:type="dxa"/>
                  <w:tcBorders>
                    <w:tl2br w:val="nil"/>
                    <w:tr2bl w:val="nil"/>
                  </w:tcBorders>
                  <w:noWrap w:val="0"/>
                  <w:tcMar>
                    <w:top w:w="15" w:type="dxa"/>
                    <w:left w:w="15" w:type="dxa"/>
                    <w:right w:w="15" w:type="dxa"/>
                  </w:tcMar>
                  <w:vAlign w:val="center"/>
                </w:tcPr>
                <w:p w14:paraId="27226338">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东厂界</w:t>
                  </w:r>
                </w:p>
              </w:tc>
              <w:tc>
                <w:tcPr>
                  <w:tcW w:w="865" w:type="dxa"/>
                  <w:tcBorders>
                    <w:tl2br w:val="nil"/>
                    <w:tr2bl w:val="nil"/>
                  </w:tcBorders>
                  <w:noWrap w:val="0"/>
                  <w:tcMar>
                    <w:top w:w="15" w:type="dxa"/>
                    <w:left w:w="15" w:type="dxa"/>
                    <w:right w:w="15" w:type="dxa"/>
                  </w:tcMar>
                  <w:vAlign w:val="center"/>
                </w:tcPr>
                <w:p w14:paraId="52752B62">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24.92</w:t>
                  </w:r>
                </w:p>
              </w:tc>
              <w:tc>
                <w:tcPr>
                  <w:tcW w:w="865" w:type="dxa"/>
                  <w:tcBorders>
                    <w:tl2br w:val="nil"/>
                    <w:tr2bl w:val="nil"/>
                  </w:tcBorders>
                  <w:noWrap w:val="0"/>
                  <w:tcMar>
                    <w:top w:w="15" w:type="dxa"/>
                    <w:left w:w="15" w:type="dxa"/>
                    <w:right w:w="15" w:type="dxa"/>
                  </w:tcMar>
                  <w:vAlign w:val="center"/>
                </w:tcPr>
                <w:p w14:paraId="57682161">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kern w:val="0"/>
                      <w:sz w:val="21"/>
                      <w:szCs w:val="21"/>
                      <w:lang w:val="en-US" w:eastAsia="zh-CN"/>
                    </w:rPr>
                    <w:t xml:space="preserve">53.7 </w:t>
                  </w:r>
                </w:p>
              </w:tc>
              <w:tc>
                <w:tcPr>
                  <w:tcW w:w="865" w:type="dxa"/>
                  <w:tcBorders>
                    <w:tl2br w:val="nil"/>
                    <w:tr2bl w:val="nil"/>
                  </w:tcBorders>
                  <w:noWrap/>
                  <w:tcMar>
                    <w:top w:w="15" w:type="dxa"/>
                    <w:left w:w="15" w:type="dxa"/>
                    <w:right w:w="15" w:type="dxa"/>
                  </w:tcMar>
                  <w:vAlign w:val="center"/>
                </w:tcPr>
                <w:p w14:paraId="470187DA">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53.71</w:t>
                  </w:r>
                </w:p>
              </w:tc>
              <w:tc>
                <w:tcPr>
                  <w:tcW w:w="865" w:type="dxa"/>
                  <w:vMerge w:val="restart"/>
                  <w:tcBorders>
                    <w:tl2br w:val="nil"/>
                    <w:tr2bl w:val="nil"/>
                  </w:tcBorders>
                  <w:noWrap/>
                  <w:tcMar>
                    <w:top w:w="15" w:type="dxa"/>
                    <w:left w:w="15" w:type="dxa"/>
                    <w:right w:w="15" w:type="dxa"/>
                  </w:tcMar>
                  <w:vAlign w:val="center"/>
                </w:tcPr>
                <w:p w14:paraId="4732791D">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55</w:t>
                  </w:r>
                  <w:r>
                    <w:rPr>
                      <w:rFonts w:hint="default" w:ascii="Times New Roman" w:hAnsi="Times New Roman" w:eastAsia="宋体" w:cs="Times New Roman"/>
                      <w:color w:val="auto"/>
                      <w:kern w:val="0"/>
                      <w:sz w:val="21"/>
                      <w:szCs w:val="21"/>
                      <w:lang w:bidi="ar"/>
                    </w:rPr>
                    <w:t>.0</w:t>
                  </w:r>
                </w:p>
              </w:tc>
              <w:tc>
                <w:tcPr>
                  <w:tcW w:w="865" w:type="dxa"/>
                  <w:tcBorders>
                    <w:tl2br w:val="nil"/>
                    <w:tr2bl w:val="nil"/>
                  </w:tcBorders>
                  <w:noWrap w:val="0"/>
                  <w:tcMar>
                    <w:top w:w="15" w:type="dxa"/>
                    <w:left w:w="15" w:type="dxa"/>
                    <w:right w:w="15" w:type="dxa"/>
                  </w:tcMar>
                  <w:vAlign w:val="center"/>
                </w:tcPr>
                <w:p w14:paraId="1002153A">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lang w:val="en-US" w:eastAsia="zh-CN"/>
                    </w:rPr>
                    <w:t>24.92</w:t>
                  </w:r>
                </w:p>
              </w:tc>
              <w:tc>
                <w:tcPr>
                  <w:tcW w:w="865" w:type="dxa"/>
                  <w:tcBorders>
                    <w:tl2br w:val="nil"/>
                    <w:tr2bl w:val="nil"/>
                  </w:tcBorders>
                  <w:noWrap w:val="0"/>
                  <w:tcMar>
                    <w:top w:w="15" w:type="dxa"/>
                    <w:left w:w="15" w:type="dxa"/>
                    <w:right w:w="15" w:type="dxa"/>
                  </w:tcMar>
                  <w:vAlign w:val="center"/>
                </w:tcPr>
                <w:p w14:paraId="5868FE39">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43.3 </w:t>
                  </w:r>
                </w:p>
              </w:tc>
              <w:tc>
                <w:tcPr>
                  <w:tcW w:w="865" w:type="dxa"/>
                  <w:tcBorders>
                    <w:tl2br w:val="nil"/>
                    <w:tr2bl w:val="nil"/>
                  </w:tcBorders>
                  <w:noWrap/>
                  <w:tcMar>
                    <w:top w:w="15" w:type="dxa"/>
                    <w:left w:w="15" w:type="dxa"/>
                    <w:right w:w="15" w:type="dxa"/>
                  </w:tcMar>
                  <w:vAlign w:val="center"/>
                </w:tcPr>
                <w:p w14:paraId="3744084A">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43.36</w:t>
                  </w:r>
                </w:p>
              </w:tc>
              <w:tc>
                <w:tcPr>
                  <w:tcW w:w="865" w:type="dxa"/>
                  <w:vMerge w:val="restart"/>
                  <w:tcBorders>
                    <w:tl2br w:val="nil"/>
                    <w:tr2bl w:val="nil"/>
                  </w:tcBorders>
                  <w:noWrap/>
                  <w:tcMar>
                    <w:top w:w="15" w:type="dxa"/>
                    <w:left w:w="15" w:type="dxa"/>
                    <w:right w:w="15" w:type="dxa"/>
                  </w:tcMar>
                  <w:vAlign w:val="center"/>
                </w:tcPr>
                <w:p w14:paraId="1CC428D4">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45</w:t>
                  </w:r>
                  <w:r>
                    <w:rPr>
                      <w:rFonts w:hint="default" w:ascii="Times New Roman" w:hAnsi="Times New Roman" w:eastAsia="宋体" w:cs="Times New Roman"/>
                      <w:color w:val="auto"/>
                      <w:kern w:val="0"/>
                      <w:sz w:val="21"/>
                      <w:szCs w:val="21"/>
                      <w:lang w:bidi="ar"/>
                    </w:rPr>
                    <w:t>.0</w:t>
                  </w:r>
                </w:p>
              </w:tc>
            </w:tr>
            <w:tr w14:paraId="533CF7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417" w:type="dxa"/>
                  <w:tcBorders>
                    <w:tl2br w:val="nil"/>
                    <w:tr2bl w:val="nil"/>
                  </w:tcBorders>
                  <w:noWrap w:val="0"/>
                  <w:tcMar>
                    <w:top w:w="15" w:type="dxa"/>
                    <w:left w:w="15" w:type="dxa"/>
                    <w:right w:w="15" w:type="dxa"/>
                  </w:tcMar>
                  <w:vAlign w:val="center"/>
                </w:tcPr>
                <w:p w14:paraId="66887DF4">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南厂界</w:t>
                  </w:r>
                </w:p>
              </w:tc>
              <w:tc>
                <w:tcPr>
                  <w:tcW w:w="865" w:type="dxa"/>
                  <w:tcBorders>
                    <w:tl2br w:val="nil"/>
                    <w:tr2bl w:val="nil"/>
                  </w:tcBorders>
                  <w:noWrap w:val="0"/>
                  <w:tcMar>
                    <w:top w:w="15" w:type="dxa"/>
                    <w:left w:w="15" w:type="dxa"/>
                    <w:right w:w="15" w:type="dxa"/>
                  </w:tcMar>
                  <w:vAlign w:val="center"/>
                </w:tcPr>
                <w:p w14:paraId="14CF97A7">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12.74</w:t>
                  </w:r>
                </w:p>
              </w:tc>
              <w:tc>
                <w:tcPr>
                  <w:tcW w:w="865" w:type="dxa"/>
                  <w:tcBorders>
                    <w:tl2br w:val="nil"/>
                    <w:tr2bl w:val="nil"/>
                  </w:tcBorders>
                  <w:noWrap w:val="0"/>
                  <w:tcMar>
                    <w:top w:w="15" w:type="dxa"/>
                    <w:left w:w="15" w:type="dxa"/>
                    <w:right w:w="15" w:type="dxa"/>
                  </w:tcMar>
                  <w:vAlign w:val="center"/>
                </w:tcPr>
                <w:p w14:paraId="54FA39D2">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kern w:val="0"/>
                      <w:sz w:val="21"/>
                      <w:szCs w:val="21"/>
                      <w:lang w:val="en-US" w:eastAsia="zh-CN"/>
                    </w:rPr>
                    <w:t xml:space="preserve">51.0 </w:t>
                  </w:r>
                </w:p>
              </w:tc>
              <w:tc>
                <w:tcPr>
                  <w:tcW w:w="865" w:type="dxa"/>
                  <w:tcBorders>
                    <w:tl2br w:val="nil"/>
                    <w:tr2bl w:val="nil"/>
                  </w:tcBorders>
                  <w:noWrap/>
                  <w:tcMar>
                    <w:top w:w="15" w:type="dxa"/>
                    <w:left w:w="15" w:type="dxa"/>
                    <w:right w:w="15" w:type="dxa"/>
                  </w:tcMar>
                  <w:vAlign w:val="center"/>
                </w:tcPr>
                <w:p w14:paraId="2C904844">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51.00</w:t>
                  </w:r>
                </w:p>
              </w:tc>
              <w:tc>
                <w:tcPr>
                  <w:tcW w:w="865" w:type="dxa"/>
                  <w:vMerge w:val="continue"/>
                  <w:tcBorders>
                    <w:tl2br w:val="nil"/>
                    <w:tr2bl w:val="nil"/>
                  </w:tcBorders>
                  <w:noWrap/>
                  <w:tcMar>
                    <w:top w:w="15" w:type="dxa"/>
                    <w:left w:w="15" w:type="dxa"/>
                    <w:right w:w="15" w:type="dxa"/>
                  </w:tcMar>
                  <w:vAlign w:val="center"/>
                </w:tcPr>
                <w:p w14:paraId="3D8D11D2">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p>
              </w:tc>
              <w:tc>
                <w:tcPr>
                  <w:tcW w:w="865" w:type="dxa"/>
                  <w:tcBorders>
                    <w:tl2br w:val="nil"/>
                    <w:tr2bl w:val="nil"/>
                  </w:tcBorders>
                  <w:noWrap w:val="0"/>
                  <w:tcMar>
                    <w:top w:w="15" w:type="dxa"/>
                    <w:left w:w="15" w:type="dxa"/>
                    <w:right w:w="15" w:type="dxa"/>
                  </w:tcMar>
                  <w:vAlign w:val="center"/>
                </w:tcPr>
                <w:p w14:paraId="2D3AF483">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lang w:val="en-US" w:eastAsia="zh-CN"/>
                    </w:rPr>
                    <w:t>12.74</w:t>
                  </w:r>
                </w:p>
              </w:tc>
              <w:tc>
                <w:tcPr>
                  <w:tcW w:w="865" w:type="dxa"/>
                  <w:tcBorders>
                    <w:tl2br w:val="nil"/>
                    <w:tr2bl w:val="nil"/>
                  </w:tcBorders>
                  <w:noWrap w:val="0"/>
                  <w:tcMar>
                    <w:top w:w="15" w:type="dxa"/>
                    <w:left w:w="15" w:type="dxa"/>
                    <w:right w:w="15" w:type="dxa"/>
                  </w:tcMar>
                  <w:vAlign w:val="center"/>
                </w:tcPr>
                <w:p w14:paraId="6A07D892">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44.0 </w:t>
                  </w:r>
                </w:p>
              </w:tc>
              <w:tc>
                <w:tcPr>
                  <w:tcW w:w="865" w:type="dxa"/>
                  <w:tcBorders>
                    <w:tl2br w:val="nil"/>
                    <w:tr2bl w:val="nil"/>
                  </w:tcBorders>
                  <w:noWrap/>
                  <w:tcMar>
                    <w:top w:w="15" w:type="dxa"/>
                    <w:left w:w="15" w:type="dxa"/>
                    <w:right w:w="15" w:type="dxa"/>
                  </w:tcMar>
                  <w:vAlign w:val="center"/>
                </w:tcPr>
                <w:p w14:paraId="78936665">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44.00</w:t>
                  </w:r>
                </w:p>
              </w:tc>
              <w:tc>
                <w:tcPr>
                  <w:tcW w:w="865" w:type="dxa"/>
                  <w:vMerge w:val="continue"/>
                  <w:tcBorders>
                    <w:tl2br w:val="nil"/>
                    <w:tr2bl w:val="nil"/>
                  </w:tcBorders>
                  <w:noWrap/>
                  <w:tcMar>
                    <w:top w:w="15" w:type="dxa"/>
                    <w:left w:w="15" w:type="dxa"/>
                    <w:right w:w="15" w:type="dxa"/>
                  </w:tcMar>
                  <w:vAlign w:val="center"/>
                </w:tcPr>
                <w:p w14:paraId="44C9649D">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p>
              </w:tc>
            </w:tr>
            <w:tr w14:paraId="59E161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417" w:type="dxa"/>
                  <w:tcBorders>
                    <w:tl2br w:val="nil"/>
                    <w:tr2bl w:val="nil"/>
                  </w:tcBorders>
                  <w:noWrap w:val="0"/>
                  <w:tcMar>
                    <w:top w:w="15" w:type="dxa"/>
                    <w:left w:w="15" w:type="dxa"/>
                    <w:right w:w="15" w:type="dxa"/>
                  </w:tcMar>
                  <w:vAlign w:val="center"/>
                </w:tcPr>
                <w:p w14:paraId="115499B4">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西厂界</w:t>
                  </w:r>
                </w:p>
              </w:tc>
              <w:tc>
                <w:tcPr>
                  <w:tcW w:w="865" w:type="dxa"/>
                  <w:tcBorders>
                    <w:tl2br w:val="nil"/>
                    <w:tr2bl w:val="nil"/>
                  </w:tcBorders>
                  <w:noWrap w:val="0"/>
                  <w:tcMar>
                    <w:top w:w="15" w:type="dxa"/>
                    <w:left w:w="15" w:type="dxa"/>
                    <w:right w:w="15" w:type="dxa"/>
                  </w:tcMar>
                  <w:vAlign w:val="center"/>
                </w:tcPr>
                <w:p w14:paraId="125F8A5E">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15.38</w:t>
                  </w:r>
                </w:p>
              </w:tc>
              <w:tc>
                <w:tcPr>
                  <w:tcW w:w="865" w:type="dxa"/>
                  <w:tcBorders>
                    <w:tl2br w:val="nil"/>
                    <w:tr2bl w:val="nil"/>
                  </w:tcBorders>
                  <w:noWrap w:val="0"/>
                  <w:tcMar>
                    <w:top w:w="15" w:type="dxa"/>
                    <w:left w:w="15" w:type="dxa"/>
                    <w:right w:w="15" w:type="dxa"/>
                  </w:tcMar>
                  <w:vAlign w:val="center"/>
                </w:tcPr>
                <w:p w14:paraId="1C25496A">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kern w:val="0"/>
                      <w:sz w:val="21"/>
                      <w:szCs w:val="21"/>
                      <w:lang w:val="en-US" w:eastAsia="zh-CN"/>
                    </w:rPr>
                    <w:t xml:space="preserve">52.0 </w:t>
                  </w:r>
                </w:p>
              </w:tc>
              <w:tc>
                <w:tcPr>
                  <w:tcW w:w="865" w:type="dxa"/>
                  <w:tcBorders>
                    <w:tl2br w:val="nil"/>
                    <w:tr2bl w:val="nil"/>
                  </w:tcBorders>
                  <w:noWrap/>
                  <w:tcMar>
                    <w:top w:w="15" w:type="dxa"/>
                    <w:left w:w="15" w:type="dxa"/>
                    <w:right w:w="15" w:type="dxa"/>
                  </w:tcMar>
                  <w:vAlign w:val="center"/>
                </w:tcPr>
                <w:p w14:paraId="1F076CAE">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52.00</w:t>
                  </w:r>
                </w:p>
              </w:tc>
              <w:tc>
                <w:tcPr>
                  <w:tcW w:w="865" w:type="dxa"/>
                  <w:vMerge w:val="continue"/>
                  <w:tcBorders>
                    <w:tl2br w:val="nil"/>
                    <w:tr2bl w:val="nil"/>
                  </w:tcBorders>
                  <w:noWrap/>
                  <w:tcMar>
                    <w:top w:w="15" w:type="dxa"/>
                    <w:left w:w="15" w:type="dxa"/>
                    <w:right w:w="15" w:type="dxa"/>
                  </w:tcMar>
                  <w:vAlign w:val="center"/>
                </w:tcPr>
                <w:p w14:paraId="4EAF82AD">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p>
              </w:tc>
              <w:tc>
                <w:tcPr>
                  <w:tcW w:w="865" w:type="dxa"/>
                  <w:tcBorders>
                    <w:tl2br w:val="nil"/>
                    <w:tr2bl w:val="nil"/>
                  </w:tcBorders>
                  <w:noWrap w:val="0"/>
                  <w:tcMar>
                    <w:top w:w="15" w:type="dxa"/>
                    <w:left w:w="15" w:type="dxa"/>
                    <w:right w:w="15" w:type="dxa"/>
                  </w:tcMar>
                  <w:vAlign w:val="center"/>
                </w:tcPr>
                <w:p w14:paraId="33FFAD88">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lang w:val="en-US" w:eastAsia="zh-CN"/>
                    </w:rPr>
                    <w:t>15.38</w:t>
                  </w:r>
                </w:p>
              </w:tc>
              <w:tc>
                <w:tcPr>
                  <w:tcW w:w="865" w:type="dxa"/>
                  <w:tcBorders>
                    <w:tl2br w:val="nil"/>
                    <w:tr2bl w:val="nil"/>
                  </w:tcBorders>
                  <w:noWrap w:val="0"/>
                  <w:tcMar>
                    <w:top w:w="15" w:type="dxa"/>
                    <w:left w:w="15" w:type="dxa"/>
                    <w:right w:w="15" w:type="dxa"/>
                  </w:tcMar>
                  <w:vAlign w:val="center"/>
                </w:tcPr>
                <w:p w14:paraId="155B0CC1">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43.8 </w:t>
                  </w:r>
                </w:p>
              </w:tc>
              <w:tc>
                <w:tcPr>
                  <w:tcW w:w="865" w:type="dxa"/>
                  <w:tcBorders>
                    <w:tl2br w:val="nil"/>
                    <w:tr2bl w:val="nil"/>
                  </w:tcBorders>
                  <w:noWrap/>
                  <w:tcMar>
                    <w:top w:w="15" w:type="dxa"/>
                    <w:left w:w="15" w:type="dxa"/>
                    <w:right w:w="15" w:type="dxa"/>
                  </w:tcMar>
                  <w:vAlign w:val="center"/>
                </w:tcPr>
                <w:p w14:paraId="7F93A511">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43.91</w:t>
                  </w:r>
                </w:p>
              </w:tc>
              <w:tc>
                <w:tcPr>
                  <w:tcW w:w="865" w:type="dxa"/>
                  <w:vMerge w:val="continue"/>
                  <w:tcBorders>
                    <w:tl2br w:val="nil"/>
                    <w:tr2bl w:val="nil"/>
                  </w:tcBorders>
                  <w:noWrap/>
                  <w:tcMar>
                    <w:top w:w="15" w:type="dxa"/>
                    <w:left w:w="15" w:type="dxa"/>
                    <w:right w:w="15" w:type="dxa"/>
                  </w:tcMar>
                  <w:vAlign w:val="center"/>
                </w:tcPr>
                <w:p w14:paraId="36ED24A9">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p>
              </w:tc>
            </w:tr>
            <w:tr w14:paraId="6D14B3A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417" w:type="dxa"/>
                  <w:tcBorders>
                    <w:tl2br w:val="nil"/>
                    <w:tr2bl w:val="nil"/>
                  </w:tcBorders>
                  <w:noWrap w:val="0"/>
                  <w:tcMar>
                    <w:top w:w="15" w:type="dxa"/>
                    <w:left w:w="15" w:type="dxa"/>
                    <w:right w:w="15" w:type="dxa"/>
                  </w:tcMar>
                  <w:vAlign w:val="center"/>
                </w:tcPr>
                <w:p w14:paraId="36BD5F8D">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北厂界</w:t>
                  </w:r>
                </w:p>
              </w:tc>
              <w:tc>
                <w:tcPr>
                  <w:tcW w:w="865" w:type="dxa"/>
                  <w:tcBorders>
                    <w:tl2br w:val="nil"/>
                    <w:tr2bl w:val="nil"/>
                  </w:tcBorders>
                  <w:noWrap w:val="0"/>
                  <w:tcMar>
                    <w:top w:w="15" w:type="dxa"/>
                    <w:left w:w="15" w:type="dxa"/>
                    <w:right w:w="15" w:type="dxa"/>
                  </w:tcMar>
                  <w:vAlign w:val="center"/>
                </w:tcPr>
                <w:p w14:paraId="20016EA7">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18.12</w:t>
                  </w:r>
                </w:p>
              </w:tc>
              <w:tc>
                <w:tcPr>
                  <w:tcW w:w="865" w:type="dxa"/>
                  <w:tcBorders>
                    <w:tl2br w:val="nil"/>
                    <w:tr2bl w:val="nil"/>
                  </w:tcBorders>
                  <w:noWrap w:val="0"/>
                  <w:tcMar>
                    <w:top w:w="15" w:type="dxa"/>
                    <w:left w:w="15" w:type="dxa"/>
                    <w:right w:w="15" w:type="dxa"/>
                  </w:tcMar>
                  <w:vAlign w:val="center"/>
                </w:tcPr>
                <w:p w14:paraId="5AD2804D">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kern w:val="0"/>
                      <w:sz w:val="21"/>
                      <w:szCs w:val="21"/>
                      <w:lang w:val="en-US" w:eastAsia="zh-CN"/>
                    </w:rPr>
                    <w:t xml:space="preserve">52.3 </w:t>
                  </w:r>
                </w:p>
              </w:tc>
              <w:tc>
                <w:tcPr>
                  <w:tcW w:w="865" w:type="dxa"/>
                  <w:tcBorders>
                    <w:tl2br w:val="nil"/>
                    <w:tr2bl w:val="nil"/>
                  </w:tcBorders>
                  <w:noWrap/>
                  <w:tcMar>
                    <w:top w:w="15" w:type="dxa"/>
                    <w:left w:w="15" w:type="dxa"/>
                    <w:right w:w="15" w:type="dxa"/>
                  </w:tcMar>
                  <w:vAlign w:val="center"/>
                </w:tcPr>
                <w:p w14:paraId="0A4CD88B">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52.30</w:t>
                  </w:r>
                </w:p>
              </w:tc>
              <w:tc>
                <w:tcPr>
                  <w:tcW w:w="865" w:type="dxa"/>
                  <w:vMerge w:val="continue"/>
                  <w:tcBorders>
                    <w:tl2br w:val="nil"/>
                    <w:tr2bl w:val="nil"/>
                  </w:tcBorders>
                  <w:noWrap/>
                  <w:tcMar>
                    <w:top w:w="15" w:type="dxa"/>
                    <w:left w:w="15" w:type="dxa"/>
                    <w:right w:w="15" w:type="dxa"/>
                  </w:tcMar>
                  <w:vAlign w:val="center"/>
                </w:tcPr>
                <w:p w14:paraId="64AE14F1">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p>
              </w:tc>
              <w:tc>
                <w:tcPr>
                  <w:tcW w:w="865" w:type="dxa"/>
                  <w:tcBorders>
                    <w:tl2br w:val="nil"/>
                    <w:tr2bl w:val="nil"/>
                  </w:tcBorders>
                  <w:noWrap w:val="0"/>
                  <w:tcMar>
                    <w:top w:w="15" w:type="dxa"/>
                    <w:left w:w="15" w:type="dxa"/>
                    <w:right w:w="15" w:type="dxa"/>
                  </w:tcMar>
                  <w:vAlign w:val="center"/>
                </w:tcPr>
                <w:p w14:paraId="58AF9C42">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z w:val="21"/>
                      <w:szCs w:val="21"/>
                      <w:lang w:val="en-US" w:eastAsia="zh-CN"/>
                    </w:rPr>
                    <w:t>18.12</w:t>
                  </w:r>
                </w:p>
              </w:tc>
              <w:tc>
                <w:tcPr>
                  <w:tcW w:w="865" w:type="dxa"/>
                  <w:tcBorders>
                    <w:tl2br w:val="nil"/>
                    <w:tr2bl w:val="nil"/>
                  </w:tcBorders>
                  <w:noWrap w:val="0"/>
                  <w:tcMar>
                    <w:top w:w="15" w:type="dxa"/>
                    <w:left w:w="15" w:type="dxa"/>
                    <w:right w:w="15" w:type="dxa"/>
                  </w:tcMar>
                  <w:vAlign w:val="center"/>
                </w:tcPr>
                <w:p w14:paraId="2D02646E">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kern w:val="0"/>
                      <w:sz w:val="21"/>
                      <w:szCs w:val="21"/>
                      <w:lang w:val="en-US" w:eastAsia="zh-CN"/>
                    </w:rPr>
                    <w:t xml:space="preserve">42.6 </w:t>
                  </w:r>
                </w:p>
              </w:tc>
              <w:tc>
                <w:tcPr>
                  <w:tcW w:w="865" w:type="dxa"/>
                  <w:tcBorders>
                    <w:tl2br w:val="nil"/>
                    <w:tr2bl w:val="nil"/>
                  </w:tcBorders>
                  <w:noWrap/>
                  <w:tcMar>
                    <w:top w:w="15" w:type="dxa"/>
                    <w:left w:w="15" w:type="dxa"/>
                    <w:right w:w="15" w:type="dxa"/>
                  </w:tcMar>
                  <w:vAlign w:val="center"/>
                </w:tcPr>
                <w:p w14:paraId="2816571C">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42.62</w:t>
                  </w:r>
                </w:p>
              </w:tc>
              <w:tc>
                <w:tcPr>
                  <w:tcW w:w="865" w:type="dxa"/>
                  <w:vMerge w:val="continue"/>
                  <w:tcBorders>
                    <w:tl2br w:val="nil"/>
                    <w:tr2bl w:val="nil"/>
                  </w:tcBorders>
                  <w:noWrap/>
                  <w:tcMar>
                    <w:top w:w="15" w:type="dxa"/>
                    <w:left w:w="15" w:type="dxa"/>
                    <w:right w:w="15" w:type="dxa"/>
                  </w:tcMar>
                  <w:vAlign w:val="center"/>
                </w:tcPr>
                <w:p w14:paraId="11C04D11">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p>
              </w:tc>
            </w:tr>
            <w:tr w14:paraId="55F610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417" w:type="dxa"/>
                  <w:tcBorders>
                    <w:tl2br w:val="nil"/>
                    <w:tr2bl w:val="nil"/>
                  </w:tcBorders>
                  <w:noWrap w:val="0"/>
                  <w:tcMar>
                    <w:top w:w="15" w:type="dxa"/>
                    <w:left w:w="15" w:type="dxa"/>
                    <w:right w:w="15" w:type="dxa"/>
                  </w:tcMar>
                  <w:vAlign w:val="center"/>
                </w:tcPr>
                <w:p w14:paraId="5D810940">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龙湾</w:t>
                  </w:r>
                </w:p>
              </w:tc>
              <w:tc>
                <w:tcPr>
                  <w:tcW w:w="865" w:type="dxa"/>
                  <w:tcBorders>
                    <w:tl2br w:val="nil"/>
                    <w:tr2bl w:val="nil"/>
                  </w:tcBorders>
                  <w:noWrap w:val="0"/>
                  <w:tcMar>
                    <w:top w:w="15" w:type="dxa"/>
                    <w:left w:w="15" w:type="dxa"/>
                    <w:right w:w="15" w:type="dxa"/>
                  </w:tcMar>
                  <w:vAlign w:val="center"/>
                </w:tcPr>
                <w:p w14:paraId="58535478">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14.04</w:t>
                  </w:r>
                </w:p>
              </w:tc>
              <w:tc>
                <w:tcPr>
                  <w:tcW w:w="865" w:type="dxa"/>
                  <w:tcBorders>
                    <w:tl2br w:val="nil"/>
                    <w:tr2bl w:val="nil"/>
                  </w:tcBorders>
                  <w:noWrap w:val="0"/>
                  <w:tcMar>
                    <w:top w:w="15" w:type="dxa"/>
                    <w:left w:w="15" w:type="dxa"/>
                    <w:right w:w="15" w:type="dxa"/>
                  </w:tcMar>
                  <w:vAlign w:val="center"/>
                </w:tcPr>
                <w:p w14:paraId="0A3603AD">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51.1</w:t>
                  </w:r>
                </w:p>
              </w:tc>
              <w:tc>
                <w:tcPr>
                  <w:tcW w:w="865" w:type="dxa"/>
                  <w:tcBorders>
                    <w:tl2br w:val="nil"/>
                    <w:tr2bl w:val="nil"/>
                  </w:tcBorders>
                  <w:noWrap/>
                  <w:tcMar>
                    <w:top w:w="15" w:type="dxa"/>
                    <w:left w:w="15" w:type="dxa"/>
                    <w:right w:w="15" w:type="dxa"/>
                  </w:tcMar>
                  <w:vAlign w:val="center"/>
                </w:tcPr>
                <w:p w14:paraId="67F0844D">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51.10</w:t>
                  </w:r>
                </w:p>
              </w:tc>
              <w:tc>
                <w:tcPr>
                  <w:tcW w:w="865" w:type="dxa"/>
                  <w:vMerge w:val="continue"/>
                  <w:tcBorders>
                    <w:tl2br w:val="nil"/>
                    <w:tr2bl w:val="nil"/>
                  </w:tcBorders>
                  <w:noWrap/>
                  <w:tcMar>
                    <w:top w:w="15" w:type="dxa"/>
                    <w:left w:w="15" w:type="dxa"/>
                    <w:right w:w="15" w:type="dxa"/>
                  </w:tcMar>
                  <w:vAlign w:val="center"/>
                </w:tcPr>
                <w:p w14:paraId="31427510">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kern w:val="0"/>
                      <w:sz w:val="21"/>
                      <w:szCs w:val="21"/>
                      <w:lang w:val="en-US" w:eastAsia="zh-CN" w:bidi="ar"/>
                    </w:rPr>
                  </w:pPr>
                </w:p>
              </w:tc>
              <w:tc>
                <w:tcPr>
                  <w:tcW w:w="865" w:type="dxa"/>
                  <w:tcBorders>
                    <w:tl2br w:val="nil"/>
                    <w:tr2bl w:val="nil"/>
                  </w:tcBorders>
                  <w:noWrap w:val="0"/>
                  <w:tcMar>
                    <w:top w:w="15" w:type="dxa"/>
                    <w:left w:w="15" w:type="dxa"/>
                    <w:right w:w="15" w:type="dxa"/>
                  </w:tcMar>
                  <w:vAlign w:val="center"/>
                </w:tcPr>
                <w:p w14:paraId="6292D391">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14.04</w:t>
                  </w:r>
                </w:p>
              </w:tc>
              <w:tc>
                <w:tcPr>
                  <w:tcW w:w="865" w:type="dxa"/>
                  <w:tcBorders>
                    <w:tl2br w:val="nil"/>
                    <w:tr2bl w:val="nil"/>
                  </w:tcBorders>
                  <w:noWrap w:val="0"/>
                  <w:tcMar>
                    <w:top w:w="15" w:type="dxa"/>
                    <w:left w:w="15" w:type="dxa"/>
                    <w:right w:w="15" w:type="dxa"/>
                  </w:tcMar>
                  <w:vAlign w:val="center"/>
                </w:tcPr>
                <w:p w14:paraId="219986BE">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43.6</w:t>
                  </w:r>
                </w:p>
              </w:tc>
              <w:tc>
                <w:tcPr>
                  <w:tcW w:w="865" w:type="dxa"/>
                  <w:tcBorders>
                    <w:tl2br w:val="nil"/>
                    <w:tr2bl w:val="nil"/>
                  </w:tcBorders>
                  <w:noWrap/>
                  <w:tcMar>
                    <w:top w:w="15" w:type="dxa"/>
                    <w:left w:w="15" w:type="dxa"/>
                    <w:right w:w="15" w:type="dxa"/>
                  </w:tcMar>
                  <w:vAlign w:val="center"/>
                </w:tcPr>
                <w:p w14:paraId="5B2DCF10">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43.60</w:t>
                  </w:r>
                </w:p>
              </w:tc>
              <w:tc>
                <w:tcPr>
                  <w:tcW w:w="865" w:type="dxa"/>
                  <w:vMerge w:val="continue"/>
                  <w:tcBorders>
                    <w:tl2br w:val="nil"/>
                    <w:tr2bl w:val="nil"/>
                  </w:tcBorders>
                  <w:noWrap/>
                  <w:tcMar>
                    <w:top w:w="15" w:type="dxa"/>
                    <w:left w:w="15" w:type="dxa"/>
                    <w:right w:w="15" w:type="dxa"/>
                  </w:tcMar>
                  <w:vAlign w:val="center"/>
                </w:tcPr>
                <w:p w14:paraId="621FB285">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kern w:val="0"/>
                      <w:sz w:val="21"/>
                      <w:szCs w:val="21"/>
                      <w:lang w:val="en-US" w:eastAsia="zh-CN" w:bidi="ar"/>
                    </w:rPr>
                  </w:pPr>
                </w:p>
              </w:tc>
            </w:tr>
            <w:tr w14:paraId="46C8505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417" w:type="dxa"/>
                  <w:tcBorders>
                    <w:tl2br w:val="nil"/>
                    <w:tr2bl w:val="nil"/>
                  </w:tcBorders>
                  <w:noWrap w:val="0"/>
                  <w:tcMar>
                    <w:top w:w="15" w:type="dxa"/>
                    <w:left w:w="15" w:type="dxa"/>
                    <w:right w:w="15" w:type="dxa"/>
                  </w:tcMar>
                  <w:vAlign w:val="center"/>
                </w:tcPr>
                <w:p w14:paraId="770AD6CB">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大兴花园小区</w:t>
                  </w:r>
                </w:p>
              </w:tc>
              <w:tc>
                <w:tcPr>
                  <w:tcW w:w="865" w:type="dxa"/>
                  <w:tcBorders>
                    <w:tl2br w:val="nil"/>
                    <w:tr2bl w:val="nil"/>
                  </w:tcBorders>
                  <w:noWrap w:val="0"/>
                  <w:tcMar>
                    <w:top w:w="15" w:type="dxa"/>
                    <w:left w:w="15" w:type="dxa"/>
                    <w:right w:w="15" w:type="dxa"/>
                  </w:tcMar>
                  <w:vAlign w:val="center"/>
                </w:tcPr>
                <w:p w14:paraId="45792AED">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15.56</w:t>
                  </w:r>
                </w:p>
              </w:tc>
              <w:tc>
                <w:tcPr>
                  <w:tcW w:w="865" w:type="dxa"/>
                  <w:tcBorders>
                    <w:tl2br w:val="nil"/>
                    <w:tr2bl w:val="nil"/>
                  </w:tcBorders>
                  <w:noWrap w:val="0"/>
                  <w:tcMar>
                    <w:top w:w="15" w:type="dxa"/>
                    <w:left w:w="15" w:type="dxa"/>
                    <w:right w:w="15" w:type="dxa"/>
                  </w:tcMar>
                  <w:vAlign w:val="center"/>
                </w:tcPr>
                <w:p w14:paraId="41B6D93B">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52.3</w:t>
                  </w:r>
                </w:p>
              </w:tc>
              <w:tc>
                <w:tcPr>
                  <w:tcW w:w="865" w:type="dxa"/>
                  <w:tcBorders>
                    <w:tl2br w:val="nil"/>
                    <w:tr2bl w:val="nil"/>
                  </w:tcBorders>
                  <w:noWrap/>
                  <w:tcMar>
                    <w:top w:w="15" w:type="dxa"/>
                    <w:left w:w="15" w:type="dxa"/>
                    <w:right w:w="15" w:type="dxa"/>
                  </w:tcMar>
                  <w:vAlign w:val="center"/>
                </w:tcPr>
                <w:p w14:paraId="6DCAB398">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52.30</w:t>
                  </w:r>
                </w:p>
              </w:tc>
              <w:tc>
                <w:tcPr>
                  <w:tcW w:w="865" w:type="dxa"/>
                  <w:vMerge w:val="continue"/>
                  <w:tcBorders>
                    <w:tl2br w:val="nil"/>
                    <w:tr2bl w:val="nil"/>
                  </w:tcBorders>
                  <w:noWrap/>
                  <w:tcMar>
                    <w:top w:w="15" w:type="dxa"/>
                    <w:left w:w="15" w:type="dxa"/>
                    <w:right w:w="15" w:type="dxa"/>
                  </w:tcMar>
                  <w:vAlign w:val="center"/>
                </w:tcPr>
                <w:p w14:paraId="4B1B9C79">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kern w:val="0"/>
                      <w:sz w:val="21"/>
                      <w:szCs w:val="21"/>
                      <w:lang w:val="en-US" w:eastAsia="zh-CN" w:bidi="ar"/>
                    </w:rPr>
                  </w:pPr>
                </w:p>
              </w:tc>
              <w:tc>
                <w:tcPr>
                  <w:tcW w:w="865" w:type="dxa"/>
                  <w:tcBorders>
                    <w:tl2br w:val="nil"/>
                    <w:tr2bl w:val="nil"/>
                  </w:tcBorders>
                  <w:noWrap w:val="0"/>
                  <w:tcMar>
                    <w:top w:w="15" w:type="dxa"/>
                    <w:left w:w="15" w:type="dxa"/>
                    <w:right w:w="15" w:type="dxa"/>
                  </w:tcMar>
                  <w:vAlign w:val="center"/>
                </w:tcPr>
                <w:p w14:paraId="56D41613">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18.12</w:t>
                  </w:r>
                </w:p>
              </w:tc>
              <w:tc>
                <w:tcPr>
                  <w:tcW w:w="865" w:type="dxa"/>
                  <w:tcBorders>
                    <w:tl2br w:val="nil"/>
                    <w:tr2bl w:val="nil"/>
                  </w:tcBorders>
                  <w:noWrap w:val="0"/>
                  <w:tcMar>
                    <w:top w:w="15" w:type="dxa"/>
                    <w:left w:w="15" w:type="dxa"/>
                    <w:right w:w="15" w:type="dxa"/>
                  </w:tcMar>
                  <w:vAlign w:val="center"/>
                </w:tcPr>
                <w:p w14:paraId="58748B10">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42.7</w:t>
                  </w:r>
                </w:p>
              </w:tc>
              <w:tc>
                <w:tcPr>
                  <w:tcW w:w="865" w:type="dxa"/>
                  <w:tcBorders>
                    <w:tl2br w:val="nil"/>
                    <w:tr2bl w:val="nil"/>
                  </w:tcBorders>
                  <w:noWrap/>
                  <w:tcMar>
                    <w:top w:w="15" w:type="dxa"/>
                    <w:left w:w="15" w:type="dxa"/>
                    <w:right w:w="15" w:type="dxa"/>
                  </w:tcMar>
                  <w:vAlign w:val="center"/>
                </w:tcPr>
                <w:p w14:paraId="6321A755">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42.71</w:t>
                  </w:r>
                </w:p>
              </w:tc>
              <w:tc>
                <w:tcPr>
                  <w:tcW w:w="865" w:type="dxa"/>
                  <w:vMerge w:val="continue"/>
                  <w:tcBorders>
                    <w:tl2br w:val="nil"/>
                    <w:tr2bl w:val="nil"/>
                  </w:tcBorders>
                  <w:noWrap/>
                  <w:tcMar>
                    <w:top w:w="15" w:type="dxa"/>
                    <w:left w:w="15" w:type="dxa"/>
                    <w:right w:w="15" w:type="dxa"/>
                  </w:tcMar>
                  <w:vAlign w:val="center"/>
                </w:tcPr>
                <w:p w14:paraId="6C033788">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color w:val="auto"/>
                      <w:kern w:val="0"/>
                      <w:sz w:val="21"/>
                      <w:szCs w:val="21"/>
                      <w:lang w:val="en-US" w:eastAsia="zh-CN" w:bidi="ar"/>
                    </w:rPr>
                  </w:pPr>
                </w:p>
              </w:tc>
            </w:tr>
          </w:tbl>
          <w:p w14:paraId="023FEAC2">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ascii="Times New Roman" w:hAnsi="Times New Roman" w:cs="Times New Roman"/>
                <w:bCs/>
                <w:color w:val="auto"/>
                <w:sz w:val="24"/>
                <w:szCs w:val="24"/>
                <w:lang w:val="en-US"/>
              </w:rPr>
            </w:pPr>
            <w:r>
              <w:rPr>
                <w:rFonts w:ascii="Times New Roman" w:hAnsi="Times New Roman" w:cs="Times New Roman"/>
                <w:color w:val="auto"/>
                <w:sz w:val="24"/>
                <w:szCs w:val="24"/>
              </w:rPr>
              <w:t>经预测，项目厂界噪声的预测值</w:t>
            </w:r>
            <w:r>
              <w:rPr>
                <w:rFonts w:hint="eastAsia" w:ascii="Times New Roman" w:hAnsi="Times New Roman" w:cs="Times New Roman"/>
                <w:color w:val="auto"/>
                <w:sz w:val="24"/>
                <w:szCs w:val="24"/>
                <w:lang w:eastAsia="zh-CN"/>
              </w:rPr>
              <w:t>、敏感目标噪声预测值均</w:t>
            </w:r>
            <w:r>
              <w:rPr>
                <w:rFonts w:ascii="Times New Roman" w:hAnsi="Times New Roman" w:cs="Times New Roman"/>
                <w:color w:val="auto"/>
                <w:sz w:val="24"/>
                <w:szCs w:val="24"/>
              </w:rPr>
              <w:t>可满足《工业企业厂界环境噪声排放标准》（GB12348-2008）</w:t>
            </w:r>
            <w:r>
              <w:rPr>
                <w:rFonts w:hint="eastAsia" w:ascii="Times New Roman" w:hAnsi="Times New Roman" w:cs="Times New Roman"/>
                <w:color w:val="auto"/>
                <w:sz w:val="24"/>
                <w:szCs w:val="24"/>
                <w:lang w:val="en-US" w:eastAsia="zh-CN"/>
              </w:rPr>
              <w:t>1</w:t>
            </w:r>
            <w:r>
              <w:rPr>
                <w:rFonts w:ascii="Times New Roman" w:hAnsi="Times New Roman" w:cs="Times New Roman"/>
                <w:color w:val="auto"/>
                <w:sz w:val="24"/>
                <w:szCs w:val="24"/>
              </w:rPr>
              <w:t>类标准要求。</w:t>
            </w:r>
          </w:p>
          <w:p w14:paraId="7D5C1667">
            <w:pPr>
              <w:pStyle w:val="45"/>
              <w:keepNext w:val="0"/>
              <w:keepLines w:val="0"/>
              <w:pageBreakBefore w:val="0"/>
              <w:widowControl w:val="0"/>
              <w:kinsoku/>
              <w:wordWrap/>
              <w:overflowPunct/>
              <w:topLinePunct w:val="0"/>
              <w:autoSpaceDE/>
              <w:autoSpaceDN/>
              <w:bidi w:val="0"/>
              <w:spacing w:line="520" w:lineRule="exact"/>
              <w:ind w:firstLine="480" w:firstLineChars="200"/>
              <w:jc w:val="both"/>
              <w:textAlignment w:val="auto"/>
              <w:rPr>
                <w:rFonts w:hint="eastAsia"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本项目具体通过以下措施对噪声进行防治：</w:t>
            </w:r>
          </w:p>
          <w:p w14:paraId="22679FD0">
            <w:pPr>
              <w:pStyle w:val="45"/>
              <w:keepNext w:val="0"/>
              <w:keepLines w:val="0"/>
              <w:pageBreakBefore w:val="0"/>
              <w:widowControl w:val="0"/>
              <w:kinsoku/>
              <w:wordWrap/>
              <w:overflowPunct/>
              <w:topLinePunct w:val="0"/>
              <w:autoSpaceDE/>
              <w:autoSpaceDN/>
              <w:bidi w:val="0"/>
              <w:spacing w:line="520" w:lineRule="exact"/>
              <w:ind w:firstLine="480" w:firstLineChars="200"/>
              <w:jc w:val="both"/>
              <w:textAlignment w:val="auto"/>
              <w:rPr>
                <w:rFonts w:hint="eastAsia"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①</w:t>
            </w:r>
            <w:r>
              <w:rPr>
                <w:rFonts w:hint="eastAsia" w:ascii="Times New Roman" w:hAnsi="Times New Roman" w:cs="Times New Roman"/>
                <w:color w:val="auto"/>
                <w:sz w:val="24"/>
                <w:szCs w:val="24"/>
                <w:lang w:val="en-US" w:eastAsia="zh-CN"/>
              </w:rPr>
              <w:t>污水处理站</w:t>
            </w:r>
            <w:r>
              <w:rPr>
                <w:rFonts w:hint="eastAsia" w:ascii="Times New Roman" w:hAnsi="Times New Roman" w:cs="Times New Roman"/>
                <w:color w:val="auto"/>
                <w:sz w:val="24"/>
                <w:szCs w:val="24"/>
                <w:lang w:val="en-US"/>
              </w:rPr>
              <w:t>主要产噪设备合理布置于</w:t>
            </w:r>
            <w:r>
              <w:rPr>
                <w:rFonts w:hint="eastAsia" w:ascii="Times New Roman" w:hAnsi="Times New Roman" w:cs="Times New Roman"/>
                <w:color w:val="auto"/>
                <w:sz w:val="24"/>
                <w:szCs w:val="24"/>
                <w:lang w:val="en-US" w:eastAsia="zh-CN"/>
              </w:rPr>
              <w:t>污水处理站内，减小声环境影响</w:t>
            </w:r>
            <w:r>
              <w:rPr>
                <w:rFonts w:hint="eastAsia" w:ascii="Times New Roman" w:hAnsi="Times New Roman" w:cs="Times New Roman"/>
                <w:color w:val="auto"/>
                <w:sz w:val="24"/>
                <w:szCs w:val="24"/>
                <w:lang w:val="en-US"/>
              </w:rPr>
              <w:t>；</w:t>
            </w:r>
          </w:p>
          <w:p w14:paraId="695213F6">
            <w:pPr>
              <w:pStyle w:val="45"/>
              <w:keepNext w:val="0"/>
              <w:keepLines w:val="0"/>
              <w:pageBreakBefore w:val="0"/>
              <w:widowControl w:val="0"/>
              <w:kinsoku/>
              <w:wordWrap/>
              <w:overflowPunct/>
              <w:topLinePunct w:val="0"/>
              <w:autoSpaceDE/>
              <w:autoSpaceDN/>
              <w:bidi w:val="0"/>
              <w:spacing w:line="520" w:lineRule="exact"/>
              <w:ind w:firstLine="480" w:firstLineChars="200"/>
              <w:jc w:val="both"/>
              <w:textAlignment w:val="auto"/>
              <w:rPr>
                <w:rFonts w:hint="eastAsia"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②定期维护</w:t>
            </w:r>
            <w:r>
              <w:rPr>
                <w:rFonts w:hint="eastAsia" w:ascii="Times New Roman" w:hAnsi="Times New Roman" w:cs="Times New Roman"/>
                <w:color w:val="auto"/>
                <w:sz w:val="24"/>
                <w:szCs w:val="24"/>
                <w:lang w:val="en-US" w:eastAsia="zh-CN"/>
              </w:rPr>
              <w:t>污水处理站设施</w:t>
            </w:r>
            <w:r>
              <w:rPr>
                <w:rFonts w:hint="eastAsia" w:ascii="Times New Roman" w:hAnsi="Times New Roman" w:cs="Times New Roman"/>
                <w:color w:val="auto"/>
                <w:sz w:val="24"/>
                <w:szCs w:val="24"/>
                <w:lang w:val="en-US"/>
              </w:rPr>
              <w:t>设备、使设备运行良好；</w:t>
            </w:r>
          </w:p>
          <w:p w14:paraId="3DB1C6D9">
            <w:pPr>
              <w:pStyle w:val="45"/>
              <w:keepNext w:val="0"/>
              <w:keepLines w:val="0"/>
              <w:pageBreakBefore w:val="0"/>
              <w:widowControl w:val="0"/>
              <w:kinsoku/>
              <w:wordWrap/>
              <w:overflowPunct/>
              <w:topLinePunct w:val="0"/>
              <w:autoSpaceDE/>
              <w:autoSpaceDN/>
              <w:bidi w:val="0"/>
              <w:spacing w:line="520" w:lineRule="exact"/>
              <w:ind w:firstLine="480" w:firstLineChars="200"/>
              <w:jc w:val="both"/>
              <w:textAlignment w:val="auto"/>
              <w:rPr>
                <w:rFonts w:hint="eastAsia"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③进入院区的车辆禁止鸣笛并设置减速</w:t>
            </w:r>
            <w:r>
              <w:rPr>
                <w:rFonts w:hint="eastAsia" w:ascii="Times New Roman" w:hAnsi="Times New Roman" w:cs="Times New Roman"/>
                <w:color w:val="auto"/>
                <w:sz w:val="24"/>
                <w:szCs w:val="24"/>
                <w:lang w:val="en-US" w:eastAsia="zh-CN"/>
              </w:rPr>
              <w:t>带</w:t>
            </w:r>
            <w:r>
              <w:rPr>
                <w:rFonts w:hint="eastAsia" w:ascii="Times New Roman" w:hAnsi="Times New Roman" w:cs="Times New Roman"/>
                <w:color w:val="auto"/>
                <w:sz w:val="24"/>
                <w:szCs w:val="24"/>
                <w:lang w:val="en-US"/>
              </w:rPr>
              <w:t>；</w:t>
            </w:r>
          </w:p>
          <w:p w14:paraId="401AB3A8">
            <w:pPr>
              <w:pStyle w:val="45"/>
              <w:keepNext w:val="0"/>
              <w:keepLines w:val="0"/>
              <w:pageBreakBefore w:val="0"/>
              <w:widowControl w:val="0"/>
              <w:kinsoku/>
              <w:wordWrap/>
              <w:overflowPunct/>
              <w:topLinePunct w:val="0"/>
              <w:autoSpaceDE/>
              <w:autoSpaceDN/>
              <w:bidi w:val="0"/>
              <w:spacing w:line="520" w:lineRule="exact"/>
              <w:ind w:firstLine="480" w:firstLineChars="200"/>
              <w:jc w:val="both"/>
              <w:textAlignment w:val="auto"/>
              <w:rPr>
                <w:rFonts w:hint="eastAsia"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④提高建筑门窗的隔声性能，采取符合国家“三性 ”（气密性、水密性、隔声性）标准的玻璃</w:t>
            </w:r>
            <w:r>
              <w:rPr>
                <w:rFonts w:hint="eastAsia"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rPr>
              <w:t>降低</w:t>
            </w:r>
            <w:r>
              <w:rPr>
                <w:rFonts w:hint="eastAsia" w:ascii="Times New Roman" w:hAnsi="Times New Roman" w:cs="Times New Roman"/>
                <w:color w:val="auto"/>
                <w:sz w:val="24"/>
                <w:szCs w:val="24"/>
                <w:lang w:val="en-US" w:eastAsia="zh-CN"/>
              </w:rPr>
              <w:t>人员、车辆噪声</w:t>
            </w:r>
            <w:r>
              <w:rPr>
                <w:rFonts w:hint="eastAsia" w:ascii="Times New Roman" w:hAnsi="Times New Roman" w:cs="Times New Roman"/>
                <w:color w:val="auto"/>
                <w:sz w:val="24"/>
                <w:szCs w:val="24"/>
                <w:lang w:val="en-US"/>
              </w:rPr>
              <w:t>影响；</w:t>
            </w:r>
          </w:p>
          <w:p w14:paraId="4CADEE0A">
            <w:pPr>
              <w:pStyle w:val="45"/>
              <w:keepNext w:val="0"/>
              <w:keepLines w:val="0"/>
              <w:pageBreakBefore w:val="0"/>
              <w:widowControl w:val="0"/>
              <w:kinsoku/>
              <w:wordWrap/>
              <w:overflowPunct/>
              <w:topLinePunct w:val="0"/>
              <w:autoSpaceDE/>
              <w:autoSpaceDN/>
              <w:bidi w:val="0"/>
              <w:spacing w:line="520" w:lineRule="exact"/>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rPr>
              <w:t>⑤</w:t>
            </w:r>
            <w:r>
              <w:rPr>
                <w:rFonts w:hint="eastAsia" w:ascii="Times New Roman" w:hAnsi="Times New Roman" w:cs="Times New Roman"/>
                <w:color w:val="auto"/>
                <w:sz w:val="24"/>
                <w:szCs w:val="24"/>
                <w:lang w:val="en-US" w:eastAsia="zh-CN"/>
              </w:rPr>
              <w:t>院区内禁止喧哗。</w:t>
            </w:r>
          </w:p>
          <w:p w14:paraId="6AC9341D">
            <w:pPr>
              <w:pStyle w:val="45"/>
              <w:keepNext w:val="0"/>
              <w:keepLines w:val="0"/>
              <w:pageBreakBefore w:val="0"/>
              <w:widowControl w:val="0"/>
              <w:kinsoku/>
              <w:wordWrap/>
              <w:overflowPunct/>
              <w:topLinePunct w:val="0"/>
              <w:autoSpaceDE/>
              <w:autoSpaceDN/>
              <w:bidi w:val="0"/>
              <w:spacing w:line="520" w:lineRule="exact"/>
              <w:ind w:firstLine="480" w:firstLineChars="200"/>
              <w:jc w:val="both"/>
              <w:textAlignment w:val="auto"/>
              <w:rPr>
                <w:rFonts w:hint="eastAsia"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综上，在采取以上噪声防治措施后，</w:t>
            </w:r>
            <w:r>
              <w:rPr>
                <w:rFonts w:hint="eastAsia" w:ascii="Times New Roman" w:hAnsi="Times New Roman" w:cs="Times New Roman"/>
                <w:color w:val="auto"/>
                <w:sz w:val="24"/>
                <w:szCs w:val="24"/>
                <w:lang w:val="en-US" w:eastAsia="zh-CN"/>
              </w:rPr>
              <w:t>噪声排放能满足</w:t>
            </w:r>
            <w:r>
              <w:rPr>
                <w:rFonts w:ascii="Times New Roman" w:hAnsi="Times New Roman" w:cs="Times New Roman"/>
                <w:color w:val="auto"/>
                <w:sz w:val="24"/>
                <w:szCs w:val="24"/>
              </w:rPr>
              <w:t>《工业企业厂界环境噪声排放标准》（GB12348-2008）</w:t>
            </w:r>
            <w:r>
              <w:rPr>
                <w:rFonts w:hint="eastAsia" w:ascii="Times New Roman" w:hAnsi="Times New Roman" w:cs="Times New Roman"/>
                <w:color w:val="auto"/>
                <w:sz w:val="24"/>
                <w:szCs w:val="24"/>
                <w:lang w:val="en-US" w:eastAsia="zh-CN"/>
              </w:rPr>
              <w:t>1</w:t>
            </w:r>
            <w:r>
              <w:rPr>
                <w:rFonts w:ascii="Times New Roman" w:hAnsi="Times New Roman" w:cs="Times New Roman"/>
                <w:color w:val="auto"/>
                <w:sz w:val="24"/>
                <w:szCs w:val="24"/>
              </w:rPr>
              <w:t>类</w:t>
            </w:r>
            <w:r>
              <w:rPr>
                <w:rFonts w:hint="eastAsia" w:ascii="Times New Roman" w:hAnsi="Times New Roman" w:cs="Times New Roman"/>
                <w:color w:val="auto"/>
                <w:sz w:val="24"/>
                <w:szCs w:val="24"/>
                <w:lang w:eastAsia="zh-CN"/>
              </w:rPr>
              <w:t>标准要求</w:t>
            </w:r>
            <w:r>
              <w:rPr>
                <w:rFonts w:hint="eastAsia" w:ascii="Times New Roman" w:hAnsi="Times New Roman" w:cs="Times New Roman"/>
                <w:color w:val="auto"/>
                <w:sz w:val="24"/>
                <w:szCs w:val="24"/>
                <w:lang w:val="en-US"/>
              </w:rPr>
              <w:t>。</w:t>
            </w:r>
          </w:p>
          <w:p w14:paraId="25ACF1C4">
            <w:pPr>
              <w:pStyle w:val="45"/>
              <w:keepNext w:val="0"/>
              <w:keepLines w:val="0"/>
              <w:pageBreakBefore w:val="0"/>
              <w:widowControl w:val="0"/>
              <w:kinsoku/>
              <w:wordWrap/>
              <w:overflowPunct/>
              <w:topLinePunct w:val="0"/>
              <w:autoSpaceDE/>
              <w:autoSpaceDN/>
              <w:bidi w:val="0"/>
              <w:spacing w:line="520" w:lineRule="exact"/>
              <w:ind w:firstLine="482" w:firstLineChars="200"/>
              <w:jc w:val="both"/>
              <w:textAlignment w:val="auto"/>
              <w:rPr>
                <w:rFonts w:hint="default" w:ascii="Times New Roman" w:hAnsi="Times New Roman" w:cs="Times New Roman"/>
                <w:b/>
                <w:bCs/>
                <w:color w:val="auto"/>
                <w:sz w:val="24"/>
                <w:szCs w:val="24"/>
                <w:lang w:val="en-US"/>
              </w:rPr>
            </w:pPr>
            <w:r>
              <w:rPr>
                <w:rFonts w:hint="default" w:ascii="Times New Roman" w:hAnsi="Times New Roman" w:cs="Times New Roman"/>
                <w:b/>
                <w:bCs/>
                <w:color w:val="auto"/>
                <w:sz w:val="24"/>
                <w:szCs w:val="24"/>
              </w:rPr>
              <w:t>4、固体废物环境影响和保护措施</w:t>
            </w:r>
          </w:p>
          <w:p w14:paraId="2605167A">
            <w:pPr>
              <w:pStyle w:val="45"/>
              <w:keepNext w:val="0"/>
              <w:keepLines w:val="0"/>
              <w:pageBreakBefore w:val="0"/>
              <w:widowControl w:val="0"/>
              <w:numPr>
                <w:ilvl w:val="0"/>
                <w:numId w:val="0"/>
              </w:numPr>
              <w:kinsoku/>
              <w:wordWrap/>
              <w:overflowPunct/>
              <w:topLinePunct w:val="0"/>
              <w:autoSpaceDE/>
              <w:autoSpaceDN/>
              <w:bidi w:val="0"/>
              <w:spacing w:line="520" w:lineRule="exact"/>
              <w:ind w:firstLine="480" w:firstLineChars="200"/>
              <w:jc w:val="both"/>
              <w:textAlignment w:val="auto"/>
              <w:rPr>
                <w:rFonts w:hint="default" w:ascii="Times New Roman" w:hAnsi="Times New Roman" w:eastAsia="宋体" w:cs="Times New Roman"/>
                <w:color w:val="auto"/>
                <w:sz w:val="24"/>
                <w:szCs w:val="24"/>
                <w:lang w:val="en-US" w:eastAsia="zh-CN" w:bidi="zh-CN"/>
              </w:rPr>
            </w:pPr>
            <w:r>
              <w:rPr>
                <w:rFonts w:hint="default" w:ascii="Times New Roman" w:hAnsi="Times New Roman" w:eastAsia="宋体" w:cs="Times New Roman"/>
                <w:color w:val="auto"/>
                <w:sz w:val="24"/>
                <w:szCs w:val="24"/>
                <w:lang w:val="en-US" w:eastAsia="zh-CN" w:bidi="zh-CN"/>
              </w:rPr>
              <w:t>本项目运营期产生的固体废物主要为医疗废物、栅渣、化粪池和污水处理站污泥、生活垃圾。</w:t>
            </w:r>
          </w:p>
          <w:p w14:paraId="2B36B0B9">
            <w:pPr>
              <w:pStyle w:val="45"/>
              <w:keepNext w:val="0"/>
              <w:keepLines w:val="0"/>
              <w:pageBreakBefore w:val="0"/>
              <w:widowControl w:val="0"/>
              <w:numPr>
                <w:ilvl w:val="0"/>
                <w:numId w:val="0"/>
              </w:numPr>
              <w:kinsoku/>
              <w:wordWrap/>
              <w:overflowPunct/>
              <w:topLinePunct w:val="0"/>
              <w:autoSpaceDE/>
              <w:autoSpaceDN/>
              <w:bidi w:val="0"/>
              <w:spacing w:line="520" w:lineRule="exact"/>
              <w:ind w:firstLine="480" w:firstLineChars="200"/>
              <w:jc w:val="both"/>
              <w:textAlignment w:val="auto"/>
              <w:rPr>
                <w:rFonts w:hint="default" w:ascii="Times New Roman" w:hAnsi="Times New Roman" w:eastAsia="宋体" w:cs="Times New Roman"/>
                <w:color w:val="auto"/>
                <w:sz w:val="24"/>
                <w:szCs w:val="24"/>
                <w:lang w:val="en-US" w:eastAsia="zh-CN" w:bidi="zh-CN"/>
              </w:rPr>
            </w:pPr>
            <w:r>
              <w:rPr>
                <w:rFonts w:hint="default" w:ascii="Times New Roman" w:hAnsi="Times New Roman" w:eastAsia="宋体" w:cs="Times New Roman"/>
                <w:color w:val="auto"/>
                <w:sz w:val="24"/>
                <w:szCs w:val="24"/>
                <w:lang w:val="en-US" w:eastAsia="zh-CN" w:bidi="zh-CN"/>
              </w:rPr>
              <w:t>（1）医疗废物</w:t>
            </w:r>
          </w:p>
          <w:p w14:paraId="2A1AFB1E">
            <w:pPr>
              <w:pStyle w:val="45"/>
              <w:keepNext w:val="0"/>
              <w:keepLines w:val="0"/>
              <w:pageBreakBefore w:val="0"/>
              <w:widowControl w:val="0"/>
              <w:numPr>
                <w:ilvl w:val="0"/>
                <w:numId w:val="0"/>
              </w:numPr>
              <w:kinsoku/>
              <w:wordWrap/>
              <w:overflowPunct/>
              <w:topLinePunct w:val="0"/>
              <w:autoSpaceDE/>
              <w:autoSpaceDN/>
              <w:bidi w:val="0"/>
              <w:spacing w:line="520" w:lineRule="exact"/>
              <w:ind w:firstLine="480" w:firstLineChars="200"/>
              <w:jc w:val="both"/>
              <w:textAlignment w:val="auto"/>
              <w:rPr>
                <w:rFonts w:hint="default" w:ascii="Times New Roman" w:hAnsi="Times New Roman" w:eastAsia="宋体" w:cs="Times New Roman"/>
                <w:color w:val="auto"/>
                <w:sz w:val="24"/>
                <w:szCs w:val="24"/>
                <w:lang w:val="en-US" w:eastAsia="zh-CN" w:bidi="zh-CN"/>
              </w:rPr>
            </w:pPr>
            <w:r>
              <w:rPr>
                <w:rFonts w:hint="default" w:ascii="Times New Roman" w:hAnsi="Times New Roman" w:eastAsia="宋体" w:cs="Times New Roman"/>
                <w:color w:val="auto"/>
                <w:sz w:val="24"/>
                <w:szCs w:val="24"/>
                <w:lang w:val="en-US" w:eastAsia="zh-CN" w:bidi="zh-CN"/>
              </w:rPr>
              <w:t>医疗废物包括住院部、手术室、门诊、急诊、检验科等产生的感染性、病理性、损伤性、药物性和化学性等废物。</w:t>
            </w:r>
          </w:p>
          <w:p w14:paraId="4FDB9D0A">
            <w:pPr>
              <w:pStyle w:val="45"/>
              <w:keepNext w:val="0"/>
              <w:keepLines w:val="0"/>
              <w:pageBreakBefore w:val="0"/>
              <w:widowControl w:val="0"/>
              <w:numPr>
                <w:ilvl w:val="0"/>
                <w:numId w:val="0"/>
              </w:numPr>
              <w:kinsoku/>
              <w:wordWrap/>
              <w:overflowPunct/>
              <w:topLinePunct w:val="0"/>
              <w:autoSpaceDE/>
              <w:autoSpaceDN/>
              <w:bidi w:val="0"/>
              <w:spacing w:line="520" w:lineRule="exact"/>
              <w:ind w:firstLine="480" w:firstLineChars="200"/>
              <w:jc w:val="both"/>
              <w:textAlignment w:val="auto"/>
              <w:rPr>
                <w:rFonts w:hint="default" w:ascii="Times New Roman" w:hAnsi="Times New Roman" w:eastAsia="宋体" w:cs="Times New Roman"/>
                <w:color w:val="auto"/>
                <w:sz w:val="24"/>
                <w:szCs w:val="24"/>
                <w:lang w:val="en-US" w:eastAsia="zh-CN" w:bidi="zh-CN"/>
              </w:rPr>
            </w:pPr>
            <w:r>
              <w:rPr>
                <w:rFonts w:hint="default" w:ascii="Times New Roman" w:hAnsi="Times New Roman" w:eastAsia="宋体" w:cs="Times New Roman"/>
                <w:color w:val="auto"/>
                <w:sz w:val="24"/>
                <w:szCs w:val="24"/>
                <w:lang w:val="en-US" w:eastAsia="zh-CN" w:bidi="zh-CN"/>
              </w:rPr>
              <w:t>根据建设单位提供资料，鄂尔多斯广厦医院医疗废物排放量为0.</w:t>
            </w:r>
            <w:r>
              <w:rPr>
                <w:rFonts w:hint="eastAsia" w:ascii="Times New Roman" w:hAnsi="Times New Roman" w:cs="Times New Roman"/>
                <w:color w:val="auto"/>
                <w:sz w:val="24"/>
                <w:szCs w:val="24"/>
                <w:lang w:val="en-US" w:eastAsia="zh-CN" w:bidi="zh-CN"/>
              </w:rPr>
              <w:t>11</w:t>
            </w:r>
            <w:r>
              <w:rPr>
                <w:rFonts w:hint="default" w:ascii="Times New Roman" w:hAnsi="Times New Roman" w:eastAsia="宋体" w:cs="Times New Roman"/>
                <w:color w:val="auto"/>
                <w:sz w:val="24"/>
                <w:szCs w:val="24"/>
                <w:lang w:val="en-US" w:eastAsia="zh-CN" w:bidi="zh-CN"/>
              </w:rPr>
              <w:t>t/d（</w:t>
            </w:r>
            <w:r>
              <w:rPr>
                <w:rFonts w:hint="eastAsia" w:ascii="Times New Roman" w:hAnsi="Times New Roman" w:cs="Times New Roman"/>
                <w:color w:val="auto"/>
                <w:sz w:val="24"/>
                <w:szCs w:val="24"/>
                <w:lang w:val="en-US" w:eastAsia="zh-CN" w:bidi="zh-CN"/>
              </w:rPr>
              <w:t>40.15</w:t>
            </w:r>
            <w:r>
              <w:rPr>
                <w:rFonts w:hint="default" w:ascii="Times New Roman" w:hAnsi="Times New Roman" w:eastAsia="宋体" w:cs="Times New Roman"/>
                <w:color w:val="auto"/>
                <w:sz w:val="24"/>
                <w:szCs w:val="24"/>
                <w:lang w:val="en-US" w:eastAsia="zh-CN" w:bidi="zh-CN"/>
              </w:rPr>
              <w:t>t/a）。根据《国家危险废物名录（202</w:t>
            </w:r>
            <w:r>
              <w:rPr>
                <w:rFonts w:hint="eastAsia" w:ascii="Times New Roman" w:hAnsi="Times New Roman" w:cs="Times New Roman"/>
                <w:color w:val="auto"/>
                <w:sz w:val="24"/>
                <w:szCs w:val="24"/>
                <w:lang w:val="en-US" w:eastAsia="zh-CN" w:bidi="zh-CN"/>
              </w:rPr>
              <w:t>5</w:t>
            </w:r>
            <w:r>
              <w:rPr>
                <w:rFonts w:hint="default" w:ascii="Times New Roman" w:hAnsi="Times New Roman" w:eastAsia="宋体" w:cs="Times New Roman"/>
                <w:color w:val="auto"/>
                <w:sz w:val="24"/>
                <w:szCs w:val="24"/>
                <w:lang w:val="en-US" w:eastAsia="zh-CN" w:bidi="zh-CN"/>
              </w:rPr>
              <w:t>年版）》规定， 医疗废物属危险废物，危废编号：HW01。本项目医疗废物按规定分类收集至相应容器后暂存于危废暂存库，由鄂尔多斯市仲安医疗废物集中处置有限公司拉运处置。</w:t>
            </w:r>
          </w:p>
          <w:p w14:paraId="64EB526B">
            <w:pPr>
              <w:pStyle w:val="45"/>
              <w:keepNext w:val="0"/>
              <w:keepLines w:val="0"/>
              <w:pageBreakBefore w:val="0"/>
              <w:widowControl w:val="0"/>
              <w:numPr>
                <w:ilvl w:val="0"/>
                <w:numId w:val="0"/>
              </w:numPr>
              <w:tabs>
                <w:tab w:val="left" w:pos="895"/>
              </w:tabs>
              <w:kinsoku/>
              <w:wordWrap/>
              <w:overflowPunct/>
              <w:topLinePunct w:val="0"/>
              <w:autoSpaceDE/>
              <w:autoSpaceDN/>
              <w:bidi w:val="0"/>
              <w:spacing w:line="520" w:lineRule="exact"/>
              <w:ind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bidi="zh-CN"/>
              </w:rPr>
              <w:t>（2）</w:t>
            </w:r>
            <w:r>
              <w:rPr>
                <w:rFonts w:hint="default" w:ascii="Times New Roman" w:hAnsi="Times New Roman" w:eastAsia="宋体" w:cs="Times New Roman"/>
                <w:b w:val="0"/>
                <w:bCs/>
                <w:color w:val="auto"/>
                <w:sz w:val="24"/>
                <w:szCs w:val="24"/>
                <w:lang w:val="en-US" w:eastAsia="zh-CN"/>
              </w:rPr>
              <w:t>栅渣</w:t>
            </w:r>
          </w:p>
          <w:p w14:paraId="7C2805A6">
            <w:pPr>
              <w:pStyle w:val="45"/>
              <w:keepNext w:val="0"/>
              <w:keepLines w:val="0"/>
              <w:pageBreakBefore w:val="0"/>
              <w:widowControl w:val="0"/>
              <w:numPr>
                <w:ilvl w:val="0"/>
                <w:numId w:val="0"/>
              </w:numPr>
              <w:kinsoku/>
              <w:wordWrap/>
              <w:overflowPunct/>
              <w:topLinePunct w:val="0"/>
              <w:autoSpaceDE/>
              <w:autoSpaceDN/>
              <w:bidi w:val="0"/>
              <w:spacing w:line="520" w:lineRule="exact"/>
              <w:ind w:firstLine="480" w:firstLineChars="200"/>
              <w:jc w:val="both"/>
              <w:textAlignment w:val="auto"/>
              <w:rPr>
                <w:rFonts w:hint="default" w:ascii="Times New Roman" w:hAnsi="Times New Roman" w:eastAsia="宋体" w:cs="Times New Roman"/>
                <w:color w:val="auto"/>
                <w:sz w:val="24"/>
                <w:szCs w:val="24"/>
                <w:lang w:val="en-US" w:eastAsia="zh-CN" w:bidi="zh-CN"/>
              </w:rPr>
            </w:pPr>
            <w:r>
              <w:rPr>
                <w:rFonts w:hint="default" w:ascii="Times New Roman" w:hAnsi="Times New Roman" w:cs="Times New Roman"/>
                <w:b w:val="0"/>
                <w:bCs/>
                <w:color w:val="auto"/>
                <w:sz w:val="24"/>
                <w:szCs w:val="24"/>
                <w:lang w:val="en-US" w:eastAsia="zh-CN"/>
              </w:rPr>
              <w:t>污水处理站设置格栅截留较大的固形物质。根据《医疗机构水污染物排放标准》（GB18466-2005）的规定，栅渣属于危险废物，其废物类别为</w:t>
            </w:r>
            <w:r>
              <w:rPr>
                <w:rFonts w:hint="eastAsia" w:ascii="Times New Roman" w:hAnsi="Times New Roman" w:cs="Times New Roman"/>
                <w:b w:val="0"/>
                <w:bCs/>
                <w:color w:val="auto"/>
                <w:sz w:val="24"/>
                <w:szCs w:val="24"/>
                <w:lang w:val="en-US" w:eastAsia="zh-CN"/>
              </w:rPr>
              <w:t>医疗</w:t>
            </w:r>
            <w:r>
              <w:rPr>
                <w:rFonts w:hint="default" w:ascii="Times New Roman" w:hAnsi="Times New Roman" w:cs="Times New Roman"/>
                <w:b w:val="0"/>
                <w:bCs/>
                <w:color w:val="auto"/>
                <w:sz w:val="24"/>
                <w:szCs w:val="24"/>
                <w:lang w:val="en-US" w:eastAsia="zh-CN"/>
              </w:rPr>
              <w:t>废物HW</w:t>
            </w:r>
            <w:r>
              <w:rPr>
                <w:rFonts w:hint="eastAsia" w:ascii="Times New Roman" w:hAnsi="Times New Roman" w:cs="Times New Roman"/>
                <w:b w:val="0"/>
                <w:bCs/>
                <w:color w:val="auto"/>
                <w:sz w:val="24"/>
                <w:szCs w:val="24"/>
                <w:lang w:val="en-US" w:eastAsia="zh-CN"/>
              </w:rPr>
              <w:t>01</w:t>
            </w:r>
            <w:r>
              <w:rPr>
                <w:rFonts w:hint="default" w:ascii="Times New Roman" w:hAnsi="Times New Roman" w:cs="Times New Roman"/>
                <w:b w:val="0"/>
                <w:bCs/>
                <w:color w:val="auto"/>
                <w:sz w:val="24"/>
                <w:szCs w:val="24"/>
                <w:lang w:val="en-US" w:eastAsia="zh-CN"/>
              </w:rPr>
              <w:t>，代码为</w:t>
            </w:r>
            <w:r>
              <w:rPr>
                <w:rFonts w:hint="eastAsia" w:ascii="Times New Roman" w:hAnsi="Times New Roman" w:cs="Times New Roman"/>
                <w:b w:val="0"/>
                <w:bCs/>
                <w:color w:val="auto"/>
                <w:sz w:val="24"/>
                <w:szCs w:val="24"/>
                <w:lang w:val="en-US" w:eastAsia="zh-CN"/>
              </w:rPr>
              <w:t>841</w:t>
            </w:r>
            <w:r>
              <w:rPr>
                <w:rFonts w:hint="default" w:ascii="Times New Roman" w:hAnsi="Times New Roman" w:cs="Times New Roman"/>
                <w:b w:val="0"/>
                <w:bCs/>
                <w:color w:val="auto"/>
                <w:sz w:val="24"/>
                <w:szCs w:val="24"/>
                <w:lang w:val="en-US" w:eastAsia="zh-CN"/>
              </w:rPr>
              <w:t>-00</w:t>
            </w:r>
            <w:r>
              <w:rPr>
                <w:rFonts w:hint="eastAsia" w:ascii="Times New Roman" w:hAnsi="Times New Roman" w:cs="Times New Roman"/>
                <w:b w:val="0"/>
                <w:bCs/>
                <w:color w:val="auto"/>
                <w:sz w:val="24"/>
                <w:szCs w:val="24"/>
                <w:lang w:val="en-US" w:eastAsia="zh-CN"/>
              </w:rPr>
              <w:t>1</w:t>
            </w:r>
            <w:r>
              <w:rPr>
                <w:rFonts w:hint="default" w:ascii="Times New Roman" w:hAnsi="Times New Roman" w:cs="Times New Roman"/>
                <w:b w:val="0"/>
                <w:bCs/>
                <w:color w:val="auto"/>
                <w:sz w:val="24"/>
                <w:szCs w:val="24"/>
                <w:lang w:val="en-US" w:eastAsia="zh-CN"/>
              </w:rPr>
              <w:t>-</w:t>
            </w:r>
            <w:r>
              <w:rPr>
                <w:rFonts w:hint="eastAsia" w:ascii="Times New Roman" w:hAnsi="Times New Roman" w:cs="Times New Roman"/>
                <w:b w:val="0"/>
                <w:bCs/>
                <w:color w:val="auto"/>
                <w:sz w:val="24"/>
                <w:szCs w:val="24"/>
                <w:lang w:val="en-US" w:eastAsia="zh-CN"/>
              </w:rPr>
              <w:t>01</w:t>
            </w:r>
            <w:r>
              <w:rPr>
                <w:rFonts w:hint="default" w:ascii="Times New Roman" w:hAnsi="Times New Roman" w:cs="Times New Roman"/>
                <w:b w:val="0"/>
                <w:bCs/>
                <w:color w:val="auto"/>
                <w:sz w:val="24"/>
                <w:szCs w:val="24"/>
                <w:lang w:val="en-US" w:eastAsia="zh-CN"/>
              </w:rPr>
              <w:t>。根据建设单位提供资料，栅渣产生量约为20mg/L，本项目污水处理量为19856m</w:t>
            </w:r>
            <w:r>
              <w:rPr>
                <w:rFonts w:hint="default" w:ascii="Times New Roman" w:hAnsi="Times New Roman" w:cs="Times New Roman"/>
                <w:b w:val="0"/>
                <w:bCs/>
                <w:color w:val="auto"/>
                <w:sz w:val="24"/>
                <w:szCs w:val="24"/>
                <w:vertAlign w:val="superscript"/>
                <w:lang w:val="en-US" w:eastAsia="zh-CN"/>
              </w:rPr>
              <w:t>3</w:t>
            </w:r>
            <w:r>
              <w:rPr>
                <w:rFonts w:hint="default" w:ascii="Times New Roman" w:hAnsi="Times New Roman" w:cs="Times New Roman"/>
                <w:b w:val="0"/>
                <w:bCs/>
                <w:color w:val="auto"/>
                <w:sz w:val="24"/>
                <w:szCs w:val="24"/>
                <w:lang w:val="en-US" w:eastAsia="zh-CN"/>
              </w:rPr>
              <w:t>/a，则栅渣产生量</w:t>
            </w:r>
            <w:r>
              <w:rPr>
                <w:rFonts w:hint="eastAsia" w:ascii="Times New Roman" w:hAnsi="Times New Roman" w:cs="Times New Roman"/>
                <w:b w:val="0"/>
                <w:bCs/>
                <w:color w:val="auto"/>
                <w:sz w:val="24"/>
                <w:szCs w:val="24"/>
                <w:lang w:val="en-US" w:eastAsia="zh-CN"/>
              </w:rPr>
              <w:t>约</w:t>
            </w:r>
            <w:r>
              <w:rPr>
                <w:rFonts w:hint="default" w:ascii="Times New Roman" w:hAnsi="Times New Roman" w:cs="Times New Roman"/>
                <w:b w:val="0"/>
                <w:bCs/>
                <w:color w:val="auto"/>
                <w:sz w:val="24"/>
                <w:szCs w:val="24"/>
                <w:lang w:val="en-US" w:eastAsia="zh-CN"/>
              </w:rPr>
              <w:t>为0.40t/a。栅渣</w:t>
            </w:r>
            <w:r>
              <w:rPr>
                <w:rFonts w:hint="default" w:ascii="Times New Roman" w:hAnsi="Times New Roman" w:eastAsia="宋体" w:cs="Times New Roman"/>
                <w:color w:val="auto"/>
                <w:sz w:val="24"/>
                <w:szCs w:val="24"/>
                <w:lang w:val="en-US" w:eastAsia="zh-CN" w:bidi="zh-CN"/>
              </w:rPr>
              <w:t>暂存于本项目危废暂存库内，定期由鄂尔多斯市馨蕊医疗废物处置有限责任公司处置。</w:t>
            </w:r>
          </w:p>
          <w:p w14:paraId="334FFFE4">
            <w:pPr>
              <w:pStyle w:val="45"/>
              <w:keepNext w:val="0"/>
              <w:keepLines w:val="0"/>
              <w:pageBreakBefore w:val="0"/>
              <w:widowControl w:val="0"/>
              <w:numPr>
                <w:ilvl w:val="0"/>
                <w:numId w:val="0"/>
              </w:numPr>
              <w:tabs>
                <w:tab w:val="left" w:pos="895"/>
              </w:tabs>
              <w:kinsoku/>
              <w:wordWrap/>
              <w:overflowPunct/>
              <w:topLinePunct w:val="0"/>
              <w:autoSpaceDE/>
              <w:autoSpaceDN/>
              <w:bidi w:val="0"/>
              <w:spacing w:line="520" w:lineRule="exact"/>
              <w:ind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bidi="zh-CN"/>
              </w:rPr>
              <w:t>（3）</w:t>
            </w:r>
            <w:r>
              <w:rPr>
                <w:rFonts w:hint="default" w:ascii="Times New Roman" w:hAnsi="Times New Roman" w:eastAsia="宋体" w:cs="Times New Roman"/>
                <w:b w:val="0"/>
                <w:bCs/>
                <w:color w:val="auto"/>
                <w:sz w:val="24"/>
                <w:szCs w:val="24"/>
                <w:lang w:val="en-US" w:eastAsia="zh-CN"/>
              </w:rPr>
              <w:t>化粪池和污水处理站污泥</w:t>
            </w:r>
          </w:p>
          <w:p w14:paraId="65D402DA">
            <w:pPr>
              <w:pStyle w:val="45"/>
              <w:keepNext w:val="0"/>
              <w:keepLines w:val="0"/>
              <w:pageBreakBefore w:val="0"/>
              <w:widowControl w:val="0"/>
              <w:numPr>
                <w:ilvl w:val="0"/>
                <w:numId w:val="0"/>
              </w:numPr>
              <w:tabs>
                <w:tab w:val="left" w:pos="895"/>
              </w:tabs>
              <w:kinsoku/>
              <w:wordWrap/>
              <w:overflowPunct/>
              <w:topLinePunct w:val="0"/>
              <w:autoSpaceDE/>
              <w:autoSpaceDN/>
              <w:bidi w:val="0"/>
              <w:spacing w:line="520" w:lineRule="exact"/>
              <w:ind w:firstLine="480" w:firstLineChars="200"/>
              <w:jc w:val="both"/>
              <w:textAlignment w:val="auto"/>
              <w:rPr>
                <w:rFonts w:hint="default" w:ascii="Times New Roman" w:hAnsi="Times New Roman" w:cs="Times New Roman"/>
                <w:b w:val="0"/>
                <w:bCs/>
                <w:color w:val="auto"/>
                <w:sz w:val="24"/>
                <w:szCs w:val="24"/>
                <w:lang w:val="en-US" w:eastAsia="zh-CN"/>
              </w:rPr>
            </w:pPr>
            <w:r>
              <w:rPr>
                <w:rFonts w:hint="default" w:ascii="Times New Roman" w:hAnsi="Times New Roman" w:cs="Times New Roman"/>
                <w:b w:val="0"/>
                <w:bCs/>
                <w:color w:val="auto"/>
                <w:sz w:val="24"/>
                <w:szCs w:val="24"/>
                <w:lang w:val="en-US" w:eastAsia="zh-CN"/>
              </w:rPr>
              <w:t>化粪池收集沉淀及沉淀池的沉淀过程都会产生污泥，污泥产生率按0.5kg/COD处理量计，根据建设单位提供资料，进水COD含量约600mg/L，出水COD含量约250mg/L，COD处理量约为3</w:t>
            </w:r>
            <w:r>
              <w:rPr>
                <w:rFonts w:hint="eastAsia" w:ascii="Times New Roman" w:hAnsi="Times New Roman" w:cs="Times New Roman"/>
                <w:b w:val="0"/>
                <w:bCs/>
                <w:color w:val="auto"/>
                <w:sz w:val="24"/>
                <w:szCs w:val="24"/>
                <w:lang w:val="en-US" w:eastAsia="zh-CN"/>
              </w:rPr>
              <w:t>5</w:t>
            </w:r>
            <w:r>
              <w:rPr>
                <w:rFonts w:hint="default" w:ascii="Times New Roman" w:hAnsi="Times New Roman" w:cs="Times New Roman"/>
                <w:b w:val="0"/>
                <w:bCs/>
                <w:color w:val="auto"/>
                <w:sz w:val="24"/>
                <w:szCs w:val="24"/>
                <w:lang w:val="en-US" w:eastAsia="zh-CN"/>
              </w:rPr>
              <w:t>0mg/L，本项目产生的污水量为19856m</w:t>
            </w:r>
            <w:r>
              <w:rPr>
                <w:rFonts w:hint="default" w:ascii="Times New Roman" w:hAnsi="Times New Roman" w:cs="Times New Roman"/>
                <w:b w:val="0"/>
                <w:bCs/>
                <w:color w:val="auto"/>
                <w:sz w:val="24"/>
                <w:szCs w:val="24"/>
                <w:vertAlign w:val="superscript"/>
                <w:lang w:val="en-US" w:eastAsia="zh-CN"/>
              </w:rPr>
              <w:t>3</w:t>
            </w:r>
            <w:r>
              <w:rPr>
                <w:rFonts w:hint="default" w:ascii="Times New Roman" w:hAnsi="Times New Roman" w:cs="Times New Roman"/>
                <w:b w:val="0"/>
                <w:bCs/>
                <w:color w:val="auto"/>
                <w:sz w:val="24"/>
                <w:szCs w:val="24"/>
                <w:lang w:val="en-US" w:eastAsia="zh-CN"/>
              </w:rPr>
              <w:t>/a，则污泥产生量为</w:t>
            </w:r>
            <w:r>
              <w:rPr>
                <w:rFonts w:hint="eastAsia" w:ascii="Times New Roman" w:hAnsi="Times New Roman" w:cs="Times New Roman"/>
                <w:b w:val="0"/>
                <w:bCs/>
                <w:color w:val="auto"/>
                <w:sz w:val="24"/>
                <w:szCs w:val="24"/>
                <w:lang w:val="en-US" w:eastAsia="zh-CN"/>
              </w:rPr>
              <w:t>3.47</w:t>
            </w:r>
            <w:r>
              <w:rPr>
                <w:rFonts w:hint="default" w:ascii="Times New Roman" w:hAnsi="Times New Roman" w:cs="Times New Roman"/>
                <w:b w:val="0"/>
                <w:bCs/>
                <w:color w:val="auto"/>
                <w:sz w:val="24"/>
                <w:szCs w:val="24"/>
                <w:lang w:val="en-US" w:eastAsia="zh-CN"/>
              </w:rPr>
              <w:t>t/a。</w:t>
            </w:r>
          </w:p>
          <w:p w14:paraId="2AEE7277">
            <w:pPr>
              <w:pStyle w:val="45"/>
              <w:keepNext w:val="0"/>
              <w:keepLines w:val="0"/>
              <w:pageBreakBefore w:val="0"/>
              <w:widowControl w:val="0"/>
              <w:kinsoku/>
              <w:wordWrap/>
              <w:overflowPunct/>
              <w:topLinePunct w:val="0"/>
              <w:autoSpaceDE/>
              <w:autoSpaceDN/>
              <w:bidi w:val="0"/>
              <w:spacing w:line="520" w:lineRule="exact"/>
              <w:ind w:firstLine="480" w:firstLineChars="200"/>
              <w:jc w:val="both"/>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根据《医院污水处理工程技术规范》（HJ2029-2013）要求，污泥脱水宜采用离心式脱水机，脱水污泥含水率应小于80%，医院污泥应按危险废物处理处置。污泥清掏前进行监测，达到《医疗机构水污染物排放标准》（GB 18466-2005）表4医疗机构污泥控制标准中综合医疗机构和其他医疗机构标准要求。</w:t>
            </w:r>
          </w:p>
          <w:p w14:paraId="6878552B">
            <w:pPr>
              <w:pStyle w:val="45"/>
              <w:keepNext w:val="0"/>
              <w:keepLines w:val="0"/>
              <w:pageBreakBefore w:val="0"/>
              <w:widowControl w:val="0"/>
              <w:kinsoku/>
              <w:wordWrap/>
              <w:overflowPunct/>
              <w:topLinePunct w:val="0"/>
              <w:autoSpaceDE/>
              <w:autoSpaceDN/>
              <w:bidi w:val="0"/>
              <w:spacing w:line="520" w:lineRule="exact"/>
              <w:ind w:firstLine="480" w:firstLineChars="200"/>
              <w:jc w:val="both"/>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本项目污泥采用离心式浓缩脱水一体机进行浓缩脱水，脱水后泥饼暂存于危废暂存库暂存，</w:t>
            </w:r>
            <w:r>
              <w:rPr>
                <w:rFonts w:hint="default" w:ascii="Times New Roman" w:hAnsi="Times New Roman" w:eastAsia="宋体" w:cs="Times New Roman"/>
                <w:color w:val="auto"/>
                <w:sz w:val="24"/>
                <w:szCs w:val="24"/>
                <w:lang w:val="en-US" w:eastAsia="zh-CN" w:bidi="zh-CN"/>
              </w:rPr>
              <w:t>定期由鄂尔多斯市馨蕊医疗废物处置有限责任公司处置</w:t>
            </w:r>
            <w:r>
              <w:rPr>
                <w:rFonts w:hint="default" w:ascii="Times New Roman" w:hAnsi="Times New Roman" w:eastAsia="宋体" w:cs="Times New Roman"/>
                <w:color w:val="auto"/>
                <w:sz w:val="24"/>
                <w:szCs w:val="24"/>
                <w:lang w:val="en-US"/>
              </w:rPr>
              <w:t>。</w:t>
            </w:r>
          </w:p>
          <w:p w14:paraId="05446BC7">
            <w:pPr>
              <w:pStyle w:val="45"/>
              <w:keepNext w:val="0"/>
              <w:keepLines w:val="0"/>
              <w:pageBreakBefore w:val="0"/>
              <w:widowControl w:val="0"/>
              <w:numPr>
                <w:ilvl w:val="0"/>
                <w:numId w:val="0"/>
              </w:numPr>
              <w:kinsoku/>
              <w:wordWrap/>
              <w:overflowPunct/>
              <w:topLinePunct w:val="0"/>
              <w:autoSpaceDE/>
              <w:autoSpaceDN/>
              <w:bidi w:val="0"/>
              <w:spacing w:line="520" w:lineRule="exact"/>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bidi="zh-CN"/>
              </w:rPr>
              <w:t>（4）生活垃圾</w:t>
            </w:r>
          </w:p>
          <w:p w14:paraId="49BE0495">
            <w:pPr>
              <w:pStyle w:val="45"/>
              <w:keepNext w:val="0"/>
              <w:keepLines w:val="0"/>
              <w:pageBreakBefore w:val="0"/>
              <w:widowControl w:val="0"/>
              <w:numPr>
                <w:ilvl w:val="0"/>
                <w:numId w:val="0"/>
              </w:numPr>
              <w:kinsoku/>
              <w:wordWrap/>
              <w:overflowPunct/>
              <w:topLinePunct w:val="0"/>
              <w:autoSpaceDE/>
              <w:autoSpaceDN/>
              <w:bidi w:val="0"/>
              <w:spacing w:line="520" w:lineRule="exact"/>
              <w:ind w:firstLine="480" w:firstLineChars="200"/>
              <w:jc w:val="both"/>
              <w:textAlignment w:val="auto"/>
              <w:rPr>
                <w:rFonts w:hint="default" w:ascii="Times New Roman" w:hAnsi="Times New Roman" w:eastAsia="宋体" w:cs="Times New Roman"/>
                <w:color w:val="auto"/>
                <w:sz w:val="24"/>
                <w:szCs w:val="24"/>
                <w:lang w:val="en-US" w:eastAsia="zh-CN" w:bidi="zh-CN"/>
              </w:rPr>
            </w:pPr>
            <w:r>
              <w:rPr>
                <w:rFonts w:hint="default" w:ascii="Times New Roman" w:hAnsi="Times New Roman" w:eastAsia="宋体" w:cs="Times New Roman"/>
                <w:color w:val="auto"/>
                <w:sz w:val="24"/>
                <w:szCs w:val="24"/>
                <w:lang w:val="en-US" w:eastAsia="zh-CN" w:bidi="zh-CN"/>
              </w:rPr>
              <w:t>本项目新增开放床位100张，项目建成后开放床位250张，生活垃圾产生量以0.6kg/d·人计，则生活垃圾产生量为 54.75t/a ，由环卫部门统一清运处理。</w:t>
            </w:r>
          </w:p>
          <w:p w14:paraId="40E8C6CF">
            <w:pPr>
              <w:keepNext w:val="0"/>
              <w:keepLines w:val="0"/>
              <w:pageBreakBefore w:val="0"/>
              <w:widowControl w:val="0"/>
              <w:tabs>
                <w:tab w:val="left" w:pos="0"/>
              </w:tabs>
              <w:kinsoku/>
              <w:wordWrap/>
              <w:overflowPunct/>
              <w:topLinePunct w:val="0"/>
              <w:autoSpaceDE/>
              <w:autoSpaceDN/>
              <w:bidi w:val="0"/>
              <w:spacing w:line="520" w:lineRule="exact"/>
              <w:ind w:firstLine="480" w:firstLineChars="200"/>
              <w:jc w:val="both"/>
              <w:textAlignment w:val="auto"/>
              <w:rPr>
                <w:rFonts w:hint="default" w:ascii="Times New Roman" w:hAnsi="Times New Roman" w:cs="Times New Roman"/>
                <w:bCs/>
                <w:color w:val="auto"/>
                <w:kern w:val="2"/>
                <w:sz w:val="24"/>
                <w:szCs w:val="24"/>
                <w:lang w:val="en-US" w:bidi="ar-SA"/>
              </w:rPr>
            </w:pPr>
            <w:r>
              <w:rPr>
                <w:rFonts w:hint="default" w:ascii="Times New Roman" w:hAnsi="Times New Roman" w:cs="Times New Roman"/>
                <w:bCs/>
                <w:color w:val="auto"/>
                <w:kern w:val="2"/>
                <w:sz w:val="24"/>
                <w:szCs w:val="24"/>
                <w:lang w:val="en-US" w:eastAsia="zh-CN" w:bidi="ar-SA"/>
              </w:rPr>
              <w:t>（</w:t>
            </w:r>
            <w:r>
              <w:rPr>
                <w:rFonts w:hint="eastAsia" w:ascii="Times New Roman" w:hAnsi="Times New Roman" w:cs="Times New Roman"/>
                <w:bCs/>
                <w:color w:val="auto"/>
                <w:kern w:val="2"/>
                <w:sz w:val="24"/>
                <w:szCs w:val="24"/>
                <w:lang w:val="en-US" w:eastAsia="zh-CN" w:bidi="ar-SA"/>
              </w:rPr>
              <w:t>5</w:t>
            </w:r>
            <w:r>
              <w:rPr>
                <w:rFonts w:hint="default" w:ascii="Times New Roman" w:hAnsi="Times New Roman" w:cs="Times New Roman"/>
                <w:bCs/>
                <w:color w:val="auto"/>
                <w:kern w:val="2"/>
                <w:sz w:val="24"/>
                <w:szCs w:val="24"/>
                <w:lang w:val="en-US" w:eastAsia="zh-CN" w:bidi="ar-SA"/>
              </w:rPr>
              <w:t>）</w:t>
            </w:r>
            <w:r>
              <w:rPr>
                <w:rFonts w:hint="default" w:ascii="Times New Roman" w:hAnsi="Times New Roman" w:cs="Times New Roman"/>
                <w:bCs/>
                <w:color w:val="auto"/>
                <w:kern w:val="2"/>
                <w:sz w:val="24"/>
                <w:szCs w:val="24"/>
                <w:lang w:val="en-US" w:bidi="ar-SA"/>
              </w:rPr>
              <w:t>危险废物贮存场所（设施）环境影响分析</w:t>
            </w:r>
          </w:p>
          <w:p w14:paraId="694A6511">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default" w:ascii="Times New Roman" w:hAnsi="Times New Roman" w:cs="Times New Roman"/>
                <w:bCs/>
                <w:color w:val="auto"/>
                <w:kern w:val="2"/>
                <w:sz w:val="24"/>
                <w:szCs w:val="24"/>
                <w:lang w:val="en-US" w:bidi="ar-SA"/>
              </w:rPr>
            </w:pPr>
            <w:r>
              <w:rPr>
                <w:rFonts w:hint="default" w:ascii="Times New Roman" w:hAnsi="Times New Roman" w:cs="Times New Roman"/>
                <w:bCs/>
                <w:color w:val="auto"/>
                <w:kern w:val="2"/>
                <w:sz w:val="24"/>
                <w:szCs w:val="24"/>
                <w:lang w:val="en-US" w:bidi="ar-SA"/>
              </w:rPr>
              <w:t>本项目</w:t>
            </w:r>
            <w:r>
              <w:rPr>
                <w:rFonts w:hint="default" w:ascii="Times New Roman" w:hAnsi="Times New Roman" w:cs="Times New Roman"/>
                <w:bCs/>
                <w:color w:val="auto"/>
                <w:kern w:val="2"/>
                <w:sz w:val="24"/>
                <w:szCs w:val="24"/>
                <w:lang w:val="en-US" w:eastAsia="zh-CN" w:bidi="ar-SA"/>
              </w:rPr>
              <w:t>危险废物</w:t>
            </w:r>
            <w:r>
              <w:rPr>
                <w:rFonts w:hint="default" w:ascii="Times New Roman" w:hAnsi="Times New Roman" w:cs="Times New Roman"/>
                <w:bCs/>
                <w:color w:val="auto"/>
                <w:kern w:val="2"/>
                <w:sz w:val="24"/>
                <w:szCs w:val="24"/>
                <w:lang w:val="en-US" w:bidi="ar-SA"/>
              </w:rPr>
              <w:t>暂存于</w:t>
            </w:r>
            <w:r>
              <w:rPr>
                <w:rFonts w:hint="default" w:ascii="Times New Roman" w:hAnsi="Times New Roman" w:cs="Times New Roman"/>
                <w:bCs/>
                <w:color w:val="auto"/>
                <w:kern w:val="2"/>
                <w:sz w:val="24"/>
                <w:szCs w:val="24"/>
                <w:lang w:val="en-US" w:eastAsia="zh-CN" w:bidi="ar-SA"/>
              </w:rPr>
              <w:t>危废暂存库内</w:t>
            </w:r>
            <w:r>
              <w:rPr>
                <w:rFonts w:hint="default" w:ascii="Times New Roman" w:hAnsi="Times New Roman" w:cs="Times New Roman"/>
                <w:bCs/>
                <w:color w:val="auto"/>
                <w:kern w:val="2"/>
                <w:sz w:val="24"/>
                <w:szCs w:val="24"/>
                <w:lang w:val="en-US" w:bidi="ar-SA"/>
              </w:rPr>
              <w:t>，贮存时应按照《危险废物贮存污染控制标准》（GB 18597—2023）要求进行防渗，地面要求硬化、耐腐蚀、防渗漏，防渗层渗透系数不大于1.0×10</w:t>
            </w:r>
            <w:r>
              <w:rPr>
                <w:rFonts w:hint="default" w:ascii="Times New Roman" w:hAnsi="Times New Roman" w:cs="Times New Roman"/>
                <w:bCs/>
                <w:color w:val="auto"/>
                <w:kern w:val="2"/>
                <w:sz w:val="24"/>
                <w:szCs w:val="24"/>
                <w:vertAlign w:val="superscript"/>
                <w:lang w:val="en-US" w:bidi="ar-SA"/>
              </w:rPr>
              <w:t>-10</w:t>
            </w:r>
            <w:r>
              <w:rPr>
                <w:rFonts w:hint="default" w:ascii="Times New Roman" w:hAnsi="Times New Roman" w:cs="Times New Roman"/>
                <w:bCs/>
                <w:color w:val="auto"/>
                <w:kern w:val="2"/>
                <w:sz w:val="24"/>
                <w:szCs w:val="24"/>
                <w:lang w:val="en-US" w:bidi="ar-SA"/>
              </w:rPr>
              <w:t>cm/s。</w:t>
            </w:r>
            <w:r>
              <w:rPr>
                <w:rFonts w:hint="default" w:ascii="Times New Roman" w:hAnsi="Times New Roman" w:cs="Times New Roman"/>
                <w:bCs/>
                <w:color w:val="auto"/>
                <w:kern w:val="2"/>
                <w:sz w:val="24"/>
                <w:szCs w:val="24"/>
                <w:lang w:eastAsia="zh-CN" w:bidi="ar-SA"/>
              </w:rPr>
              <w:t>危废暂存库</w:t>
            </w:r>
            <w:r>
              <w:rPr>
                <w:rFonts w:hint="default" w:ascii="Times New Roman" w:hAnsi="Times New Roman" w:cs="Times New Roman"/>
                <w:bCs/>
                <w:color w:val="auto"/>
                <w:kern w:val="2"/>
                <w:sz w:val="24"/>
                <w:szCs w:val="24"/>
                <w:lang w:val="en-US" w:bidi="ar-SA"/>
              </w:rPr>
              <w:t>设置明显的</w:t>
            </w:r>
            <w:r>
              <w:rPr>
                <w:rFonts w:hint="default" w:ascii="Times New Roman" w:hAnsi="Times New Roman" w:cs="Times New Roman"/>
                <w:bCs/>
                <w:color w:val="auto"/>
                <w:kern w:val="2"/>
                <w:sz w:val="24"/>
                <w:szCs w:val="24"/>
                <w:lang w:val="en-US" w:eastAsia="zh-CN" w:bidi="ar-SA"/>
              </w:rPr>
              <w:t>危险</w:t>
            </w:r>
            <w:r>
              <w:rPr>
                <w:rFonts w:hint="default" w:ascii="Times New Roman" w:hAnsi="Times New Roman" w:cs="Times New Roman"/>
                <w:bCs/>
                <w:color w:val="auto"/>
                <w:kern w:val="2"/>
                <w:sz w:val="24"/>
                <w:szCs w:val="24"/>
                <w:lang w:bidi="ar-SA"/>
              </w:rPr>
              <w:t>废物</w:t>
            </w:r>
            <w:r>
              <w:rPr>
                <w:rFonts w:hint="default" w:ascii="Times New Roman" w:hAnsi="Times New Roman" w:cs="Times New Roman"/>
                <w:bCs/>
                <w:color w:val="auto"/>
                <w:kern w:val="2"/>
                <w:sz w:val="24"/>
                <w:szCs w:val="24"/>
                <w:lang w:val="en-US" w:bidi="ar-SA"/>
              </w:rPr>
              <w:t>标志牌，采用</w:t>
            </w:r>
            <w:r>
              <w:rPr>
                <w:rFonts w:hint="default" w:ascii="Times New Roman" w:hAnsi="Times New Roman" w:cs="Times New Roman"/>
                <w:bCs/>
                <w:color w:val="auto"/>
                <w:kern w:val="2"/>
                <w:sz w:val="24"/>
                <w:szCs w:val="24"/>
                <w:lang w:bidi="ar-SA"/>
              </w:rPr>
              <w:t>规定的</w:t>
            </w:r>
            <w:r>
              <w:rPr>
                <w:rFonts w:hint="default" w:ascii="Times New Roman" w:hAnsi="Times New Roman" w:cs="Times New Roman"/>
                <w:bCs/>
                <w:color w:val="auto"/>
                <w:kern w:val="2"/>
                <w:sz w:val="24"/>
                <w:szCs w:val="24"/>
                <w:lang w:val="en-US" w:bidi="ar-SA"/>
              </w:rPr>
              <w:t>专用设施盛装，项目危险废物贮存情况见下表。</w:t>
            </w:r>
          </w:p>
          <w:p w14:paraId="0C3E6934">
            <w:pPr>
              <w:adjustRightInd w:val="0"/>
              <w:snapToGrid w:val="0"/>
              <w:spacing w:line="520" w:lineRule="exact"/>
              <w:jc w:val="center"/>
              <w:rPr>
                <w:rFonts w:hint="default" w:ascii="Times New Roman" w:hAnsi="Times New Roman" w:cs="Times New Roman"/>
                <w:bCs/>
                <w:color w:val="auto"/>
                <w:sz w:val="24"/>
                <w:szCs w:val="24"/>
                <w:lang w:val="en-US"/>
              </w:rPr>
            </w:pPr>
            <w:r>
              <w:rPr>
                <w:rFonts w:hint="default" w:ascii="Times New Roman" w:hAnsi="Times New Roman" w:cs="Times New Roman"/>
                <w:b/>
                <w:bCs/>
                <w:color w:val="auto"/>
                <w:sz w:val="24"/>
                <w:szCs w:val="24"/>
                <w:lang w:val="en-US"/>
              </w:rPr>
              <w:t>表4-</w:t>
            </w:r>
            <w:r>
              <w:rPr>
                <w:rFonts w:hint="eastAsia" w:ascii="Times New Roman" w:hAnsi="Times New Roman" w:cs="Times New Roman"/>
                <w:b/>
                <w:bCs/>
                <w:color w:val="auto"/>
                <w:sz w:val="24"/>
                <w:szCs w:val="24"/>
                <w:lang w:val="en-US" w:eastAsia="zh-CN"/>
              </w:rPr>
              <w:t xml:space="preserve">9  </w:t>
            </w:r>
            <w:r>
              <w:rPr>
                <w:rFonts w:hint="default" w:ascii="Times New Roman" w:hAnsi="Times New Roman" w:cs="Times New Roman"/>
                <w:b/>
                <w:bCs/>
                <w:color w:val="auto"/>
                <w:sz w:val="24"/>
                <w:szCs w:val="24"/>
                <w:lang w:val="en-US"/>
              </w:rPr>
              <w:t xml:space="preserve">  危险废物贮存情况表</w:t>
            </w:r>
          </w:p>
          <w:tbl>
            <w:tblPr>
              <w:tblStyle w:val="20"/>
              <w:tblW w:w="82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267"/>
              <w:gridCol w:w="1200"/>
              <w:gridCol w:w="690"/>
              <w:gridCol w:w="810"/>
              <w:gridCol w:w="1185"/>
              <w:gridCol w:w="1500"/>
              <w:gridCol w:w="750"/>
              <w:gridCol w:w="480"/>
              <w:gridCol w:w="435"/>
              <w:gridCol w:w="465"/>
              <w:gridCol w:w="476"/>
            </w:tblGrid>
            <w:tr w14:paraId="655B62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67" w:type="dxa"/>
                  <w:noWrap w:val="0"/>
                  <w:vAlign w:val="center"/>
                </w:tcPr>
                <w:p w14:paraId="714F65CA">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1200" w:type="dxa"/>
                  <w:noWrap w:val="0"/>
                  <w:vAlign w:val="center"/>
                </w:tcPr>
                <w:p w14:paraId="381CB787">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贮存场所（设施）名称</w:t>
                  </w:r>
                </w:p>
              </w:tc>
              <w:tc>
                <w:tcPr>
                  <w:tcW w:w="690" w:type="dxa"/>
                  <w:noWrap w:val="0"/>
                  <w:vAlign w:val="center"/>
                </w:tcPr>
                <w:p w14:paraId="6876A50E">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危险废物名称</w:t>
                  </w:r>
                </w:p>
              </w:tc>
              <w:tc>
                <w:tcPr>
                  <w:tcW w:w="810" w:type="dxa"/>
                  <w:noWrap w:val="0"/>
                  <w:vAlign w:val="center"/>
                </w:tcPr>
                <w:p w14:paraId="19370CBB">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危险废物类别</w:t>
                  </w:r>
                </w:p>
              </w:tc>
              <w:tc>
                <w:tcPr>
                  <w:tcW w:w="1185" w:type="dxa"/>
                  <w:noWrap w:val="0"/>
                  <w:vAlign w:val="center"/>
                </w:tcPr>
                <w:p w14:paraId="7934F6A2">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危险废物</w:t>
                  </w:r>
                </w:p>
                <w:p w14:paraId="54FB8EA5">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代码</w:t>
                  </w:r>
                </w:p>
              </w:tc>
              <w:tc>
                <w:tcPr>
                  <w:tcW w:w="1500" w:type="dxa"/>
                  <w:noWrap w:val="0"/>
                  <w:vAlign w:val="center"/>
                </w:tcPr>
                <w:p w14:paraId="6CDE341F">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危险废物</w:t>
                  </w:r>
                </w:p>
              </w:tc>
              <w:tc>
                <w:tcPr>
                  <w:tcW w:w="750" w:type="dxa"/>
                  <w:noWrap w:val="0"/>
                  <w:vAlign w:val="center"/>
                </w:tcPr>
                <w:p w14:paraId="204F6BE5">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危险</w:t>
                  </w:r>
                </w:p>
                <w:p w14:paraId="4983D040">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特性</w:t>
                  </w:r>
                </w:p>
              </w:tc>
              <w:tc>
                <w:tcPr>
                  <w:tcW w:w="480" w:type="dxa"/>
                  <w:noWrap w:val="0"/>
                  <w:vAlign w:val="center"/>
                </w:tcPr>
                <w:p w14:paraId="257F0C82">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占地</w:t>
                  </w:r>
                </w:p>
                <w:p w14:paraId="6F6831AE">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面积</w:t>
                  </w:r>
                </w:p>
              </w:tc>
              <w:tc>
                <w:tcPr>
                  <w:tcW w:w="435" w:type="dxa"/>
                  <w:noWrap w:val="0"/>
                  <w:vAlign w:val="center"/>
                </w:tcPr>
                <w:p w14:paraId="76BC1AA3">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贮存</w:t>
                  </w:r>
                </w:p>
                <w:p w14:paraId="5AAD1407">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方式</w:t>
                  </w:r>
                </w:p>
              </w:tc>
              <w:tc>
                <w:tcPr>
                  <w:tcW w:w="465" w:type="dxa"/>
                  <w:noWrap w:val="0"/>
                  <w:vAlign w:val="center"/>
                </w:tcPr>
                <w:p w14:paraId="168A0177">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贮存</w:t>
                  </w:r>
                </w:p>
                <w:p w14:paraId="401C567F">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能力</w:t>
                  </w:r>
                </w:p>
              </w:tc>
              <w:tc>
                <w:tcPr>
                  <w:tcW w:w="476" w:type="dxa"/>
                  <w:noWrap w:val="0"/>
                  <w:vAlign w:val="center"/>
                </w:tcPr>
                <w:p w14:paraId="3D51B7B4">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贮存</w:t>
                  </w:r>
                </w:p>
                <w:p w14:paraId="1E7D7057">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周期</w:t>
                  </w:r>
                </w:p>
              </w:tc>
            </w:tr>
            <w:tr w14:paraId="25794A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67" w:type="dxa"/>
                  <w:vMerge w:val="restart"/>
                  <w:noWrap w:val="0"/>
                  <w:vAlign w:val="center"/>
                </w:tcPr>
                <w:p w14:paraId="3109253F">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200" w:type="dxa"/>
                  <w:vMerge w:val="restart"/>
                  <w:noWrap w:val="0"/>
                  <w:vAlign w:val="center"/>
                </w:tcPr>
                <w:p w14:paraId="44D49146">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危废</w:t>
                  </w:r>
                </w:p>
                <w:p w14:paraId="73F85B07">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暂存库</w:t>
                  </w:r>
                </w:p>
              </w:tc>
              <w:tc>
                <w:tcPr>
                  <w:tcW w:w="690" w:type="dxa"/>
                  <w:vMerge w:val="restart"/>
                  <w:noWrap w:val="0"/>
                  <w:vAlign w:val="center"/>
                </w:tcPr>
                <w:p w14:paraId="4AF4742F">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医疗</w:t>
                  </w:r>
                </w:p>
                <w:p w14:paraId="2FC41583">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废物</w:t>
                  </w:r>
                </w:p>
              </w:tc>
              <w:tc>
                <w:tcPr>
                  <w:tcW w:w="810" w:type="dxa"/>
                  <w:vMerge w:val="restart"/>
                  <w:noWrap w:val="0"/>
                  <w:vAlign w:val="center"/>
                </w:tcPr>
                <w:p w14:paraId="646B3EC8">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HW01</w:t>
                  </w:r>
                </w:p>
              </w:tc>
              <w:tc>
                <w:tcPr>
                  <w:tcW w:w="1185" w:type="dxa"/>
                  <w:noWrap w:val="0"/>
                  <w:vAlign w:val="center"/>
                </w:tcPr>
                <w:p w14:paraId="6F1D6C3B">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z w:val="21"/>
                      <w:szCs w:val="21"/>
                      <w:lang w:val="en-US" w:eastAsia="en-US" w:bidi="ar-SA"/>
                    </w:rPr>
                  </w:pPr>
                  <w:r>
                    <w:rPr>
                      <w:rFonts w:hint="default" w:ascii="Times New Roman" w:hAnsi="Times New Roman" w:eastAsia="宋体" w:cs="Times New Roman"/>
                      <w:color w:val="auto"/>
                      <w:spacing w:val="1"/>
                      <w:sz w:val="21"/>
                      <w:szCs w:val="21"/>
                    </w:rPr>
                    <w:t>841-001-01</w:t>
                  </w:r>
                </w:p>
              </w:tc>
              <w:tc>
                <w:tcPr>
                  <w:tcW w:w="1500" w:type="dxa"/>
                  <w:noWrap w:val="0"/>
                  <w:vAlign w:val="center"/>
                </w:tcPr>
                <w:p w14:paraId="739D8024">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pacing w:val="1"/>
                      <w:sz w:val="21"/>
                      <w:szCs w:val="21"/>
                      <w:lang w:eastAsia="zh-CN"/>
                    </w:rPr>
                  </w:pPr>
                  <w:r>
                    <w:rPr>
                      <w:rFonts w:hint="default" w:ascii="Times New Roman" w:hAnsi="Times New Roman" w:eastAsia="宋体" w:cs="Times New Roman"/>
                      <w:color w:val="auto"/>
                      <w:spacing w:val="1"/>
                      <w:sz w:val="21"/>
                      <w:szCs w:val="21"/>
                      <w:lang w:eastAsia="zh-CN"/>
                    </w:rPr>
                    <w:t>感染性废物</w:t>
                  </w:r>
                </w:p>
              </w:tc>
              <w:tc>
                <w:tcPr>
                  <w:tcW w:w="750" w:type="dxa"/>
                  <w:noWrap w:val="0"/>
                  <w:vAlign w:val="center"/>
                </w:tcPr>
                <w:p w14:paraId="236C5586">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z w:val="21"/>
                      <w:szCs w:val="21"/>
                      <w:lang w:val="en-US" w:eastAsia="en-US" w:bidi="ar-SA"/>
                    </w:rPr>
                  </w:pPr>
                  <w:r>
                    <w:rPr>
                      <w:rFonts w:hint="default" w:ascii="Times New Roman" w:hAnsi="Times New Roman" w:eastAsia="宋体" w:cs="Times New Roman"/>
                      <w:color w:val="auto"/>
                      <w:spacing w:val="-5"/>
                      <w:sz w:val="21"/>
                      <w:szCs w:val="21"/>
                    </w:rPr>
                    <w:t>In</w:t>
                  </w:r>
                </w:p>
              </w:tc>
              <w:tc>
                <w:tcPr>
                  <w:tcW w:w="480" w:type="dxa"/>
                  <w:vMerge w:val="restart"/>
                  <w:noWrap w:val="0"/>
                  <w:vAlign w:val="center"/>
                </w:tcPr>
                <w:p w14:paraId="200054D2">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21</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2</w:t>
                  </w:r>
                </w:p>
              </w:tc>
              <w:tc>
                <w:tcPr>
                  <w:tcW w:w="435" w:type="dxa"/>
                  <w:vMerge w:val="restart"/>
                  <w:noWrap w:val="0"/>
                  <w:vAlign w:val="center"/>
                </w:tcPr>
                <w:p w14:paraId="271F0A82">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暂存</w:t>
                  </w:r>
                </w:p>
              </w:tc>
              <w:tc>
                <w:tcPr>
                  <w:tcW w:w="465" w:type="dxa"/>
                  <w:vMerge w:val="restart"/>
                  <w:noWrap w:val="0"/>
                  <w:vAlign w:val="center"/>
                </w:tcPr>
                <w:p w14:paraId="155E0FBB">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0.5t</w:t>
                  </w:r>
                </w:p>
              </w:tc>
              <w:tc>
                <w:tcPr>
                  <w:tcW w:w="476" w:type="dxa"/>
                  <w:vMerge w:val="restart"/>
                  <w:noWrap w:val="0"/>
                  <w:vAlign w:val="center"/>
                </w:tcPr>
                <w:p w14:paraId="42550471">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rPr>
                    <w:t>d</w:t>
                  </w:r>
                </w:p>
              </w:tc>
            </w:tr>
            <w:tr w14:paraId="0E839E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67" w:type="dxa"/>
                  <w:vMerge w:val="continue"/>
                  <w:noWrap w:val="0"/>
                  <w:vAlign w:val="center"/>
                </w:tcPr>
                <w:p w14:paraId="6C8F775C">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1200" w:type="dxa"/>
                  <w:vMerge w:val="continue"/>
                  <w:noWrap w:val="0"/>
                  <w:vAlign w:val="center"/>
                </w:tcPr>
                <w:p w14:paraId="573870B3">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eastAsia="zh-CN"/>
                    </w:rPr>
                  </w:pPr>
                </w:p>
              </w:tc>
              <w:tc>
                <w:tcPr>
                  <w:tcW w:w="690" w:type="dxa"/>
                  <w:vMerge w:val="continue"/>
                  <w:noWrap w:val="0"/>
                  <w:vAlign w:val="center"/>
                </w:tcPr>
                <w:p w14:paraId="2F7333CF">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810" w:type="dxa"/>
                  <w:vMerge w:val="continue"/>
                  <w:noWrap w:val="0"/>
                  <w:vAlign w:val="center"/>
                </w:tcPr>
                <w:p w14:paraId="632A7C93">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1185" w:type="dxa"/>
                  <w:noWrap w:val="0"/>
                  <w:vAlign w:val="center"/>
                </w:tcPr>
                <w:p w14:paraId="18F12FCB">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pacing w:val="1"/>
                      <w:sz w:val="21"/>
                      <w:szCs w:val="21"/>
                    </w:rPr>
                    <w:t>841-002-01</w:t>
                  </w:r>
                </w:p>
              </w:tc>
              <w:tc>
                <w:tcPr>
                  <w:tcW w:w="1500" w:type="dxa"/>
                  <w:noWrap w:val="0"/>
                  <w:vAlign w:val="center"/>
                </w:tcPr>
                <w:p w14:paraId="4C09C822">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pacing w:val="1"/>
                      <w:sz w:val="21"/>
                      <w:szCs w:val="21"/>
                      <w:lang w:eastAsia="zh-CN"/>
                    </w:rPr>
                  </w:pPr>
                  <w:r>
                    <w:rPr>
                      <w:rFonts w:hint="default" w:ascii="Times New Roman" w:hAnsi="Times New Roman" w:eastAsia="宋体" w:cs="Times New Roman"/>
                      <w:color w:val="auto"/>
                      <w:spacing w:val="1"/>
                      <w:sz w:val="21"/>
                      <w:szCs w:val="21"/>
                      <w:lang w:eastAsia="zh-CN"/>
                    </w:rPr>
                    <w:t>损伤性废物</w:t>
                  </w:r>
                </w:p>
              </w:tc>
              <w:tc>
                <w:tcPr>
                  <w:tcW w:w="750" w:type="dxa"/>
                  <w:noWrap w:val="0"/>
                  <w:vAlign w:val="center"/>
                </w:tcPr>
                <w:p w14:paraId="01C811CC">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z w:val="21"/>
                      <w:szCs w:val="21"/>
                      <w:lang w:val="en-US" w:eastAsia="en-US" w:bidi="ar-SA"/>
                    </w:rPr>
                  </w:pPr>
                  <w:r>
                    <w:rPr>
                      <w:rFonts w:hint="default" w:ascii="Times New Roman" w:hAnsi="Times New Roman" w:eastAsia="宋体" w:cs="Times New Roman"/>
                      <w:color w:val="auto"/>
                      <w:spacing w:val="-5"/>
                      <w:sz w:val="21"/>
                      <w:szCs w:val="21"/>
                    </w:rPr>
                    <w:t>In</w:t>
                  </w:r>
                </w:p>
              </w:tc>
              <w:tc>
                <w:tcPr>
                  <w:tcW w:w="480" w:type="dxa"/>
                  <w:vMerge w:val="continue"/>
                  <w:noWrap w:val="0"/>
                  <w:vAlign w:val="center"/>
                </w:tcPr>
                <w:p w14:paraId="560D0491">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val="en-US"/>
                    </w:rPr>
                  </w:pPr>
                </w:p>
              </w:tc>
              <w:tc>
                <w:tcPr>
                  <w:tcW w:w="435" w:type="dxa"/>
                  <w:vMerge w:val="continue"/>
                  <w:noWrap w:val="0"/>
                  <w:vAlign w:val="center"/>
                </w:tcPr>
                <w:p w14:paraId="1C56FD0A">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465" w:type="dxa"/>
                  <w:vMerge w:val="continue"/>
                  <w:noWrap w:val="0"/>
                  <w:vAlign w:val="center"/>
                </w:tcPr>
                <w:p w14:paraId="3A806F5F">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val="en-US" w:eastAsia="zh-CN"/>
                    </w:rPr>
                  </w:pPr>
                </w:p>
              </w:tc>
              <w:tc>
                <w:tcPr>
                  <w:tcW w:w="476" w:type="dxa"/>
                  <w:vMerge w:val="continue"/>
                  <w:noWrap w:val="0"/>
                  <w:vAlign w:val="center"/>
                </w:tcPr>
                <w:p w14:paraId="1B9A0940">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r>
            <w:tr w14:paraId="56C42F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67" w:type="dxa"/>
                  <w:vMerge w:val="continue"/>
                  <w:noWrap w:val="0"/>
                  <w:vAlign w:val="center"/>
                </w:tcPr>
                <w:p w14:paraId="758D1742">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1200" w:type="dxa"/>
                  <w:vMerge w:val="continue"/>
                  <w:noWrap w:val="0"/>
                  <w:vAlign w:val="center"/>
                </w:tcPr>
                <w:p w14:paraId="0A86BEF6">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eastAsia="zh-CN"/>
                    </w:rPr>
                  </w:pPr>
                </w:p>
              </w:tc>
              <w:tc>
                <w:tcPr>
                  <w:tcW w:w="690" w:type="dxa"/>
                  <w:vMerge w:val="continue"/>
                  <w:noWrap w:val="0"/>
                  <w:vAlign w:val="center"/>
                </w:tcPr>
                <w:p w14:paraId="01BE2826">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810" w:type="dxa"/>
                  <w:vMerge w:val="continue"/>
                  <w:noWrap w:val="0"/>
                  <w:vAlign w:val="center"/>
                </w:tcPr>
                <w:p w14:paraId="04BB1B79">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1185" w:type="dxa"/>
                  <w:noWrap w:val="0"/>
                  <w:vAlign w:val="center"/>
                </w:tcPr>
                <w:p w14:paraId="074891DD">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pacing w:val="1"/>
                      <w:sz w:val="21"/>
                      <w:szCs w:val="21"/>
                    </w:rPr>
                    <w:t>841-003-01</w:t>
                  </w:r>
                </w:p>
              </w:tc>
              <w:tc>
                <w:tcPr>
                  <w:tcW w:w="1500" w:type="dxa"/>
                  <w:noWrap w:val="0"/>
                  <w:vAlign w:val="center"/>
                </w:tcPr>
                <w:p w14:paraId="3F2B553D">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pacing w:val="1"/>
                      <w:sz w:val="21"/>
                      <w:szCs w:val="21"/>
                      <w:lang w:eastAsia="zh-CN"/>
                    </w:rPr>
                  </w:pPr>
                  <w:r>
                    <w:rPr>
                      <w:rFonts w:hint="default" w:ascii="Times New Roman" w:hAnsi="Times New Roman" w:eastAsia="宋体" w:cs="Times New Roman"/>
                      <w:color w:val="auto"/>
                      <w:spacing w:val="1"/>
                      <w:sz w:val="21"/>
                      <w:szCs w:val="21"/>
                      <w:lang w:eastAsia="zh-CN"/>
                    </w:rPr>
                    <w:t>病理性废物</w:t>
                  </w:r>
                </w:p>
              </w:tc>
              <w:tc>
                <w:tcPr>
                  <w:tcW w:w="750" w:type="dxa"/>
                  <w:noWrap w:val="0"/>
                  <w:vAlign w:val="center"/>
                </w:tcPr>
                <w:p w14:paraId="5DCE6C89">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z w:val="21"/>
                      <w:szCs w:val="21"/>
                      <w:lang w:val="en-US" w:eastAsia="en-US" w:bidi="ar-SA"/>
                    </w:rPr>
                  </w:pPr>
                  <w:r>
                    <w:rPr>
                      <w:rFonts w:hint="default" w:ascii="Times New Roman" w:hAnsi="Times New Roman" w:eastAsia="宋体" w:cs="Times New Roman"/>
                      <w:color w:val="auto"/>
                      <w:spacing w:val="-5"/>
                      <w:sz w:val="21"/>
                      <w:szCs w:val="21"/>
                    </w:rPr>
                    <w:t>In</w:t>
                  </w:r>
                </w:p>
              </w:tc>
              <w:tc>
                <w:tcPr>
                  <w:tcW w:w="480" w:type="dxa"/>
                  <w:vMerge w:val="continue"/>
                  <w:noWrap w:val="0"/>
                  <w:vAlign w:val="center"/>
                </w:tcPr>
                <w:p w14:paraId="4EDFCE8C">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val="en-US"/>
                    </w:rPr>
                  </w:pPr>
                </w:p>
              </w:tc>
              <w:tc>
                <w:tcPr>
                  <w:tcW w:w="435" w:type="dxa"/>
                  <w:vMerge w:val="continue"/>
                  <w:noWrap w:val="0"/>
                  <w:vAlign w:val="center"/>
                </w:tcPr>
                <w:p w14:paraId="44B3646D">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465" w:type="dxa"/>
                  <w:vMerge w:val="continue"/>
                  <w:noWrap w:val="0"/>
                  <w:vAlign w:val="center"/>
                </w:tcPr>
                <w:p w14:paraId="27000FB6">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val="en-US" w:eastAsia="zh-CN"/>
                    </w:rPr>
                  </w:pPr>
                </w:p>
              </w:tc>
              <w:tc>
                <w:tcPr>
                  <w:tcW w:w="476" w:type="dxa"/>
                  <w:vMerge w:val="continue"/>
                  <w:noWrap w:val="0"/>
                  <w:vAlign w:val="center"/>
                </w:tcPr>
                <w:p w14:paraId="439BD3C2">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r>
            <w:tr w14:paraId="1195CC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67" w:type="dxa"/>
                  <w:vMerge w:val="continue"/>
                  <w:noWrap w:val="0"/>
                  <w:vAlign w:val="center"/>
                </w:tcPr>
                <w:p w14:paraId="48A8CF2C">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1200" w:type="dxa"/>
                  <w:vMerge w:val="continue"/>
                  <w:noWrap w:val="0"/>
                  <w:vAlign w:val="center"/>
                </w:tcPr>
                <w:p w14:paraId="72757569">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eastAsia="zh-CN"/>
                    </w:rPr>
                  </w:pPr>
                </w:p>
              </w:tc>
              <w:tc>
                <w:tcPr>
                  <w:tcW w:w="690" w:type="dxa"/>
                  <w:vMerge w:val="continue"/>
                  <w:noWrap w:val="0"/>
                  <w:vAlign w:val="center"/>
                </w:tcPr>
                <w:p w14:paraId="53E492EC">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810" w:type="dxa"/>
                  <w:vMerge w:val="continue"/>
                  <w:noWrap w:val="0"/>
                  <w:vAlign w:val="center"/>
                </w:tcPr>
                <w:p w14:paraId="60AE90A4">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1185" w:type="dxa"/>
                  <w:noWrap w:val="0"/>
                  <w:vAlign w:val="center"/>
                </w:tcPr>
                <w:p w14:paraId="50BE0F35">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pacing w:val="1"/>
                      <w:sz w:val="21"/>
                      <w:szCs w:val="21"/>
                    </w:rPr>
                    <w:t>841-004-01</w:t>
                  </w:r>
                </w:p>
              </w:tc>
              <w:tc>
                <w:tcPr>
                  <w:tcW w:w="1500" w:type="dxa"/>
                  <w:noWrap w:val="0"/>
                  <w:vAlign w:val="center"/>
                </w:tcPr>
                <w:p w14:paraId="74527238">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pacing w:val="1"/>
                      <w:sz w:val="21"/>
                      <w:szCs w:val="21"/>
                      <w:lang w:eastAsia="zh-CN"/>
                    </w:rPr>
                  </w:pPr>
                  <w:r>
                    <w:rPr>
                      <w:rFonts w:hint="default" w:ascii="Times New Roman" w:hAnsi="Times New Roman" w:eastAsia="宋体" w:cs="Times New Roman"/>
                      <w:color w:val="auto"/>
                      <w:spacing w:val="1"/>
                      <w:sz w:val="21"/>
                      <w:szCs w:val="21"/>
                      <w:lang w:eastAsia="zh-CN"/>
                    </w:rPr>
                    <w:t>化学性废物</w:t>
                  </w:r>
                </w:p>
              </w:tc>
              <w:tc>
                <w:tcPr>
                  <w:tcW w:w="750" w:type="dxa"/>
                  <w:noWrap w:val="0"/>
                  <w:vAlign w:val="center"/>
                </w:tcPr>
                <w:p w14:paraId="6F34A49A">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z w:val="21"/>
                      <w:szCs w:val="21"/>
                      <w:lang w:val="en-US" w:eastAsia="en-US" w:bidi="ar-SA"/>
                    </w:rPr>
                  </w:pPr>
                  <w:r>
                    <w:rPr>
                      <w:rFonts w:hint="default" w:ascii="Times New Roman" w:hAnsi="Times New Roman" w:eastAsia="宋体" w:cs="Times New Roman"/>
                      <w:color w:val="auto"/>
                      <w:spacing w:val="2"/>
                      <w:sz w:val="21"/>
                      <w:szCs w:val="21"/>
                    </w:rPr>
                    <w:t>T/C/I/R</w:t>
                  </w:r>
                </w:p>
              </w:tc>
              <w:tc>
                <w:tcPr>
                  <w:tcW w:w="480" w:type="dxa"/>
                  <w:vMerge w:val="continue"/>
                  <w:noWrap w:val="0"/>
                  <w:vAlign w:val="center"/>
                </w:tcPr>
                <w:p w14:paraId="663C8186">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val="en-US"/>
                    </w:rPr>
                  </w:pPr>
                </w:p>
              </w:tc>
              <w:tc>
                <w:tcPr>
                  <w:tcW w:w="435" w:type="dxa"/>
                  <w:vMerge w:val="continue"/>
                  <w:noWrap w:val="0"/>
                  <w:vAlign w:val="center"/>
                </w:tcPr>
                <w:p w14:paraId="2ED48FE6">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465" w:type="dxa"/>
                  <w:vMerge w:val="continue"/>
                  <w:noWrap w:val="0"/>
                  <w:vAlign w:val="center"/>
                </w:tcPr>
                <w:p w14:paraId="44F73352">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val="en-US" w:eastAsia="zh-CN"/>
                    </w:rPr>
                  </w:pPr>
                </w:p>
              </w:tc>
              <w:tc>
                <w:tcPr>
                  <w:tcW w:w="476" w:type="dxa"/>
                  <w:vMerge w:val="continue"/>
                  <w:noWrap w:val="0"/>
                  <w:vAlign w:val="center"/>
                </w:tcPr>
                <w:p w14:paraId="36798381">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r>
            <w:tr w14:paraId="3C86A0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67" w:type="dxa"/>
                  <w:vMerge w:val="continue"/>
                  <w:noWrap w:val="0"/>
                  <w:vAlign w:val="center"/>
                </w:tcPr>
                <w:p w14:paraId="7BB57167">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1200" w:type="dxa"/>
                  <w:vMerge w:val="continue"/>
                  <w:noWrap w:val="0"/>
                  <w:vAlign w:val="center"/>
                </w:tcPr>
                <w:p w14:paraId="1B31A615">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eastAsia="zh-CN"/>
                    </w:rPr>
                  </w:pPr>
                </w:p>
              </w:tc>
              <w:tc>
                <w:tcPr>
                  <w:tcW w:w="690" w:type="dxa"/>
                  <w:vMerge w:val="continue"/>
                  <w:noWrap w:val="0"/>
                  <w:vAlign w:val="center"/>
                </w:tcPr>
                <w:p w14:paraId="2318CCA7">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810" w:type="dxa"/>
                  <w:vMerge w:val="continue"/>
                  <w:noWrap w:val="0"/>
                  <w:vAlign w:val="center"/>
                </w:tcPr>
                <w:p w14:paraId="69430B31">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1185" w:type="dxa"/>
                  <w:noWrap w:val="0"/>
                  <w:vAlign w:val="center"/>
                </w:tcPr>
                <w:p w14:paraId="6C2E1C6E">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pacing w:val="1"/>
                      <w:sz w:val="21"/>
                      <w:szCs w:val="21"/>
                    </w:rPr>
                    <w:t>841-005-01</w:t>
                  </w:r>
                </w:p>
              </w:tc>
              <w:tc>
                <w:tcPr>
                  <w:tcW w:w="1500" w:type="dxa"/>
                  <w:noWrap w:val="0"/>
                  <w:vAlign w:val="center"/>
                </w:tcPr>
                <w:p w14:paraId="2C008E72">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pacing w:val="1"/>
                      <w:sz w:val="21"/>
                      <w:szCs w:val="21"/>
                    </w:rPr>
                  </w:pPr>
                  <w:r>
                    <w:rPr>
                      <w:rFonts w:hint="default" w:ascii="Times New Roman" w:hAnsi="Times New Roman" w:eastAsia="宋体" w:cs="Times New Roman"/>
                      <w:color w:val="auto"/>
                      <w:spacing w:val="1"/>
                      <w:sz w:val="21"/>
                      <w:szCs w:val="21"/>
                    </w:rPr>
                    <w:t>药物性废物</w:t>
                  </w:r>
                </w:p>
              </w:tc>
              <w:tc>
                <w:tcPr>
                  <w:tcW w:w="750" w:type="dxa"/>
                  <w:noWrap w:val="0"/>
                  <w:vAlign w:val="center"/>
                </w:tcPr>
                <w:p w14:paraId="4DCA91ED">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z w:val="21"/>
                      <w:szCs w:val="21"/>
                      <w:lang w:val="en-US" w:eastAsia="en-US" w:bidi="ar-SA"/>
                    </w:rPr>
                  </w:pPr>
                  <w:r>
                    <w:rPr>
                      <w:rFonts w:hint="default" w:ascii="Times New Roman" w:hAnsi="Times New Roman" w:eastAsia="宋体" w:cs="Times New Roman"/>
                      <w:color w:val="auto"/>
                      <w:sz w:val="21"/>
                      <w:szCs w:val="21"/>
                    </w:rPr>
                    <w:t>T</w:t>
                  </w:r>
                </w:p>
              </w:tc>
              <w:tc>
                <w:tcPr>
                  <w:tcW w:w="480" w:type="dxa"/>
                  <w:vMerge w:val="continue"/>
                  <w:noWrap w:val="0"/>
                  <w:vAlign w:val="center"/>
                </w:tcPr>
                <w:p w14:paraId="6E6B6793">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val="en-US"/>
                    </w:rPr>
                  </w:pPr>
                </w:p>
              </w:tc>
              <w:tc>
                <w:tcPr>
                  <w:tcW w:w="435" w:type="dxa"/>
                  <w:vMerge w:val="continue"/>
                  <w:noWrap w:val="0"/>
                  <w:vAlign w:val="center"/>
                </w:tcPr>
                <w:p w14:paraId="388C6C9D">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465" w:type="dxa"/>
                  <w:vMerge w:val="continue"/>
                  <w:noWrap w:val="0"/>
                  <w:vAlign w:val="center"/>
                </w:tcPr>
                <w:p w14:paraId="5397E162">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val="en-US" w:eastAsia="zh-CN"/>
                    </w:rPr>
                  </w:pPr>
                </w:p>
              </w:tc>
              <w:tc>
                <w:tcPr>
                  <w:tcW w:w="476" w:type="dxa"/>
                  <w:vMerge w:val="continue"/>
                  <w:noWrap w:val="0"/>
                  <w:vAlign w:val="center"/>
                </w:tcPr>
                <w:p w14:paraId="3BFD4997">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r>
            <w:tr w14:paraId="4A0F1D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67" w:type="dxa"/>
                  <w:vMerge w:val="continue"/>
                  <w:noWrap w:val="0"/>
                  <w:vAlign w:val="center"/>
                </w:tcPr>
                <w:p w14:paraId="04F31FDF">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1200" w:type="dxa"/>
                  <w:vMerge w:val="continue"/>
                  <w:noWrap w:val="0"/>
                  <w:vAlign w:val="center"/>
                </w:tcPr>
                <w:p w14:paraId="774E7807">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eastAsia="zh-CN"/>
                    </w:rPr>
                  </w:pPr>
                </w:p>
              </w:tc>
              <w:tc>
                <w:tcPr>
                  <w:tcW w:w="690" w:type="dxa"/>
                  <w:noWrap w:val="0"/>
                  <w:vAlign w:val="center"/>
                </w:tcPr>
                <w:p w14:paraId="257AAC26">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栅渣</w:t>
                  </w:r>
                </w:p>
              </w:tc>
              <w:tc>
                <w:tcPr>
                  <w:tcW w:w="810" w:type="dxa"/>
                  <w:vMerge w:val="continue"/>
                  <w:noWrap w:val="0"/>
                  <w:vAlign w:val="center"/>
                </w:tcPr>
                <w:p w14:paraId="3D687AEA">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val="en-US" w:eastAsia="zh-CN"/>
                    </w:rPr>
                  </w:pPr>
                </w:p>
              </w:tc>
              <w:tc>
                <w:tcPr>
                  <w:tcW w:w="1185" w:type="dxa"/>
                  <w:vMerge w:val="restart"/>
                  <w:noWrap w:val="0"/>
                  <w:vAlign w:val="center"/>
                </w:tcPr>
                <w:p w14:paraId="1C570D0B">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cs="Times New Roman"/>
                      <w:color w:val="auto"/>
                      <w:sz w:val="21"/>
                      <w:szCs w:val="21"/>
                      <w:lang w:val="en-US" w:eastAsia="zh-CN" w:bidi="ar-SA"/>
                    </w:rPr>
                    <w:t>841-001-01</w:t>
                  </w:r>
                </w:p>
              </w:tc>
              <w:tc>
                <w:tcPr>
                  <w:tcW w:w="1500" w:type="dxa"/>
                  <w:vMerge w:val="restart"/>
                  <w:noWrap w:val="0"/>
                  <w:vAlign w:val="center"/>
                </w:tcPr>
                <w:p w14:paraId="15F587CD">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pacing w:val="1"/>
                      <w:sz w:val="21"/>
                      <w:szCs w:val="21"/>
                      <w:lang w:val="en-US" w:eastAsia="en-US" w:bidi="ar-SA"/>
                    </w:rPr>
                  </w:pPr>
                  <w:r>
                    <w:rPr>
                      <w:rFonts w:hint="default" w:ascii="Times New Roman" w:hAnsi="Times New Roman" w:eastAsia="宋体" w:cs="Times New Roman"/>
                      <w:color w:val="auto"/>
                      <w:spacing w:val="1"/>
                      <w:sz w:val="21"/>
                      <w:szCs w:val="21"/>
                      <w:lang w:eastAsia="zh-CN"/>
                    </w:rPr>
                    <w:t>感染性废物</w:t>
                  </w:r>
                </w:p>
              </w:tc>
              <w:tc>
                <w:tcPr>
                  <w:tcW w:w="750" w:type="dxa"/>
                  <w:noWrap w:val="0"/>
                  <w:vAlign w:val="center"/>
                </w:tcPr>
                <w:p w14:paraId="1655D477">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pacing w:val="-5"/>
                      <w:sz w:val="21"/>
                      <w:szCs w:val="21"/>
                    </w:rPr>
                    <w:t>In</w:t>
                  </w:r>
                </w:p>
              </w:tc>
              <w:tc>
                <w:tcPr>
                  <w:tcW w:w="480" w:type="dxa"/>
                  <w:vMerge w:val="continue"/>
                  <w:noWrap w:val="0"/>
                  <w:vAlign w:val="center"/>
                </w:tcPr>
                <w:p w14:paraId="7ECC2884">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val="en-US"/>
                    </w:rPr>
                  </w:pPr>
                </w:p>
              </w:tc>
              <w:tc>
                <w:tcPr>
                  <w:tcW w:w="435" w:type="dxa"/>
                  <w:vMerge w:val="continue"/>
                  <w:noWrap w:val="0"/>
                  <w:vAlign w:val="center"/>
                </w:tcPr>
                <w:p w14:paraId="745501F5">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465" w:type="dxa"/>
                  <w:noWrap w:val="0"/>
                  <w:vAlign w:val="center"/>
                </w:tcPr>
                <w:p w14:paraId="32B17ED8">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0.2t</w:t>
                  </w:r>
                </w:p>
              </w:tc>
              <w:tc>
                <w:tcPr>
                  <w:tcW w:w="476" w:type="dxa"/>
                  <w:noWrap w:val="0"/>
                  <w:vAlign w:val="center"/>
                </w:tcPr>
                <w:p w14:paraId="605D546F">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60d</w:t>
                  </w:r>
                </w:p>
              </w:tc>
            </w:tr>
            <w:tr w14:paraId="3C51B2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67" w:type="dxa"/>
                  <w:vMerge w:val="continue"/>
                  <w:noWrap w:val="0"/>
                  <w:vAlign w:val="center"/>
                </w:tcPr>
                <w:p w14:paraId="4FCC99ED">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1200" w:type="dxa"/>
                  <w:vMerge w:val="continue"/>
                  <w:noWrap w:val="0"/>
                  <w:vAlign w:val="center"/>
                </w:tcPr>
                <w:p w14:paraId="74067ECC">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eastAsia="zh-CN"/>
                    </w:rPr>
                  </w:pPr>
                </w:p>
              </w:tc>
              <w:tc>
                <w:tcPr>
                  <w:tcW w:w="690" w:type="dxa"/>
                  <w:noWrap w:val="0"/>
                  <w:vAlign w:val="center"/>
                </w:tcPr>
                <w:p w14:paraId="66ABD6C8">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污泥</w:t>
                  </w:r>
                </w:p>
              </w:tc>
              <w:tc>
                <w:tcPr>
                  <w:tcW w:w="810" w:type="dxa"/>
                  <w:vMerge w:val="continue"/>
                  <w:noWrap w:val="0"/>
                  <w:vAlign w:val="center"/>
                </w:tcPr>
                <w:p w14:paraId="65BDAC22">
                  <w:pPr>
                    <w:keepNext w:val="0"/>
                    <w:keepLines w:val="0"/>
                    <w:pageBreakBefore w:val="0"/>
                    <w:widowControl w:val="0"/>
                    <w:kinsoku/>
                    <w:wordWrap/>
                    <w:overflowPunct/>
                    <w:topLinePunct/>
                    <w:autoSpaceDE/>
                    <w:autoSpaceDN/>
                    <w:bidi w:val="0"/>
                    <w:adjustRightInd w:val="0"/>
                    <w:snapToGrid w:val="0"/>
                    <w:spacing w:line="360" w:lineRule="exact"/>
                    <w:ind w:left="0" w:leftChars="0"/>
                    <w:jc w:val="center"/>
                    <w:textAlignment w:val="auto"/>
                    <w:rPr>
                      <w:rFonts w:hint="default" w:ascii="Times New Roman" w:hAnsi="Times New Roman" w:eastAsia="宋体" w:cs="Times New Roman"/>
                      <w:color w:val="auto"/>
                      <w:sz w:val="21"/>
                      <w:szCs w:val="21"/>
                      <w:lang w:val="en-US" w:eastAsia="zh-CN" w:bidi="zh-CN"/>
                    </w:rPr>
                  </w:pPr>
                </w:p>
              </w:tc>
              <w:tc>
                <w:tcPr>
                  <w:tcW w:w="1185" w:type="dxa"/>
                  <w:vMerge w:val="continue"/>
                  <w:noWrap w:val="0"/>
                  <w:vAlign w:val="center"/>
                </w:tcPr>
                <w:p w14:paraId="040321F1">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z w:val="21"/>
                      <w:szCs w:val="21"/>
                      <w:lang w:val="en-US" w:eastAsia="zh-CN" w:bidi="ar-SA"/>
                    </w:rPr>
                  </w:pPr>
                </w:p>
              </w:tc>
              <w:tc>
                <w:tcPr>
                  <w:tcW w:w="1500" w:type="dxa"/>
                  <w:vMerge w:val="continue"/>
                  <w:noWrap w:val="0"/>
                  <w:vAlign w:val="center"/>
                </w:tcPr>
                <w:p w14:paraId="6F8C32EA">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pacing w:val="1"/>
                      <w:sz w:val="21"/>
                      <w:szCs w:val="21"/>
                      <w:lang w:val="en-US" w:eastAsia="en-US" w:bidi="ar-SA"/>
                    </w:rPr>
                  </w:pPr>
                </w:p>
              </w:tc>
              <w:tc>
                <w:tcPr>
                  <w:tcW w:w="750" w:type="dxa"/>
                  <w:noWrap w:val="0"/>
                  <w:vAlign w:val="center"/>
                </w:tcPr>
                <w:p w14:paraId="7BA6C484">
                  <w:pPr>
                    <w:pStyle w:val="57"/>
                    <w:keepNext w:val="0"/>
                    <w:keepLines w:val="0"/>
                    <w:pageBreakBefore w:val="0"/>
                    <w:widowControl w:val="0"/>
                    <w:kinsoku/>
                    <w:wordWrap/>
                    <w:overflowPunct/>
                    <w:topLinePunct/>
                    <w:autoSpaceDE/>
                    <w:autoSpaceDN/>
                    <w:bidi w:val="0"/>
                    <w:spacing w:line="360" w:lineRule="exact"/>
                    <w:ind w:left="0" w:left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pacing w:val="-5"/>
                      <w:sz w:val="21"/>
                      <w:szCs w:val="21"/>
                    </w:rPr>
                    <w:t>In</w:t>
                  </w:r>
                </w:p>
              </w:tc>
              <w:tc>
                <w:tcPr>
                  <w:tcW w:w="480" w:type="dxa"/>
                  <w:vMerge w:val="continue"/>
                  <w:noWrap w:val="0"/>
                  <w:vAlign w:val="center"/>
                </w:tcPr>
                <w:p w14:paraId="75995645">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val="en-US"/>
                    </w:rPr>
                  </w:pPr>
                </w:p>
              </w:tc>
              <w:tc>
                <w:tcPr>
                  <w:tcW w:w="435" w:type="dxa"/>
                  <w:vMerge w:val="continue"/>
                  <w:noWrap w:val="0"/>
                  <w:vAlign w:val="center"/>
                </w:tcPr>
                <w:p w14:paraId="0C29C25D">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rPr>
                  </w:pPr>
                </w:p>
              </w:tc>
              <w:tc>
                <w:tcPr>
                  <w:tcW w:w="465" w:type="dxa"/>
                  <w:noWrap w:val="0"/>
                  <w:vAlign w:val="center"/>
                </w:tcPr>
                <w:p w14:paraId="6473F53A">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4t</w:t>
                  </w:r>
                </w:p>
              </w:tc>
              <w:tc>
                <w:tcPr>
                  <w:tcW w:w="476" w:type="dxa"/>
                  <w:noWrap w:val="0"/>
                  <w:vAlign w:val="center"/>
                </w:tcPr>
                <w:p w14:paraId="48FEFEA8">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60d</w:t>
                  </w:r>
                </w:p>
              </w:tc>
            </w:tr>
          </w:tbl>
          <w:p w14:paraId="1C24AE0A">
            <w:pPr>
              <w:pStyle w:val="45"/>
              <w:spacing w:line="520" w:lineRule="exact"/>
              <w:ind w:firstLine="482" w:firstLineChars="200"/>
              <w:jc w:val="both"/>
              <w:rPr>
                <w:rFonts w:hint="eastAsia" w:ascii="Times New Roman" w:hAnsi="Times New Roman" w:eastAsia="宋体"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5、</w:t>
            </w:r>
            <w:r>
              <w:rPr>
                <w:rFonts w:hint="eastAsia" w:ascii="Times New Roman" w:hAnsi="Times New Roman" w:cs="Times New Roman"/>
                <w:b/>
                <w:bCs/>
                <w:color w:val="auto"/>
                <w:sz w:val="24"/>
                <w:szCs w:val="24"/>
                <w:lang w:val="en-US"/>
              </w:rPr>
              <w:t>地下水</w:t>
            </w:r>
            <w:r>
              <w:rPr>
                <w:rFonts w:hint="eastAsia" w:ascii="Times New Roman" w:hAnsi="Times New Roman" w:cs="Times New Roman"/>
                <w:b/>
                <w:bCs/>
                <w:color w:val="auto"/>
                <w:sz w:val="24"/>
                <w:szCs w:val="24"/>
                <w:lang w:val="en-US" w:eastAsia="zh-CN"/>
              </w:rPr>
              <w:t>、土壤环境</w:t>
            </w:r>
            <w:r>
              <w:rPr>
                <w:rFonts w:hint="eastAsia" w:ascii="Times New Roman" w:hAnsi="Times New Roman" w:cs="Times New Roman"/>
                <w:b/>
                <w:bCs/>
                <w:color w:val="auto"/>
                <w:sz w:val="24"/>
                <w:szCs w:val="24"/>
                <w:lang w:val="en-US"/>
              </w:rPr>
              <w:t>影响</w:t>
            </w:r>
            <w:r>
              <w:rPr>
                <w:rFonts w:hint="eastAsia" w:ascii="Times New Roman" w:hAnsi="Times New Roman" w:cs="Times New Roman"/>
                <w:b/>
                <w:bCs/>
                <w:color w:val="auto"/>
                <w:sz w:val="24"/>
                <w:szCs w:val="24"/>
                <w:lang w:val="en-US" w:eastAsia="zh-CN"/>
              </w:rPr>
              <w:t>和</w:t>
            </w:r>
            <w:r>
              <w:rPr>
                <w:rFonts w:hint="eastAsia" w:ascii="Times New Roman" w:hAnsi="Times New Roman" w:cs="Times New Roman"/>
                <w:b/>
                <w:bCs/>
                <w:color w:val="auto"/>
                <w:sz w:val="24"/>
                <w:szCs w:val="24"/>
                <w:lang w:val="en-US"/>
              </w:rPr>
              <w:t>保护措施</w:t>
            </w:r>
          </w:p>
          <w:p w14:paraId="236B5E12">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eastAsia="zh-CN"/>
              </w:rPr>
              <w:t>院区雨水收集依托市政雨水收集管道。根据具体情况，建设项目可能对地下水及土壤造成污染的途径主要为污水处</w:t>
            </w:r>
            <w:r>
              <w:rPr>
                <w:rFonts w:hint="eastAsia" w:ascii="Times New Roman" w:hAnsi="Times New Roman" w:cs="Times New Roman"/>
                <w:color w:val="auto"/>
                <w:sz w:val="24"/>
                <w:szCs w:val="24"/>
                <w:highlight w:val="none"/>
              </w:rPr>
              <w:t>理设施、污水</w:t>
            </w:r>
            <w:r>
              <w:rPr>
                <w:rFonts w:hint="eastAsia" w:ascii="Times New Roman" w:hAnsi="Times New Roman" w:cs="Times New Roman"/>
                <w:color w:val="auto"/>
                <w:sz w:val="24"/>
                <w:szCs w:val="24"/>
                <w:highlight w:val="none"/>
                <w:lang w:val="en-US" w:eastAsia="zh-CN"/>
              </w:rPr>
              <w:t>管网</w:t>
            </w:r>
            <w:r>
              <w:rPr>
                <w:rFonts w:hint="eastAsia" w:ascii="Times New Roman" w:hAnsi="Times New Roman" w:cs="Times New Roman"/>
                <w:color w:val="auto"/>
                <w:sz w:val="24"/>
                <w:szCs w:val="24"/>
                <w:highlight w:val="none"/>
              </w:rPr>
              <w:t>、危险废物暂存场所及生活垃圾暂存场所泄漏对地下水及土壤造成污染。具体分析如下：</w:t>
            </w:r>
          </w:p>
          <w:p w14:paraId="415DECDB">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rPr>
              <w:t>（1）污水处理设施及污水</w:t>
            </w:r>
            <w:r>
              <w:rPr>
                <w:rFonts w:hint="eastAsia" w:ascii="Times New Roman" w:hAnsi="Times New Roman" w:cs="Times New Roman"/>
                <w:color w:val="auto"/>
                <w:sz w:val="24"/>
                <w:szCs w:val="24"/>
                <w:highlight w:val="none"/>
                <w:lang w:val="en-US" w:eastAsia="zh-CN"/>
              </w:rPr>
              <w:t>管网</w:t>
            </w:r>
          </w:p>
          <w:p w14:paraId="60201C60">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项目污水输送管道、水处理系统等对地下水的影响最大可能是来自管道破损泄漏</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rPr>
              <w:t>下渗进入地下水及土壤，项目对污水输送管道及水处理设施采取严格的防渗、防漏措施，各类地下设施，包括污水处理设施的水池等全部进行防渗处理，特别是埋置地下的污水输送管道，需建立混凝土防渗基础，并布设土工膜。因此，本项目产生的污水对本区域地下水及土壤影响十分有限。</w:t>
            </w:r>
          </w:p>
          <w:p w14:paraId="35F3231A">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cs="Times New Roman"/>
                <w:color w:val="auto"/>
                <w:sz w:val="24"/>
                <w:highlight w:val="none"/>
              </w:rPr>
              <w:t>（2）</w:t>
            </w:r>
            <w:r>
              <w:rPr>
                <w:rFonts w:hint="eastAsia" w:ascii="Times New Roman" w:hAnsi="Times New Roman" w:cs="Times New Roman"/>
                <w:color w:val="auto"/>
                <w:sz w:val="24"/>
                <w:highlight w:val="none"/>
                <w:lang w:eastAsia="zh-CN"/>
              </w:rPr>
              <w:t>危废暂存库</w:t>
            </w:r>
          </w:p>
          <w:p w14:paraId="494F0BD0">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项目</w:t>
            </w:r>
            <w:r>
              <w:rPr>
                <w:rFonts w:hint="eastAsia" w:ascii="Times New Roman" w:hAnsi="Times New Roman" w:cs="Times New Roman"/>
                <w:color w:val="auto"/>
                <w:sz w:val="24"/>
                <w:highlight w:val="none"/>
                <w:lang w:eastAsia="zh-CN"/>
              </w:rPr>
              <w:t>危废暂存库暂存</w:t>
            </w:r>
            <w:r>
              <w:rPr>
                <w:rFonts w:hint="eastAsia" w:ascii="Times New Roman" w:hAnsi="Times New Roman" w:cs="Times New Roman"/>
                <w:color w:val="auto"/>
                <w:sz w:val="24"/>
                <w:highlight w:val="none"/>
              </w:rPr>
              <w:t>固体废弃物主要是</w:t>
            </w:r>
            <w:r>
              <w:rPr>
                <w:rFonts w:hint="eastAsia" w:ascii="Times New Roman" w:hAnsi="Times New Roman" w:cs="Times New Roman"/>
                <w:color w:val="auto"/>
                <w:sz w:val="24"/>
                <w:highlight w:val="none"/>
                <w:lang w:val="en-US" w:eastAsia="zh-CN"/>
              </w:rPr>
              <w:t>医</w:t>
            </w:r>
            <w:r>
              <w:rPr>
                <w:rFonts w:hint="eastAsia" w:ascii="Times New Roman" w:hAnsi="Times New Roman" w:cs="Times New Roman"/>
                <w:color w:val="auto"/>
                <w:sz w:val="24"/>
                <w:highlight w:val="none"/>
              </w:rPr>
              <w:t>疗废物</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rPr>
              <w:t>栅渣</w:t>
            </w:r>
            <w:r>
              <w:rPr>
                <w:rFonts w:hint="eastAsia" w:ascii="Times New Roman" w:hAnsi="Times New Roman" w:cs="Times New Roman"/>
                <w:color w:val="auto"/>
                <w:sz w:val="24"/>
                <w:highlight w:val="none"/>
                <w:lang w:eastAsia="zh-CN"/>
              </w:rPr>
              <w:t>、化粪池</w:t>
            </w:r>
            <w:r>
              <w:rPr>
                <w:rFonts w:hint="eastAsia" w:ascii="Times New Roman" w:hAnsi="Times New Roman" w:cs="Times New Roman"/>
                <w:color w:val="auto"/>
                <w:sz w:val="24"/>
                <w:highlight w:val="none"/>
              </w:rPr>
              <w:t>及污水处理站污泥</w:t>
            </w:r>
            <w:r>
              <w:rPr>
                <w:rFonts w:hint="eastAsia" w:ascii="Times New Roman" w:hAnsi="Times New Roman" w:cs="Times New Roman"/>
                <w:color w:val="auto"/>
                <w:sz w:val="24"/>
                <w:highlight w:val="none"/>
                <w:lang w:eastAsia="zh-CN"/>
              </w:rPr>
              <w:t>。项目产生的危险废物</w:t>
            </w:r>
            <w:r>
              <w:rPr>
                <w:rFonts w:hint="eastAsia" w:ascii="Times New Roman" w:hAnsi="Times New Roman" w:cs="Times New Roman"/>
                <w:color w:val="auto"/>
                <w:sz w:val="24"/>
                <w:highlight w:val="none"/>
              </w:rPr>
              <w:t>按照国家各项管理规定使用符合要求及标准的专用包装物、容器并设置相应警示标识</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rPr>
              <w:t>由</w:t>
            </w:r>
            <w:r>
              <w:rPr>
                <w:rFonts w:hint="eastAsia" w:ascii="Times New Roman" w:hAnsi="Times New Roman" w:cs="Times New Roman"/>
                <w:color w:val="auto"/>
                <w:sz w:val="24"/>
                <w:highlight w:val="none"/>
                <w:lang w:val="en-US" w:eastAsia="zh-CN"/>
              </w:rPr>
              <w:t>有资质单位处置</w:t>
            </w:r>
            <w:r>
              <w:rPr>
                <w:rFonts w:hint="eastAsia" w:ascii="Times New Roman" w:hAnsi="Times New Roman" w:cs="Times New Roman"/>
                <w:color w:val="auto"/>
                <w:sz w:val="24"/>
                <w:highlight w:val="none"/>
              </w:rPr>
              <w:t>。</w:t>
            </w:r>
          </w:p>
          <w:p w14:paraId="5B553F3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ascii="Times New Roman" w:hAnsi="Times New Roman" w:cs="Times New Roman"/>
                <w:b/>
                <w:bCs/>
                <w:color w:val="auto"/>
                <w:sz w:val="24"/>
                <w:szCs w:val="24"/>
                <w:highlight w:val="none"/>
              </w:rPr>
            </w:pPr>
            <w:r>
              <w:rPr>
                <w:rFonts w:hint="eastAsia" w:ascii="Times New Roman" w:hAnsi="Times New Roman" w:cs="Times New Roman"/>
                <w:color w:val="auto"/>
                <w:sz w:val="24"/>
                <w:highlight w:val="none"/>
                <w:lang w:eastAsia="zh-CN"/>
              </w:rPr>
              <w:t>危废暂存库按照《</w:t>
            </w:r>
            <w:r>
              <w:rPr>
                <w:rFonts w:hint="eastAsia" w:ascii="Times New Roman" w:hAnsi="Times New Roman" w:cs="Times New Roman"/>
                <w:color w:val="auto"/>
                <w:sz w:val="24"/>
                <w:highlight w:val="none"/>
              </w:rPr>
              <w:t>危险废物贮存污染控制标准》（GB 18597—2023）进行防渗处理</w:t>
            </w:r>
            <w:r>
              <w:rPr>
                <w:rFonts w:hint="eastAsia" w:ascii="Times New Roman" w:hAnsi="Times New Roman" w:cs="Times New Roman"/>
                <w:color w:val="auto"/>
                <w:sz w:val="24"/>
                <w:highlight w:val="none"/>
                <w:lang w:eastAsia="zh-CN"/>
              </w:rPr>
              <w:t>，地面及裙脚基础垫层+2mmHDPE膜+环氧砂浆涂层，墙壁防渗防腐衬层高度为50cm，保证构筑物渗透系数不大于1.0×10</w:t>
            </w:r>
            <w:r>
              <w:rPr>
                <w:rFonts w:hint="eastAsia" w:ascii="Times New Roman" w:hAnsi="Times New Roman" w:cs="Times New Roman"/>
                <w:color w:val="auto"/>
                <w:sz w:val="24"/>
                <w:highlight w:val="none"/>
                <w:vertAlign w:val="superscript"/>
                <w:lang w:eastAsia="zh-CN"/>
              </w:rPr>
              <w:t>-10</w:t>
            </w:r>
            <w:r>
              <w:rPr>
                <w:rFonts w:hint="eastAsia" w:ascii="Times New Roman" w:hAnsi="Times New Roman" w:cs="Times New Roman"/>
                <w:color w:val="auto"/>
                <w:sz w:val="24"/>
                <w:highlight w:val="none"/>
                <w:lang w:eastAsia="zh-CN"/>
              </w:rPr>
              <w:t>cm/s。医疗废物按照</w:t>
            </w:r>
            <w:r>
              <w:rPr>
                <w:rFonts w:hint="eastAsia" w:ascii="Times New Roman" w:hAnsi="Times New Roman" w:cs="Times New Roman"/>
                <w:color w:val="auto"/>
                <w:sz w:val="24"/>
                <w:highlight w:val="none"/>
              </w:rPr>
              <w:t>《医</w:t>
            </w:r>
            <w:r>
              <w:rPr>
                <w:rFonts w:hint="eastAsia" w:ascii="Times New Roman" w:hAnsi="Times New Roman" w:cs="Times New Roman"/>
                <w:color w:val="auto"/>
                <w:sz w:val="24"/>
                <w:highlight w:val="none"/>
                <w:lang w:eastAsia="zh-CN"/>
              </w:rPr>
              <w:t>疗</w:t>
            </w:r>
            <w:r>
              <w:rPr>
                <w:rFonts w:hint="eastAsia" w:ascii="Times New Roman" w:hAnsi="Times New Roman" w:cs="Times New Roman"/>
                <w:color w:val="auto"/>
                <w:sz w:val="24"/>
                <w:highlight w:val="none"/>
              </w:rPr>
              <w:t>废物专用包装</w:t>
            </w:r>
            <w:r>
              <w:rPr>
                <w:rFonts w:hint="eastAsia" w:ascii="Times New Roman" w:hAnsi="Times New Roman" w:cs="Times New Roman"/>
                <w:color w:val="auto"/>
                <w:sz w:val="24"/>
                <w:highlight w:val="none"/>
                <w:lang w:eastAsia="zh-CN"/>
              </w:rPr>
              <w:t>袋</w:t>
            </w:r>
            <w:r>
              <w:rPr>
                <w:rFonts w:hint="eastAsia" w:ascii="Times New Roman" w:hAnsi="Times New Roman" w:cs="Times New Roman"/>
                <w:color w:val="auto"/>
                <w:sz w:val="24"/>
                <w:highlight w:val="none"/>
              </w:rPr>
              <w:t>、 容器和警示</w:t>
            </w:r>
            <w:r>
              <w:rPr>
                <w:rFonts w:hint="eastAsia" w:ascii="Times New Roman" w:hAnsi="Times New Roman" w:cs="Times New Roman"/>
                <w:color w:val="auto"/>
                <w:sz w:val="24"/>
                <w:highlight w:val="none"/>
                <w:lang w:eastAsia="zh-CN"/>
              </w:rPr>
              <w:t>标志标准</w:t>
            </w:r>
            <w:r>
              <w:rPr>
                <w:rFonts w:hint="eastAsia" w:ascii="Times New Roman" w:hAnsi="Times New Roman" w:cs="Times New Roman"/>
                <w:color w:val="auto"/>
                <w:sz w:val="24"/>
                <w:highlight w:val="none"/>
              </w:rPr>
              <w:t>》</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HJ421-2008</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rPr>
              <w:t>及时分类收集医疗废物</w:t>
            </w:r>
            <w:r>
              <w:rPr>
                <w:rFonts w:hint="eastAsia"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rPr>
              <w:t>医疗废物暂存的时间不超过2天，定期对贮存设施、设备消毒和清洁，且</w:t>
            </w:r>
            <w:r>
              <w:rPr>
                <w:rFonts w:hint="eastAsia" w:ascii="Times New Roman" w:hAnsi="Times New Roman" w:cs="Times New Roman"/>
                <w:color w:val="auto"/>
                <w:sz w:val="24"/>
                <w:highlight w:val="none"/>
                <w:lang w:eastAsia="zh-CN"/>
              </w:rPr>
              <w:t>危废暂存库</w:t>
            </w:r>
            <w:r>
              <w:rPr>
                <w:rFonts w:hint="eastAsia" w:ascii="Times New Roman" w:hAnsi="Times New Roman" w:cs="Times New Roman"/>
                <w:color w:val="auto"/>
                <w:sz w:val="24"/>
                <w:highlight w:val="none"/>
              </w:rPr>
              <w:t>做好防风、防雨、防渗措施，杜绝危险废物的露天堆放。因此，该部分污染物对地下水影响十分有限。</w:t>
            </w:r>
          </w:p>
          <w:p w14:paraId="2CCB64C1">
            <w:pPr>
              <w:keepNext w:val="0"/>
              <w:keepLines w:val="0"/>
              <w:pageBreakBefore w:val="0"/>
              <w:widowControl w:val="0"/>
              <w:kinsoku/>
              <w:wordWrap/>
              <w:overflowPunct/>
              <w:topLinePunct w:val="0"/>
              <w:autoSpaceDE w:val="0"/>
              <w:autoSpaceDN w:val="0"/>
              <w:bidi w:val="0"/>
              <w:adjustRightInd/>
              <w:snapToGrid/>
              <w:spacing w:line="520" w:lineRule="exact"/>
              <w:ind w:firstLine="0" w:firstLineChars="0"/>
              <w:jc w:val="center"/>
              <w:textAlignment w:val="auto"/>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表</w:t>
            </w:r>
            <w:r>
              <w:rPr>
                <w:rFonts w:hint="eastAsia" w:ascii="Times New Roman" w:hAnsi="Times New Roman" w:cs="Times New Roman"/>
                <w:b/>
                <w:bCs/>
                <w:color w:val="auto"/>
                <w:sz w:val="24"/>
                <w:szCs w:val="24"/>
                <w:highlight w:val="none"/>
                <w:lang w:val="en-US" w:eastAsia="zh-CN"/>
              </w:rPr>
              <w:t>4-10</w:t>
            </w:r>
            <w:r>
              <w:rPr>
                <w:rFonts w:hint="eastAsia" w:ascii="Times New Roman" w:hAnsi="Times New Roman" w:cs="Times New Roman"/>
                <w:b/>
                <w:bCs/>
                <w:color w:val="auto"/>
                <w:sz w:val="24"/>
                <w:szCs w:val="24"/>
                <w:highlight w:val="none"/>
                <w:lang w:val="en-US"/>
              </w:rPr>
              <w:t xml:space="preserve">    </w:t>
            </w:r>
            <w:r>
              <w:rPr>
                <w:rFonts w:ascii="Times New Roman" w:hAnsi="Times New Roman" w:cs="Times New Roman"/>
                <w:b/>
                <w:bCs/>
                <w:color w:val="auto"/>
                <w:sz w:val="24"/>
                <w:szCs w:val="24"/>
                <w:highlight w:val="none"/>
              </w:rPr>
              <w:t xml:space="preserve">  地下水污染风险识别结果一览表</w:t>
            </w:r>
          </w:p>
          <w:tbl>
            <w:tblPr>
              <w:tblStyle w:val="20"/>
              <w:tblW w:w="823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947"/>
              <w:gridCol w:w="1140"/>
              <w:gridCol w:w="1515"/>
              <w:gridCol w:w="4635"/>
            </w:tblGrid>
            <w:tr w14:paraId="781CC3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74" w:type="pct"/>
                  <w:noWrap w:val="0"/>
                  <w:vAlign w:val="center"/>
                </w:tcPr>
                <w:p w14:paraId="640A8944">
                  <w:pPr>
                    <w:keepNext w:val="0"/>
                    <w:keepLines w:val="0"/>
                    <w:pageBreakBefore w:val="0"/>
                    <w:widowControl w:val="0"/>
                    <w:tabs>
                      <w:tab w:val="left" w:pos="1149"/>
                    </w:tabs>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污染源</w:t>
                  </w:r>
                </w:p>
              </w:tc>
              <w:tc>
                <w:tcPr>
                  <w:tcW w:w="691" w:type="pct"/>
                  <w:noWrap w:val="0"/>
                  <w:vAlign w:val="center"/>
                </w:tcPr>
                <w:p w14:paraId="3FB600EC">
                  <w:pPr>
                    <w:keepNext w:val="0"/>
                    <w:keepLines w:val="0"/>
                    <w:pageBreakBefore w:val="0"/>
                    <w:widowControl w:val="0"/>
                    <w:tabs>
                      <w:tab w:val="left" w:pos="1149"/>
                    </w:tabs>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污染物类型</w:t>
                  </w:r>
                </w:p>
              </w:tc>
              <w:tc>
                <w:tcPr>
                  <w:tcW w:w="919" w:type="pct"/>
                  <w:noWrap w:val="0"/>
                  <w:vAlign w:val="center"/>
                </w:tcPr>
                <w:p w14:paraId="47DE4A4A">
                  <w:pPr>
                    <w:keepNext w:val="0"/>
                    <w:keepLines w:val="0"/>
                    <w:pageBreakBefore w:val="0"/>
                    <w:widowControl w:val="0"/>
                    <w:tabs>
                      <w:tab w:val="left" w:pos="1149"/>
                    </w:tabs>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污染途径</w:t>
                  </w:r>
                </w:p>
              </w:tc>
              <w:tc>
                <w:tcPr>
                  <w:tcW w:w="2813" w:type="pct"/>
                  <w:noWrap w:val="0"/>
                  <w:vAlign w:val="center"/>
                </w:tcPr>
                <w:p w14:paraId="080C4F59">
                  <w:pPr>
                    <w:keepNext w:val="0"/>
                    <w:keepLines w:val="0"/>
                    <w:pageBreakBefore w:val="0"/>
                    <w:widowControl w:val="0"/>
                    <w:tabs>
                      <w:tab w:val="left" w:pos="1149"/>
                    </w:tabs>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污染特征</w:t>
                  </w:r>
                </w:p>
              </w:tc>
            </w:tr>
            <w:tr w14:paraId="0443B9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74" w:type="pct"/>
                  <w:noWrap w:val="0"/>
                  <w:vAlign w:val="center"/>
                </w:tcPr>
                <w:p w14:paraId="7B64E9B2">
                  <w:pPr>
                    <w:keepNext w:val="0"/>
                    <w:keepLines w:val="0"/>
                    <w:pageBreakBefore w:val="0"/>
                    <w:widowControl w:val="0"/>
                    <w:tabs>
                      <w:tab w:val="left" w:pos="1149"/>
                    </w:tabs>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污水处理站废水</w:t>
                  </w:r>
                </w:p>
              </w:tc>
              <w:tc>
                <w:tcPr>
                  <w:tcW w:w="691" w:type="pct"/>
                  <w:noWrap w:val="0"/>
                  <w:vAlign w:val="center"/>
                </w:tcPr>
                <w:p w14:paraId="178E6CD6">
                  <w:pPr>
                    <w:keepNext w:val="0"/>
                    <w:keepLines w:val="0"/>
                    <w:pageBreakBefore w:val="0"/>
                    <w:widowControl w:val="0"/>
                    <w:tabs>
                      <w:tab w:val="left" w:pos="1149"/>
                    </w:tabs>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其他废物</w:t>
                  </w:r>
                </w:p>
              </w:tc>
              <w:tc>
                <w:tcPr>
                  <w:tcW w:w="919" w:type="pct"/>
                  <w:noWrap w:val="0"/>
                  <w:vAlign w:val="center"/>
                </w:tcPr>
                <w:p w14:paraId="516D5DD9">
                  <w:pPr>
                    <w:keepNext w:val="0"/>
                    <w:keepLines w:val="0"/>
                    <w:pageBreakBefore w:val="0"/>
                    <w:widowControl w:val="0"/>
                    <w:tabs>
                      <w:tab w:val="left" w:pos="1149"/>
                    </w:tabs>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管道破损</w:t>
                  </w:r>
                  <w:r>
                    <w:rPr>
                      <w:rFonts w:hint="eastAsia" w:ascii="Times New Roman" w:hAnsi="Times New Roman" w:cs="Times New Roman"/>
                      <w:color w:val="auto"/>
                      <w:sz w:val="21"/>
                      <w:szCs w:val="21"/>
                      <w:highlight w:val="none"/>
                      <w:lang w:val="en-US" w:eastAsia="zh-CN"/>
                    </w:rPr>
                    <w:t>泄漏</w:t>
                  </w:r>
                  <w:r>
                    <w:rPr>
                      <w:rFonts w:hint="eastAsia" w:ascii="Times New Roman" w:hAnsi="Times New Roman" w:cs="Times New Roman"/>
                      <w:color w:val="auto"/>
                      <w:sz w:val="21"/>
                      <w:szCs w:val="21"/>
                      <w:highlight w:val="none"/>
                    </w:rPr>
                    <w:t>下渗进入地下水及土壤</w:t>
                  </w:r>
                </w:p>
              </w:tc>
              <w:tc>
                <w:tcPr>
                  <w:tcW w:w="2813" w:type="pct"/>
                  <w:noWrap w:val="0"/>
                  <w:vAlign w:val="center"/>
                </w:tcPr>
                <w:p w14:paraId="7831B439">
                  <w:pPr>
                    <w:keepNext w:val="0"/>
                    <w:keepLines w:val="0"/>
                    <w:pageBreakBefore w:val="0"/>
                    <w:widowControl w:val="0"/>
                    <w:tabs>
                      <w:tab w:val="left" w:pos="1149"/>
                    </w:tabs>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污水处理站地面</w:t>
                  </w:r>
                  <w:r>
                    <w:rPr>
                      <w:rFonts w:hint="eastAsia" w:ascii="Times New Roman" w:hAnsi="Times New Roman" w:cs="Times New Roman"/>
                      <w:color w:val="auto"/>
                      <w:sz w:val="21"/>
                      <w:szCs w:val="21"/>
                      <w:highlight w:val="none"/>
                    </w:rPr>
                    <w:t>采用20cm混凝土；墙壁防渗防腐衬层高度为50cm，保证构筑物渗透系数不大于1.0×10</w:t>
                  </w:r>
                  <w:r>
                    <w:rPr>
                      <w:rFonts w:hint="eastAsia" w:ascii="Times New Roman" w:hAnsi="Times New Roman" w:cs="Times New Roman"/>
                      <w:color w:val="auto"/>
                      <w:sz w:val="21"/>
                      <w:szCs w:val="21"/>
                      <w:highlight w:val="none"/>
                      <w:vertAlign w:val="superscript"/>
                    </w:rPr>
                    <w:t>-7</w:t>
                  </w:r>
                  <w:r>
                    <w:rPr>
                      <w:rFonts w:hint="eastAsia" w:ascii="Times New Roman" w:hAnsi="Times New Roman" w:cs="Times New Roman"/>
                      <w:color w:val="auto"/>
                      <w:sz w:val="21"/>
                      <w:szCs w:val="21"/>
                      <w:highlight w:val="none"/>
                    </w:rPr>
                    <w:t>cm/s</w:t>
                  </w:r>
                  <w:r>
                    <w:rPr>
                      <w:rFonts w:hint="eastAsia" w:ascii="Times New Roman" w:hAnsi="Times New Roman" w:cs="Times New Roman"/>
                      <w:color w:val="auto"/>
                      <w:sz w:val="21"/>
                      <w:szCs w:val="21"/>
                      <w:highlight w:val="none"/>
                      <w:lang w:eastAsia="zh-CN"/>
                    </w:rPr>
                    <w:t>；污水输送管道建立混凝土防渗基础，并布设土工膜。</w:t>
                  </w:r>
                  <w:r>
                    <w:rPr>
                      <w:rFonts w:ascii="Times New Roman" w:hAnsi="Times New Roman" w:cs="Times New Roman"/>
                      <w:color w:val="auto"/>
                      <w:sz w:val="21"/>
                      <w:szCs w:val="21"/>
                      <w:highlight w:val="none"/>
                    </w:rPr>
                    <w:t>非正常情况</w:t>
                  </w:r>
                  <w:r>
                    <w:rPr>
                      <w:rFonts w:ascii="Times New Roman" w:hAnsi="Times New Roman" w:cs="Times New Roman"/>
                      <w:color w:val="auto"/>
                      <w:sz w:val="21"/>
                      <w:szCs w:val="21"/>
                      <w:highlight w:val="none"/>
                      <w:lang w:val="en-US"/>
                    </w:rPr>
                    <w:t>发生泄漏</w:t>
                  </w:r>
                  <w:r>
                    <w:rPr>
                      <w:rFonts w:hint="eastAsia" w:ascii="Times New Roman" w:hAnsi="Times New Roman" w:cs="Times New Roman"/>
                      <w:color w:val="auto"/>
                      <w:sz w:val="21"/>
                      <w:szCs w:val="21"/>
                      <w:highlight w:val="none"/>
                      <w:lang w:val="en-US"/>
                    </w:rPr>
                    <w:t>的废</w:t>
                  </w:r>
                  <w:r>
                    <w:rPr>
                      <w:rFonts w:hint="eastAsia" w:ascii="Times New Roman" w:hAnsi="Times New Roman" w:cs="Times New Roman"/>
                      <w:color w:val="auto"/>
                      <w:sz w:val="21"/>
                      <w:szCs w:val="21"/>
                      <w:highlight w:val="none"/>
                      <w:lang w:val="en-US" w:eastAsia="zh-CN"/>
                    </w:rPr>
                    <w:t>水不排入市政排水管道</w:t>
                  </w:r>
                  <w:r>
                    <w:rPr>
                      <w:rFonts w:hint="eastAsia" w:ascii="Times New Roman" w:hAnsi="Times New Roman" w:cs="Times New Roman"/>
                      <w:color w:val="auto"/>
                      <w:sz w:val="21"/>
                      <w:szCs w:val="21"/>
                      <w:highlight w:val="none"/>
                      <w:lang w:val="en-US"/>
                    </w:rPr>
                    <w:t>，</w:t>
                  </w:r>
                  <w:r>
                    <w:rPr>
                      <w:rFonts w:ascii="Times New Roman" w:hAnsi="Times New Roman" w:cs="Times New Roman"/>
                      <w:color w:val="auto"/>
                      <w:sz w:val="21"/>
                      <w:szCs w:val="21"/>
                      <w:highlight w:val="none"/>
                      <w:lang w:val="en-US"/>
                    </w:rPr>
                    <w:t>及时采取措施控制，可视为短时泄漏。</w:t>
                  </w:r>
                </w:p>
              </w:tc>
            </w:tr>
            <w:tr w14:paraId="5F61F0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74" w:type="pct"/>
                  <w:noWrap w:val="0"/>
                  <w:vAlign w:val="center"/>
                </w:tcPr>
                <w:p w14:paraId="223E7DD3">
                  <w:pPr>
                    <w:keepNext w:val="0"/>
                    <w:keepLines w:val="0"/>
                    <w:pageBreakBefore w:val="0"/>
                    <w:widowControl w:val="0"/>
                    <w:tabs>
                      <w:tab w:val="left" w:pos="1149"/>
                    </w:tabs>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医疗废物、栅渣、化粪池和污水处理站污泥</w:t>
                  </w:r>
                </w:p>
              </w:tc>
              <w:tc>
                <w:tcPr>
                  <w:tcW w:w="691" w:type="pct"/>
                  <w:noWrap w:val="0"/>
                  <w:vAlign w:val="center"/>
                </w:tcPr>
                <w:p w14:paraId="0201C11E">
                  <w:pPr>
                    <w:keepNext w:val="0"/>
                    <w:keepLines w:val="0"/>
                    <w:pageBreakBefore w:val="0"/>
                    <w:widowControl w:val="0"/>
                    <w:tabs>
                      <w:tab w:val="left" w:pos="1149"/>
                    </w:tabs>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危险废物</w:t>
                  </w:r>
                </w:p>
              </w:tc>
              <w:tc>
                <w:tcPr>
                  <w:tcW w:w="919" w:type="pct"/>
                  <w:noWrap w:val="0"/>
                  <w:vAlign w:val="center"/>
                </w:tcPr>
                <w:p w14:paraId="4D5278B1">
                  <w:pPr>
                    <w:keepNext w:val="0"/>
                    <w:keepLines w:val="0"/>
                    <w:pageBreakBefore w:val="0"/>
                    <w:widowControl w:val="0"/>
                    <w:tabs>
                      <w:tab w:val="left" w:pos="1149"/>
                    </w:tabs>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rPr>
                    <w:t>危废暂存库</w:t>
                  </w:r>
                  <w:r>
                    <w:rPr>
                      <w:rFonts w:ascii="Times New Roman" w:hAnsi="Times New Roman" w:cs="Times New Roman"/>
                      <w:color w:val="auto"/>
                      <w:sz w:val="21"/>
                      <w:szCs w:val="21"/>
                      <w:highlight w:val="none"/>
                    </w:rPr>
                    <w:t>内</w:t>
                  </w:r>
                  <w:r>
                    <w:rPr>
                      <w:rFonts w:hint="eastAsia" w:ascii="Times New Roman" w:hAnsi="Times New Roman" w:cs="Times New Roman"/>
                      <w:color w:val="auto"/>
                      <w:sz w:val="21"/>
                      <w:szCs w:val="21"/>
                      <w:highlight w:val="none"/>
                      <w:lang w:eastAsia="zh-CN"/>
                    </w:rPr>
                    <w:t>暂存危险废物</w:t>
                  </w:r>
                  <w:r>
                    <w:rPr>
                      <w:rFonts w:ascii="Times New Roman" w:hAnsi="Times New Roman" w:cs="Times New Roman"/>
                      <w:color w:val="auto"/>
                      <w:sz w:val="21"/>
                      <w:szCs w:val="21"/>
                      <w:highlight w:val="none"/>
                    </w:rPr>
                    <w:t>，通过地面破损的防渗层下渗，污染地下水</w:t>
                  </w:r>
                  <w:r>
                    <w:rPr>
                      <w:rFonts w:hint="eastAsia" w:ascii="Times New Roman" w:hAnsi="Times New Roman" w:cs="Times New Roman"/>
                      <w:color w:val="auto"/>
                      <w:sz w:val="21"/>
                      <w:szCs w:val="21"/>
                      <w:highlight w:val="none"/>
                      <w:lang w:eastAsia="zh-CN"/>
                    </w:rPr>
                    <w:t>及土壤</w:t>
                  </w:r>
                </w:p>
              </w:tc>
              <w:tc>
                <w:tcPr>
                  <w:tcW w:w="2813" w:type="pct"/>
                  <w:noWrap w:val="0"/>
                  <w:vAlign w:val="center"/>
                </w:tcPr>
                <w:p w14:paraId="41E34D1E">
                  <w:pPr>
                    <w:keepNext w:val="0"/>
                    <w:keepLines w:val="0"/>
                    <w:pageBreakBefore w:val="0"/>
                    <w:widowControl w:val="0"/>
                    <w:tabs>
                      <w:tab w:val="left" w:pos="1149"/>
                    </w:tabs>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eastAsia="zh-CN"/>
                    </w:rPr>
                    <w:t>危废暂存库</w:t>
                  </w:r>
                  <w:r>
                    <w:rPr>
                      <w:rFonts w:hint="eastAsia" w:ascii="Times New Roman" w:hAnsi="Times New Roman" w:cs="Times New Roman"/>
                      <w:color w:val="auto"/>
                      <w:sz w:val="21"/>
                      <w:szCs w:val="21"/>
                      <w:highlight w:val="none"/>
                    </w:rPr>
                    <w:t>地面及裙脚基础垫层+2mmHDPE膜+环氧砂浆涂层</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rPr>
                    <w:t>墙壁防渗防腐衬层高度为50cm，保证构筑物渗透系数不大于1.0×10</w:t>
                  </w:r>
                  <w:r>
                    <w:rPr>
                      <w:rFonts w:hint="eastAsia" w:ascii="Times New Roman" w:hAnsi="Times New Roman" w:cs="Times New Roman"/>
                      <w:color w:val="auto"/>
                      <w:sz w:val="21"/>
                      <w:szCs w:val="21"/>
                      <w:highlight w:val="none"/>
                      <w:vertAlign w:val="superscript"/>
                    </w:rPr>
                    <w:t>-10</w:t>
                  </w:r>
                  <w:r>
                    <w:rPr>
                      <w:rFonts w:hint="eastAsia" w:ascii="Times New Roman" w:hAnsi="Times New Roman" w:cs="Times New Roman"/>
                      <w:color w:val="auto"/>
                      <w:sz w:val="21"/>
                      <w:szCs w:val="21"/>
                      <w:highlight w:val="none"/>
                    </w:rPr>
                    <w:t>cm/s</w:t>
                  </w:r>
                  <w:r>
                    <w:rPr>
                      <w:rFonts w:hint="eastAsia" w:ascii="Times New Roman" w:hAnsi="Times New Roman" w:cs="Times New Roman"/>
                      <w:color w:val="auto"/>
                      <w:sz w:val="21"/>
                      <w:szCs w:val="21"/>
                      <w:highlight w:val="none"/>
                      <w:lang w:eastAsia="zh-CN"/>
                    </w:rPr>
                    <w:t>，</w:t>
                  </w:r>
                  <w:r>
                    <w:rPr>
                      <w:rFonts w:ascii="Times New Roman" w:hAnsi="Times New Roman" w:cs="Times New Roman"/>
                      <w:color w:val="auto"/>
                      <w:sz w:val="21"/>
                      <w:szCs w:val="21"/>
                      <w:highlight w:val="none"/>
                    </w:rPr>
                    <w:t>正常情况不会发生泄漏，不会污染地下水</w:t>
                  </w:r>
                  <w:r>
                    <w:rPr>
                      <w:rFonts w:hint="eastAsia" w:ascii="Times New Roman" w:hAnsi="Times New Roman" w:cs="Times New Roman"/>
                      <w:color w:val="auto"/>
                      <w:sz w:val="21"/>
                      <w:szCs w:val="21"/>
                      <w:highlight w:val="none"/>
                      <w:lang w:eastAsia="zh-CN"/>
                    </w:rPr>
                    <w:t>及土壤</w:t>
                  </w:r>
                  <w:r>
                    <w:rPr>
                      <w:rFonts w:ascii="Times New Roman" w:hAnsi="Times New Roman" w:cs="Times New Roman"/>
                      <w:color w:val="auto"/>
                      <w:sz w:val="21"/>
                      <w:szCs w:val="21"/>
                      <w:highlight w:val="none"/>
                    </w:rPr>
                    <w:t>。非正常情况</w:t>
                  </w:r>
                  <w:r>
                    <w:rPr>
                      <w:rFonts w:ascii="Times New Roman" w:hAnsi="Times New Roman" w:cs="Times New Roman"/>
                      <w:color w:val="auto"/>
                      <w:sz w:val="21"/>
                      <w:szCs w:val="21"/>
                      <w:highlight w:val="none"/>
                      <w:lang w:val="en-US"/>
                    </w:rPr>
                    <w:t>发生泄漏</w:t>
                  </w:r>
                  <w:r>
                    <w:rPr>
                      <w:rFonts w:hint="eastAsia" w:ascii="Times New Roman" w:hAnsi="Times New Roman" w:cs="Times New Roman"/>
                      <w:color w:val="auto"/>
                      <w:sz w:val="21"/>
                      <w:szCs w:val="21"/>
                      <w:highlight w:val="none"/>
                      <w:lang w:val="en-US"/>
                    </w:rPr>
                    <w:t>的废液通过导流槽进入集液池中，</w:t>
                  </w:r>
                  <w:r>
                    <w:rPr>
                      <w:rFonts w:ascii="Times New Roman" w:hAnsi="Times New Roman" w:cs="Times New Roman"/>
                      <w:color w:val="auto"/>
                      <w:sz w:val="21"/>
                      <w:szCs w:val="21"/>
                      <w:highlight w:val="none"/>
                      <w:lang w:val="en-US"/>
                    </w:rPr>
                    <w:t>采取措施后及时控制，可视为短时泄漏。</w:t>
                  </w:r>
                </w:p>
              </w:tc>
            </w:tr>
          </w:tbl>
          <w:p w14:paraId="077CA18A">
            <w:pPr>
              <w:pStyle w:val="45"/>
              <w:keepNext w:val="0"/>
              <w:keepLines w:val="0"/>
              <w:pageBreakBefore w:val="0"/>
              <w:widowControl w:val="0"/>
              <w:tabs>
                <w:tab w:val="left" w:pos="895"/>
              </w:tabs>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本项目地下水</w:t>
            </w:r>
            <w:r>
              <w:rPr>
                <w:rFonts w:hint="eastAsia" w:ascii="Times New Roman" w:hAnsi="Times New Roman" w:eastAsia="宋体" w:cs="Times New Roman"/>
                <w:color w:val="auto"/>
                <w:sz w:val="24"/>
                <w:szCs w:val="24"/>
                <w:lang w:eastAsia="zh-CN"/>
              </w:rPr>
              <w:t>、土壤</w:t>
            </w:r>
            <w:r>
              <w:rPr>
                <w:rFonts w:hint="default" w:ascii="Times New Roman" w:hAnsi="Times New Roman" w:eastAsia="宋体" w:cs="Times New Roman"/>
                <w:color w:val="auto"/>
                <w:sz w:val="24"/>
                <w:szCs w:val="24"/>
              </w:rPr>
              <w:t>环境影响防治措施按照</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源头控制、分区防控、污染监控、应急响应</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为原则，提出防控措施。</w:t>
            </w:r>
          </w:p>
          <w:p w14:paraId="3A84B095">
            <w:pPr>
              <w:pStyle w:val="45"/>
              <w:keepNext w:val="0"/>
              <w:keepLines w:val="0"/>
              <w:pageBreakBefore w:val="0"/>
              <w:widowControl w:val="0"/>
              <w:tabs>
                <w:tab w:val="left" w:pos="895"/>
              </w:tabs>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a、源头控制 </w:t>
            </w:r>
          </w:p>
          <w:p w14:paraId="05B12862">
            <w:pPr>
              <w:pStyle w:val="45"/>
              <w:keepNext w:val="0"/>
              <w:keepLines w:val="0"/>
              <w:pageBreakBefore w:val="0"/>
              <w:widowControl w:val="0"/>
              <w:tabs>
                <w:tab w:val="left" w:pos="895"/>
              </w:tabs>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对危废暂存库</w:t>
            </w:r>
            <w:r>
              <w:rPr>
                <w:rFonts w:hint="eastAsia" w:ascii="Times New Roman" w:hAnsi="Times New Roman" w:cs="Times New Roman"/>
                <w:color w:val="auto"/>
                <w:sz w:val="24"/>
                <w:szCs w:val="24"/>
                <w:lang w:val="en-US" w:eastAsia="zh-CN"/>
              </w:rPr>
              <w:t>采取</w:t>
            </w:r>
            <w:r>
              <w:rPr>
                <w:rFonts w:hint="default" w:ascii="Times New Roman" w:hAnsi="Times New Roman" w:eastAsia="宋体" w:cs="Times New Roman"/>
                <w:color w:val="auto"/>
                <w:sz w:val="24"/>
                <w:szCs w:val="24"/>
              </w:rPr>
              <w:t>严格防渗措施，减少贮存危险废物的</w:t>
            </w:r>
            <w:r>
              <w:rPr>
                <w:rFonts w:hint="eastAsia" w:ascii="Times New Roman" w:hAnsi="Times New Roman" w:eastAsia="宋体" w:cs="Times New Roman"/>
                <w:color w:val="auto"/>
                <w:sz w:val="24"/>
                <w:szCs w:val="24"/>
                <w:lang w:eastAsia="zh-CN"/>
              </w:rPr>
              <w:t>事故</w:t>
            </w:r>
            <w:r>
              <w:rPr>
                <w:rFonts w:hint="default" w:ascii="Times New Roman" w:hAnsi="Times New Roman" w:eastAsia="宋体" w:cs="Times New Roman"/>
                <w:color w:val="auto"/>
                <w:sz w:val="24"/>
                <w:szCs w:val="24"/>
              </w:rPr>
              <w:t>发生，从源头上控制其污染地下水</w:t>
            </w:r>
            <w:r>
              <w:rPr>
                <w:rFonts w:hint="eastAsia" w:ascii="Times New Roman" w:hAnsi="Times New Roman" w:eastAsia="宋体" w:cs="Times New Roman"/>
                <w:color w:val="auto"/>
                <w:sz w:val="24"/>
                <w:szCs w:val="24"/>
                <w:lang w:eastAsia="zh-CN"/>
              </w:rPr>
              <w:t>、土壤</w:t>
            </w:r>
            <w:r>
              <w:rPr>
                <w:rFonts w:hint="default" w:ascii="Times New Roman" w:hAnsi="Times New Roman" w:eastAsia="宋体" w:cs="Times New Roman"/>
                <w:color w:val="auto"/>
                <w:sz w:val="24"/>
                <w:szCs w:val="24"/>
              </w:rPr>
              <w:t>的可能性。加强</w:t>
            </w:r>
            <w:r>
              <w:rPr>
                <w:rFonts w:hint="eastAsia" w:ascii="Times New Roman" w:hAnsi="Times New Roman" w:eastAsia="宋体" w:cs="Times New Roman"/>
                <w:color w:val="auto"/>
                <w:sz w:val="24"/>
                <w:szCs w:val="24"/>
                <w:lang w:eastAsia="zh-CN"/>
              </w:rPr>
              <w:t>污水处理站运行</w:t>
            </w:r>
            <w:r>
              <w:rPr>
                <w:rFonts w:hint="default" w:ascii="Times New Roman" w:hAnsi="Times New Roman" w:eastAsia="宋体" w:cs="Times New Roman"/>
                <w:color w:val="auto"/>
                <w:sz w:val="24"/>
                <w:szCs w:val="24"/>
              </w:rPr>
              <w:t>管理，降低</w:t>
            </w:r>
            <w:r>
              <w:rPr>
                <w:rFonts w:hint="eastAsia" w:ascii="Times New Roman" w:hAnsi="Times New Roman" w:eastAsia="宋体" w:cs="Times New Roman"/>
                <w:color w:val="auto"/>
                <w:sz w:val="24"/>
                <w:szCs w:val="24"/>
                <w:lang w:eastAsia="zh-CN"/>
              </w:rPr>
              <w:t>废水</w:t>
            </w:r>
            <w:r>
              <w:rPr>
                <w:rFonts w:hint="default" w:ascii="Times New Roman" w:hAnsi="Times New Roman" w:eastAsia="宋体" w:cs="Times New Roman"/>
                <w:color w:val="auto"/>
                <w:sz w:val="24"/>
                <w:szCs w:val="24"/>
              </w:rPr>
              <w:t>泄漏和污染土壤环境的</w:t>
            </w:r>
            <w:r>
              <w:rPr>
                <w:rFonts w:hint="eastAsia" w:ascii="Times New Roman" w:hAnsi="Times New Roman" w:cs="Times New Roman"/>
                <w:color w:val="auto"/>
                <w:sz w:val="24"/>
                <w:szCs w:val="24"/>
                <w:lang w:val="en-US" w:eastAsia="zh-CN"/>
              </w:rPr>
              <w:t>风险</w:t>
            </w:r>
            <w:r>
              <w:rPr>
                <w:rFonts w:hint="default" w:ascii="Times New Roman" w:hAnsi="Times New Roman" w:eastAsia="宋体" w:cs="Times New Roman"/>
                <w:color w:val="auto"/>
                <w:sz w:val="24"/>
                <w:szCs w:val="24"/>
              </w:rPr>
              <w:t>。</w:t>
            </w:r>
          </w:p>
          <w:p w14:paraId="3A2C7222">
            <w:pPr>
              <w:pStyle w:val="45"/>
              <w:keepNext w:val="0"/>
              <w:keepLines w:val="0"/>
              <w:pageBreakBefore w:val="0"/>
              <w:widowControl w:val="0"/>
              <w:tabs>
                <w:tab w:val="left" w:pos="895"/>
              </w:tabs>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b、分区防控 </w:t>
            </w:r>
          </w:p>
          <w:p w14:paraId="13EEC266">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本项目</w:t>
            </w:r>
            <w:r>
              <w:rPr>
                <w:rFonts w:hint="default" w:ascii="Times New Roman" w:hAnsi="Times New Roman" w:eastAsia="宋体" w:cs="Times New Roman"/>
                <w:color w:val="auto"/>
                <w:sz w:val="24"/>
                <w:szCs w:val="24"/>
                <w:lang w:eastAsia="zh-CN"/>
              </w:rPr>
              <w:t>危险废物暂存区</w:t>
            </w:r>
            <w:r>
              <w:rPr>
                <w:rFonts w:hint="default" w:ascii="Times New Roman" w:hAnsi="Times New Roman" w:eastAsia="宋体" w:cs="Times New Roman"/>
                <w:color w:val="auto"/>
                <w:sz w:val="24"/>
                <w:szCs w:val="24"/>
              </w:rPr>
              <w:t>为重点防渗区</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按照《危险废物贮存污染控制标准》（GB 18597—2023）要求进行建设</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提出严格防渗措施</w:t>
            </w:r>
            <w:r>
              <w:rPr>
                <w:rFonts w:hint="default" w:ascii="Times New Roman" w:hAnsi="Times New Roman" w:eastAsia="宋体" w:cs="Times New Roman"/>
                <w:color w:val="auto"/>
                <w:sz w:val="24"/>
                <w:szCs w:val="24"/>
                <w:lang w:eastAsia="zh-CN"/>
              </w:rPr>
              <w:t>。危废暂存库</w:t>
            </w:r>
            <w:r>
              <w:rPr>
                <w:rFonts w:hint="default" w:ascii="Times New Roman" w:hAnsi="Times New Roman" w:eastAsia="宋体" w:cs="Times New Roman"/>
                <w:color w:val="auto"/>
                <w:sz w:val="24"/>
                <w:szCs w:val="24"/>
              </w:rPr>
              <w:t>占地面积为</w:t>
            </w:r>
            <w:r>
              <w:rPr>
                <w:rFonts w:hint="default" w:ascii="Times New Roman" w:hAnsi="Times New Roman" w:eastAsia="宋体" w:cs="Times New Roman"/>
                <w:color w:val="auto"/>
                <w:sz w:val="24"/>
                <w:szCs w:val="24"/>
                <w:lang w:val="en-US" w:eastAsia="zh-CN"/>
              </w:rPr>
              <w:t>21</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，门口设置高30cm门槛，地面及裙脚基础垫层+2mmHDPE膜+环氧砂浆涂层，墙壁防渗防腐衬层高度为50cm，保证构筑物渗透系数</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rPr>
              <w:t>1.0×10</w:t>
            </w:r>
            <w:r>
              <w:rPr>
                <w:rFonts w:hint="default" w:ascii="Times New Roman" w:hAnsi="Times New Roman" w:eastAsia="宋体" w:cs="Times New Roman"/>
                <w:color w:val="auto"/>
                <w:sz w:val="24"/>
                <w:szCs w:val="24"/>
                <w:vertAlign w:val="superscript"/>
              </w:rPr>
              <w:t>-10</w:t>
            </w:r>
            <w:r>
              <w:rPr>
                <w:rFonts w:hint="default" w:ascii="Times New Roman" w:hAnsi="Times New Roman" w:eastAsia="宋体" w:cs="Times New Roman"/>
                <w:color w:val="auto"/>
                <w:sz w:val="24"/>
                <w:szCs w:val="24"/>
              </w:rPr>
              <w:t>cm/s</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防渗材料从入口处铺至库内墙体，施工过程注意地面与墙体接缝处的严密衔接。地面与裙脚要用坚固、防渗的材料建造，建筑材料必须与危险废物相容。设施内要有安全照明设备。</w:t>
            </w:r>
            <w:r>
              <w:rPr>
                <w:rFonts w:hint="default" w:ascii="Times New Roman" w:hAnsi="Times New Roman" w:eastAsia="宋体" w:cs="Times New Roman"/>
                <w:color w:val="auto"/>
                <w:sz w:val="24"/>
                <w:szCs w:val="24"/>
                <w:lang w:eastAsia="zh-CN"/>
              </w:rPr>
              <w:t>危废暂存库配备导流槽宽0.2m、深0.2m，配备1m</w:t>
            </w:r>
            <w:r>
              <w:rPr>
                <w:rFonts w:hint="default" w:ascii="Times New Roman" w:hAnsi="Times New Roman" w:eastAsia="宋体" w:cs="Times New Roman"/>
                <w:color w:val="auto"/>
                <w:sz w:val="24"/>
                <w:szCs w:val="24"/>
                <w:vertAlign w:val="superscript"/>
                <w:lang w:eastAsia="zh-CN"/>
              </w:rPr>
              <w:t>3</w:t>
            </w:r>
            <w:r>
              <w:rPr>
                <w:rFonts w:hint="default" w:ascii="Times New Roman" w:hAnsi="Times New Roman" w:eastAsia="宋体" w:cs="Times New Roman"/>
                <w:color w:val="auto"/>
                <w:sz w:val="24"/>
                <w:szCs w:val="24"/>
                <w:lang w:eastAsia="zh-CN"/>
              </w:rPr>
              <w:t>集液池。</w:t>
            </w:r>
          </w:p>
          <w:p w14:paraId="7A36265E">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firstLine="480" w:firstLineChars="200"/>
              <w:jc w:val="both"/>
              <w:textAlignment w:val="auto"/>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本项目污水处理站为一般防渗区。污水处理站地面采用20cm混凝土防渗层；墙壁防渗防腐衬层高度为50cm，保证构筑物渗透系数</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sz w:val="24"/>
                <w:szCs w:val="24"/>
                <w:lang w:eastAsia="zh-CN"/>
              </w:rPr>
              <w:t>1.0×10</w:t>
            </w:r>
            <w:r>
              <w:rPr>
                <w:rFonts w:hint="eastAsia" w:ascii="Times New Roman" w:hAnsi="Times New Roman" w:eastAsia="宋体" w:cs="Times New Roman"/>
                <w:color w:val="auto"/>
                <w:sz w:val="24"/>
                <w:szCs w:val="24"/>
                <w:vertAlign w:val="superscript"/>
                <w:lang w:eastAsia="zh-CN"/>
              </w:rPr>
              <w:t>-7</w:t>
            </w:r>
            <w:r>
              <w:rPr>
                <w:rFonts w:hint="eastAsia" w:ascii="Times New Roman" w:hAnsi="Times New Roman" w:eastAsia="宋体" w:cs="Times New Roman"/>
                <w:color w:val="auto"/>
                <w:sz w:val="24"/>
                <w:szCs w:val="24"/>
                <w:lang w:eastAsia="zh-CN"/>
              </w:rPr>
              <w:t>cm/s；污水输送管道建立混凝土防渗基础，并布设土工膜。</w:t>
            </w:r>
          </w:p>
          <w:p w14:paraId="4DEC9981">
            <w:pPr>
              <w:keepNext w:val="0"/>
              <w:keepLines w:val="0"/>
              <w:pageBreakBefore w:val="0"/>
              <w:widowControl w:val="0"/>
              <w:kinsoku/>
              <w:wordWrap/>
              <w:overflowPunct/>
              <w:topLinePunct w:val="0"/>
              <w:autoSpaceDE w:val="0"/>
              <w:autoSpaceDN w:val="0"/>
              <w:bidi w:val="0"/>
              <w:adjustRightInd/>
              <w:snapToGrid/>
              <w:spacing w:line="520" w:lineRule="exact"/>
              <w:ind w:firstLine="0" w:firstLineChars="0"/>
              <w:jc w:val="center"/>
              <w:textAlignment w:val="auto"/>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表</w:t>
            </w:r>
            <w:r>
              <w:rPr>
                <w:rFonts w:hint="eastAsia" w:ascii="Times New Roman" w:hAnsi="Times New Roman" w:cs="Times New Roman"/>
                <w:b/>
                <w:bCs/>
                <w:color w:val="auto"/>
                <w:sz w:val="24"/>
                <w:szCs w:val="24"/>
                <w:highlight w:val="none"/>
                <w:lang w:val="en-US" w:eastAsia="zh-CN"/>
              </w:rPr>
              <w:t>4-11</w:t>
            </w:r>
            <w:r>
              <w:rPr>
                <w:rFonts w:hint="eastAsia" w:ascii="Times New Roman" w:hAnsi="Times New Roman" w:cs="Times New Roman"/>
                <w:b/>
                <w:bCs/>
                <w:color w:val="auto"/>
                <w:sz w:val="24"/>
                <w:szCs w:val="24"/>
                <w:highlight w:val="none"/>
                <w:lang w:val="en-US"/>
              </w:rPr>
              <w:t xml:space="preserve">   </w:t>
            </w:r>
            <w:r>
              <w:rPr>
                <w:rFonts w:ascii="Times New Roman" w:hAnsi="Times New Roman" w:cs="Times New Roman"/>
                <w:b/>
                <w:bCs/>
                <w:color w:val="auto"/>
                <w:sz w:val="24"/>
                <w:szCs w:val="24"/>
                <w:highlight w:val="none"/>
              </w:rPr>
              <w:t xml:space="preserve">  </w:t>
            </w:r>
            <w:r>
              <w:rPr>
                <w:rFonts w:hint="eastAsia" w:ascii="Times New Roman" w:hAnsi="Times New Roman" w:cs="Times New Roman"/>
                <w:b/>
                <w:bCs/>
                <w:color w:val="auto"/>
                <w:sz w:val="24"/>
                <w:szCs w:val="24"/>
                <w:highlight w:val="none"/>
              </w:rPr>
              <w:t>项目分区防渗表</w:t>
            </w:r>
          </w:p>
          <w:tbl>
            <w:tblPr>
              <w:tblStyle w:val="48"/>
              <w:tblW w:w="829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09"/>
              <w:gridCol w:w="1177"/>
              <w:gridCol w:w="1146"/>
              <w:gridCol w:w="3690"/>
              <w:gridCol w:w="1875"/>
            </w:tblGrid>
            <w:tr w14:paraId="0A4AB7E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409" w:type="dxa"/>
                  <w:tcBorders>
                    <w:tl2br w:val="nil"/>
                    <w:tr2bl w:val="nil"/>
                  </w:tcBorders>
                  <w:noWrap w:val="0"/>
                  <w:vAlign w:val="center"/>
                </w:tcPr>
                <w:p w14:paraId="74A4FCFF">
                  <w:pPr>
                    <w:pStyle w:val="57"/>
                    <w:keepNext w:val="0"/>
                    <w:keepLines w:val="0"/>
                    <w:pageBreakBefore w:val="0"/>
                    <w:widowControl w:val="0"/>
                    <w:kinsoku/>
                    <w:wordWrap/>
                    <w:overflowPunct/>
                    <w:topLinePunct/>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序号</w:t>
                  </w:r>
                </w:p>
              </w:tc>
              <w:tc>
                <w:tcPr>
                  <w:tcW w:w="1177" w:type="dxa"/>
                  <w:tcBorders>
                    <w:tl2br w:val="nil"/>
                    <w:tr2bl w:val="nil"/>
                  </w:tcBorders>
                  <w:noWrap w:val="0"/>
                  <w:vAlign w:val="center"/>
                </w:tcPr>
                <w:p w14:paraId="498DF8FA">
                  <w:pPr>
                    <w:pStyle w:val="57"/>
                    <w:keepNext w:val="0"/>
                    <w:keepLines w:val="0"/>
                    <w:pageBreakBefore w:val="0"/>
                    <w:widowControl w:val="0"/>
                    <w:kinsoku/>
                    <w:wordWrap/>
                    <w:overflowPunct/>
                    <w:topLinePunct/>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污染防治区</w:t>
                  </w:r>
                </w:p>
              </w:tc>
              <w:tc>
                <w:tcPr>
                  <w:tcW w:w="1146" w:type="dxa"/>
                  <w:tcBorders>
                    <w:tl2br w:val="nil"/>
                    <w:tr2bl w:val="nil"/>
                  </w:tcBorders>
                  <w:noWrap w:val="0"/>
                  <w:vAlign w:val="center"/>
                </w:tcPr>
                <w:p w14:paraId="7DFBBCE4">
                  <w:pPr>
                    <w:pStyle w:val="57"/>
                    <w:keepNext w:val="0"/>
                    <w:keepLines w:val="0"/>
                    <w:pageBreakBefore w:val="0"/>
                    <w:widowControl w:val="0"/>
                    <w:kinsoku/>
                    <w:wordWrap/>
                    <w:overflowPunct/>
                    <w:topLinePunct/>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分区</w:t>
                  </w:r>
                </w:p>
              </w:tc>
              <w:tc>
                <w:tcPr>
                  <w:tcW w:w="3690" w:type="dxa"/>
                  <w:tcBorders>
                    <w:tl2br w:val="nil"/>
                    <w:tr2bl w:val="nil"/>
                  </w:tcBorders>
                  <w:noWrap w:val="0"/>
                  <w:vAlign w:val="center"/>
                </w:tcPr>
                <w:p w14:paraId="407AF971">
                  <w:pPr>
                    <w:pStyle w:val="57"/>
                    <w:keepNext w:val="0"/>
                    <w:keepLines w:val="0"/>
                    <w:pageBreakBefore w:val="0"/>
                    <w:widowControl w:val="0"/>
                    <w:kinsoku/>
                    <w:wordWrap/>
                    <w:overflowPunct/>
                    <w:topLinePunct/>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防渗措施</w:t>
                  </w:r>
                </w:p>
              </w:tc>
              <w:tc>
                <w:tcPr>
                  <w:tcW w:w="1875" w:type="dxa"/>
                  <w:tcBorders>
                    <w:tl2br w:val="nil"/>
                    <w:tr2bl w:val="nil"/>
                  </w:tcBorders>
                  <w:noWrap w:val="0"/>
                  <w:vAlign w:val="center"/>
                </w:tcPr>
                <w:p w14:paraId="42F65405">
                  <w:pPr>
                    <w:pStyle w:val="57"/>
                    <w:keepNext w:val="0"/>
                    <w:keepLines w:val="0"/>
                    <w:pageBreakBefore w:val="0"/>
                    <w:widowControl w:val="0"/>
                    <w:kinsoku/>
                    <w:wordWrap/>
                    <w:overflowPunct/>
                    <w:topLinePunct/>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防渗技术要求</w:t>
                  </w:r>
                </w:p>
              </w:tc>
            </w:tr>
            <w:tr w14:paraId="64E7D6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409" w:type="dxa"/>
                  <w:tcBorders>
                    <w:tl2br w:val="nil"/>
                    <w:tr2bl w:val="nil"/>
                  </w:tcBorders>
                  <w:noWrap w:val="0"/>
                  <w:vAlign w:val="center"/>
                </w:tcPr>
                <w:p w14:paraId="6ADA28BF">
                  <w:pPr>
                    <w:keepNext w:val="0"/>
                    <w:keepLines w:val="0"/>
                    <w:pageBreakBefore w:val="0"/>
                    <w:widowControl w:val="0"/>
                    <w:kinsoku/>
                    <w:wordWrap/>
                    <w:overflowPunct/>
                    <w:topLinePunct/>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1</w:t>
                  </w:r>
                </w:p>
              </w:tc>
              <w:tc>
                <w:tcPr>
                  <w:tcW w:w="1177" w:type="dxa"/>
                  <w:tcBorders>
                    <w:tl2br w:val="nil"/>
                    <w:tr2bl w:val="nil"/>
                  </w:tcBorders>
                  <w:noWrap w:val="0"/>
                  <w:vAlign w:val="center"/>
                </w:tcPr>
                <w:p w14:paraId="10DF5570">
                  <w:pPr>
                    <w:pStyle w:val="57"/>
                    <w:keepNext w:val="0"/>
                    <w:keepLines w:val="0"/>
                    <w:pageBreakBefore w:val="0"/>
                    <w:widowControl w:val="0"/>
                    <w:kinsoku/>
                    <w:wordWrap/>
                    <w:overflowPunct/>
                    <w:topLinePunct/>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重点防渗区</w:t>
                  </w:r>
                </w:p>
              </w:tc>
              <w:tc>
                <w:tcPr>
                  <w:tcW w:w="1146" w:type="dxa"/>
                  <w:tcBorders>
                    <w:tl2br w:val="nil"/>
                    <w:tr2bl w:val="nil"/>
                  </w:tcBorders>
                  <w:noWrap w:val="0"/>
                  <w:vAlign w:val="center"/>
                </w:tcPr>
                <w:p w14:paraId="0A88DAEA">
                  <w:pPr>
                    <w:pStyle w:val="57"/>
                    <w:keepNext w:val="0"/>
                    <w:keepLines w:val="0"/>
                    <w:pageBreakBefore w:val="0"/>
                    <w:widowControl w:val="0"/>
                    <w:kinsoku/>
                    <w:wordWrap/>
                    <w:overflowPunct/>
                    <w:topLinePunct/>
                    <w:autoSpaceDE/>
                    <w:autoSpaceDN/>
                    <w:bidi w:val="0"/>
                    <w:adjustRightInd/>
                    <w:snapToGrid/>
                    <w:spacing w:line="360" w:lineRule="exact"/>
                    <w:ind w:left="0" w:right="0" w:firstLine="0"/>
                    <w:jc w:val="center"/>
                    <w:textAlignment w:val="auto"/>
                    <w:rPr>
                      <w:rFonts w:hint="eastAsia" w:ascii="Times New Roman" w:hAnsi="Times New Roman" w:eastAsia="宋体" w:cs="Times New Roman"/>
                      <w:color w:val="auto"/>
                      <w:spacing w:val="0"/>
                      <w:position w:val="0"/>
                      <w:sz w:val="21"/>
                      <w:szCs w:val="21"/>
                      <w:lang w:eastAsia="zh-CN"/>
                    </w:rPr>
                  </w:pPr>
                  <w:r>
                    <w:rPr>
                      <w:rFonts w:hint="eastAsia" w:ascii="Times New Roman" w:hAnsi="Times New Roman" w:eastAsia="宋体" w:cs="Times New Roman"/>
                      <w:color w:val="auto"/>
                      <w:spacing w:val="0"/>
                      <w:position w:val="0"/>
                      <w:sz w:val="21"/>
                      <w:szCs w:val="21"/>
                      <w:lang w:eastAsia="zh-CN"/>
                    </w:rPr>
                    <w:t>危废暂存库</w:t>
                  </w:r>
                </w:p>
              </w:tc>
              <w:tc>
                <w:tcPr>
                  <w:tcW w:w="3690" w:type="dxa"/>
                  <w:tcBorders>
                    <w:tl2br w:val="nil"/>
                    <w:tr2bl w:val="nil"/>
                  </w:tcBorders>
                  <w:noWrap w:val="0"/>
                  <w:vAlign w:val="center"/>
                </w:tcPr>
                <w:p w14:paraId="6E5E27B6">
                  <w:pPr>
                    <w:pStyle w:val="57"/>
                    <w:keepNext w:val="0"/>
                    <w:keepLines w:val="0"/>
                    <w:pageBreakBefore w:val="0"/>
                    <w:widowControl w:val="0"/>
                    <w:kinsoku/>
                    <w:wordWrap/>
                    <w:overflowPunct/>
                    <w:topLinePunct/>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地面及裙脚基础垫层+2mmHDPE膜+环氧砂浆涂层，墙壁防渗防腐衬层高度为50cm，保证构筑物渗透系数不大于1.0×10</w:t>
                  </w:r>
                  <w:r>
                    <w:rPr>
                      <w:rFonts w:hint="default" w:ascii="Times New Roman" w:hAnsi="Times New Roman" w:eastAsia="宋体" w:cs="Times New Roman"/>
                      <w:color w:val="auto"/>
                      <w:spacing w:val="0"/>
                      <w:position w:val="0"/>
                      <w:sz w:val="21"/>
                      <w:szCs w:val="21"/>
                      <w:vertAlign w:val="superscript"/>
                    </w:rPr>
                    <w:t>-10</w:t>
                  </w:r>
                  <w:r>
                    <w:rPr>
                      <w:rFonts w:hint="default" w:ascii="Times New Roman" w:hAnsi="Times New Roman" w:eastAsia="宋体" w:cs="Times New Roman"/>
                      <w:color w:val="auto"/>
                      <w:spacing w:val="0"/>
                      <w:position w:val="0"/>
                      <w:sz w:val="21"/>
                      <w:szCs w:val="21"/>
                    </w:rPr>
                    <w:t>cm/s</w:t>
                  </w:r>
                </w:p>
              </w:tc>
              <w:tc>
                <w:tcPr>
                  <w:tcW w:w="1875" w:type="dxa"/>
                  <w:tcBorders>
                    <w:tl2br w:val="nil"/>
                    <w:tr2bl w:val="nil"/>
                  </w:tcBorders>
                  <w:noWrap w:val="0"/>
                  <w:vAlign w:val="center"/>
                </w:tcPr>
                <w:p w14:paraId="288138CE">
                  <w:pPr>
                    <w:pStyle w:val="57"/>
                    <w:keepNext w:val="0"/>
                    <w:keepLines w:val="0"/>
                    <w:pageBreakBefore w:val="0"/>
                    <w:widowControl w:val="0"/>
                    <w:kinsoku/>
                    <w:wordWrap/>
                    <w:overflowPunct/>
                    <w:topLinePunct/>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等效黏土防渗层Mb≥6.0，渗透系数K≤1× 10-</w:t>
                  </w:r>
                  <w:r>
                    <w:rPr>
                      <w:rFonts w:hint="eastAsia" w:ascii="Times New Roman" w:hAnsi="Times New Roman" w:eastAsia="宋体" w:cs="Times New Roman"/>
                      <w:color w:val="auto"/>
                      <w:spacing w:val="0"/>
                      <w:position w:val="0"/>
                      <w:sz w:val="21"/>
                      <w:szCs w:val="21"/>
                      <w:vertAlign w:val="superscript"/>
                      <w:lang w:val="en-US" w:eastAsia="zh-CN"/>
                    </w:rPr>
                    <w:t>10</w:t>
                  </w:r>
                  <w:r>
                    <w:rPr>
                      <w:rFonts w:hint="default" w:ascii="Times New Roman" w:hAnsi="Times New Roman" w:eastAsia="宋体" w:cs="Times New Roman"/>
                      <w:color w:val="auto"/>
                      <w:spacing w:val="0"/>
                      <w:position w:val="0"/>
                      <w:sz w:val="21"/>
                      <w:szCs w:val="21"/>
                    </w:rPr>
                    <w:t>cm/s</w:t>
                  </w:r>
                </w:p>
              </w:tc>
            </w:tr>
            <w:tr w14:paraId="3F2E4E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409" w:type="dxa"/>
                  <w:tcBorders>
                    <w:tl2br w:val="nil"/>
                    <w:tr2bl w:val="nil"/>
                  </w:tcBorders>
                  <w:noWrap w:val="0"/>
                  <w:vAlign w:val="center"/>
                </w:tcPr>
                <w:p w14:paraId="260598DE">
                  <w:pPr>
                    <w:keepNext w:val="0"/>
                    <w:keepLines w:val="0"/>
                    <w:pageBreakBefore w:val="0"/>
                    <w:widowControl w:val="0"/>
                    <w:kinsoku/>
                    <w:wordWrap/>
                    <w:overflowPunct/>
                    <w:topLinePunct/>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2</w:t>
                  </w:r>
                </w:p>
              </w:tc>
              <w:tc>
                <w:tcPr>
                  <w:tcW w:w="1177" w:type="dxa"/>
                  <w:tcBorders>
                    <w:tl2br w:val="nil"/>
                    <w:tr2bl w:val="nil"/>
                  </w:tcBorders>
                  <w:noWrap w:val="0"/>
                  <w:vAlign w:val="center"/>
                </w:tcPr>
                <w:p w14:paraId="1870627A">
                  <w:pPr>
                    <w:pStyle w:val="57"/>
                    <w:keepNext w:val="0"/>
                    <w:keepLines w:val="0"/>
                    <w:pageBreakBefore w:val="0"/>
                    <w:widowControl w:val="0"/>
                    <w:kinsoku/>
                    <w:wordWrap/>
                    <w:overflowPunct/>
                    <w:topLinePunct/>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一般防渗区</w:t>
                  </w:r>
                </w:p>
              </w:tc>
              <w:tc>
                <w:tcPr>
                  <w:tcW w:w="1146" w:type="dxa"/>
                  <w:tcBorders>
                    <w:tl2br w:val="nil"/>
                    <w:tr2bl w:val="nil"/>
                  </w:tcBorders>
                  <w:noWrap w:val="0"/>
                  <w:vAlign w:val="center"/>
                </w:tcPr>
                <w:p w14:paraId="12626A83">
                  <w:pPr>
                    <w:pStyle w:val="57"/>
                    <w:keepNext w:val="0"/>
                    <w:keepLines w:val="0"/>
                    <w:pageBreakBefore w:val="0"/>
                    <w:widowControl w:val="0"/>
                    <w:kinsoku/>
                    <w:wordWrap/>
                    <w:overflowPunct/>
                    <w:topLinePunct/>
                    <w:autoSpaceDE/>
                    <w:autoSpaceDN/>
                    <w:bidi w:val="0"/>
                    <w:adjustRightInd/>
                    <w:snapToGrid/>
                    <w:spacing w:line="360" w:lineRule="exact"/>
                    <w:ind w:left="0" w:right="0" w:firstLine="0"/>
                    <w:jc w:val="center"/>
                    <w:textAlignment w:val="auto"/>
                    <w:rPr>
                      <w:rFonts w:hint="eastAsia" w:ascii="Times New Roman" w:hAnsi="Times New Roman" w:eastAsia="宋体" w:cs="Times New Roman"/>
                      <w:color w:val="auto"/>
                      <w:spacing w:val="0"/>
                      <w:position w:val="0"/>
                      <w:sz w:val="21"/>
                      <w:szCs w:val="21"/>
                      <w:lang w:eastAsia="zh-CN"/>
                    </w:rPr>
                  </w:pPr>
                  <w:r>
                    <w:rPr>
                      <w:rFonts w:hint="eastAsia" w:ascii="Times New Roman" w:hAnsi="Times New Roman" w:eastAsia="宋体" w:cs="Times New Roman"/>
                      <w:color w:val="auto"/>
                      <w:spacing w:val="0"/>
                      <w:position w:val="0"/>
                      <w:sz w:val="21"/>
                      <w:szCs w:val="21"/>
                      <w:lang w:eastAsia="zh-CN"/>
                    </w:rPr>
                    <w:t>污水处理站</w:t>
                  </w:r>
                </w:p>
              </w:tc>
              <w:tc>
                <w:tcPr>
                  <w:tcW w:w="3690" w:type="dxa"/>
                  <w:tcBorders>
                    <w:tl2br w:val="nil"/>
                    <w:tr2bl w:val="nil"/>
                  </w:tcBorders>
                  <w:noWrap w:val="0"/>
                  <w:vAlign w:val="center"/>
                </w:tcPr>
                <w:p w14:paraId="089E498C">
                  <w:pPr>
                    <w:pStyle w:val="57"/>
                    <w:keepNext w:val="0"/>
                    <w:keepLines w:val="0"/>
                    <w:pageBreakBefore w:val="0"/>
                    <w:widowControl w:val="0"/>
                    <w:kinsoku/>
                    <w:wordWrap/>
                    <w:overflowPunct/>
                    <w:topLinePunct/>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地面采用20cm混凝土防渗层；墙壁防渗防腐衬层高度为50cm</w:t>
                  </w:r>
                </w:p>
              </w:tc>
              <w:tc>
                <w:tcPr>
                  <w:tcW w:w="1875" w:type="dxa"/>
                  <w:tcBorders>
                    <w:tl2br w:val="nil"/>
                    <w:tr2bl w:val="nil"/>
                  </w:tcBorders>
                  <w:noWrap w:val="0"/>
                  <w:vAlign w:val="center"/>
                </w:tcPr>
                <w:p w14:paraId="0A8D1CBD">
                  <w:pPr>
                    <w:pStyle w:val="57"/>
                    <w:keepNext w:val="0"/>
                    <w:keepLines w:val="0"/>
                    <w:pageBreakBefore w:val="0"/>
                    <w:widowControl w:val="0"/>
                    <w:kinsoku/>
                    <w:wordWrap/>
                    <w:overflowPunct/>
                    <w:topLinePunct/>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等效黏土防渗层Mb≥1.5 ，渗透系数K≤1× 10</w:t>
                  </w:r>
                  <w:r>
                    <w:rPr>
                      <w:rFonts w:hint="default" w:ascii="Times New Roman" w:hAnsi="Times New Roman" w:eastAsia="宋体" w:cs="Times New Roman"/>
                      <w:color w:val="auto"/>
                      <w:spacing w:val="0"/>
                      <w:position w:val="0"/>
                      <w:sz w:val="21"/>
                      <w:szCs w:val="21"/>
                      <w:vertAlign w:val="superscript"/>
                    </w:rPr>
                    <w:t>-7</w:t>
                  </w:r>
                  <w:r>
                    <w:rPr>
                      <w:rFonts w:hint="default" w:ascii="Times New Roman" w:hAnsi="Times New Roman" w:eastAsia="宋体" w:cs="Times New Roman"/>
                      <w:color w:val="auto"/>
                      <w:spacing w:val="0"/>
                      <w:position w:val="0"/>
                      <w:sz w:val="21"/>
                      <w:szCs w:val="21"/>
                    </w:rPr>
                    <w:t>cm/s</w:t>
                  </w:r>
                </w:p>
              </w:tc>
            </w:tr>
          </w:tbl>
          <w:p w14:paraId="153757A0">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c、污染监控</w:t>
            </w:r>
          </w:p>
          <w:p w14:paraId="79379327">
            <w:pPr>
              <w:pStyle w:val="45"/>
              <w:keepNext w:val="0"/>
              <w:keepLines w:val="0"/>
              <w:pageBreakBefore w:val="0"/>
              <w:widowControl w:val="0"/>
              <w:tabs>
                <w:tab w:val="left" w:pos="895"/>
              </w:tabs>
              <w:kinsoku/>
              <w:wordWrap/>
              <w:overflowPunct/>
              <w:topLinePunct/>
              <w:autoSpaceDE/>
              <w:autoSpaceDN/>
              <w:bidi w:val="0"/>
              <w:adjustRightInd/>
              <w:snapToGrid/>
              <w:spacing w:line="520" w:lineRule="exact"/>
              <w:ind w:firstLine="480" w:firstLineChars="200"/>
              <w:jc w:val="both"/>
              <w:textAlignment w:val="auto"/>
              <w:rPr>
                <w:rFonts w:ascii="Times New Roman" w:hAnsi="Times New Roman" w:cs="Times New Roman"/>
                <w:b/>
                <w:bCs/>
                <w:color w:val="auto"/>
                <w:sz w:val="24"/>
                <w:szCs w:val="24"/>
                <w:lang w:val="en-US"/>
              </w:rPr>
            </w:pPr>
            <w:r>
              <w:rPr>
                <w:rFonts w:hint="default" w:ascii="Times New Roman" w:hAnsi="Times New Roman" w:eastAsia="宋体" w:cs="Times New Roman"/>
                <w:color w:val="auto"/>
                <w:sz w:val="24"/>
                <w:szCs w:val="24"/>
              </w:rPr>
              <w:t>本项目为医院建设项目，采取分区防渗，</w:t>
            </w:r>
            <w:r>
              <w:rPr>
                <w:rFonts w:hint="eastAsia" w:ascii="Times New Roman" w:hAnsi="Times New Roman" w:cs="Times New Roman"/>
                <w:color w:val="auto"/>
                <w:sz w:val="24"/>
                <w:szCs w:val="24"/>
                <w:lang w:eastAsia="zh-CN"/>
              </w:rPr>
              <w:t>危废暂存间采</w:t>
            </w:r>
            <w:r>
              <w:rPr>
                <w:rFonts w:hint="default" w:ascii="Times New Roman" w:hAnsi="Times New Roman" w:eastAsia="宋体" w:cs="Times New Roman"/>
                <w:color w:val="auto"/>
                <w:sz w:val="24"/>
                <w:szCs w:val="24"/>
              </w:rPr>
              <w:t>取重点防渗，污水处理站采取一般防渗，正常情况下，项目不会污染土壤、地下水。因此，本次土壤、地下水不开展跟踪监测。</w:t>
            </w:r>
          </w:p>
          <w:p w14:paraId="3AC3941E">
            <w:pPr>
              <w:pStyle w:val="45"/>
              <w:keepNext w:val="0"/>
              <w:keepLines w:val="0"/>
              <w:pageBreakBefore w:val="0"/>
              <w:widowControl w:val="0"/>
              <w:numPr>
                <w:ilvl w:val="0"/>
                <w:numId w:val="0"/>
              </w:numPr>
              <w:kinsoku/>
              <w:wordWrap/>
              <w:overflowPunct/>
              <w:topLinePunct/>
              <w:autoSpaceDE/>
              <w:autoSpaceDN/>
              <w:bidi w:val="0"/>
              <w:spacing w:line="520" w:lineRule="exact"/>
              <w:ind w:firstLine="482" w:firstLineChars="200"/>
              <w:jc w:val="both"/>
              <w:textAlignment w:val="auto"/>
              <w:rPr>
                <w:rFonts w:ascii="Times New Roman" w:hAnsi="Times New Roman" w:cs="Times New Roman"/>
                <w:b/>
                <w:bCs/>
                <w:color w:val="auto"/>
                <w:sz w:val="24"/>
                <w:szCs w:val="24"/>
                <w:lang w:val="en-US"/>
              </w:rPr>
            </w:pPr>
            <w:r>
              <w:rPr>
                <w:rFonts w:hint="eastAsia" w:ascii="Times New Roman" w:hAnsi="Times New Roman" w:cs="Times New Roman"/>
                <w:b/>
                <w:bCs/>
                <w:color w:val="auto"/>
                <w:sz w:val="24"/>
                <w:szCs w:val="24"/>
                <w:lang w:val="en-US" w:eastAsia="zh-CN" w:bidi="zh-CN"/>
              </w:rPr>
              <w:t>6</w:t>
            </w:r>
            <w:r>
              <w:rPr>
                <w:rFonts w:ascii="Times New Roman" w:hAnsi="Times New Roman" w:eastAsia="宋体" w:cs="Times New Roman"/>
                <w:b/>
                <w:bCs/>
                <w:color w:val="auto"/>
                <w:sz w:val="24"/>
                <w:szCs w:val="24"/>
                <w:lang w:val="en-US" w:eastAsia="zh-CN" w:bidi="zh-CN"/>
              </w:rPr>
              <w:t>、</w:t>
            </w:r>
            <w:r>
              <w:rPr>
                <w:rFonts w:hint="eastAsia"/>
                <w:b/>
                <w:bCs/>
                <w:color w:val="auto"/>
                <w:sz w:val="24"/>
                <w:szCs w:val="24"/>
                <w:lang w:val="en-US"/>
              </w:rPr>
              <w:t>环境风险分析</w:t>
            </w:r>
          </w:p>
          <w:p w14:paraId="53824CAD">
            <w:pPr>
              <w:pStyle w:val="57"/>
              <w:keepNext w:val="0"/>
              <w:keepLines w:val="0"/>
              <w:pageBreakBefore w:val="0"/>
              <w:widowControl w:val="0"/>
              <w:kinsoku/>
              <w:wordWrap/>
              <w:overflowPunct/>
              <w:topLinePunct/>
              <w:autoSpaceDE/>
              <w:autoSpaceDN/>
              <w:bidi w:val="0"/>
              <w:adjustRightInd/>
              <w:snapToGrid/>
              <w:spacing w:line="520" w:lineRule="exact"/>
              <w:ind w:left="0" w:right="0" w:firstLine="468" w:firstLineChars="200"/>
              <w:jc w:val="both"/>
              <w:textAlignment w:val="auto"/>
              <w:rPr>
                <w:rFonts w:hint="default" w:ascii="Times New Roman" w:hAnsi="Times New Roman" w:cs="Times New Roman"/>
                <w:color w:val="auto"/>
                <w:spacing w:val="-3"/>
              </w:rPr>
            </w:pPr>
            <w:r>
              <w:rPr>
                <w:rFonts w:hint="default" w:ascii="Times New Roman" w:hAnsi="Times New Roman" w:cs="Times New Roman"/>
                <w:color w:val="auto"/>
                <w:spacing w:val="-3"/>
              </w:rPr>
              <w:t>（1）风险调查</w:t>
            </w:r>
          </w:p>
          <w:p w14:paraId="18E771FB">
            <w:pPr>
              <w:pStyle w:val="57"/>
              <w:keepNext w:val="0"/>
              <w:keepLines w:val="0"/>
              <w:pageBreakBefore w:val="0"/>
              <w:widowControl w:val="0"/>
              <w:kinsoku/>
              <w:wordWrap/>
              <w:overflowPunct/>
              <w:topLinePunct/>
              <w:autoSpaceDE/>
              <w:autoSpaceDN/>
              <w:bidi w:val="0"/>
              <w:adjustRightInd/>
              <w:snapToGrid/>
              <w:spacing w:line="520" w:lineRule="exact"/>
              <w:ind w:left="0" w:right="0" w:firstLine="468" w:firstLineChars="200"/>
              <w:jc w:val="both"/>
              <w:textAlignment w:val="auto"/>
              <w:rPr>
                <w:rFonts w:ascii="Times New Roman" w:hAnsi="Times New Roman"/>
                <w:bCs/>
                <w:color w:val="auto"/>
                <w:sz w:val="24"/>
                <w:szCs w:val="24"/>
              </w:rPr>
            </w:pPr>
            <w:r>
              <w:rPr>
                <w:color w:val="auto"/>
                <w:spacing w:val="-3"/>
              </w:rPr>
              <w:t>本项目为医院项目，无有毒有害的生产工艺过程，主要危险物质来自</w:t>
            </w:r>
            <w:r>
              <w:rPr>
                <w:rFonts w:hint="default" w:ascii="Times New Roman" w:hAnsi="Times New Roman" w:cs="Times New Roman"/>
                <w:color w:val="auto"/>
                <w:spacing w:val="-3"/>
              </w:rPr>
              <w:t>化学性废物中包含废弃过氧乙酸等化学消毒剂</w:t>
            </w:r>
            <w:r>
              <w:rPr>
                <w:rFonts w:hint="eastAsia" w:ascii="Times New Roman" w:hAnsi="Times New Roman" w:cs="Times New Roman"/>
                <w:color w:val="auto"/>
                <w:spacing w:val="-3"/>
                <w:lang w:eastAsia="zh-CN"/>
              </w:rPr>
              <w:t>、</w:t>
            </w:r>
            <w:r>
              <w:rPr>
                <w:color w:val="auto"/>
                <w:spacing w:val="-3"/>
              </w:rPr>
              <w:t>乙醇医疗消毒及福尔马林溶液、盐酸等。</w:t>
            </w:r>
            <w:r>
              <w:rPr>
                <w:rFonts w:ascii="Times New Roman" w:hAnsi="Times New Roman"/>
                <w:bCs/>
                <w:color w:val="auto"/>
                <w:sz w:val="24"/>
                <w:szCs w:val="24"/>
              </w:rPr>
              <w:t>本项目风险源主要是</w:t>
            </w:r>
            <w:r>
              <w:rPr>
                <w:rFonts w:hint="eastAsia" w:ascii="Times New Roman" w:hAnsi="Times New Roman"/>
                <w:color w:val="auto"/>
                <w:sz w:val="24"/>
                <w:szCs w:val="24"/>
              </w:rPr>
              <w:t>乙醇</w:t>
            </w:r>
            <w:r>
              <w:rPr>
                <w:rFonts w:hint="eastAsia" w:ascii="Times New Roman" w:hAnsi="Times New Roman"/>
                <w:color w:val="auto"/>
                <w:sz w:val="24"/>
                <w:szCs w:val="24"/>
                <w:lang w:eastAsia="zh-CN"/>
              </w:rPr>
              <w:t>、</w:t>
            </w:r>
            <w:r>
              <w:rPr>
                <w:rFonts w:hint="eastAsia" w:ascii="Times New Roman" w:hAnsi="Times New Roman"/>
                <w:color w:val="auto"/>
                <w:sz w:val="24"/>
                <w:szCs w:val="24"/>
              </w:rPr>
              <w:t>环氧乙烷</w:t>
            </w:r>
            <w:r>
              <w:rPr>
                <w:rFonts w:hint="eastAsia" w:ascii="Times New Roman" w:hAnsi="Times New Roman"/>
                <w:color w:val="auto"/>
                <w:sz w:val="24"/>
                <w:szCs w:val="24"/>
                <w:lang w:eastAsia="zh-CN"/>
              </w:rPr>
              <w:t>、</w:t>
            </w:r>
            <w:r>
              <w:rPr>
                <w:rFonts w:hint="eastAsia" w:ascii="Times New Roman" w:hAnsi="Times New Roman"/>
                <w:color w:val="auto"/>
                <w:sz w:val="24"/>
                <w:szCs w:val="24"/>
              </w:rPr>
              <w:t>甲醛</w:t>
            </w:r>
            <w:r>
              <w:rPr>
                <w:rFonts w:hint="eastAsia" w:ascii="Times New Roman" w:hAnsi="Times New Roman"/>
                <w:color w:val="auto"/>
                <w:sz w:val="24"/>
                <w:szCs w:val="24"/>
                <w:lang w:eastAsia="zh-CN"/>
              </w:rPr>
              <w:t>、</w:t>
            </w:r>
            <w:r>
              <w:rPr>
                <w:rFonts w:hint="eastAsia" w:ascii="Times New Roman" w:hAnsi="Times New Roman"/>
                <w:color w:val="auto"/>
                <w:sz w:val="24"/>
                <w:szCs w:val="24"/>
              </w:rPr>
              <w:t>37%盐酸</w:t>
            </w:r>
            <w:r>
              <w:rPr>
                <w:rFonts w:hint="eastAsia" w:ascii="Times New Roman" w:hAnsi="Times New Roman"/>
                <w:color w:val="auto"/>
                <w:sz w:val="24"/>
                <w:szCs w:val="24"/>
                <w:lang w:eastAsia="zh-CN"/>
              </w:rPr>
              <w:t>、过氧乙酸</w:t>
            </w:r>
            <w:r>
              <w:rPr>
                <w:rFonts w:ascii="Times New Roman" w:hAnsi="Times New Roman"/>
                <w:bCs/>
                <w:color w:val="auto"/>
                <w:sz w:val="24"/>
                <w:szCs w:val="24"/>
              </w:rPr>
              <w:t>。</w:t>
            </w:r>
          </w:p>
          <w:p w14:paraId="00866B51">
            <w:pPr>
              <w:keepNext w:val="0"/>
              <w:keepLines w:val="0"/>
              <w:pageBreakBefore w:val="0"/>
              <w:widowControl w:val="0"/>
              <w:kinsoku/>
              <w:wordWrap/>
              <w:overflowPunct/>
              <w:topLinePunct/>
              <w:autoSpaceDE/>
              <w:autoSpaceDN/>
              <w:bidi w:val="0"/>
              <w:adjustRightInd w:val="0"/>
              <w:snapToGrid w:val="0"/>
              <w:spacing w:line="520" w:lineRule="exact"/>
              <w:ind w:firstLine="480" w:firstLineChars="200"/>
              <w:jc w:val="both"/>
              <w:textAlignment w:val="auto"/>
              <w:rPr>
                <w:rFonts w:ascii="Times New Roman" w:hAnsi="Times New Roman"/>
                <w:bCs/>
                <w:color w:val="auto"/>
                <w:sz w:val="24"/>
                <w:szCs w:val="24"/>
              </w:rPr>
            </w:pPr>
            <w:r>
              <w:rPr>
                <w:rFonts w:hint="eastAsia" w:ascii="Times New Roman" w:hAnsi="Times New Roman"/>
                <w:bCs/>
                <w:color w:val="auto"/>
                <w:sz w:val="24"/>
                <w:szCs w:val="24"/>
              </w:rPr>
              <w:t>（</w:t>
            </w:r>
            <w:r>
              <w:rPr>
                <w:rFonts w:hint="eastAsia" w:ascii="Times New Roman" w:hAnsi="Times New Roman"/>
                <w:bCs/>
                <w:color w:val="auto"/>
                <w:sz w:val="24"/>
                <w:szCs w:val="24"/>
                <w:lang w:val="en-US"/>
              </w:rPr>
              <w:t>2</w:t>
            </w:r>
            <w:r>
              <w:rPr>
                <w:rFonts w:hint="eastAsia" w:ascii="Times New Roman" w:hAnsi="Times New Roman"/>
                <w:bCs/>
                <w:color w:val="auto"/>
                <w:sz w:val="24"/>
                <w:szCs w:val="24"/>
              </w:rPr>
              <w:t>）</w:t>
            </w:r>
            <w:r>
              <w:rPr>
                <w:rFonts w:ascii="Times New Roman" w:hAnsi="Times New Roman"/>
                <w:bCs/>
                <w:color w:val="auto"/>
                <w:sz w:val="24"/>
                <w:szCs w:val="24"/>
              </w:rPr>
              <w:t>环境风险潜势初判</w:t>
            </w:r>
          </w:p>
          <w:p w14:paraId="4CCDBF27">
            <w:pPr>
              <w:keepNext w:val="0"/>
              <w:keepLines w:val="0"/>
              <w:pageBreakBefore w:val="0"/>
              <w:widowControl w:val="0"/>
              <w:kinsoku/>
              <w:wordWrap/>
              <w:overflowPunct/>
              <w:topLinePunct/>
              <w:autoSpaceDE/>
              <w:autoSpaceDN/>
              <w:bidi w:val="0"/>
              <w:adjustRightInd w:val="0"/>
              <w:snapToGrid w:val="0"/>
              <w:spacing w:line="520" w:lineRule="exact"/>
              <w:ind w:firstLine="480" w:firstLineChars="200"/>
              <w:jc w:val="both"/>
              <w:textAlignment w:val="auto"/>
              <w:rPr>
                <w:rFonts w:ascii="Times New Roman" w:hAnsi="Times New Roman"/>
                <w:bCs/>
                <w:color w:val="auto"/>
                <w:sz w:val="24"/>
                <w:szCs w:val="24"/>
              </w:rPr>
            </w:pPr>
            <w:r>
              <w:rPr>
                <w:rFonts w:hint="eastAsia" w:ascii="Times New Roman" w:hAnsi="Times New Roman"/>
                <w:bCs/>
                <w:color w:val="auto"/>
                <w:sz w:val="24"/>
                <w:szCs w:val="24"/>
              </w:rPr>
              <w:t>对照《建设项目环境风险评价技术导则》（HJ169-2018）附录 B ，</w:t>
            </w:r>
            <w:r>
              <w:rPr>
                <w:rFonts w:ascii="Times New Roman" w:hAnsi="Times New Roman"/>
                <w:bCs/>
                <w:color w:val="auto"/>
                <w:sz w:val="24"/>
                <w:szCs w:val="24"/>
              </w:rPr>
              <w:t>本项目涉及的主要危险物质为</w:t>
            </w:r>
            <w:r>
              <w:rPr>
                <w:rFonts w:hint="eastAsia" w:ascii="Times New Roman" w:hAnsi="Times New Roman"/>
                <w:bCs/>
                <w:color w:val="auto"/>
                <w:sz w:val="24"/>
                <w:szCs w:val="24"/>
              </w:rPr>
              <w:t>乙醇、环氧乙烷、甲醛、37%盐酸、过氧乙酸</w:t>
            </w:r>
            <w:r>
              <w:rPr>
                <w:rFonts w:ascii="Times New Roman" w:hAnsi="Times New Roman"/>
                <w:bCs/>
                <w:color w:val="auto"/>
                <w:sz w:val="24"/>
                <w:szCs w:val="24"/>
              </w:rPr>
              <w:t>。根据《建设项目环境风险</w:t>
            </w:r>
            <w:r>
              <w:rPr>
                <w:rFonts w:hint="eastAsia" w:ascii="Times New Roman" w:hAnsi="Times New Roman"/>
                <w:bCs/>
                <w:color w:val="auto"/>
                <w:sz w:val="24"/>
                <w:szCs w:val="24"/>
                <w:lang w:val="en-US"/>
              </w:rPr>
              <w:t>评</w:t>
            </w:r>
            <w:r>
              <w:rPr>
                <w:rFonts w:ascii="Times New Roman" w:hAnsi="Times New Roman"/>
                <w:bCs/>
                <w:color w:val="auto"/>
                <w:sz w:val="24"/>
                <w:szCs w:val="24"/>
              </w:rPr>
              <w:t>价技术导则》（H169-2018）表B.1、表B.2和《危险化学品重大危险源辨识》（GB18218-2018）中规定的临界量P的分级确定，按下式计算物质总量与其临界量比值（Q）。</w:t>
            </w:r>
          </w:p>
          <w:p w14:paraId="66267266">
            <w:pPr>
              <w:keepNext w:val="0"/>
              <w:keepLines w:val="0"/>
              <w:pageBreakBefore w:val="0"/>
              <w:widowControl w:val="0"/>
              <w:kinsoku/>
              <w:wordWrap/>
              <w:overflowPunct/>
              <w:topLinePunct/>
              <w:autoSpaceDE/>
              <w:autoSpaceDN/>
              <w:bidi w:val="0"/>
              <w:adjustRightInd w:val="0"/>
              <w:snapToGrid w:val="0"/>
              <w:spacing w:line="240" w:lineRule="auto"/>
              <w:ind w:firstLine="0" w:firstLineChars="0"/>
              <w:jc w:val="center"/>
              <w:textAlignment w:val="auto"/>
              <w:rPr>
                <w:rFonts w:ascii="Times New Roman" w:hAnsi="Times New Roman"/>
                <w:bCs/>
                <w:color w:val="auto"/>
                <w:sz w:val="24"/>
                <w:szCs w:val="24"/>
              </w:rPr>
            </w:pPr>
            <w:r>
              <w:rPr>
                <w:rFonts w:hint="default" w:ascii="Times New Roman" w:hAnsi="Times New Roman" w:eastAsia="宋体" w:cs="Times New Roman"/>
                <w:color w:val="auto"/>
                <w:sz w:val="24"/>
                <w:szCs w:val="24"/>
              </w:rPr>
              <w:drawing>
                <wp:inline distT="0" distB="0" distL="114300" distR="114300">
                  <wp:extent cx="1471295" cy="507365"/>
                  <wp:effectExtent l="0" t="0" r="14605" b="6985"/>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pic:cNvPicPr>
                        </pic:nvPicPr>
                        <pic:blipFill>
                          <a:blip r:embed="rId25"/>
                          <a:stretch>
                            <a:fillRect/>
                          </a:stretch>
                        </pic:blipFill>
                        <pic:spPr>
                          <a:xfrm>
                            <a:off x="0" y="0"/>
                            <a:ext cx="1471295" cy="507365"/>
                          </a:xfrm>
                          <a:prstGeom prst="rect">
                            <a:avLst/>
                          </a:prstGeom>
                          <a:noFill/>
                          <a:ln>
                            <a:noFill/>
                          </a:ln>
                        </pic:spPr>
                      </pic:pic>
                    </a:graphicData>
                  </a:graphic>
                </wp:inline>
              </w:drawing>
            </w:r>
          </w:p>
          <w:p w14:paraId="52B8C458">
            <w:pPr>
              <w:keepNext w:val="0"/>
              <w:keepLines w:val="0"/>
              <w:pageBreakBefore w:val="0"/>
              <w:widowControl w:val="0"/>
              <w:kinsoku/>
              <w:wordWrap/>
              <w:overflowPunct/>
              <w:topLinePunct/>
              <w:autoSpaceDE/>
              <w:autoSpaceDN/>
              <w:bidi w:val="0"/>
              <w:adjustRightInd w:val="0"/>
              <w:snapToGrid w:val="0"/>
              <w:spacing w:line="520" w:lineRule="exact"/>
              <w:ind w:firstLine="480" w:firstLineChars="200"/>
              <w:textAlignment w:val="auto"/>
              <w:rPr>
                <w:rFonts w:ascii="Times New Roman" w:hAnsi="Times New Roman"/>
                <w:bCs/>
                <w:color w:val="auto"/>
                <w:sz w:val="24"/>
                <w:szCs w:val="24"/>
              </w:rPr>
            </w:pPr>
            <w:r>
              <w:rPr>
                <w:rFonts w:ascii="Times New Roman" w:hAnsi="Times New Roman"/>
                <w:bCs/>
                <w:color w:val="auto"/>
                <w:sz w:val="24"/>
                <w:szCs w:val="24"/>
              </w:rPr>
              <w:t>式中：q</w:t>
            </w:r>
            <w:r>
              <w:rPr>
                <w:rFonts w:ascii="Times New Roman" w:hAnsi="Times New Roman"/>
                <w:bCs/>
                <w:color w:val="auto"/>
                <w:sz w:val="24"/>
                <w:szCs w:val="24"/>
                <w:vertAlign w:val="subscript"/>
              </w:rPr>
              <w:t>1</w:t>
            </w:r>
            <w:r>
              <w:rPr>
                <w:rFonts w:ascii="Times New Roman" w:hAnsi="Times New Roman"/>
                <w:bCs/>
                <w:color w:val="auto"/>
                <w:sz w:val="24"/>
                <w:szCs w:val="24"/>
              </w:rPr>
              <w:t>、q</w:t>
            </w:r>
            <w:r>
              <w:rPr>
                <w:rFonts w:ascii="Times New Roman" w:hAnsi="Times New Roman"/>
                <w:bCs/>
                <w:color w:val="auto"/>
                <w:sz w:val="24"/>
                <w:szCs w:val="24"/>
                <w:vertAlign w:val="subscript"/>
              </w:rPr>
              <w:t>2</w:t>
            </w:r>
            <w:r>
              <w:rPr>
                <w:rFonts w:ascii="Times New Roman" w:hAnsi="Times New Roman"/>
                <w:bCs/>
                <w:color w:val="auto"/>
                <w:sz w:val="24"/>
                <w:szCs w:val="24"/>
              </w:rPr>
              <w:t>···q</w:t>
            </w:r>
            <w:r>
              <w:rPr>
                <w:rFonts w:ascii="Times New Roman" w:hAnsi="Times New Roman"/>
                <w:bCs/>
                <w:color w:val="auto"/>
                <w:sz w:val="24"/>
                <w:szCs w:val="24"/>
                <w:vertAlign w:val="subscript"/>
              </w:rPr>
              <w:t>n</w:t>
            </w:r>
            <w:r>
              <w:rPr>
                <w:rFonts w:ascii="Times New Roman" w:hAnsi="Times New Roman"/>
                <w:bCs/>
                <w:color w:val="auto"/>
                <w:sz w:val="24"/>
                <w:szCs w:val="24"/>
              </w:rPr>
              <w:t>—每种危险物质的最大存在量，t；</w:t>
            </w:r>
          </w:p>
          <w:p w14:paraId="15A861FB">
            <w:pPr>
              <w:keepNext w:val="0"/>
              <w:keepLines w:val="0"/>
              <w:pageBreakBefore w:val="0"/>
              <w:widowControl w:val="0"/>
              <w:kinsoku/>
              <w:wordWrap/>
              <w:overflowPunct/>
              <w:topLinePunct/>
              <w:autoSpaceDE/>
              <w:autoSpaceDN/>
              <w:bidi w:val="0"/>
              <w:adjustRightInd w:val="0"/>
              <w:snapToGrid w:val="0"/>
              <w:spacing w:line="520" w:lineRule="exact"/>
              <w:ind w:firstLine="1200" w:firstLineChars="500"/>
              <w:textAlignment w:val="auto"/>
              <w:rPr>
                <w:rFonts w:ascii="Times New Roman" w:hAnsi="Times New Roman"/>
                <w:bCs/>
                <w:color w:val="auto"/>
                <w:sz w:val="24"/>
                <w:szCs w:val="24"/>
              </w:rPr>
            </w:pPr>
            <w:r>
              <w:rPr>
                <w:rFonts w:ascii="Times New Roman" w:hAnsi="Times New Roman"/>
                <w:bCs/>
                <w:color w:val="auto"/>
                <w:sz w:val="24"/>
                <w:szCs w:val="24"/>
              </w:rPr>
              <w:t>Q</w:t>
            </w:r>
            <w:r>
              <w:rPr>
                <w:rFonts w:ascii="Times New Roman" w:hAnsi="Times New Roman"/>
                <w:bCs/>
                <w:color w:val="auto"/>
                <w:sz w:val="24"/>
                <w:szCs w:val="24"/>
                <w:vertAlign w:val="subscript"/>
              </w:rPr>
              <w:t>1</w:t>
            </w:r>
            <w:r>
              <w:rPr>
                <w:rFonts w:ascii="Times New Roman" w:hAnsi="Times New Roman"/>
                <w:bCs/>
                <w:color w:val="auto"/>
                <w:sz w:val="24"/>
                <w:szCs w:val="24"/>
              </w:rPr>
              <w:t>、Q</w:t>
            </w:r>
            <w:r>
              <w:rPr>
                <w:rFonts w:ascii="Times New Roman" w:hAnsi="Times New Roman"/>
                <w:bCs/>
                <w:color w:val="auto"/>
                <w:sz w:val="24"/>
                <w:szCs w:val="24"/>
                <w:vertAlign w:val="subscript"/>
              </w:rPr>
              <w:t>2</w:t>
            </w:r>
            <w:r>
              <w:rPr>
                <w:rFonts w:ascii="Times New Roman" w:hAnsi="Times New Roman"/>
                <w:bCs/>
                <w:color w:val="auto"/>
                <w:sz w:val="24"/>
                <w:szCs w:val="24"/>
              </w:rPr>
              <w:t>···Q</w:t>
            </w:r>
            <w:r>
              <w:rPr>
                <w:rFonts w:ascii="Times New Roman" w:hAnsi="Times New Roman"/>
                <w:bCs/>
                <w:color w:val="auto"/>
                <w:sz w:val="24"/>
                <w:szCs w:val="24"/>
                <w:vertAlign w:val="subscript"/>
              </w:rPr>
              <w:t>n</w:t>
            </w:r>
            <w:r>
              <w:rPr>
                <w:rFonts w:ascii="Times New Roman" w:hAnsi="Times New Roman"/>
                <w:bCs/>
                <w:color w:val="auto"/>
                <w:sz w:val="24"/>
                <w:szCs w:val="24"/>
              </w:rPr>
              <w:t>—与各种危险物质</w:t>
            </w:r>
            <w:r>
              <w:rPr>
                <w:rFonts w:hint="eastAsia" w:ascii="Times New Roman" w:hAnsi="Times New Roman"/>
                <w:bCs/>
                <w:color w:val="auto"/>
                <w:sz w:val="24"/>
                <w:szCs w:val="24"/>
                <w:lang w:val="en-US" w:eastAsia="zh-CN"/>
              </w:rPr>
              <w:t>相</w:t>
            </w:r>
            <w:r>
              <w:rPr>
                <w:rFonts w:ascii="Times New Roman" w:hAnsi="Times New Roman"/>
                <w:bCs/>
                <w:color w:val="auto"/>
                <w:sz w:val="24"/>
                <w:szCs w:val="24"/>
              </w:rPr>
              <w:t>对应的临界量，t。</w:t>
            </w:r>
          </w:p>
          <w:p w14:paraId="04AA13E1">
            <w:pPr>
              <w:keepNext w:val="0"/>
              <w:keepLines w:val="0"/>
              <w:pageBreakBefore w:val="0"/>
              <w:widowControl w:val="0"/>
              <w:kinsoku/>
              <w:wordWrap/>
              <w:overflowPunct/>
              <w:topLinePunct/>
              <w:autoSpaceDE/>
              <w:autoSpaceDN/>
              <w:bidi w:val="0"/>
              <w:adjustRightInd w:val="0"/>
              <w:snapToGrid w:val="0"/>
              <w:spacing w:line="520" w:lineRule="exact"/>
              <w:ind w:firstLine="1200" w:firstLineChars="500"/>
              <w:textAlignment w:val="auto"/>
              <w:rPr>
                <w:rFonts w:ascii="Times New Roman" w:hAnsi="Times New Roman"/>
                <w:bCs/>
                <w:color w:val="auto"/>
                <w:sz w:val="24"/>
                <w:szCs w:val="24"/>
              </w:rPr>
            </w:pPr>
            <w:r>
              <w:rPr>
                <w:rFonts w:ascii="Times New Roman" w:hAnsi="Times New Roman"/>
                <w:bCs/>
                <w:color w:val="auto"/>
                <w:sz w:val="24"/>
                <w:szCs w:val="24"/>
              </w:rPr>
              <w:t>当Q＜1时，该项目环境风险潜势为</w:t>
            </w:r>
            <w:r>
              <w:rPr>
                <w:rFonts w:ascii="Times New Roman" w:hAnsi="Times New Roman"/>
                <w:bCs/>
                <w:color w:val="auto"/>
                <w:sz w:val="24"/>
                <w:szCs w:val="24"/>
              </w:rPr>
              <w:fldChar w:fldCharType="begin"/>
            </w:r>
            <w:r>
              <w:rPr>
                <w:rFonts w:ascii="Times New Roman" w:hAnsi="Times New Roman"/>
                <w:bCs/>
                <w:color w:val="auto"/>
                <w:sz w:val="24"/>
                <w:szCs w:val="24"/>
              </w:rPr>
              <w:instrText xml:space="preserve"> = 1 \* ROMAN </w:instrText>
            </w:r>
            <w:r>
              <w:rPr>
                <w:rFonts w:ascii="Times New Roman" w:hAnsi="Times New Roman"/>
                <w:bCs/>
                <w:color w:val="auto"/>
                <w:sz w:val="24"/>
                <w:szCs w:val="24"/>
              </w:rPr>
              <w:fldChar w:fldCharType="separate"/>
            </w:r>
            <w:r>
              <w:rPr>
                <w:rFonts w:ascii="Times New Roman" w:hAnsi="Times New Roman"/>
                <w:bCs/>
                <w:color w:val="auto"/>
                <w:sz w:val="24"/>
                <w:szCs w:val="24"/>
              </w:rPr>
              <w:t>I</w:t>
            </w:r>
            <w:r>
              <w:rPr>
                <w:rFonts w:ascii="Times New Roman" w:hAnsi="Times New Roman"/>
                <w:bCs/>
                <w:color w:val="auto"/>
                <w:sz w:val="24"/>
                <w:szCs w:val="24"/>
              </w:rPr>
              <w:fldChar w:fldCharType="end"/>
            </w:r>
            <w:r>
              <w:rPr>
                <w:rFonts w:ascii="Times New Roman" w:hAnsi="Times New Roman"/>
                <w:bCs/>
                <w:color w:val="auto"/>
                <w:sz w:val="24"/>
                <w:szCs w:val="24"/>
              </w:rPr>
              <w:t>。</w:t>
            </w:r>
          </w:p>
          <w:p w14:paraId="3C7019F8">
            <w:pPr>
              <w:keepNext w:val="0"/>
              <w:keepLines w:val="0"/>
              <w:pageBreakBefore w:val="0"/>
              <w:widowControl w:val="0"/>
              <w:kinsoku/>
              <w:wordWrap/>
              <w:overflowPunct/>
              <w:topLinePunct/>
              <w:autoSpaceDE/>
              <w:autoSpaceDN/>
              <w:bidi w:val="0"/>
              <w:adjustRightInd w:val="0"/>
              <w:snapToGrid w:val="0"/>
              <w:spacing w:line="520" w:lineRule="exact"/>
              <w:ind w:firstLine="480" w:firstLineChars="200"/>
              <w:textAlignment w:val="auto"/>
              <w:rPr>
                <w:rFonts w:ascii="Times New Roman" w:hAnsi="Times New Roman"/>
                <w:bCs/>
                <w:color w:val="auto"/>
                <w:sz w:val="24"/>
                <w:szCs w:val="24"/>
              </w:rPr>
            </w:pPr>
            <w:r>
              <w:rPr>
                <w:rFonts w:ascii="Times New Roman" w:hAnsi="Times New Roman"/>
                <w:bCs/>
                <w:color w:val="auto"/>
                <w:sz w:val="24"/>
                <w:szCs w:val="24"/>
              </w:rPr>
              <w:t>当Q≥1时，将值划分为：（1）1≤Q＜10；（2）10≤Q＜100；（3）Q≥100。</w:t>
            </w:r>
          </w:p>
          <w:p w14:paraId="5C090186">
            <w:pPr>
              <w:pStyle w:val="46"/>
              <w:spacing w:line="520" w:lineRule="exact"/>
              <w:jc w:val="center"/>
              <w:rPr>
                <w:rFonts w:ascii="Times New Roman" w:hAnsi="Times New Roman" w:cs="Times New Roman"/>
                <w:b/>
                <w:color w:val="auto"/>
                <w:kern w:val="24"/>
              </w:rPr>
            </w:pPr>
            <w:r>
              <w:rPr>
                <w:rFonts w:ascii="Times New Roman" w:hAnsi="Times New Roman" w:cs="Times New Roman"/>
                <w:b/>
                <w:color w:val="auto"/>
                <w:kern w:val="24"/>
              </w:rPr>
              <w:t>表</w:t>
            </w:r>
            <w:r>
              <w:rPr>
                <w:rFonts w:hint="eastAsia" w:ascii="Times New Roman" w:hAnsi="Times New Roman" w:cs="Times New Roman"/>
                <w:b/>
                <w:color w:val="auto"/>
                <w:kern w:val="24"/>
              </w:rPr>
              <w:t>4-</w:t>
            </w:r>
            <w:r>
              <w:rPr>
                <w:rFonts w:hint="eastAsia" w:ascii="Times New Roman" w:hAnsi="Times New Roman" w:cs="Times New Roman"/>
                <w:b/>
                <w:color w:val="auto"/>
                <w:kern w:val="24"/>
                <w:lang w:val="en-US" w:eastAsia="zh-CN"/>
              </w:rPr>
              <w:t>12</w:t>
            </w:r>
            <w:r>
              <w:rPr>
                <w:rFonts w:hint="eastAsia" w:ascii="Times New Roman" w:hAnsi="Times New Roman" w:cs="Times New Roman"/>
                <w:b/>
                <w:color w:val="auto"/>
                <w:kern w:val="24"/>
              </w:rPr>
              <w:t xml:space="preserve">      </w:t>
            </w:r>
            <w:r>
              <w:rPr>
                <w:rFonts w:ascii="Times New Roman" w:hAnsi="Times New Roman" w:cs="Times New Roman"/>
                <w:b/>
                <w:color w:val="auto"/>
                <w:kern w:val="24"/>
              </w:rPr>
              <w:t>危险废物数量与临界量比值</w:t>
            </w:r>
          </w:p>
          <w:tbl>
            <w:tblPr>
              <w:tblStyle w:val="20"/>
              <w:tblW w:w="489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24"/>
              <w:gridCol w:w="1286"/>
              <w:gridCol w:w="1508"/>
              <w:gridCol w:w="1775"/>
              <w:gridCol w:w="1286"/>
              <w:gridCol w:w="1375"/>
            </w:tblGrid>
            <w:tr w14:paraId="1621A5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6" w:type="dxa"/>
                  <w:noWrap w:val="0"/>
                  <w:vAlign w:val="center"/>
                </w:tcPr>
                <w:p w14:paraId="02F732A6">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序号</w:t>
                  </w:r>
                </w:p>
              </w:tc>
              <w:tc>
                <w:tcPr>
                  <w:tcW w:w="1501" w:type="dxa"/>
                  <w:noWrap w:val="0"/>
                  <w:vAlign w:val="center"/>
                </w:tcPr>
                <w:p w14:paraId="59C86A5E">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auto"/>
                    <w:rPr>
                      <w:rFonts w:hint="default" w:ascii="Times New Roman" w:hAnsi="Times New Roman" w:eastAsia="宋体" w:cs="Times New Roman"/>
                      <w:bCs/>
                      <w:color w:val="auto"/>
                      <w:sz w:val="21"/>
                      <w:szCs w:val="21"/>
                      <w:lang w:val="zh-CN" w:eastAsia="zh-CN" w:bidi="zh-CN"/>
                    </w:rPr>
                  </w:pPr>
                  <w:r>
                    <w:rPr>
                      <w:rFonts w:hint="default" w:ascii="Times New Roman" w:hAnsi="Times New Roman" w:eastAsia="宋体" w:cs="Times New Roman"/>
                      <w:bCs/>
                      <w:color w:val="auto"/>
                      <w:sz w:val="21"/>
                      <w:szCs w:val="21"/>
                    </w:rPr>
                    <w:t>危险物质</w:t>
                  </w:r>
                </w:p>
              </w:tc>
              <w:tc>
                <w:tcPr>
                  <w:tcW w:w="1760" w:type="dxa"/>
                  <w:noWrap w:val="0"/>
                  <w:vAlign w:val="center"/>
                </w:tcPr>
                <w:p w14:paraId="3A41C3DC">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 w:val="0"/>
                      <w:bCs w:val="0"/>
                      <w:color w:val="auto"/>
                      <w:sz w:val="21"/>
                      <w:szCs w:val="21"/>
                    </w:rPr>
                    <w:t>CAS</w:t>
                  </w:r>
                  <w:r>
                    <w:rPr>
                      <w:rFonts w:hint="default" w:ascii="Times New Roman" w:hAnsi="Times New Roman" w:eastAsia="宋体" w:cs="Times New Roman"/>
                      <w:b w:val="0"/>
                      <w:bCs w:val="0"/>
                      <w:color w:val="auto"/>
                      <w:spacing w:val="17"/>
                      <w:sz w:val="21"/>
                      <w:szCs w:val="21"/>
                    </w:rPr>
                    <w:t xml:space="preserve"> </w:t>
                  </w:r>
                  <w:r>
                    <w:rPr>
                      <w:rFonts w:hint="default" w:ascii="Times New Roman" w:hAnsi="Times New Roman" w:eastAsia="宋体" w:cs="Times New Roman"/>
                      <w:b w:val="0"/>
                      <w:bCs w:val="0"/>
                      <w:color w:val="auto"/>
                      <w:spacing w:val="10"/>
                      <w:sz w:val="21"/>
                      <w:szCs w:val="21"/>
                    </w:rPr>
                    <w:t>号</w:t>
                  </w:r>
                </w:p>
              </w:tc>
              <w:tc>
                <w:tcPr>
                  <w:tcW w:w="2074" w:type="dxa"/>
                  <w:noWrap w:val="0"/>
                  <w:vAlign w:val="center"/>
                </w:tcPr>
                <w:p w14:paraId="2FD3CB09">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最大储存量（t）</w:t>
                  </w:r>
                </w:p>
              </w:tc>
              <w:tc>
                <w:tcPr>
                  <w:tcW w:w="1502" w:type="dxa"/>
                  <w:noWrap w:val="0"/>
                  <w:vAlign w:val="center"/>
                </w:tcPr>
                <w:p w14:paraId="620A729A">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临界量（t）</w:t>
                  </w:r>
                </w:p>
              </w:tc>
              <w:tc>
                <w:tcPr>
                  <w:tcW w:w="1605" w:type="dxa"/>
                  <w:noWrap w:val="0"/>
                  <w:vAlign w:val="center"/>
                </w:tcPr>
                <w:p w14:paraId="6EB70E90">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Q</w:t>
                  </w:r>
                </w:p>
              </w:tc>
            </w:tr>
            <w:tr w14:paraId="4C705E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6" w:type="dxa"/>
                  <w:noWrap w:val="0"/>
                  <w:vAlign w:val="center"/>
                </w:tcPr>
                <w:p w14:paraId="32E17F14">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w:t>
                  </w:r>
                </w:p>
              </w:tc>
              <w:tc>
                <w:tcPr>
                  <w:tcW w:w="1501" w:type="dxa"/>
                  <w:noWrap w:val="0"/>
                  <w:vAlign w:val="center"/>
                </w:tcPr>
                <w:p w14:paraId="5DD5416A">
                  <w:pPr>
                    <w:pStyle w:val="57"/>
                    <w:keepNext w:val="0"/>
                    <w:keepLines w:val="0"/>
                    <w:pageBreakBefore w:val="0"/>
                    <w:widowControl w:val="0"/>
                    <w:kinsoku/>
                    <w:wordWrap/>
                    <w:overflowPunct/>
                    <w:topLinePunct w:val="0"/>
                    <w:autoSpaceDE w:val="0"/>
                    <w:autoSpaceDN w:val="0"/>
                    <w:bidi w:val="0"/>
                    <w:spacing w:line="360" w:lineRule="exact"/>
                    <w:ind w:left="0" w:leftChars="0"/>
                    <w:jc w:val="center"/>
                    <w:textAlignment w:val="auto"/>
                    <w:rPr>
                      <w:rFonts w:hint="default" w:ascii="Times New Roman" w:hAnsi="Times New Roman" w:eastAsia="宋体" w:cs="Times New Roman"/>
                      <w:bCs/>
                      <w:color w:val="auto"/>
                      <w:sz w:val="21"/>
                      <w:szCs w:val="21"/>
                      <w:lang w:val="en-US" w:eastAsia="en-US" w:bidi="ar-SA"/>
                    </w:rPr>
                  </w:pPr>
                  <w:r>
                    <w:rPr>
                      <w:rFonts w:hint="default" w:ascii="Times New Roman" w:hAnsi="Times New Roman" w:eastAsia="宋体" w:cs="Times New Roman"/>
                      <w:color w:val="auto"/>
                      <w:spacing w:val="-6"/>
                      <w:sz w:val="21"/>
                      <w:szCs w:val="21"/>
                    </w:rPr>
                    <w:t>乙醇</w:t>
                  </w:r>
                </w:p>
              </w:tc>
              <w:tc>
                <w:tcPr>
                  <w:tcW w:w="1760" w:type="dxa"/>
                  <w:noWrap w:val="0"/>
                  <w:vAlign w:val="center"/>
                </w:tcPr>
                <w:p w14:paraId="3BD3CB33">
                  <w:pPr>
                    <w:keepNext w:val="0"/>
                    <w:keepLines w:val="0"/>
                    <w:pageBreakBefore w:val="0"/>
                    <w:widowControl w:val="0"/>
                    <w:kinsoku/>
                    <w:wordWrap/>
                    <w:overflowPunct/>
                    <w:topLinePunct w:val="0"/>
                    <w:autoSpaceDE w:val="0"/>
                    <w:autoSpaceDN w:val="0"/>
                    <w:bidi w:val="0"/>
                    <w:spacing w:line="360" w:lineRule="exact"/>
                    <w:ind w:left="0" w:leftChars="0"/>
                    <w:jc w:val="center"/>
                    <w:textAlignment w:val="auto"/>
                    <w:rPr>
                      <w:rFonts w:hint="default" w:ascii="Times New Roman" w:hAnsi="Times New Roman" w:eastAsia="宋体" w:cs="Times New Roman"/>
                      <w:color w:val="auto"/>
                      <w:sz w:val="21"/>
                      <w:szCs w:val="21"/>
                      <w:lang w:val="zh-CN" w:eastAsia="zh-CN" w:bidi="zh-CN"/>
                    </w:rPr>
                  </w:pPr>
                  <w:r>
                    <w:rPr>
                      <w:rFonts w:hint="default" w:ascii="Times New Roman" w:hAnsi="Times New Roman" w:eastAsia="宋体" w:cs="Times New Roman"/>
                      <w:color w:val="auto"/>
                      <w:spacing w:val="-1"/>
                      <w:sz w:val="21"/>
                      <w:szCs w:val="21"/>
                    </w:rPr>
                    <w:t>64-</w:t>
                  </w:r>
                  <w:r>
                    <w:rPr>
                      <w:rFonts w:hint="default" w:ascii="Times New Roman" w:hAnsi="Times New Roman" w:eastAsia="宋体" w:cs="Times New Roman"/>
                      <w:color w:val="auto"/>
                      <w:spacing w:val="-23"/>
                      <w:sz w:val="21"/>
                      <w:szCs w:val="21"/>
                    </w:rPr>
                    <w:t xml:space="preserve"> </w:t>
                  </w:r>
                  <w:r>
                    <w:rPr>
                      <w:rFonts w:hint="default" w:ascii="Times New Roman" w:hAnsi="Times New Roman" w:eastAsia="宋体" w:cs="Times New Roman"/>
                      <w:color w:val="auto"/>
                      <w:spacing w:val="-1"/>
                      <w:sz w:val="21"/>
                      <w:szCs w:val="21"/>
                    </w:rPr>
                    <w:t>17-5</w:t>
                  </w:r>
                </w:p>
              </w:tc>
              <w:tc>
                <w:tcPr>
                  <w:tcW w:w="2074" w:type="dxa"/>
                  <w:noWrap w:val="0"/>
                  <w:vAlign w:val="center"/>
                </w:tcPr>
                <w:p w14:paraId="42DDBC9A">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auto"/>
                    <w:rPr>
                      <w:rFonts w:hint="default" w:ascii="Times New Roman" w:hAnsi="Times New Roman" w:eastAsia="宋体" w:cs="Times New Roman"/>
                      <w:bCs/>
                      <w:color w:val="auto"/>
                      <w:sz w:val="21"/>
                      <w:szCs w:val="21"/>
                      <w:lang w:val="en-US"/>
                    </w:rPr>
                  </w:pPr>
                  <w:r>
                    <w:rPr>
                      <w:rFonts w:hint="eastAsia" w:ascii="Times New Roman" w:hAnsi="Times New Roman" w:eastAsia="宋体" w:cs="Times New Roman"/>
                      <w:bCs/>
                      <w:color w:val="auto"/>
                      <w:sz w:val="21"/>
                      <w:szCs w:val="21"/>
                      <w:lang w:val="en-US" w:eastAsia="zh-CN"/>
                    </w:rPr>
                    <w:t>1</w:t>
                  </w:r>
                </w:p>
              </w:tc>
              <w:tc>
                <w:tcPr>
                  <w:tcW w:w="1502" w:type="dxa"/>
                  <w:noWrap w:val="0"/>
                  <w:vAlign w:val="center"/>
                </w:tcPr>
                <w:p w14:paraId="26C837F1">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500</w:t>
                  </w:r>
                </w:p>
              </w:tc>
              <w:tc>
                <w:tcPr>
                  <w:tcW w:w="1605" w:type="dxa"/>
                  <w:noWrap w:val="0"/>
                  <w:vAlign w:val="center"/>
                </w:tcPr>
                <w:p w14:paraId="65419823">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0.002</w:t>
                  </w:r>
                </w:p>
              </w:tc>
            </w:tr>
            <w:tr w14:paraId="445BA8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6" w:type="dxa"/>
                  <w:noWrap w:val="0"/>
                  <w:vAlign w:val="center"/>
                </w:tcPr>
                <w:p w14:paraId="44E53175">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1501" w:type="dxa"/>
                  <w:noWrap w:val="0"/>
                  <w:vAlign w:val="center"/>
                </w:tcPr>
                <w:p w14:paraId="0DB7EEA6">
                  <w:pPr>
                    <w:pStyle w:val="57"/>
                    <w:keepNext w:val="0"/>
                    <w:keepLines w:val="0"/>
                    <w:pageBreakBefore w:val="0"/>
                    <w:widowControl w:val="0"/>
                    <w:kinsoku/>
                    <w:wordWrap/>
                    <w:overflowPunct/>
                    <w:topLinePunct w:val="0"/>
                    <w:autoSpaceDE w:val="0"/>
                    <w:autoSpaceDN w:val="0"/>
                    <w:bidi w:val="0"/>
                    <w:spacing w:line="360" w:lineRule="exact"/>
                    <w:ind w:left="0" w:left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pacing w:val="7"/>
                      <w:sz w:val="21"/>
                      <w:szCs w:val="21"/>
                    </w:rPr>
                    <w:t>环氧乙烷</w:t>
                  </w:r>
                </w:p>
              </w:tc>
              <w:tc>
                <w:tcPr>
                  <w:tcW w:w="1760" w:type="dxa"/>
                  <w:noWrap w:val="0"/>
                  <w:vAlign w:val="center"/>
                </w:tcPr>
                <w:p w14:paraId="10102932">
                  <w:pPr>
                    <w:keepNext w:val="0"/>
                    <w:keepLines w:val="0"/>
                    <w:pageBreakBefore w:val="0"/>
                    <w:widowControl w:val="0"/>
                    <w:kinsoku/>
                    <w:wordWrap/>
                    <w:overflowPunct/>
                    <w:topLinePunct w:val="0"/>
                    <w:autoSpaceDE w:val="0"/>
                    <w:autoSpaceDN w:val="0"/>
                    <w:bidi w:val="0"/>
                    <w:spacing w:line="360" w:lineRule="exact"/>
                    <w:ind w:left="0" w:leftChars="0"/>
                    <w:jc w:val="center"/>
                    <w:textAlignment w:val="auto"/>
                    <w:rPr>
                      <w:rFonts w:hint="default" w:ascii="Times New Roman" w:hAnsi="Times New Roman" w:eastAsia="宋体" w:cs="Times New Roman"/>
                      <w:color w:val="auto"/>
                      <w:sz w:val="21"/>
                      <w:szCs w:val="21"/>
                      <w:lang w:val="zh-CN" w:eastAsia="zh-CN" w:bidi="zh-CN"/>
                    </w:rPr>
                  </w:pPr>
                  <w:r>
                    <w:rPr>
                      <w:rFonts w:hint="default" w:ascii="Times New Roman" w:hAnsi="Times New Roman" w:eastAsia="宋体" w:cs="Times New Roman"/>
                      <w:color w:val="auto"/>
                      <w:spacing w:val="3"/>
                      <w:sz w:val="21"/>
                      <w:szCs w:val="21"/>
                    </w:rPr>
                    <w:t>75-21-8</w:t>
                  </w:r>
                </w:p>
              </w:tc>
              <w:tc>
                <w:tcPr>
                  <w:tcW w:w="2074" w:type="dxa"/>
                  <w:noWrap w:val="0"/>
                  <w:vAlign w:val="top"/>
                </w:tcPr>
                <w:p w14:paraId="4E49CDE0">
                  <w:pPr>
                    <w:keepNext w:val="0"/>
                    <w:keepLines w:val="0"/>
                    <w:pageBreakBefore w:val="0"/>
                    <w:widowControl w:val="0"/>
                    <w:kinsoku/>
                    <w:wordWrap/>
                    <w:overflowPunct/>
                    <w:topLinePunct w:val="0"/>
                    <w:autoSpaceDE w:val="0"/>
                    <w:autoSpaceDN w:val="0"/>
                    <w:bidi w:val="0"/>
                    <w:adjustRightInd/>
                    <w:snapToGrid/>
                    <w:spacing w:line="360" w:lineRule="exact"/>
                    <w:ind w:left="0" w:left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pacing w:val="2"/>
                      <w:sz w:val="21"/>
                      <w:szCs w:val="21"/>
                      <w:lang w:val="en-US" w:eastAsia="zh-CN"/>
                    </w:rPr>
                    <w:t>0.05</w:t>
                  </w:r>
                </w:p>
              </w:tc>
              <w:tc>
                <w:tcPr>
                  <w:tcW w:w="1502" w:type="dxa"/>
                  <w:noWrap w:val="0"/>
                  <w:vAlign w:val="top"/>
                </w:tcPr>
                <w:p w14:paraId="3422DEB9">
                  <w:pPr>
                    <w:keepNext w:val="0"/>
                    <w:keepLines w:val="0"/>
                    <w:pageBreakBefore w:val="0"/>
                    <w:widowControl w:val="0"/>
                    <w:kinsoku/>
                    <w:wordWrap/>
                    <w:overflowPunct/>
                    <w:topLinePunct w:val="0"/>
                    <w:autoSpaceDE w:val="0"/>
                    <w:autoSpaceDN w:val="0"/>
                    <w:bidi w:val="0"/>
                    <w:adjustRightInd/>
                    <w:snapToGrid/>
                    <w:spacing w:line="360" w:lineRule="exact"/>
                    <w:ind w:left="0" w:left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pacing w:val="1"/>
                      <w:sz w:val="21"/>
                      <w:szCs w:val="21"/>
                    </w:rPr>
                    <w:t>7.5</w:t>
                  </w:r>
                </w:p>
              </w:tc>
              <w:tc>
                <w:tcPr>
                  <w:tcW w:w="1605" w:type="dxa"/>
                  <w:noWrap w:val="0"/>
                  <w:vAlign w:val="center"/>
                </w:tcPr>
                <w:p w14:paraId="6D8B11F7">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0.007</w:t>
                  </w:r>
                </w:p>
              </w:tc>
            </w:tr>
            <w:tr w14:paraId="56E1D6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6" w:type="dxa"/>
                  <w:noWrap w:val="0"/>
                  <w:vAlign w:val="center"/>
                </w:tcPr>
                <w:p w14:paraId="73BC270F">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w:t>
                  </w:r>
                </w:p>
              </w:tc>
              <w:tc>
                <w:tcPr>
                  <w:tcW w:w="1501" w:type="dxa"/>
                  <w:noWrap w:val="0"/>
                  <w:vAlign w:val="center"/>
                </w:tcPr>
                <w:p w14:paraId="7324EDCD">
                  <w:pPr>
                    <w:pStyle w:val="57"/>
                    <w:keepNext w:val="0"/>
                    <w:keepLines w:val="0"/>
                    <w:pageBreakBefore w:val="0"/>
                    <w:widowControl w:val="0"/>
                    <w:kinsoku/>
                    <w:wordWrap/>
                    <w:overflowPunct/>
                    <w:topLinePunct w:val="0"/>
                    <w:autoSpaceDE w:val="0"/>
                    <w:autoSpaceDN w:val="0"/>
                    <w:bidi w:val="0"/>
                    <w:spacing w:line="360" w:lineRule="exact"/>
                    <w:ind w:left="0" w:left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pacing w:val="-9"/>
                      <w:sz w:val="21"/>
                      <w:szCs w:val="21"/>
                    </w:rPr>
                    <w:t>甲醛</w:t>
                  </w:r>
                </w:p>
              </w:tc>
              <w:tc>
                <w:tcPr>
                  <w:tcW w:w="1760" w:type="dxa"/>
                  <w:noWrap w:val="0"/>
                  <w:vAlign w:val="center"/>
                </w:tcPr>
                <w:p w14:paraId="0AE2A845">
                  <w:pPr>
                    <w:keepNext w:val="0"/>
                    <w:keepLines w:val="0"/>
                    <w:pageBreakBefore w:val="0"/>
                    <w:widowControl w:val="0"/>
                    <w:kinsoku/>
                    <w:wordWrap/>
                    <w:overflowPunct/>
                    <w:topLinePunct w:val="0"/>
                    <w:autoSpaceDE w:val="0"/>
                    <w:autoSpaceDN w:val="0"/>
                    <w:bidi w:val="0"/>
                    <w:spacing w:line="360" w:lineRule="exact"/>
                    <w:ind w:left="0" w:leftChars="0"/>
                    <w:jc w:val="center"/>
                    <w:textAlignment w:val="auto"/>
                    <w:rPr>
                      <w:rFonts w:hint="default" w:ascii="Times New Roman" w:hAnsi="Times New Roman" w:eastAsia="宋体" w:cs="Times New Roman"/>
                      <w:color w:val="auto"/>
                      <w:sz w:val="21"/>
                      <w:szCs w:val="21"/>
                      <w:lang w:val="zh-CN" w:eastAsia="zh-CN" w:bidi="zh-CN"/>
                    </w:rPr>
                  </w:pPr>
                  <w:r>
                    <w:rPr>
                      <w:rFonts w:hint="default" w:ascii="Times New Roman" w:hAnsi="Times New Roman" w:eastAsia="宋体" w:cs="Times New Roman"/>
                      <w:color w:val="auto"/>
                      <w:spacing w:val="2"/>
                      <w:sz w:val="21"/>
                      <w:szCs w:val="21"/>
                    </w:rPr>
                    <w:t>50-00-0</w:t>
                  </w:r>
                </w:p>
              </w:tc>
              <w:tc>
                <w:tcPr>
                  <w:tcW w:w="2074" w:type="dxa"/>
                  <w:noWrap w:val="0"/>
                  <w:vAlign w:val="top"/>
                </w:tcPr>
                <w:p w14:paraId="430CA023">
                  <w:pPr>
                    <w:keepNext w:val="0"/>
                    <w:keepLines w:val="0"/>
                    <w:pageBreakBefore w:val="0"/>
                    <w:widowControl w:val="0"/>
                    <w:kinsoku/>
                    <w:wordWrap/>
                    <w:overflowPunct/>
                    <w:topLinePunct w:val="0"/>
                    <w:autoSpaceDE w:val="0"/>
                    <w:autoSpaceDN w:val="0"/>
                    <w:bidi w:val="0"/>
                    <w:adjustRightInd/>
                    <w:snapToGrid/>
                    <w:spacing w:line="360" w:lineRule="exact"/>
                    <w:ind w:left="0" w:left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pacing w:val="2"/>
                      <w:sz w:val="21"/>
                      <w:szCs w:val="21"/>
                    </w:rPr>
                    <w:t>0.0</w:t>
                  </w:r>
                  <w:r>
                    <w:rPr>
                      <w:rFonts w:hint="default" w:ascii="Times New Roman" w:hAnsi="Times New Roman" w:eastAsia="宋体" w:cs="Times New Roman"/>
                      <w:color w:val="auto"/>
                      <w:spacing w:val="2"/>
                      <w:sz w:val="21"/>
                      <w:szCs w:val="21"/>
                      <w:lang w:val="en-US" w:eastAsia="zh-CN"/>
                    </w:rPr>
                    <w:t>2</w:t>
                  </w:r>
                </w:p>
              </w:tc>
              <w:tc>
                <w:tcPr>
                  <w:tcW w:w="1502" w:type="dxa"/>
                  <w:noWrap w:val="0"/>
                  <w:vAlign w:val="top"/>
                </w:tcPr>
                <w:p w14:paraId="31614C67">
                  <w:pPr>
                    <w:keepNext w:val="0"/>
                    <w:keepLines w:val="0"/>
                    <w:pageBreakBefore w:val="0"/>
                    <w:widowControl w:val="0"/>
                    <w:kinsoku/>
                    <w:wordWrap/>
                    <w:overflowPunct/>
                    <w:topLinePunct w:val="0"/>
                    <w:autoSpaceDE w:val="0"/>
                    <w:autoSpaceDN w:val="0"/>
                    <w:bidi w:val="0"/>
                    <w:adjustRightInd/>
                    <w:snapToGrid/>
                    <w:spacing w:line="360" w:lineRule="exact"/>
                    <w:ind w:left="0" w:left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pacing w:val="1"/>
                      <w:sz w:val="21"/>
                      <w:szCs w:val="21"/>
                    </w:rPr>
                    <w:t>0.5</w:t>
                  </w:r>
                </w:p>
              </w:tc>
              <w:tc>
                <w:tcPr>
                  <w:tcW w:w="1605" w:type="dxa"/>
                  <w:noWrap w:val="0"/>
                  <w:vAlign w:val="center"/>
                </w:tcPr>
                <w:p w14:paraId="69200422">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0.04</w:t>
                  </w:r>
                </w:p>
              </w:tc>
            </w:tr>
            <w:tr w14:paraId="64B9D8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6" w:type="dxa"/>
                  <w:noWrap w:val="0"/>
                  <w:vAlign w:val="center"/>
                </w:tcPr>
                <w:p w14:paraId="1E7A3176">
                  <w:pPr>
                    <w:keepNext w:val="0"/>
                    <w:keepLines w:val="0"/>
                    <w:pageBreakBefore w:val="0"/>
                    <w:widowControl w:val="0"/>
                    <w:kinsoku/>
                    <w:wordWrap/>
                    <w:overflowPunct/>
                    <w:topLinePunct w:val="0"/>
                    <w:autoSpaceDE w:val="0"/>
                    <w:autoSpaceDN w:val="0"/>
                    <w:bidi w:val="0"/>
                    <w:spacing w:line="360" w:lineRule="exact"/>
                    <w:ind w:left="0" w:leftChars="0"/>
                    <w:jc w:val="center"/>
                    <w:textAlignment w:val="auto"/>
                    <w:rPr>
                      <w:rFonts w:hint="default"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z w:val="21"/>
                      <w:szCs w:val="21"/>
                      <w:lang w:val="en-US" w:eastAsia="zh-CN" w:bidi="zh-CN"/>
                    </w:rPr>
                    <w:t>4</w:t>
                  </w:r>
                </w:p>
              </w:tc>
              <w:tc>
                <w:tcPr>
                  <w:tcW w:w="1501" w:type="dxa"/>
                  <w:noWrap w:val="0"/>
                  <w:vAlign w:val="center"/>
                </w:tcPr>
                <w:p w14:paraId="68275334">
                  <w:pPr>
                    <w:pStyle w:val="57"/>
                    <w:keepNext w:val="0"/>
                    <w:keepLines w:val="0"/>
                    <w:pageBreakBefore w:val="0"/>
                    <w:widowControl w:val="0"/>
                    <w:kinsoku/>
                    <w:wordWrap/>
                    <w:overflowPunct/>
                    <w:topLinePunct w:val="0"/>
                    <w:autoSpaceDE w:val="0"/>
                    <w:autoSpaceDN w:val="0"/>
                    <w:bidi w:val="0"/>
                    <w:spacing w:line="360" w:lineRule="exact"/>
                    <w:ind w:left="0" w:left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pacing w:val="5"/>
                      <w:sz w:val="21"/>
                      <w:szCs w:val="21"/>
                    </w:rPr>
                    <w:t>37%盐酸</w:t>
                  </w:r>
                </w:p>
              </w:tc>
              <w:tc>
                <w:tcPr>
                  <w:tcW w:w="1760" w:type="dxa"/>
                  <w:noWrap w:val="0"/>
                  <w:vAlign w:val="center"/>
                </w:tcPr>
                <w:p w14:paraId="3BC8223F">
                  <w:pPr>
                    <w:keepNext w:val="0"/>
                    <w:keepLines w:val="0"/>
                    <w:pageBreakBefore w:val="0"/>
                    <w:widowControl w:val="0"/>
                    <w:kinsoku/>
                    <w:wordWrap/>
                    <w:overflowPunct/>
                    <w:topLinePunct w:val="0"/>
                    <w:autoSpaceDE w:val="0"/>
                    <w:autoSpaceDN w:val="0"/>
                    <w:bidi w:val="0"/>
                    <w:spacing w:line="360" w:lineRule="exact"/>
                    <w:ind w:left="0" w:leftChars="0"/>
                    <w:jc w:val="center"/>
                    <w:textAlignment w:val="auto"/>
                    <w:rPr>
                      <w:rFonts w:hint="default" w:ascii="Times New Roman" w:hAnsi="Times New Roman" w:eastAsia="宋体" w:cs="Times New Roman"/>
                      <w:color w:val="auto"/>
                      <w:sz w:val="21"/>
                      <w:szCs w:val="21"/>
                      <w:lang w:val="zh-CN" w:eastAsia="zh-CN" w:bidi="zh-CN"/>
                    </w:rPr>
                  </w:pPr>
                  <w:r>
                    <w:rPr>
                      <w:rFonts w:hint="default" w:ascii="Times New Roman" w:hAnsi="Times New Roman" w:eastAsia="宋体" w:cs="Times New Roman"/>
                      <w:color w:val="auto"/>
                      <w:spacing w:val="3"/>
                      <w:sz w:val="21"/>
                      <w:szCs w:val="21"/>
                    </w:rPr>
                    <w:t>7647-01-0</w:t>
                  </w:r>
                </w:p>
              </w:tc>
              <w:tc>
                <w:tcPr>
                  <w:tcW w:w="2074" w:type="dxa"/>
                  <w:noWrap w:val="0"/>
                  <w:vAlign w:val="top"/>
                </w:tcPr>
                <w:p w14:paraId="52F2FFFE">
                  <w:pPr>
                    <w:keepNext w:val="0"/>
                    <w:keepLines w:val="0"/>
                    <w:pageBreakBefore w:val="0"/>
                    <w:widowControl w:val="0"/>
                    <w:kinsoku/>
                    <w:wordWrap/>
                    <w:overflowPunct/>
                    <w:topLinePunct w:val="0"/>
                    <w:autoSpaceDE w:val="0"/>
                    <w:autoSpaceDN w:val="0"/>
                    <w:bidi w:val="0"/>
                    <w:adjustRightInd/>
                    <w:snapToGrid/>
                    <w:spacing w:line="360" w:lineRule="exact"/>
                    <w:ind w:left="0" w:left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pacing w:val="1"/>
                      <w:sz w:val="21"/>
                      <w:szCs w:val="21"/>
                    </w:rPr>
                    <w:t>0.5</w:t>
                  </w:r>
                </w:p>
              </w:tc>
              <w:tc>
                <w:tcPr>
                  <w:tcW w:w="1502" w:type="dxa"/>
                  <w:noWrap w:val="0"/>
                  <w:vAlign w:val="top"/>
                </w:tcPr>
                <w:p w14:paraId="04F9EBF9">
                  <w:pPr>
                    <w:keepNext w:val="0"/>
                    <w:keepLines w:val="0"/>
                    <w:pageBreakBefore w:val="0"/>
                    <w:widowControl w:val="0"/>
                    <w:kinsoku/>
                    <w:wordWrap/>
                    <w:overflowPunct/>
                    <w:topLinePunct w:val="0"/>
                    <w:autoSpaceDE w:val="0"/>
                    <w:autoSpaceDN w:val="0"/>
                    <w:bidi w:val="0"/>
                    <w:adjustRightInd/>
                    <w:snapToGrid/>
                    <w:spacing w:line="360" w:lineRule="exact"/>
                    <w:ind w:left="0" w:leftChars="0"/>
                    <w:jc w:val="center"/>
                    <w:textAlignment w:val="auto"/>
                    <w:rPr>
                      <w:rFonts w:hint="default" w:ascii="Times New Roman" w:hAnsi="Times New Roman" w:eastAsia="宋体" w:cs="Times New Roman"/>
                      <w:color w:val="auto"/>
                      <w:sz w:val="21"/>
                      <w:szCs w:val="21"/>
                      <w:lang w:val="en-US" w:eastAsia="zh-CN" w:bidi="zh-CN"/>
                    </w:rPr>
                  </w:pPr>
                  <w:r>
                    <w:rPr>
                      <w:rFonts w:hint="default" w:ascii="Times New Roman" w:hAnsi="Times New Roman" w:eastAsia="宋体" w:cs="Times New Roman"/>
                      <w:color w:val="auto"/>
                      <w:spacing w:val="1"/>
                      <w:sz w:val="21"/>
                      <w:szCs w:val="21"/>
                    </w:rPr>
                    <w:t>7.5</w:t>
                  </w:r>
                </w:p>
              </w:tc>
              <w:tc>
                <w:tcPr>
                  <w:tcW w:w="1605" w:type="dxa"/>
                  <w:noWrap w:val="0"/>
                  <w:vAlign w:val="center"/>
                </w:tcPr>
                <w:p w14:paraId="32345D1F">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0.067</w:t>
                  </w:r>
                </w:p>
              </w:tc>
            </w:tr>
            <w:tr w14:paraId="48B0C9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6" w:type="dxa"/>
                  <w:noWrap w:val="0"/>
                  <w:vAlign w:val="center"/>
                </w:tcPr>
                <w:p w14:paraId="6FDE385F">
                  <w:pPr>
                    <w:keepNext w:val="0"/>
                    <w:keepLines w:val="0"/>
                    <w:pageBreakBefore w:val="0"/>
                    <w:widowControl w:val="0"/>
                    <w:kinsoku/>
                    <w:wordWrap/>
                    <w:overflowPunct/>
                    <w:topLinePunct w:val="0"/>
                    <w:autoSpaceDE w:val="0"/>
                    <w:autoSpaceDN w:val="0"/>
                    <w:bidi w:val="0"/>
                    <w:spacing w:line="360" w:lineRule="exact"/>
                    <w:ind w:left="0" w:leftChars="0"/>
                    <w:jc w:val="center"/>
                    <w:textAlignment w:val="auto"/>
                    <w:rPr>
                      <w:rFonts w:hint="default"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z w:val="21"/>
                      <w:szCs w:val="21"/>
                      <w:lang w:val="en-US" w:eastAsia="zh-CN" w:bidi="zh-CN"/>
                    </w:rPr>
                    <w:t>5</w:t>
                  </w:r>
                </w:p>
              </w:tc>
              <w:tc>
                <w:tcPr>
                  <w:tcW w:w="1501" w:type="dxa"/>
                  <w:noWrap w:val="0"/>
                  <w:vAlign w:val="center"/>
                </w:tcPr>
                <w:p w14:paraId="16D6C24A">
                  <w:pPr>
                    <w:pStyle w:val="57"/>
                    <w:keepNext w:val="0"/>
                    <w:keepLines w:val="0"/>
                    <w:pageBreakBefore w:val="0"/>
                    <w:widowControl w:val="0"/>
                    <w:kinsoku/>
                    <w:wordWrap/>
                    <w:overflowPunct/>
                    <w:topLinePunct w:val="0"/>
                    <w:autoSpaceDE w:val="0"/>
                    <w:autoSpaceDN w:val="0"/>
                    <w:bidi w:val="0"/>
                    <w:spacing w:line="360" w:lineRule="exact"/>
                    <w:ind w:left="0" w:left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过氧乙酸</w:t>
                  </w:r>
                </w:p>
              </w:tc>
              <w:tc>
                <w:tcPr>
                  <w:tcW w:w="1760" w:type="dxa"/>
                  <w:noWrap w:val="0"/>
                  <w:vAlign w:val="center"/>
                </w:tcPr>
                <w:p w14:paraId="2B8FFADB">
                  <w:pPr>
                    <w:keepNext w:val="0"/>
                    <w:keepLines w:val="0"/>
                    <w:pageBreakBefore w:val="0"/>
                    <w:widowControl w:val="0"/>
                    <w:kinsoku/>
                    <w:wordWrap/>
                    <w:overflowPunct/>
                    <w:topLinePunct w:val="0"/>
                    <w:autoSpaceDE w:val="0"/>
                    <w:autoSpaceDN w:val="0"/>
                    <w:bidi w:val="0"/>
                    <w:spacing w:line="360" w:lineRule="exact"/>
                    <w:ind w:left="0" w:leftChars="0"/>
                    <w:jc w:val="center"/>
                    <w:textAlignment w:val="auto"/>
                    <w:rPr>
                      <w:rFonts w:hint="default"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z w:val="21"/>
                      <w:szCs w:val="21"/>
                      <w:lang w:val="en-US" w:eastAsia="zh-CN" w:bidi="zh-CN"/>
                    </w:rPr>
                    <w:t>79-21-0</w:t>
                  </w:r>
                </w:p>
              </w:tc>
              <w:tc>
                <w:tcPr>
                  <w:tcW w:w="2074" w:type="dxa"/>
                  <w:noWrap w:val="0"/>
                  <w:vAlign w:val="top"/>
                </w:tcPr>
                <w:p w14:paraId="1A78796F">
                  <w:pPr>
                    <w:keepNext w:val="0"/>
                    <w:keepLines w:val="0"/>
                    <w:pageBreakBefore w:val="0"/>
                    <w:widowControl w:val="0"/>
                    <w:kinsoku/>
                    <w:wordWrap/>
                    <w:overflowPunct/>
                    <w:topLinePunct w:val="0"/>
                    <w:autoSpaceDE w:val="0"/>
                    <w:autoSpaceDN w:val="0"/>
                    <w:bidi w:val="0"/>
                    <w:adjustRightInd/>
                    <w:snapToGrid/>
                    <w:spacing w:line="360" w:lineRule="exact"/>
                    <w:ind w:left="0" w:leftChars="0"/>
                    <w:jc w:val="center"/>
                    <w:textAlignment w:val="auto"/>
                    <w:rPr>
                      <w:rFonts w:hint="default"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z w:val="21"/>
                      <w:szCs w:val="21"/>
                      <w:lang w:val="en-US" w:eastAsia="zh-CN" w:bidi="zh-CN"/>
                    </w:rPr>
                    <w:t>0.2</w:t>
                  </w:r>
                </w:p>
              </w:tc>
              <w:tc>
                <w:tcPr>
                  <w:tcW w:w="1502" w:type="dxa"/>
                  <w:noWrap w:val="0"/>
                  <w:vAlign w:val="top"/>
                </w:tcPr>
                <w:p w14:paraId="1BB6360B">
                  <w:pPr>
                    <w:keepNext w:val="0"/>
                    <w:keepLines w:val="0"/>
                    <w:pageBreakBefore w:val="0"/>
                    <w:widowControl w:val="0"/>
                    <w:kinsoku/>
                    <w:wordWrap/>
                    <w:overflowPunct/>
                    <w:topLinePunct w:val="0"/>
                    <w:autoSpaceDE w:val="0"/>
                    <w:autoSpaceDN w:val="0"/>
                    <w:bidi w:val="0"/>
                    <w:adjustRightInd/>
                    <w:snapToGrid/>
                    <w:spacing w:line="360" w:lineRule="exact"/>
                    <w:ind w:left="0" w:leftChars="0"/>
                    <w:jc w:val="center"/>
                    <w:textAlignment w:val="auto"/>
                    <w:rPr>
                      <w:rFonts w:hint="default" w:ascii="Times New Roman" w:hAnsi="Times New Roman" w:eastAsia="宋体" w:cs="Times New Roman"/>
                      <w:color w:val="auto"/>
                      <w:sz w:val="21"/>
                      <w:szCs w:val="21"/>
                      <w:lang w:val="en-US" w:eastAsia="zh-CN" w:bidi="zh-CN"/>
                    </w:rPr>
                  </w:pPr>
                  <w:r>
                    <w:rPr>
                      <w:rFonts w:hint="eastAsia" w:ascii="Times New Roman" w:hAnsi="Times New Roman" w:eastAsia="宋体" w:cs="Times New Roman"/>
                      <w:color w:val="auto"/>
                      <w:sz w:val="21"/>
                      <w:szCs w:val="21"/>
                      <w:lang w:val="en-US" w:eastAsia="zh-CN"/>
                    </w:rPr>
                    <w:t>5</w:t>
                  </w:r>
                </w:p>
              </w:tc>
              <w:tc>
                <w:tcPr>
                  <w:tcW w:w="1605" w:type="dxa"/>
                  <w:noWrap w:val="0"/>
                  <w:vAlign w:val="center"/>
                </w:tcPr>
                <w:p w14:paraId="0665A80A">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0.04</w:t>
                  </w:r>
                </w:p>
              </w:tc>
            </w:tr>
          </w:tbl>
          <w:p w14:paraId="2EA81FC4">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ascii="Times New Roman" w:hAnsi="Times New Roman"/>
                <w:bCs/>
                <w:color w:val="auto"/>
                <w:sz w:val="24"/>
                <w:szCs w:val="24"/>
              </w:rPr>
            </w:pPr>
            <w:r>
              <w:rPr>
                <w:rFonts w:ascii="Times New Roman" w:hAnsi="Times New Roman"/>
                <w:bCs/>
                <w:color w:val="auto"/>
                <w:sz w:val="24"/>
                <w:szCs w:val="24"/>
              </w:rPr>
              <w:t>经上表计算，Q值为</w:t>
            </w:r>
            <w:r>
              <w:rPr>
                <w:rFonts w:hint="eastAsia" w:ascii="Times New Roman" w:hAnsi="Times New Roman"/>
                <w:bCs/>
                <w:color w:val="auto"/>
                <w:sz w:val="24"/>
                <w:szCs w:val="24"/>
                <w:lang w:val="en-US" w:eastAsia="zh-CN"/>
              </w:rPr>
              <w:t>0.156</w:t>
            </w:r>
            <w:r>
              <w:rPr>
                <w:rFonts w:ascii="Times New Roman" w:hAnsi="Times New Roman"/>
                <w:bCs/>
                <w:color w:val="auto"/>
                <w:sz w:val="24"/>
                <w:szCs w:val="24"/>
              </w:rPr>
              <w:t>，属于Q＜1范围，该项目环境风险潜势为</w:t>
            </w:r>
            <w:r>
              <w:rPr>
                <w:rFonts w:ascii="Times New Roman" w:hAnsi="Times New Roman"/>
                <w:bCs/>
                <w:color w:val="auto"/>
                <w:sz w:val="24"/>
                <w:szCs w:val="24"/>
              </w:rPr>
              <w:fldChar w:fldCharType="begin"/>
            </w:r>
            <w:r>
              <w:rPr>
                <w:rFonts w:ascii="Times New Roman" w:hAnsi="Times New Roman"/>
                <w:bCs/>
                <w:color w:val="auto"/>
                <w:sz w:val="24"/>
                <w:szCs w:val="24"/>
              </w:rPr>
              <w:instrText xml:space="preserve"> = 1 \* ROMAN </w:instrText>
            </w:r>
            <w:r>
              <w:rPr>
                <w:rFonts w:ascii="Times New Roman" w:hAnsi="Times New Roman"/>
                <w:bCs/>
                <w:color w:val="auto"/>
                <w:sz w:val="24"/>
                <w:szCs w:val="24"/>
              </w:rPr>
              <w:fldChar w:fldCharType="separate"/>
            </w:r>
            <w:r>
              <w:rPr>
                <w:rFonts w:ascii="Times New Roman" w:hAnsi="Times New Roman"/>
                <w:bCs/>
                <w:color w:val="auto"/>
                <w:sz w:val="24"/>
                <w:szCs w:val="24"/>
              </w:rPr>
              <w:t>I</w:t>
            </w:r>
            <w:r>
              <w:rPr>
                <w:rFonts w:ascii="Times New Roman" w:hAnsi="Times New Roman"/>
                <w:bCs/>
                <w:color w:val="auto"/>
                <w:sz w:val="24"/>
                <w:szCs w:val="24"/>
              </w:rPr>
              <w:fldChar w:fldCharType="end"/>
            </w:r>
            <w:r>
              <w:rPr>
                <w:rFonts w:ascii="Times New Roman" w:hAnsi="Times New Roman"/>
                <w:bCs/>
                <w:color w:val="auto"/>
                <w:sz w:val="24"/>
                <w:szCs w:val="24"/>
              </w:rPr>
              <w:t>。</w:t>
            </w:r>
          </w:p>
          <w:p w14:paraId="0D8AAA19">
            <w:pPr>
              <w:pStyle w:val="46"/>
              <w:keepNext w:val="0"/>
              <w:keepLines w:val="0"/>
              <w:pageBreakBefore w:val="0"/>
              <w:widowControl w:val="0"/>
              <w:kinsoku/>
              <w:wordWrap/>
              <w:overflowPunct/>
              <w:topLinePunct w:val="0"/>
              <w:autoSpaceDE/>
              <w:autoSpaceDN/>
              <w:bidi w:val="0"/>
              <w:adjustRightInd w:val="0"/>
              <w:spacing w:line="520" w:lineRule="exact"/>
              <w:ind w:firstLine="480" w:firstLineChars="200"/>
              <w:jc w:val="both"/>
              <w:textAlignment w:val="auto"/>
              <w:rPr>
                <w:rFonts w:hint="eastAsia" w:ascii="Times New Roman" w:hAnsi="Times New Roman"/>
                <w:bCs/>
                <w:color w:val="auto"/>
              </w:rPr>
            </w:pPr>
            <w:r>
              <w:rPr>
                <w:rFonts w:hint="eastAsia" w:ascii="Times New Roman" w:hAnsi="Times New Roman"/>
                <w:bCs/>
                <w:color w:val="auto"/>
              </w:rPr>
              <w:t>（3）评价工作等级划分</w:t>
            </w:r>
          </w:p>
          <w:p w14:paraId="0AA7654B">
            <w:pPr>
              <w:pStyle w:val="46"/>
              <w:spacing w:line="520" w:lineRule="exact"/>
              <w:jc w:val="center"/>
              <w:rPr>
                <w:rFonts w:ascii="Times New Roman" w:hAnsi="Times New Roman" w:cs="Times New Roman"/>
                <w:b/>
                <w:color w:val="auto"/>
                <w:kern w:val="24"/>
              </w:rPr>
            </w:pPr>
            <w:r>
              <w:rPr>
                <w:rFonts w:ascii="Times New Roman" w:hAnsi="Times New Roman" w:cs="Times New Roman"/>
                <w:b/>
                <w:color w:val="auto"/>
                <w:kern w:val="24"/>
              </w:rPr>
              <w:t>表</w:t>
            </w:r>
            <w:r>
              <w:rPr>
                <w:rFonts w:hint="eastAsia" w:ascii="Times New Roman" w:hAnsi="Times New Roman" w:cs="Times New Roman"/>
                <w:b/>
                <w:color w:val="auto"/>
                <w:kern w:val="24"/>
              </w:rPr>
              <w:t>4-</w:t>
            </w:r>
            <w:r>
              <w:rPr>
                <w:rFonts w:hint="eastAsia" w:ascii="Times New Roman" w:hAnsi="Times New Roman" w:cs="Times New Roman"/>
                <w:b/>
                <w:color w:val="auto"/>
                <w:kern w:val="24"/>
                <w:lang w:val="en-US" w:eastAsia="zh-CN"/>
              </w:rPr>
              <w:t xml:space="preserve">13  </w:t>
            </w:r>
            <w:r>
              <w:rPr>
                <w:rFonts w:hint="eastAsia" w:ascii="Times New Roman" w:hAnsi="Times New Roman" w:cs="Times New Roman"/>
                <w:b/>
                <w:color w:val="auto"/>
                <w:kern w:val="24"/>
              </w:rPr>
              <w:t xml:space="preserve">   </w:t>
            </w:r>
            <w:r>
              <w:rPr>
                <w:rFonts w:ascii="Times New Roman" w:hAnsi="Times New Roman" w:cs="Times New Roman"/>
                <w:b/>
                <w:color w:val="auto"/>
                <w:kern w:val="24"/>
              </w:rPr>
              <w:t>评价工作等级划分</w:t>
            </w:r>
          </w:p>
          <w:tbl>
            <w:tblPr>
              <w:tblStyle w:val="20"/>
              <w:tblW w:w="490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81"/>
              <w:gridCol w:w="1620"/>
              <w:gridCol w:w="1616"/>
              <w:gridCol w:w="1616"/>
              <w:gridCol w:w="1545"/>
            </w:tblGrid>
            <w:tr w14:paraId="0B33E5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81" w:type="dxa"/>
                  <w:noWrap w:val="0"/>
                  <w:vAlign w:val="center"/>
                </w:tcPr>
                <w:p w14:paraId="6DBD2CB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bCs/>
                      <w:color w:val="auto"/>
                      <w:sz w:val="21"/>
                      <w:szCs w:val="21"/>
                    </w:rPr>
                  </w:pPr>
                  <w:r>
                    <w:rPr>
                      <w:rFonts w:ascii="Times New Roman" w:hAnsi="Times New Roman"/>
                      <w:bCs/>
                      <w:color w:val="auto"/>
                      <w:sz w:val="21"/>
                      <w:szCs w:val="21"/>
                    </w:rPr>
                    <w:t>环境风险潜势</w:t>
                  </w:r>
                </w:p>
              </w:tc>
              <w:tc>
                <w:tcPr>
                  <w:tcW w:w="1620" w:type="dxa"/>
                  <w:noWrap w:val="0"/>
                  <w:vAlign w:val="center"/>
                </w:tcPr>
                <w:p w14:paraId="66017FE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bCs/>
                      <w:color w:val="auto"/>
                      <w:sz w:val="21"/>
                      <w:szCs w:val="21"/>
                    </w:rPr>
                  </w:pPr>
                  <w:r>
                    <w:rPr>
                      <w:rFonts w:ascii="Times New Roman" w:hAnsi="Times New Roman"/>
                      <w:bCs/>
                      <w:color w:val="auto"/>
                      <w:sz w:val="21"/>
                      <w:szCs w:val="21"/>
                    </w:rPr>
                    <w:fldChar w:fldCharType="begin"/>
                  </w:r>
                  <w:r>
                    <w:rPr>
                      <w:rFonts w:ascii="Times New Roman" w:hAnsi="Times New Roman"/>
                      <w:bCs/>
                      <w:color w:val="auto"/>
                      <w:sz w:val="21"/>
                      <w:szCs w:val="21"/>
                    </w:rPr>
                    <w:instrText xml:space="preserve"> = 4 \* ROMAN </w:instrText>
                  </w:r>
                  <w:r>
                    <w:rPr>
                      <w:rFonts w:ascii="Times New Roman" w:hAnsi="Times New Roman"/>
                      <w:bCs/>
                      <w:color w:val="auto"/>
                      <w:sz w:val="21"/>
                      <w:szCs w:val="21"/>
                    </w:rPr>
                    <w:fldChar w:fldCharType="separate"/>
                  </w:r>
                  <w:r>
                    <w:rPr>
                      <w:rFonts w:ascii="Times New Roman" w:hAnsi="Times New Roman"/>
                      <w:bCs/>
                      <w:color w:val="auto"/>
                      <w:sz w:val="21"/>
                      <w:szCs w:val="21"/>
                    </w:rPr>
                    <w:t>IV</w:t>
                  </w:r>
                  <w:r>
                    <w:rPr>
                      <w:rFonts w:ascii="Times New Roman" w:hAnsi="Times New Roman"/>
                      <w:bCs/>
                      <w:color w:val="auto"/>
                      <w:sz w:val="21"/>
                      <w:szCs w:val="21"/>
                    </w:rPr>
                    <w:fldChar w:fldCharType="end"/>
                  </w:r>
                  <w:r>
                    <w:rPr>
                      <w:rFonts w:ascii="Times New Roman" w:hAnsi="Times New Roman"/>
                      <w:bCs/>
                      <w:color w:val="auto"/>
                      <w:sz w:val="21"/>
                      <w:szCs w:val="21"/>
                    </w:rPr>
                    <w:t>、</w:t>
                  </w:r>
                  <w:r>
                    <w:rPr>
                      <w:rFonts w:ascii="Times New Roman" w:hAnsi="Times New Roman"/>
                      <w:bCs/>
                      <w:color w:val="auto"/>
                      <w:sz w:val="21"/>
                      <w:szCs w:val="21"/>
                    </w:rPr>
                    <w:fldChar w:fldCharType="begin"/>
                  </w:r>
                  <w:r>
                    <w:rPr>
                      <w:rFonts w:ascii="Times New Roman" w:hAnsi="Times New Roman"/>
                      <w:bCs/>
                      <w:color w:val="auto"/>
                      <w:sz w:val="21"/>
                      <w:szCs w:val="21"/>
                    </w:rPr>
                    <w:instrText xml:space="preserve"> = 4 \* ROMAN </w:instrText>
                  </w:r>
                  <w:r>
                    <w:rPr>
                      <w:rFonts w:ascii="Times New Roman" w:hAnsi="Times New Roman"/>
                      <w:bCs/>
                      <w:color w:val="auto"/>
                      <w:sz w:val="21"/>
                      <w:szCs w:val="21"/>
                    </w:rPr>
                    <w:fldChar w:fldCharType="separate"/>
                  </w:r>
                  <w:r>
                    <w:rPr>
                      <w:rFonts w:ascii="Times New Roman" w:hAnsi="Times New Roman"/>
                      <w:bCs/>
                      <w:color w:val="auto"/>
                      <w:sz w:val="21"/>
                      <w:szCs w:val="21"/>
                    </w:rPr>
                    <w:t>IV</w:t>
                  </w:r>
                  <w:r>
                    <w:rPr>
                      <w:rFonts w:ascii="Times New Roman" w:hAnsi="Times New Roman"/>
                      <w:bCs/>
                      <w:color w:val="auto"/>
                      <w:sz w:val="21"/>
                      <w:szCs w:val="21"/>
                    </w:rPr>
                    <w:fldChar w:fldCharType="end"/>
                  </w:r>
                  <w:r>
                    <w:rPr>
                      <w:rFonts w:ascii="Times New Roman" w:hAnsi="Times New Roman"/>
                      <w:bCs/>
                      <w:color w:val="auto"/>
                      <w:sz w:val="21"/>
                      <w:szCs w:val="21"/>
                      <w:vertAlign w:val="superscript"/>
                    </w:rPr>
                    <w:t>+</w:t>
                  </w:r>
                </w:p>
              </w:tc>
              <w:tc>
                <w:tcPr>
                  <w:tcW w:w="1616" w:type="dxa"/>
                  <w:noWrap w:val="0"/>
                  <w:vAlign w:val="center"/>
                </w:tcPr>
                <w:p w14:paraId="717C9FC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bCs/>
                      <w:color w:val="auto"/>
                      <w:sz w:val="21"/>
                      <w:szCs w:val="21"/>
                    </w:rPr>
                  </w:pPr>
                  <w:r>
                    <w:rPr>
                      <w:rFonts w:ascii="Times New Roman" w:hAnsi="Times New Roman"/>
                      <w:bCs/>
                      <w:color w:val="auto"/>
                      <w:sz w:val="21"/>
                      <w:szCs w:val="21"/>
                    </w:rPr>
                    <w:fldChar w:fldCharType="begin"/>
                  </w:r>
                  <w:r>
                    <w:rPr>
                      <w:rFonts w:ascii="Times New Roman" w:hAnsi="Times New Roman"/>
                      <w:bCs/>
                      <w:color w:val="auto"/>
                      <w:sz w:val="21"/>
                      <w:szCs w:val="21"/>
                    </w:rPr>
                    <w:instrText xml:space="preserve"> = 3 \* ROMAN </w:instrText>
                  </w:r>
                  <w:r>
                    <w:rPr>
                      <w:rFonts w:ascii="Times New Roman" w:hAnsi="Times New Roman"/>
                      <w:bCs/>
                      <w:color w:val="auto"/>
                      <w:sz w:val="21"/>
                      <w:szCs w:val="21"/>
                    </w:rPr>
                    <w:fldChar w:fldCharType="separate"/>
                  </w:r>
                  <w:r>
                    <w:rPr>
                      <w:rFonts w:ascii="Times New Roman" w:hAnsi="Times New Roman"/>
                      <w:bCs/>
                      <w:color w:val="auto"/>
                      <w:sz w:val="21"/>
                      <w:szCs w:val="21"/>
                    </w:rPr>
                    <w:t>III</w:t>
                  </w:r>
                  <w:r>
                    <w:rPr>
                      <w:rFonts w:ascii="Times New Roman" w:hAnsi="Times New Roman"/>
                      <w:bCs/>
                      <w:color w:val="auto"/>
                      <w:sz w:val="21"/>
                      <w:szCs w:val="21"/>
                    </w:rPr>
                    <w:fldChar w:fldCharType="end"/>
                  </w:r>
                </w:p>
              </w:tc>
              <w:tc>
                <w:tcPr>
                  <w:tcW w:w="1616" w:type="dxa"/>
                  <w:noWrap w:val="0"/>
                  <w:vAlign w:val="center"/>
                </w:tcPr>
                <w:p w14:paraId="7C853DB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bCs/>
                      <w:color w:val="auto"/>
                      <w:sz w:val="21"/>
                      <w:szCs w:val="21"/>
                    </w:rPr>
                  </w:pPr>
                  <w:r>
                    <w:rPr>
                      <w:rFonts w:ascii="Times New Roman" w:hAnsi="Times New Roman"/>
                      <w:bCs/>
                      <w:color w:val="auto"/>
                      <w:sz w:val="21"/>
                      <w:szCs w:val="21"/>
                    </w:rPr>
                    <w:fldChar w:fldCharType="begin"/>
                  </w:r>
                  <w:r>
                    <w:rPr>
                      <w:rFonts w:ascii="Times New Roman" w:hAnsi="Times New Roman"/>
                      <w:bCs/>
                      <w:color w:val="auto"/>
                      <w:sz w:val="21"/>
                      <w:szCs w:val="21"/>
                    </w:rPr>
                    <w:instrText xml:space="preserve"> = 2 \* ROMAN </w:instrText>
                  </w:r>
                  <w:r>
                    <w:rPr>
                      <w:rFonts w:ascii="Times New Roman" w:hAnsi="Times New Roman"/>
                      <w:bCs/>
                      <w:color w:val="auto"/>
                      <w:sz w:val="21"/>
                      <w:szCs w:val="21"/>
                    </w:rPr>
                    <w:fldChar w:fldCharType="separate"/>
                  </w:r>
                  <w:r>
                    <w:rPr>
                      <w:rFonts w:ascii="Times New Roman" w:hAnsi="Times New Roman"/>
                      <w:bCs/>
                      <w:color w:val="auto"/>
                      <w:sz w:val="21"/>
                      <w:szCs w:val="21"/>
                    </w:rPr>
                    <w:t>II</w:t>
                  </w:r>
                  <w:r>
                    <w:rPr>
                      <w:rFonts w:ascii="Times New Roman" w:hAnsi="Times New Roman"/>
                      <w:bCs/>
                      <w:color w:val="auto"/>
                      <w:sz w:val="21"/>
                      <w:szCs w:val="21"/>
                    </w:rPr>
                    <w:fldChar w:fldCharType="end"/>
                  </w:r>
                </w:p>
              </w:tc>
              <w:tc>
                <w:tcPr>
                  <w:tcW w:w="1545" w:type="dxa"/>
                  <w:noWrap w:val="0"/>
                  <w:vAlign w:val="center"/>
                </w:tcPr>
                <w:p w14:paraId="4189C1B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bCs/>
                      <w:color w:val="auto"/>
                      <w:sz w:val="21"/>
                      <w:szCs w:val="21"/>
                    </w:rPr>
                  </w:pPr>
                  <w:r>
                    <w:rPr>
                      <w:rFonts w:ascii="Times New Roman" w:hAnsi="Times New Roman"/>
                      <w:bCs/>
                      <w:color w:val="auto"/>
                      <w:sz w:val="21"/>
                      <w:szCs w:val="21"/>
                    </w:rPr>
                    <w:fldChar w:fldCharType="begin"/>
                  </w:r>
                  <w:r>
                    <w:rPr>
                      <w:rFonts w:ascii="Times New Roman" w:hAnsi="Times New Roman"/>
                      <w:bCs/>
                      <w:color w:val="auto"/>
                      <w:sz w:val="21"/>
                      <w:szCs w:val="21"/>
                    </w:rPr>
                    <w:instrText xml:space="preserve"> = 1 \* ROMAN </w:instrText>
                  </w:r>
                  <w:r>
                    <w:rPr>
                      <w:rFonts w:ascii="Times New Roman" w:hAnsi="Times New Roman"/>
                      <w:bCs/>
                      <w:color w:val="auto"/>
                      <w:sz w:val="21"/>
                      <w:szCs w:val="21"/>
                    </w:rPr>
                    <w:fldChar w:fldCharType="separate"/>
                  </w:r>
                  <w:r>
                    <w:rPr>
                      <w:rFonts w:ascii="Times New Roman" w:hAnsi="Times New Roman"/>
                      <w:bCs/>
                      <w:color w:val="auto"/>
                      <w:sz w:val="21"/>
                      <w:szCs w:val="21"/>
                    </w:rPr>
                    <w:t>I</w:t>
                  </w:r>
                  <w:r>
                    <w:rPr>
                      <w:rFonts w:ascii="Times New Roman" w:hAnsi="Times New Roman"/>
                      <w:bCs/>
                      <w:color w:val="auto"/>
                      <w:sz w:val="21"/>
                      <w:szCs w:val="21"/>
                    </w:rPr>
                    <w:fldChar w:fldCharType="end"/>
                  </w:r>
                </w:p>
              </w:tc>
            </w:tr>
            <w:tr w14:paraId="20C1F1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81" w:type="dxa"/>
                  <w:noWrap w:val="0"/>
                  <w:vAlign w:val="center"/>
                </w:tcPr>
                <w:p w14:paraId="1DEE64A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bCs/>
                      <w:color w:val="auto"/>
                      <w:sz w:val="21"/>
                      <w:szCs w:val="21"/>
                    </w:rPr>
                  </w:pPr>
                  <w:r>
                    <w:rPr>
                      <w:rFonts w:ascii="Times New Roman" w:hAnsi="Times New Roman"/>
                      <w:bCs/>
                      <w:color w:val="auto"/>
                      <w:sz w:val="21"/>
                      <w:szCs w:val="21"/>
                    </w:rPr>
                    <w:t>评价工作等级</w:t>
                  </w:r>
                </w:p>
              </w:tc>
              <w:tc>
                <w:tcPr>
                  <w:tcW w:w="1620" w:type="dxa"/>
                  <w:noWrap w:val="0"/>
                  <w:vAlign w:val="center"/>
                </w:tcPr>
                <w:p w14:paraId="2C0884B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bCs/>
                      <w:color w:val="auto"/>
                      <w:sz w:val="21"/>
                      <w:szCs w:val="21"/>
                      <w:vertAlign w:val="superscript"/>
                    </w:rPr>
                  </w:pPr>
                  <w:r>
                    <w:rPr>
                      <w:rFonts w:ascii="Times New Roman" w:hAnsi="Times New Roman"/>
                      <w:bCs/>
                      <w:color w:val="auto"/>
                      <w:sz w:val="21"/>
                      <w:szCs w:val="21"/>
                    </w:rPr>
                    <w:t>一</w:t>
                  </w:r>
                </w:p>
              </w:tc>
              <w:tc>
                <w:tcPr>
                  <w:tcW w:w="1616" w:type="dxa"/>
                  <w:noWrap w:val="0"/>
                  <w:vAlign w:val="center"/>
                </w:tcPr>
                <w:p w14:paraId="4137D2D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bCs/>
                      <w:color w:val="auto"/>
                      <w:sz w:val="21"/>
                      <w:szCs w:val="21"/>
                    </w:rPr>
                  </w:pPr>
                  <w:r>
                    <w:rPr>
                      <w:rFonts w:ascii="Times New Roman" w:hAnsi="Times New Roman"/>
                      <w:bCs/>
                      <w:color w:val="auto"/>
                      <w:sz w:val="21"/>
                      <w:szCs w:val="21"/>
                    </w:rPr>
                    <w:t>二</w:t>
                  </w:r>
                </w:p>
              </w:tc>
              <w:tc>
                <w:tcPr>
                  <w:tcW w:w="1616" w:type="dxa"/>
                  <w:noWrap w:val="0"/>
                  <w:vAlign w:val="center"/>
                </w:tcPr>
                <w:p w14:paraId="7E2B0C4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bCs/>
                      <w:color w:val="auto"/>
                      <w:sz w:val="21"/>
                      <w:szCs w:val="21"/>
                    </w:rPr>
                  </w:pPr>
                  <w:r>
                    <w:rPr>
                      <w:rFonts w:ascii="Times New Roman" w:hAnsi="Times New Roman"/>
                      <w:bCs/>
                      <w:color w:val="auto"/>
                      <w:sz w:val="21"/>
                      <w:szCs w:val="21"/>
                    </w:rPr>
                    <w:t>三</w:t>
                  </w:r>
                </w:p>
              </w:tc>
              <w:tc>
                <w:tcPr>
                  <w:tcW w:w="1545" w:type="dxa"/>
                  <w:noWrap w:val="0"/>
                  <w:vAlign w:val="center"/>
                </w:tcPr>
                <w:p w14:paraId="67E7E1D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bCs/>
                      <w:color w:val="auto"/>
                      <w:sz w:val="21"/>
                      <w:szCs w:val="21"/>
                    </w:rPr>
                  </w:pPr>
                  <w:r>
                    <w:rPr>
                      <w:rFonts w:ascii="Times New Roman" w:hAnsi="Times New Roman"/>
                      <w:bCs/>
                      <w:color w:val="auto"/>
                      <w:sz w:val="21"/>
                      <w:szCs w:val="21"/>
                    </w:rPr>
                    <w:t>简单分析</w:t>
                  </w:r>
                </w:p>
              </w:tc>
            </w:tr>
          </w:tbl>
          <w:p w14:paraId="2D01D608">
            <w:pPr>
              <w:pStyle w:val="46"/>
              <w:keepNext w:val="0"/>
              <w:keepLines w:val="0"/>
              <w:pageBreakBefore w:val="0"/>
              <w:widowControl w:val="0"/>
              <w:kinsoku/>
              <w:wordWrap/>
              <w:overflowPunct/>
              <w:topLinePunct w:val="0"/>
              <w:autoSpaceDE/>
              <w:autoSpaceDN/>
              <w:bidi w:val="0"/>
              <w:adjustRightInd w:val="0"/>
              <w:snapToGrid/>
              <w:spacing w:line="520" w:lineRule="exact"/>
              <w:ind w:firstLine="480" w:firstLineChars="200"/>
              <w:jc w:val="both"/>
              <w:textAlignment w:val="auto"/>
              <w:rPr>
                <w:rFonts w:ascii="Times New Roman" w:hAnsi="Times New Roman"/>
                <w:bCs/>
                <w:color w:val="auto"/>
              </w:rPr>
            </w:pPr>
            <w:r>
              <w:rPr>
                <w:rFonts w:ascii="Times New Roman" w:hAnsi="Times New Roman"/>
                <w:bCs/>
                <w:color w:val="auto"/>
              </w:rPr>
              <w:t>根据《建设项目环境风险评价技术导则》</w:t>
            </w:r>
            <w:r>
              <w:rPr>
                <w:rFonts w:hint="eastAsia" w:ascii="Times New Roman" w:hAnsi="Times New Roman"/>
                <w:bCs/>
                <w:color w:val="auto"/>
              </w:rPr>
              <w:t>（</w:t>
            </w:r>
            <w:r>
              <w:rPr>
                <w:rFonts w:ascii="Times New Roman" w:hAnsi="Times New Roman"/>
                <w:bCs/>
                <w:color w:val="auto"/>
              </w:rPr>
              <w:t>HJ169-2018</w:t>
            </w:r>
            <w:r>
              <w:rPr>
                <w:rFonts w:hint="eastAsia" w:ascii="Times New Roman" w:hAnsi="Times New Roman"/>
                <w:bCs/>
                <w:color w:val="auto"/>
              </w:rPr>
              <w:t>）</w:t>
            </w:r>
            <w:r>
              <w:rPr>
                <w:rFonts w:ascii="Times New Roman" w:hAnsi="Times New Roman"/>
                <w:bCs/>
                <w:color w:val="auto"/>
              </w:rPr>
              <w:t>，本项目只进行简单分析。</w:t>
            </w:r>
          </w:p>
          <w:p w14:paraId="5ECADE06">
            <w:pPr>
              <w:pStyle w:val="46"/>
              <w:keepNext w:val="0"/>
              <w:keepLines w:val="0"/>
              <w:pageBreakBefore w:val="0"/>
              <w:widowControl w:val="0"/>
              <w:numPr>
                <w:ilvl w:val="0"/>
                <w:numId w:val="1"/>
              </w:numPr>
              <w:kinsoku/>
              <w:wordWrap/>
              <w:overflowPunct/>
              <w:topLinePunct w:val="0"/>
              <w:autoSpaceDE/>
              <w:autoSpaceDN/>
              <w:bidi w:val="0"/>
              <w:spacing w:line="520" w:lineRule="exact"/>
              <w:ind w:firstLine="480" w:firstLineChars="200"/>
              <w:jc w:val="both"/>
              <w:textAlignment w:val="auto"/>
              <w:rPr>
                <w:rFonts w:hint="eastAsia" w:ascii="Times New Roman" w:hAnsi="Times New Roman"/>
                <w:bCs/>
                <w:color w:val="auto"/>
              </w:rPr>
            </w:pPr>
            <w:r>
              <w:rPr>
                <w:rFonts w:hint="eastAsia" w:ascii="Times New Roman" w:hAnsi="Times New Roman"/>
                <w:bCs/>
                <w:color w:val="auto"/>
              </w:rPr>
              <w:t>环境敏感目标概况</w:t>
            </w:r>
          </w:p>
          <w:p w14:paraId="034E3908">
            <w:pPr>
              <w:keepNext w:val="0"/>
              <w:keepLines w:val="0"/>
              <w:pageBreakBefore w:val="0"/>
              <w:widowControl w:val="0"/>
              <w:kinsoku/>
              <w:wordWrap/>
              <w:overflowPunct/>
              <w:topLinePunct w:val="0"/>
              <w:autoSpaceDE/>
              <w:autoSpaceDN/>
              <w:bidi w:val="0"/>
              <w:spacing w:line="520" w:lineRule="exact"/>
              <w:ind w:firstLine="480" w:firstLineChars="200"/>
              <w:jc w:val="both"/>
              <w:textAlignment w:val="auto"/>
              <w:rPr>
                <w:rFonts w:hint="eastAsia" w:ascii="Times New Roman" w:hAnsi="Times New Roman" w:cs="Times New Roman"/>
                <w:color w:val="auto"/>
                <w:sz w:val="24"/>
                <w:lang w:val="en-US"/>
              </w:rPr>
            </w:pPr>
            <w:r>
              <w:rPr>
                <w:rFonts w:hint="eastAsia" w:ascii="Times New Roman" w:hAnsi="Times New Roman" w:cs="Times New Roman"/>
                <w:color w:val="auto"/>
                <w:sz w:val="24"/>
                <w:lang w:eastAsia="zh-CN"/>
              </w:rPr>
              <w:t>本项目</w:t>
            </w:r>
            <w:r>
              <w:rPr>
                <w:rFonts w:hint="eastAsia" w:ascii="Times New Roman" w:hAnsi="Times New Roman" w:cs="Times New Roman"/>
                <w:color w:val="auto"/>
                <w:sz w:val="24"/>
              </w:rPr>
              <w:t>位于</w:t>
            </w:r>
            <w:r>
              <w:rPr>
                <w:rFonts w:hint="eastAsia" w:ascii="Times New Roman" w:hAnsi="Times New Roman" w:cs="Times New Roman"/>
                <w:color w:val="auto"/>
                <w:sz w:val="24"/>
                <w:lang w:val="en-US"/>
              </w:rPr>
              <w:t>鄂尔多斯市东胜区伊化南路</w:t>
            </w:r>
            <w:r>
              <w:rPr>
                <w:rFonts w:hint="eastAsia" w:ascii="Times New Roman" w:hAnsi="Times New Roman" w:cs="Times New Roman"/>
                <w:color w:val="auto"/>
                <w:sz w:val="24"/>
                <w:lang w:val="en-US" w:eastAsia="zh-CN"/>
              </w:rPr>
              <w:t>11号鄂尔多斯广厦医院院内</w:t>
            </w:r>
            <w:r>
              <w:rPr>
                <w:rFonts w:hint="eastAsia" w:ascii="Times New Roman" w:hAnsi="Times New Roman" w:cs="Times New Roman"/>
                <w:color w:val="auto"/>
                <w:sz w:val="24"/>
              </w:rPr>
              <w:t>，项目</w:t>
            </w:r>
            <w:r>
              <w:rPr>
                <w:rFonts w:hint="eastAsia" w:ascii="Times New Roman" w:hAnsi="Times New Roman" w:cs="Times New Roman"/>
                <w:color w:val="auto"/>
                <w:sz w:val="24"/>
                <w:lang w:eastAsia="zh-CN"/>
              </w:rPr>
              <w:t>北</w:t>
            </w:r>
            <w:r>
              <w:rPr>
                <w:rFonts w:hint="eastAsia" w:ascii="Times New Roman" w:hAnsi="Times New Roman" w:cs="Times New Roman"/>
                <w:color w:val="auto"/>
                <w:sz w:val="24"/>
              </w:rPr>
              <w:t>侧</w:t>
            </w:r>
            <w:r>
              <w:rPr>
                <w:rFonts w:hint="eastAsia" w:ascii="Times New Roman" w:hAnsi="Times New Roman" w:cs="Times New Roman"/>
                <w:color w:val="auto"/>
                <w:sz w:val="24"/>
                <w:lang w:eastAsia="zh-CN"/>
              </w:rPr>
              <w:t>、西侧为龙湾，项目南侧、东侧为海拉尔东街。项目北侧距大兴花园小区27</w:t>
            </w:r>
            <w:r>
              <w:rPr>
                <w:rFonts w:hint="eastAsia" w:ascii="Times New Roman" w:hAnsi="Times New Roman" w:cs="Times New Roman"/>
                <w:color w:val="auto"/>
                <w:sz w:val="24"/>
                <w:lang w:val="en-US" w:eastAsia="zh-CN"/>
              </w:rPr>
              <w:t>m</w:t>
            </w:r>
            <w:r>
              <w:rPr>
                <w:rFonts w:hint="eastAsia" w:ascii="Times New Roman" w:hAnsi="Times New Roman" w:cs="Times New Roman"/>
                <w:color w:val="auto"/>
                <w:sz w:val="24"/>
                <w:lang w:eastAsia="zh-CN"/>
              </w:rPr>
              <w:t>、距育苗楼小区318</w:t>
            </w:r>
            <w:r>
              <w:rPr>
                <w:rFonts w:hint="eastAsia" w:ascii="Times New Roman" w:hAnsi="Times New Roman" w:cs="Times New Roman"/>
                <w:color w:val="auto"/>
                <w:sz w:val="24"/>
                <w:lang w:val="en-US" w:eastAsia="zh-CN"/>
              </w:rPr>
              <w:t>m</w:t>
            </w:r>
            <w:r>
              <w:rPr>
                <w:rFonts w:hint="eastAsia" w:ascii="Times New Roman" w:hAnsi="Times New Roman" w:cs="Times New Roman"/>
                <w:color w:val="auto"/>
                <w:sz w:val="24"/>
                <w:lang w:eastAsia="zh-CN"/>
              </w:rPr>
              <w:t>、距万福小区572</w:t>
            </w:r>
            <w:r>
              <w:rPr>
                <w:rFonts w:hint="eastAsia" w:ascii="Times New Roman" w:hAnsi="Times New Roman" w:cs="Times New Roman"/>
                <w:color w:val="auto"/>
                <w:sz w:val="24"/>
                <w:lang w:val="en-US" w:eastAsia="zh-CN"/>
              </w:rPr>
              <w:t>m</w:t>
            </w:r>
            <w:r>
              <w:rPr>
                <w:rFonts w:hint="eastAsia" w:ascii="Times New Roman" w:hAnsi="Times New Roman" w:cs="Times New Roman"/>
                <w:color w:val="auto"/>
                <w:sz w:val="24"/>
                <w:lang w:eastAsia="zh-CN"/>
              </w:rPr>
              <w:t>、距凯威茗都486</w:t>
            </w:r>
            <w:r>
              <w:rPr>
                <w:rFonts w:hint="eastAsia" w:ascii="Times New Roman" w:hAnsi="Times New Roman" w:cs="Times New Roman"/>
                <w:color w:val="auto"/>
                <w:sz w:val="24"/>
                <w:lang w:val="en-US" w:eastAsia="zh-CN"/>
              </w:rPr>
              <w:t>m</w:t>
            </w:r>
            <w:r>
              <w:rPr>
                <w:rFonts w:hint="eastAsia" w:ascii="Times New Roman" w:hAnsi="Times New Roman" w:cs="Times New Roman"/>
                <w:color w:val="auto"/>
                <w:sz w:val="24"/>
                <w:lang w:eastAsia="zh-CN"/>
              </w:rPr>
              <w:t>、距怡馨花园469</w:t>
            </w:r>
            <w:r>
              <w:rPr>
                <w:rFonts w:hint="eastAsia" w:ascii="Times New Roman" w:hAnsi="Times New Roman" w:cs="Times New Roman"/>
                <w:color w:val="auto"/>
                <w:sz w:val="24"/>
                <w:lang w:val="en-US" w:eastAsia="zh-CN"/>
              </w:rPr>
              <w:t>m</w:t>
            </w:r>
            <w:r>
              <w:rPr>
                <w:rFonts w:hint="eastAsia" w:ascii="Times New Roman" w:hAnsi="Times New Roman" w:cs="Times New Roman"/>
                <w:color w:val="auto"/>
                <w:sz w:val="24"/>
                <w:lang w:eastAsia="zh-CN"/>
              </w:rPr>
              <w:t>、距第七小学</w:t>
            </w:r>
            <w:r>
              <w:rPr>
                <w:rFonts w:hint="eastAsia" w:ascii="Times New Roman" w:hAnsi="Times New Roman" w:cs="Times New Roman"/>
                <w:color w:val="auto"/>
                <w:sz w:val="24"/>
                <w:lang w:val="en-US" w:eastAsia="zh-CN"/>
              </w:rPr>
              <w:t>372m</w:t>
            </w:r>
            <w:r>
              <w:rPr>
                <w:rFonts w:hint="eastAsia" w:ascii="Times New Roman" w:hAnsi="Times New Roman" w:cs="Times New Roman"/>
                <w:color w:val="auto"/>
                <w:sz w:val="24"/>
                <w:lang w:eastAsia="zh-CN"/>
              </w:rPr>
              <w:t>、距泰欣小区</w:t>
            </w:r>
            <w:r>
              <w:rPr>
                <w:rFonts w:hint="eastAsia" w:ascii="Times New Roman" w:hAnsi="Times New Roman" w:cs="Times New Roman"/>
                <w:color w:val="auto"/>
                <w:sz w:val="24"/>
                <w:lang w:val="en-US" w:eastAsia="zh-CN"/>
              </w:rPr>
              <w:t>391m</w:t>
            </w:r>
            <w:r>
              <w:rPr>
                <w:rFonts w:hint="eastAsia" w:ascii="Times New Roman" w:hAnsi="Times New Roman" w:cs="Times New Roman"/>
                <w:color w:val="auto"/>
                <w:sz w:val="24"/>
                <w:lang w:eastAsia="zh-CN"/>
              </w:rPr>
              <w:t>、距老干</w:t>
            </w:r>
            <w:r>
              <w:rPr>
                <w:rFonts w:hint="eastAsia" w:ascii="Times New Roman" w:hAnsi="Times New Roman" w:cs="Times New Roman"/>
                <w:color w:val="auto"/>
                <w:sz w:val="24"/>
                <w:lang w:val="en-US" w:eastAsia="zh-CN"/>
              </w:rPr>
              <w:t>部</w:t>
            </w:r>
            <w:r>
              <w:rPr>
                <w:rFonts w:hint="eastAsia" w:ascii="Times New Roman" w:hAnsi="Times New Roman" w:cs="Times New Roman"/>
                <w:color w:val="auto"/>
                <w:sz w:val="24"/>
                <w:lang w:eastAsia="zh-CN"/>
              </w:rPr>
              <w:t>家属楼</w:t>
            </w:r>
            <w:r>
              <w:rPr>
                <w:rFonts w:hint="eastAsia" w:ascii="Times New Roman" w:hAnsi="Times New Roman" w:cs="Times New Roman"/>
                <w:color w:val="auto"/>
                <w:sz w:val="24"/>
                <w:lang w:val="en-US" w:eastAsia="zh-CN"/>
              </w:rPr>
              <w:t>469m</w:t>
            </w:r>
            <w:r>
              <w:rPr>
                <w:rFonts w:hint="eastAsia" w:ascii="Times New Roman" w:hAnsi="Times New Roman" w:cs="Times New Roman"/>
                <w:color w:val="auto"/>
                <w:sz w:val="24"/>
                <w:lang w:eastAsia="zh-CN"/>
              </w:rPr>
              <w:t>，项目东北侧距华宇名门</w:t>
            </w:r>
            <w:r>
              <w:rPr>
                <w:rFonts w:hint="eastAsia" w:ascii="Times New Roman" w:hAnsi="Times New Roman" w:cs="Times New Roman"/>
                <w:color w:val="auto"/>
                <w:sz w:val="24"/>
                <w:lang w:val="en-US" w:eastAsia="zh-CN"/>
              </w:rPr>
              <w:t>497m</w:t>
            </w:r>
            <w:r>
              <w:rPr>
                <w:rFonts w:hint="eastAsia" w:ascii="Times New Roman" w:hAnsi="Times New Roman" w:cs="Times New Roman"/>
                <w:color w:val="auto"/>
                <w:sz w:val="24"/>
                <w:lang w:eastAsia="zh-CN"/>
              </w:rPr>
              <w:t>、距满达小区</w:t>
            </w:r>
            <w:r>
              <w:rPr>
                <w:rFonts w:hint="eastAsia" w:ascii="Times New Roman" w:hAnsi="Times New Roman" w:cs="Times New Roman"/>
                <w:color w:val="auto"/>
                <w:sz w:val="24"/>
                <w:lang w:val="en-US" w:eastAsia="zh-CN"/>
              </w:rPr>
              <w:t>638m</w:t>
            </w:r>
            <w:r>
              <w:rPr>
                <w:rFonts w:hint="eastAsia" w:ascii="Times New Roman" w:hAnsi="Times New Roman" w:cs="Times New Roman"/>
                <w:color w:val="auto"/>
                <w:sz w:val="24"/>
                <w:lang w:eastAsia="zh-CN"/>
              </w:rPr>
              <w:t>，项目东侧距亿利城市华庭</w:t>
            </w:r>
            <w:r>
              <w:rPr>
                <w:rFonts w:hint="eastAsia" w:ascii="Times New Roman" w:hAnsi="Times New Roman" w:cs="Times New Roman"/>
                <w:color w:val="auto"/>
                <w:sz w:val="24"/>
                <w:lang w:val="en-US" w:eastAsia="zh-CN"/>
              </w:rPr>
              <w:t>332m</w:t>
            </w:r>
            <w:r>
              <w:rPr>
                <w:rFonts w:hint="eastAsia" w:ascii="Times New Roman" w:hAnsi="Times New Roman" w:cs="Times New Roman"/>
                <w:color w:val="auto"/>
                <w:sz w:val="24"/>
                <w:lang w:eastAsia="zh-CN"/>
              </w:rPr>
              <w:t>，项目东南侧距华滋居</w:t>
            </w:r>
            <w:r>
              <w:rPr>
                <w:rFonts w:hint="eastAsia" w:ascii="Times New Roman" w:hAnsi="Times New Roman" w:cs="Times New Roman"/>
                <w:color w:val="auto"/>
                <w:sz w:val="24"/>
                <w:lang w:val="en-US" w:eastAsia="zh-CN"/>
              </w:rPr>
              <w:t>438m</w:t>
            </w:r>
            <w:r>
              <w:rPr>
                <w:rFonts w:hint="eastAsia" w:ascii="Times New Roman" w:hAnsi="Times New Roman" w:cs="Times New Roman"/>
                <w:color w:val="auto"/>
                <w:sz w:val="24"/>
                <w:lang w:eastAsia="zh-CN"/>
              </w:rPr>
              <w:t>、距育英社区</w:t>
            </w:r>
            <w:r>
              <w:rPr>
                <w:rFonts w:hint="eastAsia" w:ascii="Times New Roman" w:hAnsi="Times New Roman" w:cs="Times New Roman"/>
                <w:color w:val="auto"/>
                <w:sz w:val="24"/>
                <w:lang w:val="en-US" w:eastAsia="zh-CN"/>
              </w:rPr>
              <w:t>442m</w:t>
            </w:r>
            <w:r>
              <w:rPr>
                <w:rFonts w:hint="eastAsia" w:ascii="Times New Roman" w:hAnsi="Times New Roman" w:cs="Times New Roman"/>
                <w:color w:val="auto"/>
                <w:sz w:val="24"/>
                <w:lang w:eastAsia="zh-CN"/>
              </w:rPr>
              <w:t>，项目南侧距华府世家</w:t>
            </w:r>
            <w:r>
              <w:rPr>
                <w:rFonts w:hint="eastAsia" w:ascii="Times New Roman" w:hAnsi="Times New Roman" w:cs="Times New Roman"/>
                <w:color w:val="auto"/>
                <w:sz w:val="24"/>
                <w:lang w:val="en-US" w:eastAsia="zh-CN"/>
              </w:rPr>
              <w:t>302m</w:t>
            </w:r>
            <w:r>
              <w:rPr>
                <w:rFonts w:hint="eastAsia" w:ascii="Times New Roman" w:hAnsi="Times New Roman" w:cs="Times New Roman"/>
                <w:color w:val="auto"/>
                <w:sz w:val="24"/>
                <w:lang w:eastAsia="zh-CN"/>
              </w:rPr>
              <w:t>，项目西南侧距欧陆风情</w:t>
            </w:r>
            <w:r>
              <w:rPr>
                <w:rFonts w:hint="eastAsia" w:ascii="Times New Roman" w:hAnsi="Times New Roman" w:cs="Times New Roman"/>
                <w:color w:val="auto"/>
                <w:sz w:val="24"/>
                <w:lang w:val="en-US" w:eastAsia="zh-CN"/>
              </w:rPr>
              <w:t>438m、距拆迁区403m</w:t>
            </w:r>
            <w:r>
              <w:rPr>
                <w:rFonts w:hint="eastAsia" w:ascii="Times New Roman" w:hAnsi="Times New Roman" w:cs="Times New Roman"/>
                <w:color w:val="auto"/>
                <w:sz w:val="24"/>
                <w:lang w:eastAsia="zh-CN"/>
              </w:rPr>
              <w:t>，项目西侧距龙湾</w:t>
            </w:r>
            <w:r>
              <w:rPr>
                <w:rFonts w:hint="eastAsia" w:ascii="Times New Roman" w:hAnsi="Times New Roman" w:cs="Times New Roman"/>
                <w:color w:val="auto"/>
                <w:sz w:val="24"/>
                <w:lang w:val="en-US" w:eastAsia="zh-CN"/>
              </w:rPr>
              <w:t>8m</w:t>
            </w:r>
            <w:r>
              <w:rPr>
                <w:rFonts w:hint="eastAsia" w:ascii="Times New Roman" w:hAnsi="Times New Roman" w:cs="Times New Roman"/>
                <w:color w:val="auto"/>
                <w:sz w:val="24"/>
                <w:lang w:eastAsia="zh-CN"/>
              </w:rPr>
              <w:t>、距亿利城滨河湾</w:t>
            </w:r>
            <w:r>
              <w:rPr>
                <w:rFonts w:hint="eastAsia" w:ascii="Times New Roman" w:hAnsi="Times New Roman" w:cs="Times New Roman"/>
                <w:color w:val="auto"/>
                <w:sz w:val="24"/>
                <w:lang w:val="en-US" w:eastAsia="zh-CN"/>
              </w:rPr>
              <w:t>293m</w:t>
            </w:r>
            <w:r>
              <w:rPr>
                <w:rFonts w:hint="eastAsia" w:ascii="Times New Roman" w:hAnsi="Times New Roman" w:cs="Times New Roman"/>
                <w:color w:val="auto"/>
                <w:sz w:val="24"/>
                <w:lang w:eastAsia="zh-CN"/>
              </w:rPr>
              <w:t>、距传祥苑</w:t>
            </w:r>
            <w:r>
              <w:rPr>
                <w:rFonts w:hint="eastAsia" w:ascii="Times New Roman" w:hAnsi="Times New Roman" w:cs="Times New Roman"/>
                <w:color w:val="auto"/>
                <w:sz w:val="24"/>
                <w:lang w:val="en-US" w:eastAsia="zh-CN"/>
              </w:rPr>
              <w:t>402m</w:t>
            </w:r>
            <w:r>
              <w:rPr>
                <w:rFonts w:hint="eastAsia" w:ascii="Times New Roman" w:hAnsi="Times New Roman" w:cs="Times New Roman"/>
                <w:color w:val="auto"/>
                <w:sz w:val="24"/>
                <w:lang w:eastAsia="zh-CN"/>
              </w:rPr>
              <w:t>、距亿利广场家园</w:t>
            </w:r>
            <w:r>
              <w:rPr>
                <w:rFonts w:hint="eastAsia" w:ascii="Times New Roman" w:hAnsi="Times New Roman" w:cs="Times New Roman"/>
                <w:color w:val="auto"/>
                <w:sz w:val="24"/>
                <w:lang w:val="en-US" w:eastAsia="zh-CN"/>
              </w:rPr>
              <w:t>378m</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距离项目最近的敏感点为西侧</w:t>
            </w:r>
            <w:r>
              <w:rPr>
                <w:rFonts w:hint="eastAsia" w:ascii="Times New Roman" w:hAnsi="Times New Roman" w:cs="Times New Roman"/>
                <w:color w:val="auto"/>
                <w:sz w:val="24"/>
                <w:lang w:val="en-US" w:eastAsia="zh-CN"/>
              </w:rPr>
              <w:t>8</w:t>
            </w:r>
            <w:r>
              <w:rPr>
                <w:rFonts w:hint="eastAsia" w:ascii="Times New Roman" w:hAnsi="Times New Roman" w:cs="Times New Roman"/>
                <w:color w:val="auto"/>
                <w:sz w:val="24"/>
              </w:rPr>
              <w:t>m处</w:t>
            </w:r>
            <w:r>
              <w:rPr>
                <w:rFonts w:hint="eastAsia" w:ascii="Times New Roman" w:hAnsi="Times New Roman" w:cs="Times New Roman"/>
                <w:color w:val="auto"/>
                <w:sz w:val="24"/>
                <w:lang w:eastAsia="zh-CN"/>
              </w:rPr>
              <w:t>的</w:t>
            </w:r>
            <w:r>
              <w:rPr>
                <w:rFonts w:hint="eastAsia" w:ascii="Times New Roman" w:hAnsi="Times New Roman" w:cs="Times New Roman"/>
                <w:color w:val="auto"/>
                <w:sz w:val="24"/>
                <w:lang w:val="en-US" w:eastAsia="zh-CN"/>
              </w:rPr>
              <w:t>龙湾</w:t>
            </w:r>
            <w:r>
              <w:rPr>
                <w:rFonts w:ascii="Times New Roman" w:hAnsi="Times New Roman" w:cs="Times New Roman"/>
                <w:color w:val="auto"/>
                <w:sz w:val="24"/>
              </w:rPr>
              <w:t>。</w:t>
            </w:r>
            <w:r>
              <w:rPr>
                <w:rFonts w:hint="eastAsia" w:ascii="Times New Roman" w:hAnsi="Times New Roman" w:cs="Times New Roman"/>
                <w:color w:val="auto"/>
                <w:sz w:val="24"/>
              </w:rPr>
              <w:t>根据《建设项目环境影响报告表编制技术指南（污染影响类）》，本项目厂界</w:t>
            </w:r>
            <w:r>
              <w:rPr>
                <w:rFonts w:hint="eastAsia" w:ascii="Times New Roman" w:hAnsi="Times New Roman" w:cs="Times New Roman"/>
                <w:color w:val="auto"/>
                <w:sz w:val="24"/>
                <w:lang w:val="en-US"/>
              </w:rPr>
              <w:t>外500米范围内无自然保护区、风景名胜区等保护目标；厂界外50米范围内</w:t>
            </w:r>
            <w:r>
              <w:rPr>
                <w:rFonts w:hint="eastAsia" w:ascii="Times New Roman" w:hAnsi="Times New Roman" w:cs="Times New Roman"/>
                <w:color w:val="auto"/>
                <w:sz w:val="24"/>
                <w:lang w:val="en-US" w:eastAsia="zh-CN"/>
              </w:rPr>
              <w:t>有</w:t>
            </w:r>
            <w:r>
              <w:rPr>
                <w:rFonts w:hint="eastAsia" w:ascii="Times New Roman" w:hAnsi="Times New Roman" w:cs="Times New Roman"/>
                <w:color w:val="auto"/>
                <w:sz w:val="24"/>
                <w:lang w:val="en-US"/>
              </w:rPr>
              <w:t>龙湾</w:t>
            </w:r>
            <w:r>
              <w:rPr>
                <w:rFonts w:hint="eastAsia" w:ascii="Times New Roman" w:hAnsi="Times New Roman" w:cs="Times New Roman"/>
                <w:color w:val="auto"/>
                <w:sz w:val="24"/>
                <w:lang w:val="en-US" w:eastAsia="zh-CN"/>
              </w:rPr>
              <w:t>、</w:t>
            </w:r>
            <w:r>
              <w:rPr>
                <w:rFonts w:hint="eastAsia" w:ascii="Times New Roman" w:hAnsi="Times New Roman" w:cs="Times New Roman"/>
                <w:color w:val="auto"/>
                <w:sz w:val="24"/>
                <w:lang w:val="en-US"/>
              </w:rPr>
              <w:t>大兴花园小区</w:t>
            </w:r>
            <w:r>
              <w:rPr>
                <w:rFonts w:hint="eastAsia" w:ascii="Times New Roman" w:hAnsi="Times New Roman" w:cs="Times New Roman"/>
                <w:color w:val="auto"/>
                <w:sz w:val="24"/>
                <w:lang w:val="en-US" w:eastAsia="zh-CN"/>
              </w:rPr>
              <w:t>居民</w:t>
            </w:r>
            <w:r>
              <w:rPr>
                <w:rFonts w:hint="eastAsia" w:ascii="Times New Roman" w:hAnsi="Times New Roman" w:cs="Times New Roman"/>
                <w:color w:val="auto"/>
                <w:sz w:val="24"/>
                <w:lang w:val="en-US"/>
              </w:rPr>
              <w:t>；厂界外500米范围内无地下水集中式饮用水水源和热水、矿泉水、温泉等特殊地下水资源。</w:t>
            </w:r>
          </w:p>
          <w:p w14:paraId="4C33A44F">
            <w:pPr>
              <w:pStyle w:val="46"/>
              <w:keepNext w:val="0"/>
              <w:keepLines w:val="0"/>
              <w:pageBreakBefore w:val="0"/>
              <w:widowControl w:val="0"/>
              <w:numPr>
                <w:ilvl w:val="0"/>
                <w:numId w:val="1"/>
              </w:numPr>
              <w:kinsoku/>
              <w:wordWrap/>
              <w:overflowPunct/>
              <w:topLinePunct w:val="0"/>
              <w:autoSpaceDE/>
              <w:autoSpaceDN/>
              <w:bidi w:val="0"/>
              <w:spacing w:line="520" w:lineRule="exact"/>
              <w:ind w:firstLine="480" w:firstLineChars="200"/>
              <w:jc w:val="both"/>
              <w:textAlignment w:val="auto"/>
              <w:rPr>
                <w:rFonts w:hint="eastAsia" w:ascii="Times New Roman" w:hAnsi="Times New Roman"/>
                <w:bCs/>
                <w:color w:val="auto"/>
              </w:rPr>
            </w:pPr>
            <w:r>
              <w:rPr>
                <w:rFonts w:hint="eastAsia" w:ascii="Times New Roman" w:hAnsi="Times New Roman"/>
                <w:bCs/>
                <w:color w:val="auto"/>
              </w:rPr>
              <w:t>环境风险</w:t>
            </w:r>
            <w:r>
              <w:rPr>
                <w:rFonts w:hint="eastAsia" w:ascii="Times New Roman" w:hAnsi="Times New Roman"/>
                <w:bCs/>
                <w:color w:val="auto"/>
                <w:lang w:val="en-US" w:eastAsia="zh-CN"/>
              </w:rPr>
              <w:t>防范</w:t>
            </w:r>
            <w:r>
              <w:rPr>
                <w:rFonts w:hint="eastAsia" w:ascii="Times New Roman" w:hAnsi="Times New Roman"/>
                <w:bCs/>
                <w:color w:val="auto"/>
              </w:rPr>
              <w:t>措施及应急要求</w:t>
            </w:r>
          </w:p>
          <w:p w14:paraId="035EC970">
            <w:pPr>
              <w:pStyle w:val="46"/>
              <w:keepNext w:val="0"/>
              <w:keepLines w:val="0"/>
              <w:pageBreakBefore w:val="0"/>
              <w:widowControl w:val="0"/>
              <w:kinsoku/>
              <w:wordWrap/>
              <w:overflowPunct/>
              <w:topLinePunct w:val="0"/>
              <w:autoSpaceDE/>
              <w:autoSpaceDN/>
              <w:bidi w:val="0"/>
              <w:adjustRightInd w:val="0"/>
              <w:snapToGrid/>
              <w:spacing w:line="520" w:lineRule="exact"/>
              <w:ind w:left="0" w:leftChars="0" w:firstLine="480" w:firstLineChars="200"/>
              <w:jc w:val="both"/>
              <w:textAlignment w:val="auto"/>
              <w:rPr>
                <w:rFonts w:hint="eastAsia" w:ascii="Times New Roman" w:hAnsi="Times New Roman"/>
                <w:bCs/>
                <w:color w:val="auto"/>
              </w:rPr>
            </w:pPr>
            <w:r>
              <w:rPr>
                <w:rFonts w:hint="eastAsia" w:ascii="Times New Roman" w:hAnsi="Times New Roman"/>
                <w:bCs/>
                <w:color w:val="auto"/>
              </w:rPr>
              <w:t>根据技术指南要求，明确危险物质和风险源分布情况及可能影响途径，并提出环境风险防范措施。</w:t>
            </w:r>
          </w:p>
          <w:p w14:paraId="41756CEC">
            <w:pPr>
              <w:pStyle w:val="46"/>
              <w:keepNext w:val="0"/>
              <w:keepLines w:val="0"/>
              <w:pageBreakBefore w:val="0"/>
              <w:widowControl w:val="0"/>
              <w:kinsoku/>
              <w:wordWrap/>
              <w:overflowPunct/>
              <w:topLinePunct w:val="0"/>
              <w:autoSpaceDE/>
              <w:autoSpaceDN/>
              <w:bidi w:val="0"/>
              <w:adjustRightInd w:val="0"/>
              <w:snapToGrid/>
              <w:spacing w:line="520" w:lineRule="exact"/>
              <w:ind w:left="0" w:leftChars="0" w:firstLine="480" w:firstLineChars="200"/>
              <w:jc w:val="both"/>
              <w:textAlignment w:val="auto"/>
              <w:rPr>
                <w:rFonts w:hint="eastAsia" w:ascii="Times New Roman" w:hAnsi="Times New Roman"/>
                <w:bCs/>
                <w:color w:val="auto"/>
              </w:rPr>
            </w:pPr>
            <w:r>
              <w:rPr>
                <w:rFonts w:hint="eastAsia" w:ascii="Times New Roman" w:hAnsi="Times New Roman"/>
                <w:bCs/>
                <w:color w:val="auto"/>
                <w:lang w:eastAsia="zh-CN"/>
              </w:rPr>
              <w:t>①本项目乙醇、甲醛、盐酸、环氧乙烷等化学品</w:t>
            </w:r>
            <w:r>
              <w:rPr>
                <w:rFonts w:hint="eastAsia" w:ascii="Times New Roman" w:hAnsi="Times New Roman"/>
                <w:bCs/>
                <w:color w:val="auto"/>
              </w:rPr>
              <w:t>运输方式采用汽车陆运，在装卸、运输过程可能潜在的风险事故如下：</w:t>
            </w:r>
          </w:p>
          <w:p w14:paraId="01D88275">
            <w:pPr>
              <w:pStyle w:val="46"/>
              <w:keepNext w:val="0"/>
              <w:keepLines w:val="0"/>
              <w:pageBreakBefore w:val="0"/>
              <w:widowControl w:val="0"/>
              <w:kinsoku/>
              <w:wordWrap/>
              <w:overflowPunct/>
              <w:topLinePunct w:val="0"/>
              <w:autoSpaceDE/>
              <w:autoSpaceDN/>
              <w:bidi w:val="0"/>
              <w:adjustRightInd w:val="0"/>
              <w:snapToGrid/>
              <w:spacing w:line="520" w:lineRule="exact"/>
              <w:ind w:left="0" w:leftChars="0" w:firstLine="480" w:firstLineChars="200"/>
              <w:jc w:val="both"/>
              <w:textAlignment w:val="auto"/>
              <w:rPr>
                <w:rFonts w:hint="eastAsia" w:ascii="Times New Roman" w:hAnsi="Times New Roman"/>
                <w:bCs/>
                <w:color w:val="auto"/>
              </w:rPr>
            </w:pPr>
            <w:r>
              <w:rPr>
                <w:rFonts w:hint="eastAsia" w:ascii="Times New Roman" w:hAnsi="Times New Roman"/>
                <w:bCs/>
                <w:color w:val="auto"/>
              </w:rPr>
              <w:t>A.运输过程中因意外交通事故，可能</w:t>
            </w:r>
            <w:r>
              <w:rPr>
                <w:rFonts w:hint="eastAsia" w:ascii="Times New Roman" w:hAnsi="Times New Roman"/>
                <w:bCs/>
                <w:color w:val="auto"/>
                <w:lang w:val="en-US" w:eastAsia="zh-CN"/>
              </w:rPr>
              <w:t>导致</w:t>
            </w:r>
            <w:r>
              <w:rPr>
                <w:rFonts w:hint="eastAsia" w:ascii="Times New Roman" w:hAnsi="Times New Roman"/>
                <w:bCs/>
                <w:color w:val="auto"/>
              </w:rPr>
              <w:t>贮罐被撞破，而造成</w:t>
            </w:r>
            <w:r>
              <w:rPr>
                <w:rFonts w:hint="eastAsia" w:ascii="Times New Roman" w:hAnsi="Times New Roman"/>
                <w:bCs/>
                <w:color w:val="auto"/>
                <w:lang w:eastAsia="zh-CN"/>
              </w:rPr>
              <w:t>乙醇、甲醛、盐酸、环氧乙烷</w:t>
            </w:r>
            <w:r>
              <w:rPr>
                <w:rFonts w:hint="eastAsia" w:ascii="Times New Roman" w:hAnsi="Times New Roman"/>
                <w:bCs/>
                <w:color w:val="auto"/>
              </w:rPr>
              <w:t>等腐蚀性化学品流出或</w:t>
            </w:r>
            <w:r>
              <w:rPr>
                <w:rFonts w:hint="eastAsia" w:ascii="Times New Roman" w:hAnsi="Times New Roman"/>
                <w:bCs/>
                <w:color w:val="auto"/>
                <w:lang w:eastAsia="zh-CN"/>
              </w:rPr>
              <w:t>溢出</w:t>
            </w:r>
            <w:r>
              <w:rPr>
                <w:rFonts w:hint="eastAsia" w:ascii="Times New Roman" w:hAnsi="Times New Roman"/>
                <w:bCs/>
                <w:color w:val="auto"/>
              </w:rPr>
              <w:t>，导致运输人员和周围人员中毒，造成局部环境污染。</w:t>
            </w:r>
          </w:p>
          <w:p w14:paraId="592AC016">
            <w:pPr>
              <w:pStyle w:val="46"/>
              <w:keepNext w:val="0"/>
              <w:keepLines w:val="0"/>
              <w:pageBreakBefore w:val="0"/>
              <w:widowControl w:val="0"/>
              <w:kinsoku/>
              <w:wordWrap/>
              <w:overflowPunct/>
              <w:topLinePunct w:val="0"/>
              <w:autoSpaceDE/>
              <w:autoSpaceDN/>
              <w:bidi w:val="0"/>
              <w:adjustRightInd w:val="0"/>
              <w:snapToGrid/>
              <w:spacing w:line="520" w:lineRule="exact"/>
              <w:ind w:left="0" w:leftChars="0" w:firstLine="480" w:firstLineChars="200"/>
              <w:jc w:val="both"/>
              <w:textAlignment w:val="auto"/>
              <w:rPr>
                <w:rFonts w:hint="eastAsia" w:ascii="Times New Roman" w:hAnsi="Times New Roman"/>
                <w:bCs/>
                <w:color w:val="auto"/>
              </w:rPr>
            </w:pPr>
            <w:r>
              <w:rPr>
                <w:rFonts w:hint="eastAsia" w:ascii="Times New Roman" w:hAnsi="Times New Roman"/>
                <w:bCs/>
                <w:color w:val="auto"/>
              </w:rPr>
              <w:t>B.运输过程中因长时间</w:t>
            </w:r>
            <w:r>
              <w:rPr>
                <w:rFonts w:hint="eastAsia" w:ascii="Times New Roman" w:hAnsi="Times New Roman"/>
                <w:bCs/>
                <w:color w:val="auto"/>
                <w:lang w:val="en-US" w:eastAsia="zh-CN"/>
              </w:rPr>
              <w:t>振动</w:t>
            </w:r>
            <w:r>
              <w:rPr>
                <w:rFonts w:hint="eastAsia" w:ascii="Times New Roman" w:hAnsi="Times New Roman"/>
                <w:bCs/>
                <w:color w:val="auto"/>
              </w:rPr>
              <w:t>可造成化学品逸散、泄漏，导致沿途环境污染和人员中毒。</w:t>
            </w:r>
          </w:p>
          <w:p w14:paraId="0688F8B6">
            <w:pPr>
              <w:pStyle w:val="46"/>
              <w:keepNext w:val="0"/>
              <w:keepLines w:val="0"/>
              <w:pageBreakBefore w:val="0"/>
              <w:widowControl w:val="0"/>
              <w:kinsoku/>
              <w:wordWrap/>
              <w:overflowPunct/>
              <w:topLinePunct w:val="0"/>
              <w:autoSpaceDE/>
              <w:autoSpaceDN/>
              <w:bidi w:val="0"/>
              <w:adjustRightInd w:val="0"/>
              <w:snapToGrid/>
              <w:spacing w:line="520" w:lineRule="exact"/>
              <w:ind w:left="0" w:leftChars="0" w:firstLine="480" w:firstLineChars="200"/>
              <w:jc w:val="both"/>
              <w:textAlignment w:val="auto"/>
              <w:rPr>
                <w:rFonts w:hint="eastAsia" w:ascii="Times New Roman" w:hAnsi="Times New Roman"/>
                <w:bCs/>
                <w:color w:val="auto"/>
              </w:rPr>
            </w:pPr>
            <w:r>
              <w:rPr>
                <w:rFonts w:hint="eastAsia" w:ascii="Times New Roman" w:hAnsi="Times New Roman"/>
                <w:bCs/>
                <w:color w:val="auto"/>
                <w:lang w:val="en-US" w:eastAsia="zh-CN"/>
              </w:rPr>
              <w:t>C</w:t>
            </w:r>
            <w:r>
              <w:rPr>
                <w:rFonts w:hint="eastAsia" w:ascii="Times New Roman" w:hAnsi="Times New Roman"/>
                <w:bCs/>
                <w:color w:val="auto"/>
              </w:rPr>
              <w:t>. 由于贮存装置破裂或操作不当，造成泄漏，导致人员中毒和环境污染。</w:t>
            </w:r>
          </w:p>
          <w:p w14:paraId="65C477CC">
            <w:pPr>
              <w:pStyle w:val="46"/>
              <w:keepNext w:val="0"/>
              <w:keepLines w:val="0"/>
              <w:pageBreakBefore w:val="0"/>
              <w:widowControl w:val="0"/>
              <w:kinsoku/>
              <w:wordWrap/>
              <w:overflowPunct/>
              <w:topLinePunct w:val="0"/>
              <w:autoSpaceDE/>
              <w:autoSpaceDN/>
              <w:bidi w:val="0"/>
              <w:adjustRightInd w:val="0"/>
              <w:snapToGrid/>
              <w:spacing w:line="520" w:lineRule="exact"/>
              <w:ind w:left="0" w:leftChars="0" w:firstLine="480" w:firstLineChars="200"/>
              <w:jc w:val="both"/>
              <w:textAlignment w:val="auto"/>
              <w:rPr>
                <w:rFonts w:hint="eastAsia" w:ascii="Times New Roman" w:hAnsi="Times New Roman"/>
                <w:bCs/>
                <w:color w:val="auto"/>
              </w:rPr>
            </w:pPr>
            <w:r>
              <w:rPr>
                <w:rFonts w:hint="eastAsia" w:ascii="Times New Roman" w:hAnsi="Times New Roman"/>
                <w:bCs/>
                <w:color w:val="auto"/>
                <w:lang w:val="en-US" w:eastAsia="zh-CN"/>
              </w:rPr>
              <w:t>D</w:t>
            </w:r>
            <w:r>
              <w:rPr>
                <w:rFonts w:hint="eastAsia" w:ascii="Times New Roman" w:hAnsi="Times New Roman"/>
                <w:bCs/>
                <w:color w:val="auto"/>
              </w:rPr>
              <w:t>.在使用过程中由于操作人员失误造成化学品</w:t>
            </w:r>
            <w:r>
              <w:rPr>
                <w:rFonts w:hint="eastAsia" w:ascii="Times New Roman" w:hAnsi="Times New Roman"/>
                <w:bCs/>
                <w:color w:val="auto"/>
                <w:lang w:eastAsia="zh-CN"/>
              </w:rPr>
              <w:t>泄漏</w:t>
            </w:r>
            <w:r>
              <w:rPr>
                <w:rFonts w:hint="eastAsia" w:ascii="Times New Roman" w:hAnsi="Times New Roman"/>
                <w:bCs/>
                <w:color w:val="auto"/>
              </w:rPr>
              <w:t>。</w:t>
            </w:r>
          </w:p>
          <w:p w14:paraId="121F2686">
            <w:pPr>
              <w:pStyle w:val="46"/>
              <w:keepNext w:val="0"/>
              <w:keepLines w:val="0"/>
              <w:pageBreakBefore w:val="0"/>
              <w:widowControl w:val="0"/>
              <w:kinsoku/>
              <w:wordWrap/>
              <w:overflowPunct/>
              <w:topLinePunct w:val="0"/>
              <w:autoSpaceDE/>
              <w:autoSpaceDN/>
              <w:bidi w:val="0"/>
              <w:spacing w:line="520" w:lineRule="exact"/>
              <w:ind w:left="440" w:leftChars="200"/>
              <w:jc w:val="both"/>
              <w:textAlignment w:val="auto"/>
              <w:rPr>
                <w:rFonts w:hint="eastAsia" w:ascii="Times New Roman" w:hAnsi="Times New Roman"/>
                <w:bCs/>
                <w:color w:val="auto"/>
              </w:rPr>
            </w:pPr>
            <w:r>
              <w:rPr>
                <w:rFonts w:hint="eastAsia" w:ascii="Times New Roman" w:hAnsi="Times New Roman"/>
                <w:bCs/>
                <w:color w:val="auto"/>
              </w:rPr>
              <w:t>②污水处理站事故排放</w:t>
            </w:r>
          </w:p>
          <w:p w14:paraId="63A99949">
            <w:pPr>
              <w:pStyle w:val="46"/>
              <w:keepNext w:val="0"/>
              <w:keepLines w:val="0"/>
              <w:pageBreakBefore w:val="0"/>
              <w:widowControl w:val="0"/>
              <w:kinsoku/>
              <w:wordWrap/>
              <w:overflowPunct/>
              <w:topLinePunct w:val="0"/>
              <w:autoSpaceDE/>
              <w:autoSpaceDN/>
              <w:bidi w:val="0"/>
              <w:adjustRightInd w:val="0"/>
              <w:snapToGrid/>
              <w:spacing w:line="520" w:lineRule="exact"/>
              <w:ind w:left="0" w:leftChars="0" w:firstLine="480" w:firstLineChars="200"/>
              <w:jc w:val="both"/>
              <w:textAlignment w:val="auto"/>
              <w:rPr>
                <w:rFonts w:hint="eastAsia" w:ascii="Times New Roman" w:hAnsi="Times New Roman" w:eastAsia="宋体"/>
                <w:bCs/>
                <w:color w:val="auto"/>
                <w:lang w:eastAsia="zh-CN"/>
              </w:rPr>
            </w:pPr>
            <w:r>
              <w:rPr>
                <w:rFonts w:hint="eastAsia" w:ascii="Times New Roman" w:hAnsi="Times New Roman"/>
                <w:bCs/>
                <w:color w:val="auto"/>
              </w:rPr>
              <w:t>当污水处理站出现事故停运时，废水不能达到《医疗机构水污染物排放标准》（GB 18466-2005）表2 预处理标准要求。如果事故</w:t>
            </w:r>
            <w:r>
              <w:rPr>
                <w:rFonts w:hint="eastAsia" w:ascii="Times New Roman" w:hAnsi="Times New Roman"/>
                <w:bCs/>
                <w:color w:val="auto"/>
                <w:lang w:val="en-US" w:eastAsia="zh-CN"/>
              </w:rPr>
              <w:t>发生</w:t>
            </w:r>
            <w:r>
              <w:rPr>
                <w:rFonts w:hint="eastAsia" w:ascii="Times New Roman" w:hAnsi="Times New Roman"/>
                <w:bCs/>
                <w:color w:val="auto"/>
              </w:rPr>
              <w:t>时让废水直接外排，超标废水进入市政污水管网，从而给东胜区北郊水质净化厂带来一定压力</w:t>
            </w:r>
            <w:r>
              <w:rPr>
                <w:rFonts w:hint="eastAsia" w:ascii="Times New Roman" w:hAnsi="Times New Roman"/>
                <w:bCs/>
                <w:color w:val="auto"/>
                <w:lang w:eastAsia="zh-CN"/>
              </w:rPr>
              <w:t>。</w:t>
            </w:r>
          </w:p>
          <w:p w14:paraId="3A200FE6">
            <w:pPr>
              <w:pStyle w:val="46"/>
              <w:keepNext w:val="0"/>
              <w:keepLines w:val="0"/>
              <w:pageBreakBefore w:val="0"/>
              <w:widowControl w:val="0"/>
              <w:kinsoku/>
              <w:wordWrap/>
              <w:overflowPunct/>
              <w:topLinePunct w:val="0"/>
              <w:autoSpaceDE/>
              <w:autoSpaceDN/>
              <w:bidi w:val="0"/>
              <w:adjustRightInd w:val="0"/>
              <w:snapToGrid/>
              <w:spacing w:line="520" w:lineRule="exact"/>
              <w:ind w:left="0" w:leftChars="0" w:firstLine="480" w:firstLineChars="200"/>
              <w:jc w:val="both"/>
              <w:textAlignment w:val="auto"/>
              <w:rPr>
                <w:rFonts w:hint="eastAsia" w:ascii="Times New Roman" w:hAnsi="Times New Roman" w:eastAsia="宋体"/>
                <w:bCs/>
                <w:color w:val="auto"/>
                <w:lang w:eastAsia="zh-CN"/>
              </w:rPr>
            </w:pPr>
            <w:r>
              <w:rPr>
                <w:rFonts w:hint="eastAsia" w:ascii="Times New Roman" w:hAnsi="Times New Roman"/>
                <w:bCs/>
                <w:color w:val="auto"/>
              </w:rPr>
              <w:t>③</w:t>
            </w:r>
            <w:r>
              <w:rPr>
                <w:rFonts w:hint="eastAsia" w:ascii="Times New Roman" w:hAnsi="Times New Roman"/>
                <w:bCs/>
                <w:color w:val="auto"/>
                <w:lang w:eastAsia="zh-CN"/>
              </w:rPr>
              <w:t>危废暂存库风险事故</w:t>
            </w:r>
          </w:p>
          <w:p w14:paraId="7EB10C43">
            <w:pPr>
              <w:pStyle w:val="46"/>
              <w:keepNext w:val="0"/>
              <w:keepLines w:val="0"/>
              <w:pageBreakBefore w:val="0"/>
              <w:widowControl w:val="0"/>
              <w:kinsoku/>
              <w:wordWrap/>
              <w:overflowPunct/>
              <w:topLinePunct w:val="0"/>
              <w:autoSpaceDE/>
              <w:autoSpaceDN/>
              <w:bidi w:val="0"/>
              <w:adjustRightInd w:val="0"/>
              <w:snapToGrid/>
              <w:spacing w:line="520" w:lineRule="exact"/>
              <w:ind w:left="0" w:leftChars="0" w:firstLine="480" w:firstLineChars="200"/>
              <w:jc w:val="both"/>
              <w:textAlignment w:val="auto"/>
              <w:rPr>
                <w:rFonts w:hint="eastAsia" w:ascii="Times New Roman" w:hAnsi="Times New Roman"/>
                <w:bCs/>
                <w:color w:val="auto"/>
              </w:rPr>
            </w:pPr>
            <w:r>
              <w:rPr>
                <w:rFonts w:hint="eastAsia" w:ascii="Times New Roman" w:hAnsi="Times New Roman"/>
                <w:bCs/>
                <w:color w:val="auto"/>
              </w:rPr>
              <w:t>医疗废物中可能存在传染性病菌、病毒、化学污染物等有害物质，由于医疗废物具有急性传染和潜伏性传染等特征，其病毒、病菌的危害性及普通生活垃圾的几十、几百甚至几千倍，且基本没有回收再利用的价值。项目不涉及</w:t>
            </w:r>
            <w:r>
              <w:rPr>
                <w:rFonts w:hint="eastAsia" w:ascii="Times New Roman" w:hAnsi="Times New Roman"/>
                <w:bCs/>
                <w:color w:val="auto"/>
                <w:lang w:val="en-US" w:eastAsia="zh-CN"/>
              </w:rPr>
              <w:t>处置</w:t>
            </w:r>
            <w:r>
              <w:rPr>
                <w:rFonts w:hint="eastAsia" w:ascii="Times New Roman" w:hAnsi="Times New Roman"/>
                <w:bCs/>
                <w:color w:val="auto"/>
              </w:rPr>
              <w:t>工艺及设备，存在的主要危险因素是医院各类医疗废物的集中收集、贮存、转运（医院内部转运，外运委托社会专业车辆、人员转运）过程中由于管理疏忽，造成危险废物未能得到安全处置，导致环境污染。</w:t>
            </w:r>
          </w:p>
          <w:p w14:paraId="0112BB27">
            <w:pPr>
              <w:pStyle w:val="46"/>
              <w:keepNext w:val="0"/>
              <w:keepLines w:val="0"/>
              <w:pageBreakBefore w:val="0"/>
              <w:widowControl w:val="0"/>
              <w:kinsoku/>
              <w:wordWrap/>
              <w:overflowPunct/>
              <w:topLinePunct w:val="0"/>
              <w:autoSpaceDE/>
              <w:autoSpaceDN/>
              <w:bidi w:val="0"/>
              <w:spacing w:line="520" w:lineRule="exact"/>
              <w:ind w:left="440" w:leftChars="200"/>
              <w:jc w:val="both"/>
              <w:textAlignment w:val="auto"/>
              <w:rPr>
                <w:rFonts w:hint="eastAsia" w:ascii="Times New Roman" w:hAnsi="Times New Roman" w:eastAsia="宋体"/>
                <w:bCs/>
                <w:color w:val="auto"/>
                <w:lang w:eastAsia="zh-CN"/>
              </w:rPr>
            </w:pPr>
            <w:r>
              <w:rPr>
                <w:rFonts w:hint="eastAsia" w:ascii="Times New Roman" w:hAnsi="Times New Roman"/>
                <w:b/>
                <w:bCs w:val="0"/>
                <w:color w:val="auto"/>
              </w:rPr>
              <w:t>风险防范管理</w:t>
            </w:r>
            <w:r>
              <w:rPr>
                <w:rFonts w:hint="eastAsia" w:ascii="Times New Roman" w:hAnsi="Times New Roman"/>
                <w:b/>
                <w:bCs w:val="0"/>
                <w:color w:val="auto"/>
                <w:lang w:eastAsia="zh-CN"/>
              </w:rPr>
              <w:t>：</w:t>
            </w:r>
          </w:p>
          <w:p w14:paraId="0A2A0899">
            <w:pPr>
              <w:pStyle w:val="46"/>
              <w:keepNext w:val="0"/>
              <w:keepLines w:val="0"/>
              <w:pageBreakBefore w:val="0"/>
              <w:widowControl w:val="0"/>
              <w:kinsoku/>
              <w:wordWrap/>
              <w:overflowPunct/>
              <w:topLinePunct w:val="0"/>
              <w:autoSpaceDE/>
              <w:autoSpaceDN/>
              <w:bidi w:val="0"/>
              <w:spacing w:line="520" w:lineRule="exact"/>
              <w:ind w:firstLine="480" w:firstLineChars="200"/>
              <w:jc w:val="both"/>
              <w:textAlignment w:val="auto"/>
              <w:rPr>
                <w:rFonts w:hint="eastAsia" w:ascii="Times New Roman" w:hAnsi="Times New Roman"/>
                <w:bCs/>
                <w:color w:val="auto"/>
              </w:rPr>
            </w:pPr>
            <w:r>
              <w:rPr>
                <w:rFonts w:hint="eastAsia" w:ascii="Times New Roman" w:hAnsi="Times New Roman"/>
                <w:bCs/>
                <w:color w:val="auto"/>
              </w:rPr>
              <w:t>根据可能影响途径分析，提出防止风险事故的措施对策，其目的在于保证系统运行的安全性，减少事故的发生，降低事故发生的概率。</w:t>
            </w:r>
          </w:p>
          <w:p w14:paraId="4799F745">
            <w:pPr>
              <w:pStyle w:val="46"/>
              <w:keepNext w:val="0"/>
              <w:keepLines w:val="0"/>
              <w:pageBreakBefore w:val="0"/>
              <w:widowControl w:val="0"/>
              <w:numPr>
                <w:ilvl w:val="0"/>
                <w:numId w:val="2"/>
              </w:numPr>
              <w:kinsoku/>
              <w:wordWrap/>
              <w:overflowPunct/>
              <w:topLinePunct w:val="0"/>
              <w:autoSpaceDE/>
              <w:autoSpaceDN/>
              <w:bidi w:val="0"/>
              <w:spacing w:line="520" w:lineRule="exact"/>
              <w:ind w:firstLine="480" w:firstLineChars="200"/>
              <w:jc w:val="both"/>
              <w:textAlignment w:val="auto"/>
              <w:rPr>
                <w:rFonts w:hint="eastAsia" w:ascii="Times New Roman" w:hAnsi="Times New Roman"/>
                <w:bCs/>
                <w:color w:val="auto"/>
              </w:rPr>
            </w:pPr>
            <w:r>
              <w:rPr>
                <w:rFonts w:hint="eastAsia" w:ascii="Times New Roman" w:hAnsi="Times New Roman"/>
                <w:bCs/>
                <w:color w:val="auto"/>
              </w:rPr>
              <w:t>在项目建设过程中，即组建环保管理机构，配备管理人员，通过技能培训，承担医院运行后</w:t>
            </w:r>
            <w:r>
              <w:rPr>
                <w:rFonts w:hint="eastAsia" w:ascii="Times New Roman" w:hAnsi="Times New Roman"/>
                <w:bCs/>
                <w:color w:val="auto"/>
                <w:lang w:eastAsia="zh-CN"/>
              </w:rPr>
              <w:t>污水处理站、危废暂存库等</w:t>
            </w:r>
            <w:r>
              <w:rPr>
                <w:rFonts w:hint="eastAsia" w:ascii="Times New Roman" w:hAnsi="Times New Roman"/>
                <w:bCs/>
                <w:color w:val="auto"/>
              </w:rPr>
              <w:t>的环保安全工作。</w:t>
            </w:r>
          </w:p>
          <w:p w14:paraId="5170C49E">
            <w:pPr>
              <w:pStyle w:val="46"/>
              <w:keepNext w:val="0"/>
              <w:keepLines w:val="0"/>
              <w:pageBreakBefore w:val="0"/>
              <w:widowControl w:val="0"/>
              <w:numPr>
                <w:ilvl w:val="0"/>
                <w:numId w:val="2"/>
              </w:numPr>
              <w:kinsoku/>
              <w:wordWrap/>
              <w:overflowPunct/>
              <w:topLinePunct w:val="0"/>
              <w:autoSpaceDE/>
              <w:autoSpaceDN/>
              <w:bidi w:val="0"/>
              <w:spacing w:line="520" w:lineRule="exact"/>
              <w:ind w:firstLine="480" w:firstLineChars="200"/>
              <w:jc w:val="both"/>
              <w:textAlignment w:val="auto"/>
              <w:rPr>
                <w:rFonts w:hint="eastAsia" w:ascii="Times New Roman" w:hAnsi="Times New Roman"/>
                <w:bCs/>
                <w:color w:val="auto"/>
              </w:rPr>
            </w:pPr>
            <w:r>
              <w:rPr>
                <w:rFonts w:hint="eastAsia" w:ascii="Times New Roman" w:hAnsi="Times New Roman"/>
                <w:bCs/>
                <w:color w:val="auto"/>
              </w:rPr>
              <w:t>加强安全教育</w:t>
            </w:r>
            <w:r>
              <w:rPr>
                <w:rFonts w:hint="eastAsia" w:ascii="Times New Roman" w:hAnsi="Times New Roman"/>
                <w:bCs/>
                <w:color w:val="auto"/>
                <w:lang w:eastAsia="zh-CN"/>
              </w:rPr>
              <w:t>，使</w:t>
            </w:r>
            <w:r>
              <w:rPr>
                <w:rFonts w:hint="eastAsia" w:ascii="Times New Roman" w:hAnsi="Times New Roman"/>
                <w:bCs/>
                <w:color w:val="auto"/>
              </w:rPr>
              <w:t>全体人员都认识安全、杜绝事故的意义和重要性，了解事故处理程序和要求，了解处理事故的措施和器材的使用方法，特别是明确自己在处理事故中的职责。</w:t>
            </w:r>
          </w:p>
          <w:p w14:paraId="297F2A33">
            <w:pPr>
              <w:pStyle w:val="46"/>
              <w:keepNext w:val="0"/>
              <w:keepLines w:val="0"/>
              <w:pageBreakBefore w:val="0"/>
              <w:widowControl w:val="0"/>
              <w:numPr>
                <w:ilvl w:val="0"/>
                <w:numId w:val="2"/>
              </w:numPr>
              <w:kinsoku/>
              <w:wordWrap/>
              <w:overflowPunct/>
              <w:topLinePunct w:val="0"/>
              <w:autoSpaceDE/>
              <w:autoSpaceDN/>
              <w:bidi w:val="0"/>
              <w:spacing w:line="520" w:lineRule="exact"/>
              <w:ind w:firstLine="480" w:firstLineChars="200"/>
              <w:jc w:val="both"/>
              <w:textAlignment w:val="auto"/>
              <w:rPr>
                <w:rFonts w:hint="eastAsia" w:ascii="Times New Roman" w:hAnsi="Times New Roman"/>
                <w:bCs/>
                <w:color w:val="auto"/>
              </w:rPr>
            </w:pPr>
            <w:r>
              <w:rPr>
                <w:rFonts w:hint="eastAsia" w:ascii="Times New Roman" w:hAnsi="Times New Roman"/>
                <w:bCs/>
                <w:color w:val="auto"/>
                <w:lang w:eastAsia="zh-CN"/>
              </w:rPr>
              <w:t>编制应急预案，</w:t>
            </w:r>
            <w:r>
              <w:rPr>
                <w:rFonts w:hint="eastAsia" w:ascii="Times New Roman" w:hAnsi="Times New Roman"/>
                <w:bCs/>
                <w:color w:val="auto"/>
              </w:rPr>
              <w:t>设立急救指挥小组，并和当地事故应急救援部门建立正常联系，一旦出现事故能立刻采取有效救援措施。</w:t>
            </w:r>
          </w:p>
          <w:p w14:paraId="2EB12834">
            <w:pPr>
              <w:pStyle w:val="46"/>
              <w:keepNext w:val="0"/>
              <w:keepLines w:val="0"/>
              <w:pageBreakBefore w:val="0"/>
              <w:widowControl w:val="0"/>
              <w:kinsoku/>
              <w:wordWrap/>
              <w:overflowPunct/>
              <w:topLinePunct w:val="0"/>
              <w:autoSpaceDE/>
              <w:autoSpaceDN/>
              <w:bidi w:val="0"/>
              <w:spacing w:line="520" w:lineRule="exact"/>
              <w:ind w:firstLine="480" w:firstLineChars="200"/>
              <w:jc w:val="both"/>
              <w:textAlignment w:val="auto"/>
              <w:rPr>
                <w:rFonts w:hint="eastAsia" w:ascii="Times New Roman" w:hAnsi="Times New Roman"/>
                <w:bCs/>
                <w:color w:val="auto"/>
                <w:sz w:val="24"/>
                <w:szCs w:val="24"/>
              </w:rPr>
            </w:pPr>
            <w:r>
              <w:rPr>
                <w:rFonts w:hint="eastAsia" w:ascii="Times New Roman" w:hAnsi="Times New Roman"/>
                <w:bCs/>
                <w:color w:val="auto"/>
                <w:sz w:val="24"/>
                <w:szCs w:val="24"/>
              </w:rPr>
              <w:t>①化学品装卸、运输风险</w:t>
            </w:r>
            <w:r>
              <w:rPr>
                <w:rFonts w:hint="eastAsia" w:ascii="Times New Roman" w:hAnsi="Times New Roman"/>
                <w:bCs/>
                <w:color w:val="auto"/>
                <w:sz w:val="24"/>
                <w:szCs w:val="24"/>
                <w:lang w:eastAsia="zh-CN"/>
              </w:rPr>
              <w:t>防范措施</w:t>
            </w:r>
            <w:r>
              <w:rPr>
                <w:rFonts w:hint="eastAsia" w:ascii="Times New Roman" w:hAnsi="Times New Roman"/>
                <w:bCs/>
                <w:color w:val="auto"/>
                <w:sz w:val="24"/>
                <w:szCs w:val="24"/>
              </w:rPr>
              <w:t>：</w:t>
            </w:r>
          </w:p>
          <w:p w14:paraId="00CF175F">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A.加强安全、消防和环保管理，建立健全环保、安全、消防各项制度，设置环保、安全、消防设施专职管理人员，保证设施正常运行或处于良好的待命状态。</w:t>
            </w:r>
          </w:p>
          <w:p w14:paraId="10166EAC">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B.加强安全教育，企业全体人员</w:t>
            </w:r>
            <w:r>
              <w:rPr>
                <w:rFonts w:hint="eastAsia" w:ascii="Times New Roman" w:hAnsi="Times New Roman" w:cs="Times New Roman"/>
                <w:color w:val="auto"/>
                <w:sz w:val="24"/>
                <w:szCs w:val="24"/>
                <w:highlight w:val="none"/>
                <w:lang w:eastAsia="zh-CN"/>
              </w:rPr>
              <w:t>都要</w:t>
            </w:r>
            <w:r>
              <w:rPr>
                <w:rFonts w:ascii="Times New Roman" w:hAnsi="Times New Roman" w:cs="Times New Roman"/>
                <w:color w:val="auto"/>
                <w:sz w:val="24"/>
                <w:szCs w:val="24"/>
                <w:highlight w:val="none"/>
              </w:rPr>
              <w:t>认识安全、杜绝事故的意义和重要性，了解事故处理程序和要求，了解处理事故的措施和器材的使用方法，特别是明确自己在处理事故中的职责。</w:t>
            </w:r>
          </w:p>
          <w:p w14:paraId="3AEEF520">
            <w:pPr>
              <w:pStyle w:val="46"/>
              <w:keepNext w:val="0"/>
              <w:keepLines w:val="0"/>
              <w:pageBreakBefore w:val="0"/>
              <w:widowControl w:val="0"/>
              <w:kinsoku/>
              <w:wordWrap/>
              <w:overflowPunct/>
              <w:topLinePunct w:val="0"/>
              <w:autoSpaceDE/>
              <w:autoSpaceDN/>
              <w:bidi w:val="0"/>
              <w:snapToGrid w:val="0"/>
              <w:spacing w:line="520" w:lineRule="exact"/>
              <w:ind w:firstLine="480" w:firstLineChars="200"/>
              <w:jc w:val="both"/>
              <w:textAlignment w:val="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C.</w:t>
            </w:r>
            <w:r>
              <w:rPr>
                <w:rFonts w:hint="eastAsia" w:ascii="Times New Roman" w:hAnsi="Times New Roman" w:cs="Times New Roman"/>
                <w:color w:val="auto"/>
                <w:sz w:val="24"/>
                <w:szCs w:val="24"/>
                <w:highlight w:val="none"/>
                <w:lang w:eastAsia="zh-CN"/>
              </w:rPr>
              <w:t>设置</w:t>
            </w:r>
            <w:r>
              <w:rPr>
                <w:rFonts w:ascii="Times New Roman" w:hAnsi="Times New Roman" w:cs="Times New Roman"/>
                <w:color w:val="auto"/>
                <w:sz w:val="24"/>
                <w:szCs w:val="24"/>
                <w:highlight w:val="none"/>
              </w:rPr>
              <w:t>专</w:t>
            </w:r>
            <w:r>
              <w:rPr>
                <w:rFonts w:hint="eastAsia" w:ascii="Times New Roman" w:hAnsi="Times New Roman" w:cs="Times New Roman"/>
                <w:color w:val="auto"/>
                <w:sz w:val="24"/>
                <w:szCs w:val="24"/>
                <w:highlight w:val="none"/>
                <w:lang w:eastAsia="zh-CN"/>
              </w:rPr>
              <w:t>用</w:t>
            </w:r>
            <w:r>
              <w:rPr>
                <w:rFonts w:ascii="Times New Roman" w:hAnsi="Times New Roman" w:cs="Times New Roman"/>
                <w:color w:val="auto"/>
                <w:sz w:val="24"/>
                <w:szCs w:val="24"/>
                <w:highlight w:val="none"/>
              </w:rPr>
              <w:t>运输车辆运输，装卸过程要轻装轻放，避免撞击、重压和摩擦。</w:t>
            </w:r>
          </w:p>
          <w:p w14:paraId="3EB74ED1">
            <w:pPr>
              <w:pStyle w:val="46"/>
              <w:keepNext w:val="0"/>
              <w:keepLines w:val="0"/>
              <w:pageBreakBefore w:val="0"/>
              <w:widowControl w:val="0"/>
              <w:kinsoku/>
              <w:wordWrap/>
              <w:overflowPunct/>
              <w:topLinePunct w:val="0"/>
              <w:autoSpaceDE/>
              <w:autoSpaceDN/>
              <w:bidi w:val="0"/>
              <w:spacing w:line="520" w:lineRule="exact"/>
              <w:ind w:firstLine="480" w:firstLineChars="200"/>
              <w:jc w:val="both"/>
              <w:textAlignment w:val="auto"/>
              <w:rPr>
                <w:rFonts w:hint="eastAsia" w:ascii="Times New Roman" w:hAnsi="Times New Roman"/>
                <w:bCs/>
                <w:color w:val="auto"/>
                <w:sz w:val="24"/>
                <w:szCs w:val="24"/>
              </w:rPr>
            </w:pPr>
            <w:r>
              <w:rPr>
                <w:rFonts w:ascii="Times New Roman" w:hAnsi="Times New Roman" w:cs="Times New Roman"/>
                <w:color w:val="auto"/>
                <w:sz w:val="24"/>
                <w:szCs w:val="24"/>
                <w:highlight w:val="none"/>
              </w:rPr>
              <w:t>D.</w:t>
            </w:r>
            <w:r>
              <w:rPr>
                <w:rFonts w:hint="eastAsia" w:ascii="Times New Roman" w:hAnsi="Times New Roman"/>
                <w:bCs/>
                <w:color w:val="auto"/>
                <w:sz w:val="24"/>
                <w:szCs w:val="24"/>
              </w:rPr>
              <w:t>设专人、专库、</w:t>
            </w:r>
            <w:r>
              <w:rPr>
                <w:rFonts w:hint="eastAsia" w:ascii="Times New Roman" w:hAnsi="Times New Roman"/>
                <w:bCs/>
                <w:color w:val="auto"/>
                <w:sz w:val="24"/>
                <w:szCs w:val="24"/>
                <w:lang w:eastAsia="zh-CN"/>
              </w:rPr>
              <w:t>专账管理</w:t>
            </w:r>
            <w:r>
              <w:rPr>
                <w:rFonts w:hint="eastAsia" w:ascii="Times New Roman" w:hAnsi="Times New Roman"/>
                <w:bCs/>
                <w:color w:val="auto"/>
                <w:sz w:val="24"/>
                <w:szCs w:val="24"/>
              </w:rPr>
              <w:t>化学品，保管人员应熟知管理操作规范，并接受定期培训；定期对化学品进行安全检查。使用和贮存化学品的区域附近应配备灭火器材并保持其正常状态。</w:t>
            </w:r>
          </w:p>
          <w:p w14:paraId="0AB85B22">
            <w:pPr>
              <w:pStyle w:val="46"/>
              <w:keepNext w:val="0"/>
              <w:keepLines w:val="0"/>
              <w:pageBreakBefore w:val="0"/>
              <w:widowControl w:val="0"/>
              <w:kinsoku/>
              <w:wordWrap/>
              <w:overflowPunct/>
              <w:topLinePunct w:val="0"/>
              <w:autoSpaceDE/>
              <w:autoSpaceDN/>
              <w:bidi w:val="0"/>
              <w:spacing w:line="520" w:lineRule="exact"/>
              <w:ind w:firstLine="480" w:firstLineChars="200"/>
              <w:jc w:val="both"/>
              <w:textAlignment w:val="auto"/>
              <w:rPr>
                <w:rFonts w:hint="eastAsia" w:ascii="Times New Roman" w:hAnsi="Times New Roman"/>
                <w:bCs/>
                <w:color w:val="auto"/>
              </w:rPr>
            </w:pPr>
            <w:r>
              <w:rPr>
                <w:rFonts w:hint="eastAsia" w:ascii="Times New Roman" w:hAnsi="Times New Roman"/>
                <w:bCs/>
                <w:color w:val="auto"/>
              </w:rPr>
              <w:t>②污水处理站风险防范措施</w:t>
            </w:r>
          </w:p>
          <w:p w14:paraId="093A165A">
            <w:pPr>
              <w:pStyle w:val="46"/>
              <w:keepNext w:val="0"/>
              <w:keepLines w:val="0"/>
              <w:pageBreakBefore w:val="0"/>
              <w:widowControl w:val="0"/>
              <w:kinsoku/>
              <w:wordWrap/>
              <w:overflowPunct/>
              <w:topLinePunct w:val="0"/>
              <w:autoSpaceDE/>
              <w:autoSpaceDN/>
              <w:bidi w:val="0"/>
              <w:spacing w:line="520" w:lineRule="exact"/>
              <w:ind w:firstLine="480" w:firstLineChars="200"/>
              <w:jc w:val="both"/>
              <w:textAlignment w:val="auto"/>
              <w:rPr>
                <w:rFonts w:hint="eastAsia" w:ascii="Times New Roman" w:hAnsi="Times New Roman"/>
                <w:bCs/>
                <w:color w:val="auto"/>
              </w:rPr>
            </w:pPr>
            <w:r>
              <w:rPr>
                <w:rFonts w:hint="eastAsia" w:ascii="Times New Roman" w:hAnsi="Times New Roman"/>
                <w:bCs/>
                <w:color w:val="auto"/>
              </w:rPr>
              <w:t>污水处理设施要加强维护、保养，同时加强日常管理及监测，如果在运行过程中发现污水处理站出水水质超标，应立即将污水排入事故池中，并对污水处理设备进行维修，待污水处理站恢复运行后，再将事故池的污水泵入污水处理站进行处理。在废水处理系统的进、出口，建立事故的监测报警系统。为了保证污水正常运行，防止环境风险的发生，需对污水处理站提供应急电源，保证污水处理站用电不会停止并备有应急的消毒剂，避免在污水处理设备出现事故的时候所排放的污水</w:t>
            </w:r>
            <w:r>
              <w:rPr>
                <w:rFonts w:hint="eastAsia" w:ascii="Times New Roman" w:hAnsi="Times New Roman"/>
                <w:bCs/>
                <w:color w:val="auto"/>
                <w:lang w:val="en-US" w:eastAsia="zh-CN"/>
              </w:rPr>
              <w:t>未经</w:t>
            </w:r>
            <w:r>
              <w:rPr>
                <w:rFonts w:hint="eastAsia" w:ascii="Times New Roman" w:hAnsi="Times New Roman"/>
                <w:bCs/>
                <w:color w:val="auto"/>
              </w:rPr>
              <w:t>处理便排放，可以采用人工添加消毒剂的方式加以弥补。根据《医院污水处理工程技术规范》（HJ2029-2013）规定，非传染病医院污水处理工程应急事故池容积不小于日排放量的30%。</w:t>
            </w:r>
            <w:r>
              <w:rPr>
                <w:rFonts w:hint="eastAsia" w:ascii="Times New Roman" w:hAnsi="Times New Roman"/>
                <w:bCs/>
                <w:color w:val="auto"/>
                <w:lang w:eastAsia="zh-CN"/>
              </w:rPr>
              <w:t>本项目污水处理站</w:t>
            </w:r>
            <w:r>
              <w:rPr>
                <w:rFonts w:hint="eastAsia" w:ascii="Times New Roman" w:hAnsi="Times New Roman"/>
                <w:bCs/>
                <w:color w:val="auto"/>
              </w:rPr>
              <w:t>设</w:t>
            </w:r>
            <w:r>
              <w:rPr>
                <w:rFonts w:hint="eastAsia" w:ascii="Times New Roman" w:hAnsi="Times New Roman"/>
                <w:bCs/>
                <w:color w:val="auto"/>
                <w:lang w:val="en-US" w:eastAsia="zh-CN"/>
              </w:rPr>
              <w:t>20m</w:t>
            </w:r>
            <w:r>
              <w:rPr>
                <w:rFonts w:hint="eastAsia" w:ascii="Times New Roman" w:hAnsi="Times New Roman"/>
                <w:bCs/>
                <w:color w:val="auto"/>
                <w:vertAlign w:val="superscript"/>
                <w:lang w:val="en-US" w:eastAsia="zh-CN"/>
              </w:rPr>
              <w:t>3</w:t>
            </w:r>
            <w:r>
              <w:rPr>
                <w:rFonts w:hint="eastAsia" w:ascii="Times New Roman" w:hAnsi="Times New Roman"/>
                <w:bCs/>
                <w:color w:val="auto"/>
              </w:rPr>
              <w:t>应急事故池，以贮存处理系统事故或其它突发事件时医院污水，位于污水处理站</w:t>
            </w:r>
            <w:r>
              <w:rPr>
                <w:rFonts w:hint="eastAsia" w:ascii="Times New Roman" w:hAnsi="Times New Roman"/>
                <w:bCs/>
                <w:color w:val="auto"/>
                <w:lang w:eastAsia="zh-CN"/>
              </w:rPr>
              <w:t>内。</w:t>
            </w:r>
            <w:r>
              <w:rPr>
                <w:rFonts w:hint="eastAsia" w:ascii="Times New Roman" w:hAnsi="Times New Roman"/>
                <w:bCs/>
                <w:color w:val="auto"/>
              </w:rPr>
              <w:t>当发生风险事故时，将事故废水引至事故应急池中暂存以待进一步处理，待排除事故后，再将应急事故池内的污水泵入污水处理站，处理达标后排放。</w:t>
            </w:r>
          </w:p>
          <w:p w14:paraId="5A393781">
            <w:pPr>
              <w:pStyle w:val="46"/>
              <w:keepNext w:val="0"/>
              <w:keepLines w:val="0"/>
              <w:pageBreakBefore w:val="0"/>
              <w:widowControl w:val="0"/>
              <w:kinsoku/>
              <w:wordWrap/>
              <w:overflowPunct/>
              <w:topLinePunct w:val="0"/>
              <w:autoSpaceDE/>
              <w:autoSpaceDN/>
              <w:bidi w:val="0"/>
              <w:snapToGrid/>
              <w:spacing w:line="520" w:lineRule="exact"/>
              <w:ind w:left="0" w:leftChars="0" w:firstLine="480" w:firstLineChars="200"/>
              <w:jc w:val="both"/>
              <w:textAlignment w:val="auto"/>
              <w:rPr>
                <w:rFonts w:hint="default" w:ascii="Times New Roman" w:hAnsi="Times New Roman" w:eastAsia="宋体" w:cs="Times New Roman"/>
                <w:bCs/>
                <w:color w:val="auto"/>
                <w:sz w:val="24"/>
                <w:szCs w:val="24"/>
                <w:lang w:eastAsia="zh-CN"/>
              </w:rPr>
            </w:pPr>
            <w:r>
              <w:rPr>
                <w:rFonts w:hint="default" w:ascii="Times New Roman" w:hAnsi="Times New Roman" w:eastAsia="宋体" w:cs="Times New Roman"/>
                <w:bCs/>
                <w:color w:val="auto"/>
                <w:sz w:val="24"/>
                <w:szCs w:val="24"/>
                <w:lang w:eastAsia="zh-CN"/>
              </w:rPr>
              <w:t>③危废暂存库风险防范措施</w:t>
            </w:r>
          </w:p>
          <w:p w14:paraId="62238436">
            <w:pPr>
              <w:keepNext w:val="0"/>
              <w:keepLines w:val="0"/>
              <w:pageBreakBefore w:val="0"/>
              <w:widowControl w:val="0"/>
              <w:kinsoku/>
              <w:wordWrap/>
              <w:overflowPunct/>
              <w:topLinePunct w:val="0"/>
              <w:autoSpaceDE/>
              <w:autoSpaceDN/>
              <w:bidi w:val="0"/>
              <w:snapToGrid/>
              <w:spacing w:line="520" w:lineRule="exact"/>
              <w:ind w:left="0" w:leftChars="0" w:firstLine="480" w:firstLineChars="200"/>
              <w:jc w:val="both"/>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为保证项目产生的医疗废物得到有效处置，使其风险减少到</w:t>
            </w:r>
            <w:r>
              <w:rPr>
                <w:rFonts w:hint="eastAsia" w:ascii="Times New Roman" w:hAnsi="Times New Roman" w:cs="Times New Roman"/>
                <w:color w:val="auto"/>
                <w:sz w:val="24"/>
                <w:szCs w:val="24"/>
                <w:lang w:eastAsia="zh-CN"/>
              </w:rPr>
              <w:t>最低</w:t>
            </w:r>
            <w:r>
              <w:rPr>
                <w:rFonts w:hint="default" w:ascii="Times New Roman" w:hAnsi="Times New Roman" w:eastAsia="宋体" w:cs="Times New Roman"/>
                <w:color w:val="auto"/>
                <w:sz w:val="24"/>
                <w:szCs w:val="24"/>
              </w:rPr>
              <w:t>程度，而不会对周围环境造成不良影响，应具体采取如下措施进行防范</w:t>
            </w:r>
            <w:r>
              <w:rPr>
                <w:rFonts w:hint="eastAsia" w:ascii="Times New Roman" w:hAnsi="Times New Roman" w:cs="Times New Roman"/>
                <w:color w:val="auto"/>
                <w:sz w:val="24"/>
                <w:szCs w:val="24"/>
                <w:lang w:eastAsia="zh-CN"/>
              </w:rPr>
              <w:t>：</w:t>
            </w:r>
          </w:p>
          <w:p w14:paraId="32FB9563">
            <w:pPr>
              <w:keepNext w:val="0"/>
              <w:keepLines w:val="0"/>
              <w:pageBreakBefore w:val="0"/>
              <w:widowControl w:val="0"/>
              <w:kinsoku/>
              <w:wordWrap/>
              <w:overflowPunct/>
              <w:topLinePunct w:val="0"/>
              <w:autoSpaceDE/>
              <w:autoSpaceDN/>
              <w:bidi w:val="0"/>
              <w:snapToGrid/>
              <w:spacing w:line="520" w:lineRule="exact"/>
              <w:ind w:left="0" w:leftChars="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Ⅰ</w:t>
            </w:r>
            <w:r>
              <w:rPr>
                <w:rFonts w:hint="eastAsia" w:ascii="Times New Roman" w:hAnsi="Times New Roman" w:cs="Times New Roman"/>
                <w:color w:val="auto"/>
                <w:sz w:val="24"/>
                <w:szCs w:val="24"/>
                <w:lang w:val="en-US" w:eastAsia="zh-CN"/>
              </w:rPr>
              <w:t xml:space="preserve"> </w:t>
            </w:r>
            <w:r>
              <w:rPr>
                <w:rFonts w:hint="default" w:ascii="Times New Roman" w:hAnsi="Times New Roman" w:eastAsia="宋体" w:cs="Times New Roman"/>
                <w:color w:val="auto"/>
                <w:sz w:val="24"/>
                <w:szCs w:val="24"/>
              </w:rPr>
              <w:t>医疗废物分类收集</w:t>
            </w:r>
          </w:p>
          <w:p w14:paraId="1207B36D">
            <w:pPr>
              <w:keepNext w:val="0"/>
              <w:keepLines w:val="0"/>
              <w:pageBreakBefore w:val="0"/>
              <w:widowControl w:val="0"/>
              <w:kinsoku/>
              <w:wordWrap/>
              <w:overflowPunct/>
              <w:topLinePunct w:val="0"/>
              <w:autoSpaceDE/>
              <w:autoSpaceDN/>
              <w:bidi w:val="0"/>
              <w:snapToGrid/>
              <w:spacing w:line="520" w:lineRule="exact"/>
              <w:ind w:left="0" w:leftChars="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科学的分类是消除污染、无害化处置的保证，本项目医疗废物要严格贯彻《医疗卫生机构医疗废物管理办法》，要采用专用容器，明确各类废弃物标识，分类包装，分类堆放，并本着及时、方便、安全、快捷的原则进行收集。感染性废物、病理性废物、损伤性废物及化学性废物不能混合收集：放入包装物或者容器内的感染性废物、病理性废物、损伤性废物不得取出。当盛装的医疗废物达到包装物或者容器的3/4时，应当使用有效的封口方式，使包装物或者容器的封口紧实、严密。</w:t>
            </w:r>
          </w:p>
          <w:p w14:paraId="44BBB6FD">
            <w:pPr>
              <w:pStyle w:val="4"/>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jc w:val="both"/>
              <w:textAlignment w:val="auto"/>
              <w:rPr>
                <w:rFonts w:hint="default" w:ascii="Times New Roman" w:hAnsi="Times New Roman" w:eastAsia="宋体" w:cs="Times New Roman"/>
                <w:color w:val="auto"/>
                <w:sz w:val="24"/>
                <w:szCs w:val="24"/>
                <w:lang w:eastAsia="zh-CN" w:bidi="zh-CN"/>
              </w:rPr>
            </w:pPr>
            <w:r>
              <w:rPr>
                <w:rFonts w:hint="default" w:ascii="Times New Roman" w:hAnsi="Times New Roman" w:eastAsia="宋体" w:cs="Times New Roman"/>
                <w:color w:val="auto"/>
                <w:sz w:val="24"/>
                <w:szCs w:val="24"/>
                <w:lang w:eastAsia="zh-CN" w:bidi="zh-CN"/>
              </w:rPr>
              <w:t>所有锐利物都必须单独存放，并按医疗废物处理。收集锐利物包装容器必须使用硬质防漏、防刺破材料。针或刀应保存在有明显标记、防泄漏、防刺破的容器内。处理含有锐利物品的感染性废料时应使用防刺破手套。</w:t>
            </w:r>
          </w:p>
          <w:p w14:paraId="75E87652">
            <w:pPr>
              <w:pStyle w:val="5"/>
              <w:keepNext w:val="0"/>
              <w:keepLines w:val="0"/>
              <w:pageBreakBefore w:val="0"/>
              <w:widowControl w:val="0"/>
              <w:kinsoku/>
              <w:wordWrap/>
              <w:overflowPunct/>
              <w:topLinePunct w:val="0"/>
              <w:autoSpaceDE/>
              <w:autoSpaceDN/>
              <w:bidi w:val="0"/>
              <w:snapToGrid/>
              <w:spacing w:after="0" w:line="520" w:lineRule="exact"/>
              <w:ind w:left="0" w:leftChars="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Ⅱ</w:t>
            </w:r>
            <w:r>
              <w:rPr>
                <w:rFonts w:hint="eastAsia" w:cs="Times New Roman"/>
                <w:color w:val="auto"/>
                <w:sz w:val="24"/>
                <w:szCs w:val="24"/>
                <w:lang w:val="en-US" w:eastAsia="zh-CN"/>
              </w:rPr>
              <w:t xml:space="preserve"> </w:t>
            </w:r>
            <w:r>
              <w:rPr>
                <w:rFonts w:hint="default" w:ascii="Times New Roman" w:hAnsi="Times New Roman" w:eastAsia="宋体" w:cs="Times New Roman"/>
                <w:color w:val="auto"/>
                <w:sz w:val="24"/>
                <w:szCs w:val="24"/>
              </w:rPr>
              <w:t>医疗废物的贮存和运送</w:t>
            </w:r>
          </w:p>
          <w:p w14:paraId="54A4AA78">
            <w:pPr>
              <w:pStyle w:val="5"/>
              <w:keepNext w:val="0"/>
              <w:keepLines w:val="0"/>
              <w:pageBreakBefore w:val="0"/>
              <w:widowControl w:val="0"/>
              <w:kinsoku/>
              <w:wordWrap/>
              <w:overflowPunct/>
              <w:topLinePunct w:val="0"/>
              <w:autoSpaceDE/>
              <w:autoSpaceDN/>
              <w:bidi w:val="0"/>
              <w:snapToGrid/>
              <w:spacing w:after="0" w:line="520" w:lineRule="exact"/>
              <w:ind w:left="0" w:leftChars="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卫生医疗机构项目应当建立医疗废物暂时贮存设施、设备， 不得露天存放医疗废物</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医疗废物暂时贮存的时间不得超过2天，应得到及时、有效地处理。因为在医疗废物储存过程中，会有恶臭产生。恶臭强度和垃圾中有机物腐烂程度有很大关系，其中主要污染物为硫化氢、氨等。臭味不仅有害于人体健康，还会使某些疾病恶化。</w:t>
            </w:r>
          </w:p>
          <w:p w14:paraId="0046999E">
            <w:pPr>
              <w:pStyle w:val="5"/>
              <w:keepNext w:val="0"/>
              <w:keepLines w:val="0"/>
              <w:pageBreakBefore w:val="0"/>
              <w:widowControl w:val="0"/>
              <w:kinsoku/>
              <w:wordWrap/>
              <w:overflowPunct/>
              <w:topLinePunct w:val="0"/>
              <w:autoSpaceDE/>
              <w:autoSpaceDN/>
              <w:bidi w:val="0"/>
              <w:snapToGrid/>
              <w:spacing w:after="0" w:line="520" w:lineRule="exact"/>
              <w:ind w:left="0" w:leftChars="0" w:firstLine="480" w:firstLineChars="200"/>
              <w:jc w:val="both"/>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医疗卫生机构建立的医疗废物暂时贮存设施、设备应当达到以下要求</w:t>
            </w:r>
            <w:r>
              <w:rPr>
                <w:rFonts w:hint="eastAsia" w:cs="Times New Roman"/>
                <w:color w:val="auto"/>
                <w:sz w:val="24"/>
                <w:szCs w:val="24"/>
                <w:lang w:eastAsia="zh-CN"/>
              </w:rPr>
              <w:t>：</w:t>
            </w:r>
          </w:p>
          <w:p w14:paraId="560EC1D9">
            <w:pPr>
              <w:pStyle w:val="5"/>
              <w:keepNext w:val="0"/>
              <w:keepLines w:val="0"/>
              <w:pageBreakBefore w:val="0"/>
              <w:widowControl w:val="0"/>
              <w:kinsoku/>
              <w:wordWrap/>
              <w:overflowPunct/>
              <w:topLinePunct w:val="0"/>
              <w:autoSpaceDE/>
              <w:autoSpaceDN/>
              <w:bidi w:val="0"/>
              <w:snapToGrid/>
              <w:spacing w:after="0" w:line="520" w:lineRule="exact"/>
              <w:ind w:left="0" w:leftChars="0" w:firstLine="480" w:firstLineChars="200"/>
              <w:jc w:val="both"/>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A、远离医疗区，食品加工区、人员活动区和生活垃圾存放场所，方便医疗废物运送人员及运送工具、车辆的出入；本项目</w:t>
            </w:r>
            <w:r>
              <w:rPr>
                <w:rFonts w:hint="eastAsia" w:cs="Times New Roman"/>
                <w:color w:val="auto"/>
                <w:sz w:val="24"/>
                <w:szCs w:val="24"/>
                <w:lang w:eastAsia="zh-CN"/>
              </w:rPr>
              <w:t>危废暂存库</w:t>
            </w:r>
            <w:r>
              <w:rPr>
                <w:rFonts w:hint="default" w:ascii="Times New Roman" w:hAnsi="Times New Roman" w:eastAsia="宋体" w:cs="Times New Roman"/>
                <w:color w:val="auto"/>
                <w:sz w:val="24"/>
                <w:szCs w:val="24"/>
              </w:rPr>
              <w:t>设在</w:t>
            </w:r>
            <w:r>
              <w:rPr>
                <w:rFonts w:hint="eastAsia" w:cs="Times New Roman"/>
                <w:color w:val="auto"/>
                <w:sz w:val="24"/>
                <w:szCs w:val="24"/>
                <w:lang w:eastAsia="zh-CN"/>
              </w:rPr>
              <w:t>院区东北侧</w:t>
            </w:r>
            <w:r>
              <w:rPr>
                <w:rFonts w:hint="default" w:ascii="Times New Roman" w:hAnsi="Times New Roman" w:eastAsia="宋体" w:cs="Times New Roman"/>
                <w:color w:val="auto"/>
                <w:sz w:val="24"/>
                <w:szCs w:val="24"/>
              </w:rPr>
              <w:t>，符合上述要求</w:t>
            </w:r>
            <w:r>
              <w:rPr>
                <w:rFonts w:hint="eastAsia" w:cs="Times New Roman"/>
                <w:color w:val="auto"/>
                <w:sz w:val="24"/>
                <w:szCs w:val="24"/>
                <w:lang w:eastAsia="zh-CN"/>
              </w:rPr>
              <w:t>；</w:t>
            </w:r>
          </w:p>
          <w:p w14:paraId="2B3F7A58">
            <w:pPr>
              <w:pStyle w:val="5"/>
              <w:keepNext w:val="0"/>
              <w:keepLines w:val="0"/>
              <w:pageBreakBefore w:val="0"/>
              <w:widowControl w:val="0"/>
              <w:kinsoku/>
              <w:wordWrap/>
              <w:overflowPunct/>
              <w:topLinePunct w:val="0"/>
              <w:autoSpaceDE/>
              <w:autoSpaceDN/>
              <w:bidi w:val="0"/>
              <w:snapToGrid/>
              <w:spacing w:after="0" w:line="520" w:lineRule="exact"/>
              <w:ind w:left="0" w:leftChars="0" w:firstLine="480" w:firstLineChars="200"/>
              <w:jc w:val="both"/>
              <w:textAlignment w:val="auto"/>
              <w:rPr>
                <w:rFonts w:hint="eastAsia" w:cs="Times New Roman"/>
                <w:color w:val="auto"/>
                <w:sz w:val="24"/>
                <w:szCs w:val="24"/>
                <w:lang w:eastAsia="zh-CN"/>
              </w:rPr>
            </w:pPr>
            <w:r>
              <w:rPr>
                <w:rFonts w:hint="default" w:ascii="Times New Roman" w:hAnsi="Times New Roman" w:eastAsia="宋体" w:cs="Times New Roman"/>
                <w:color w:val="auto"/>
                <w:sz w:val="24"/>
                <w:szCs w:val="24"/>
              </w:rPr>
              <w:t>B、有严密的封闭措施，设专</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兼</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职人员管理。防止非工作人员接触医疗废物</w:t>
            </w:r>
            <w:r>
              <w:rPr>
                <w:rFonts w:hint="eastAsia" w:cs="Times New Roman"/>
                <w:color w:val="auto"/>
                <w:sz w:val="24"/>
                <w:szCs w:val="24"/>
                <w:lang w:eastAsia="zh-CN"/>
              </w:rPr>
              <w:t>；</w:t>
            </w:r>
          </w:p>
          <w:p w14:paraId="50AF30F8">
            <w:pPr>
              <w:pStyle w:val="5"/>
              <w:keepNext w:val="0"/>
              <w:keepLines w:val="0"/>
              <w:pageBreakBefore w:val="0"/>
              <w:widowControl w:val="0"/>
              <w:kinsoku/>
              <w:wordWrap/>
              <w:overflowPunct/>
              <w:topLinePunct w:val="0"/>
              <w:autoSpaceDE/>
              <w:autoSpaceDN/>
              <w:bidi w:val="0"/>
              <w:snapToGrid/>
              <w:spacing w:after="0" w:line="520" w:lineRule="exact"/>
              <w:ind w:left="0" w:leftChars="0" w:firstLine="480" w:firstLineChars="200"/>
              <w:jc w:val="both"/>
              <w:textAlignment w:val="auto"/>
              <w:rPr>
                <w:rFonts w:hint="eastAsia" w:cs="Times New Roman"/>
                <w:color w:val="auto"/>
                <w:sz w:val="24"/>
                <w:szCs w:val="24"/>
                <w:lang w:eastAsia="zh-CN"/>
              </w:rPr>
            </w:pPr>
            <w:r>
              <w:rPr>
                <w:rFonts w:hint="default" w:ascii="Times New Roman" w:hAnsi="Times New Roman" w:eastAsia="宋体" w:cs="Times New Roman"/>
                <w:color w:val="auto"/>
                <w:sz w:val="24"/>
                <w:szCs w:val="24"/>
              </w:rPr>
              <w:t>C、有防鼠、防蚊蝇、防蟑螂的安全措施；防止渗漏和雨水冲刷；易于清洁和消毒；避免阳光直射</w:t>
            </w:r>
            <w:r>
              <w:rPr>
                <w:rFonts w:hint="eastAsia" w:cs="Times New Roman"/>
                <w:color w:val="auto"/>
                <w:sz w:val="24"/>
                <w:szCs w:val="24"/>
                <w:lang w:eastAsia="zh-CN"/>
              </w:rPr>
              <w:t>；</w:t>
            </w:r>
          </w:p>
          <w:p w14:paraId="73D0DD71">
            <w:pPr>
              <w:pStyle w:val="5"/>
              <w:keepNext w:val="0"/>
              <w:keepLines w:val="0"/>
              <w:pageBreakBefore w:val="0"/>
              <w:widowControl w:val="0"/>
              <w:kinsoku/>
              <w:wordWrap/>
              <w:overflowPunct/>
              <w:topLinePunct w:val="0"/>
              <w:autoSpaceDE/>
              <w:autoSpaceDN/>
              <w:bidi w:val="0"/>
              <w:snapToGrid/>
              <w:spacing w:after="0" w:line="520" w:lineRule="exact"/>
              <w:ind w:left="0" w:leftChars="0" w:firstLine="480" w:firstLineChars="200"/>
              <w:jc w:val="both"/>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D、设有明显的医疗废物警示标识和</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禁止吸烟、饮食</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的警示标识</w:t>
            </w:r>
            <w:r>
              <w:rPr>
                <w:rFonts w:hint="eastAsia" w:cs="Times New Roman"/>
                <w:color w:val="auto"/>
                <w:sz w:val="24"/>
                <w:szCs w:val="24"/>
                <w:lang w:eastAsia="zh-CN"/>
              </w:rPr>
              <w:t>；</w:t>
            </w:r>
          </w:p>
          <w:p w14:paraId="757CC3AD">
            <w:pPr>
              <w:pStyle w:val="5"/>
              <w:keepNext w:val="0"/>
              <w:keepLines w:val="0"/>
              <w:pageBreakBefore w:val="0"/>
              <w:widowControl w:val="0"/>
              <w:kinsoku/>
              <w:wordWrap/>
              <w:overflowPunct/>
              <w:topLinePunct w:val="0"/>
              <w:autoSpaceDE/>
              <w:autoSpaceDN/>
              <w:bidi w:val="0"/>
              <w:snapToGrid/>
              <w:spacing w:after="0" w:line="520" w:lineRule="exact"/>
              <w:ind w:left="0" w:leftChars="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E、暂时贮存病理性废物，应当具备低温贮存或者防腐条件。</w:t>
            </w:r>
          </w:p>
          <w:p w14:paraId="58A4D231">
            <w:pPr>
              <w:pStyle w:val="5"/>
              <w:keepNext w:val="0"/>
              <w:keepLines w:val="0"/>
              <w:pageBreakBefore w:val="0"/>
              <w:widowControl w:val="0"/>
              <w:kinsoku/>
              <w:wordWrap/>
              <w:overflowPunct/>
              <w:topLinePunct w:val="0"/>
              <w:autoSpaceDE/>
              <w:autoSpaceDN/>
              <w:bidi w:val="0"/>
              <w:snapToGrid/>
              <w:spacing w:after="0" w:line="520" w:lineRule="exact"/>
              <w:ind w:left="0" w:leftChars="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对于锐利废物，其贮存地应有“生物危险”标志和进入管理限制，且应位于产生废物地点附近，同时锐利废物的贮存应</w:t>
            </w:r>
            <w:r>
              <w:rPr>
                <w:rFonts w:hint="eastAsia" w:cs="Times New Roman"/>
                <w:color w:val="auto"/>
                <w:sz w:val="24"/>
                <w:szCs w:val="24"/>
                <w:lang w:val="en-US" w:eastAsia="zh-CN"/>
              </w:rPr>
              <w:t>满足</w:t>
            </w:r>
            <w:r>
              <w:rPr>
                <w:rFonts w:hint="default" w:ascii="Times New Roman" w:hAnsi="Times New Roman" w:eastAsia="宋体" w:cs="Times New Roman"/>
                <w:color w:val="auto"/>
                <w:sz w:val="24"/>
                <w:szCs w:val="24"/>
              </w:rPr>
              <w:t>以下要求：</w:t>
            </w:r>
          </w:p>
          <w:p w14:paraId="292ED5AF">
            <w:pPr>
              <w:pStyle w:val="5"/>
              <w:keepNext w:val="0"/>
              <w:keepLines w:val="0"/>
              <w:pageBreakBefore w:val="0"/>
              <w:widowControl w:val="0"/>
              <w:kinsoku/>
              <w:wordWrap/>
              <w:overflowPunct/>
              <w:topLinePunct w:val="0"/>
              <w:autoSpaceDE/>
              <w:autoSpaceDN/>
              <w:bidi w:val="0"/>
              <w:snapToGrid/>
              <w:spacing w:after="0" w:line="520" w:lineRule="exact"/>
              <w:ind w:left="0" w:leftChars="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A、保证包装内容物不暴露于空气和受潮；</w:t>
            </w:r>
          </w:p>
          <w:p w14:paraId="61BF7CD3">
            <w:pPr>
              <w:pStyle w:val="5"/>
              <w:keepNext w:val="0"/>
              <w:keepLines w:val="0"/>
              <w:pageBreakBefore w:val="0"/>
              <w:widowControl w:val="0"/>
              <w:kinsoku/>
              <w:wordWrap/>
              <w:overflowPunct/>
              <w:topLinePunct w:val="0"/>
              <w:autoSpaceDE/>
              <w:autoSpaceDN/>
              <w:bidi w:val="0"/>
              <w:snapToGrid/>
              <w:spacing w:after="0" w:line="520" w:lineRule="exact"/>
              <w:ind w:left="0" w:leftChars="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B、保存温度及时间应使保存物无腐败发生，必要时，可用低温保存，以防微生物生长和</w:t>
            </w:r>
            <w:r>
              <w:rPr>
                <w:rFonts w:hint="eastAsia" w:cs="Times New Roman"/>
                <w:color w:val="auto"/>
                <w:sz w:val="24"/>
                <w:szCs w:val="24"/>
                <w:lang w:val="en-US" w:eastAsia="zh-CN"/>
              </w:rPr>
              <w:t>产生</w:t>
            </w:r>
            <w:r>
              <w:rPr>
                <w:rFonts w:hint="default" w:ascii="Times New Roman" w:hAnsi="Times New Roman" w:eastAsia="宋体" w:cs="Times New Roman"/>
                <w:color w:val="auto"/>
                <w:sz w:val="24"/>
                <w:szCs w:val="24"/>
              </w:rPr>
              <w:t>异味；</w:t>
            </w:r>
          </w:p>
          <w:p w14:paraId="0DDFCA6A">
            <w:pPr>
              <w:pStyle w:val="19"/>
              <w:keepNext w:val="0"/>
              <w:keepLines w:val="0"/>
              <w:pageBreakBefore w:val="0"/>
              <w:widowControl w:val="0"/>
              <w:kinsoku/>
              <w:wordWrap/>
              <w:overflowPunct/>
              <w:topLinePunct w:val="0"/>
              <w:autoSpaceDE/>
              <w:autoSpaceDN/>
              <w:bidi w:val="0"/>
              <w:snapToGrid/>
              <w:spacing w:after="0" w:line="520" w:lineRule="exact"/>
              <w:ind w:left="0" w:leftChars="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C、贮存地及包装应确保内容物不成为鼠类或其他生物的食物来源；</w:t>
            </w:r>
          </w:p>
          <w:p w14:paraId="5AF29260">
            <w:pPr>
              <w:pStyle w:val="19"/>
              <w:keepNext w:val="0"/>
              <w:keepLines w:val="0"/>
              <w:pageBreakBefore w:val="0"/>
              <w:widowControl w:val="0"/>
              <w:kinsoku/>
              <w:wordWrap/>
              <w:overflowPunct/>
              <w:topLinePunct w:val="0"/>
              <w:autoSpaceDE/>
              <w:autoSpaceDN/>
              <w:bidi w:val="0"/>
              <w:snapToGrid/>
              <w:spacing w:after="0" w:line="520" w:lineRule="exact"/>
              <w:ind w:left="0" w:leftChars="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D、贮存地不得对公众开放。</w:t>
            </w:r>
          </w:p>
          <w:p w14:paraId="0CC8B10B">
            <w:pPr>
              <w:pStyle w:val="19"/>
              <w:keepNext w:val="0"/>
              <w:keepLines w:val="0"/>
              <w:pageBreakBefore w:val="0"/>
              <w:widowControl w:val="0"/>
              <w:kinsoku/>
              <w:wordWrap/>
              <w:overflowPunct/>
              <w:topLinePunct w:val="0"/>
              <w:autoSpaceDE/>
              <w:autoSpaceDN/>
              <w:bidi w:val="0"/>
              <w:snapToGrid/>
              <w:spacing w:after="0" w:line="520" w:lineRule="exact"/>
              <w:ind w:left="0" w:leftChars="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医疗废物转交出去后，应当对暂时贮存地点、设施及时进行清洁和消毒处理。对于医疗固体废物，禁止将其在非收集、非暂时贮存地点倾倒、堆放；禁止将医疗废物混入其它废物和生活垃圾；禁止在内部运送过程中丢弃医疗废物。</w:t>
            </w:r>
          </w:p>
          <w:p w14:paraId="191B8A2D">
            <w:pPr>
              <w:keepNext w:val="0"/>
              <w:keepLines w:val="0"/>
              <w:pageBreakBefore w:val="0"/>
              <w:widowControl w:val="0"/>
              <w:kinsoku/>
              <w:wordWrap/>
              <w:overflowPunct/>
              <w:topLinePunct w:val="0"/>
              <w:autoSpaceDE/>
              <w:autoSpaceDN/>
              <w:bidi w:val="0"/>
              <w:snapToGrid/>
              <w:spacing w:line="520" w:lineRule="exact"/>
              <w:ind w:left="0" w:leftChars="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Ⅲ</w:t>
            </w:r>
            <w:r>
              <w:rPr>
                <w:rFonts w:hint="eastAsia" w:ascii="Times New Roman" w:hAnsi="Times New Roman" w:cs="Times New Roman"/>
                <w:color w:val="auto"/>
                <w:sz w:val="24"/>
                <w:szCs w:val="24"/>
                <w:lang w:val="en-US" w:eastAsia="zh-CN"/>
              </w:rPr>
              <w:t xml:space="preserve"> </w:t>
            </w:r>
            <w:r>
              <w:rPr>
                <w:rFonts w:hint="default" w:ascii="Times New Roman" w:hAnsi="Times New Roman" w:eastAsia="宋体" w:cs="Times New Roman"/>
                <w:color w:val="auto"/>
                <w:sz w:val="24"/>
                <w:szCs w:val="24"/>
              </w:rPr>
              <w:t>医疗废物贮存区泄漏风险防范措施</w:t>
            </w:r>
          </w:p>
          <w:p w14:paraId="2671464D">
            <w:pPr>
              <w:keepNext w:val="0"/>
              <w:keepLines w:val="0"/>
              <w:pageBreakBefore w:val="0"/>
              <w:widowControl w:val="0"/>
              <w:kinsoku/>
              <w:wordWrap/>
              <w:overflowPunct/>
              <w:topLinePunct w:val="0"/>
              <w:autoSpaceDE/>
              <w:autoSpaceDN/>
              <w:bidi w:val="0"/>
              <w:snapToGrid/>
              <w:spacing w:line="520" w:lineRule="exact"/>
              <w:ind w:left="0" w:leftChars="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只有化学性医疗废物中有液体废物，因此为防止泄漏物的外流，本项目在化学性医疗废物堆存区距离地面10cm设置1个托盘，将存放化学性废物的医疗废物周转箱均置于托盘之上，主要用于废液泄漏事故时的收集。</w:t>
            </w:r>
          </w:p>
          <w:p w14:paraId="18A673EB">
            <w:pPr>
              <w:pStyle w:val="5"/>
              <w:keepNext w:val="0"/>
              <w:keepLines w:val="0"/>
              <w:pageBreakBefore w:val="0"/>
              <w:widowControl w:val="0"/>
              <w:kinsoku/>
              <w:wordWrap/>
              <w:overflowPunct/>
              <w:topLinePunct w:val="0"/>
              <w:autoSpaceDE/>
              <w:autoSpaceDN/>
              <w:bidi w:val="0"/>
              <w:snapToGrid/>
              <w:spacing w:after="0" w:line="520" w:lineRule="exact"/>
              <w:ind w:left="0" w:leftChars="0" w:firstLine="480" w:firstLineChars="200"/>
              <w:jc w:val="both"/>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Ⅳ</w:t>
            </w:r>
            <w:r>
              <w:rPr>
                <w:rFonts w:hint="eastAsia" w:cs="Times New Roman"/>
                <w:color w:val="auto"/>
                <w:sz w:val="24"/>
                <w:szCs w:val="24"/>
                <w:lang w:val="en-US" w:eastAsia="zh-CN"/>
              </w:rPr>
              <w:t xml:space="preserve"> </w:t>
            </w:r>
            <w:r>
              <w:rPr>
                <w:rFonts w:hint="default" w:ascii="Times New Roman" w:hAnsi="Times New Roman" w:eastAsia="宋体" w:cs="Times New Roman"/>
                <w:color w:val="auto"/>
                <w:sz w:val="24"/>
                <w:szCs w:val="24"/>
                <w:lang w:val="en-US"/>
              </w:rPr>
              <w:t>在运输中散落、泄漏的风险防范措施</w:t>
            </w:r>
          </w:p>
          <w:p w14:paraId="27786C14">
            <w:pPr>
              <w:pStyle w:val="19"/>
              <w:keepNext w:val="0"/>
              <w:keepLines w:val="0"/>
              <w:pageBreakBefore w:val="0"/>
              <w:widowControl w:val="0"/>
              <w:kinsoku/>
              <w:wordWrap/>
              <w:overflowPunct/>
              <w:topLinePunct w:val="0"/>
              <w:autoSpaceDE/>
              <w:autoSpaceDN/>
              <w:bidi w:val="0"/>
              <w:snapToGrid/>
              <w:spacing w:after="0" w:line="520" w:lineRule="exact"/>
              <w:ind w:left="0" w:leftChars="0" w:firstLine="480" w:firstLineChars="200"/>
              <w:jc w:val="both"/>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化学性医疗废物盛装于原有试剂瓶内、瓶盖密封，集中收集至垃圾暂存库内对应堆放区医疗废物周转箱内，在运往垃圾暂存库过程中使用专用的汽车运输、经过固定转移路线，假设在运输过程中化学性废物容器因破损发生泄漏，工作人员要及时更换新的废液收集容器，泄漏在车内的废液应及时用抹布进行擦拭，泄漏到土壤里要将已污染的土壤区域用铁锹挖走并放至专有的固体收集箱中密闭保存，待医疗废物处置单位上门与医疗垃圾暂存库内其他医疗废物一同拉走。</w:t>
            </w:r>
          </w:p>
          <w:p w14:paraId="44ED4996">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根据分析，建设单位通过采取事故防范措施及采取一定的应急处理措施，可以将本项目的风险降到较低的水平，本项目的环境风险可以接受。</w:t>
            </w:r>
          </w:p>
          <w:p w14:paraId="7FA735EA">
            <w:pPr>
              <w:pStyle w:val="45"/>
              <w:keepNext w:val="0"/>
              <w:keepLines w:val="0"/>
              <w:pageBreakBefore w:val="0"/>
              <w:widowControl w:val="0"/>
              <w:numPr>
                <w:ilvl w:val="0"/>
                <w:numId w:val="0"/>
              </w:numPr>
              <w:kinsoku/>
              <w:wordWrap/>
              <w:overflowPunct/>
              <w:topLinePunct w:val="0"/>
              <w:autoSpaceDE/>
              <w:autoSpaceDN/>
              <w:bidi w:val="0"/>
              <w:spacing w:line="520" w:lineRule="exact"/>
              <w:ind w:firstLine="482" w:firstLineChars="200"/>
              <w:jc w:val="both"/>
              <w:textAlignment w:val="auto"/>
              <w:rPr>
                <w:rFonts w:ascii="Times New Roman" w:hAnsi="Times New Roman" w:cs="Times New Roman"/>
                <w:b/>
                <w:bCs/>
                <w:color w:val="auto"/>
                <w:sz w:val="24"/>
                <w:szCs w:val="24"/>
                <w:lang w:val="en-US"/>
              </w:rPr>
            </w:pPr>
            <w:r>
              <w:rPr>
                <w:rFonts w:hint="eastAsia" w:ascii="Times New Roman" w:hAnsi="Times New Roman" w:cs="Times New Roman"/>
                <w:b/>
                <w:bCs/>
                <w:color w:val="auto"/>
                <w:sz w:val="24"/>
                <w:szCs w:val="24"/>
                <w:lang w:val="en-US" w:eastAsia="zh-CN" w:bidi="zh-CN"/>
              </w:rPr>
              <w:t>7</w:t>
            </w:r>
            <w:r>
              <w:rPr>
                <w:rFonts w:ascii="Times New Roman" w:hAnsi="Times New Roman" w:eastAsia="宋体" w:cs="Times New Roman"/>
                <w:b/>
                <w:bCs/>
                <w:color w:val="auto"/>
                <w:sz w:val="24"/>
                <w:szCs w:val="24"/>
                <w:lang w:val="en-US" w:eastAsia="zh-CN" w:bidi="zh-CN"/>
              </w:rPr>
              <w:t>、</w:t>
            </w:r>
            <w:r>
              <w:rPr>
                <w:rFonts w:ascii="Times New Roman" w:hAnsi="Times New Roman" w:cs="Times New Roman"/>
                <w:b/>
                <w:bCs/>
                <w:color w:val="auto"/>
                <w:sz w:val="24"/>
                <w:szCs w:val="24"/>
                <w:lang w:val="en-US"/>
              </w:rPr>
              <w:t>环境管理</w:t>
            </w:r>
          </w:p>
          <w:p w14:paraId="71D4FC6F">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项目运营期应设专人进行环境管理工作，正确处理发展生产与环境保护的关系， 监控环保工程的运行，并检查其效果，了解场内环境质量与影响环境质量的污染因子变化情况，建立健全环保档案，为保护和改善区域环境质量</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做好</w:t>
            </w:r>
            <w:r>
              <w:rPr>
                <w:rFonts w:hint="default" w:ascii="Times New Roman" w:hAnsi="Times New Roman" w:eastAsia="宋体" w:cs="Times New Roman"/>
                <w:color w:val="auto"/>
                <w:sz w:val="24"/>
                <w:szCs w:val="24"/>
              </w:rPr>
              <w:t>组织和监督工作，环境管理具体内容如下：</w:t>
            </w:r>
          </w:p>
          <w:p w14:paraId="52945F09">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①进行环保验收，经验收合格后，项目方可投入营运，没有通过环保验收不得进行营运。</w:t>
            </w:r>
          </w:p>
          <w:p w14:paraId="44AC423F">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②建立、健全环境管理制度，设置专职或兼职环保人员，负责日常环保安全， 定期检查环保管理和环境监测工作。</w:t>
            </w:r>
          </w:p>
          <w:p w14:paraId="31A0C749">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③制定各种可能发生事故的应急计划，定期对职工进行培训演练，配备各种必要的维护、抢修器材和设备，保证发生事故时能及时到位。</w:t>
            </w:r>
          </w:p>
          <w:p w14:paraId="25E23F6A">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④收集、储存医疗废物，必须按照废物特性进行分类进行。禁止混合收集、储存、运输、处置性质不相容而未经安全性处置的危险废物。</w:t>
            </w:r>
          </w:p>
          <w:p w14:paraId="1124B72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⑤严格按照《危险废物贮存污染控制标准》（GB 18597—2023）和《危险废物联单转移管理办法》中储存及转移危险废物的要求对收集及产生的危险废物进行储存、转移。</w:t>
            </w:r>
          </w:p>
          <w:p w14:paraId="3FDD1E69">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⑥</w:t>
            </w:r>
            <w:r>
              <w:rPr>
                <w:rFonts w:hint="eastAsia" w:ascii="Times New Roman" w:hAnsi="Times New Roman" w:eastAsia="宋体" w:cs="Times New Roman"/>
                <w:color w:val="auto"/>
                <w:sz w:val="24"/>
                <w:szCs w:val="24"/>
                <w:lang w:eastAsia="zh-CN"/>
              </w:rPr>
              <w:t>危废暂存库</w:t>
            </w:r>
            <w:r>
              <w:rPr>
                <w:rFonts w:hint="default" w:ascii="Times New Roman" w:hAnsi="Times New Roman" w:eastAsia="宋体" w:cs="Times New Roman"/>
                <w:color w:val="auto"/>
                <w:sz w:val="24"/>
                <w:szCs w:val="24"/>
                <w:lang w:val="en-US"/>
              </w:rPr>
              <w:t>内医疗垃圾贮存时间最多不得超过</w:t>
            </w:r>
            <w:r>
              <w:rPr>
                <w:rFonts w:hint="eastAsia" w:ascii="Times New Roman" w:hAnsi="Times New Roman" w:eastAsia="宋体" w:cs="Times New Roman"/>
                <w:color w:val="auto"/>
                <w:sz w:val="24"/>
                <w:szCs w:val="24"/>
                <w:lang w:val="en-US" w:eastAsia="zh-CN"/>
              </w:rPr>
              <w:t>48</w:t>
            </w:r>
            <w:r>
              <w:rPr>
                <w:rFonts w:hint="default" w:ascii="Times New Roman" w:hAnsi="Times New Roman" w:eastAsia="宋体" w:cs="Times New Roman"/>
                <w:color w:val="auto"/>
                <w:sz w:val="24"/>
                <w:szCs w:val="24"/>
                <w:lang w:val="en-US"/>
              </w:rPr>
              <w:t>h</w:t>
            </w:r>
            <w:r>
              <w:rPr>
                <w:rFonts w:hint="default" w:ascii="Times New Roman" w:hAnsi="Times New Roman" w:eastAsia="宋体" w:cs="Times New Roman"/>
                <w:color w:val="auto"/>
                <w:sz w:val="24"/>
                <w:szCs w:val="24"/>
              </w:rPr>
              <w:t>。</w:t>
            </w:r>
          </w:p>
          <w:p w14:paraId="3CA618A1">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⑦医疗废物收集、储存及转运要建立危险废物进出管理台账。</w:t>
            </w:r>
          </w:p>
          <w:p w14:paraId="4C904FE9">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⑧收集储存的医疗废物应严格按照《危险废物转移联单管理办法》中的有关要求管理。</w:t>
            </w:r>
          </w:p>
          <w:p w14:paraId="4E2AE56A">
            <w:pPr>
              <w:pStyle w:val="4"/>
              <w:rPr>
                <w:rFonts w:hint="eastAsia"/>
                <w:color w:val="auto"/>
                <w:lang w:val="en-US" w:eastAsia="zh-CN"/>
              </w:rPr>
            </w:pPr>
          </w:p>
          <w:p w14:paraId="2378BA7D">
            <w:pPr>
              <w:pStyle w:val="5"/>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eastAsia"/>
                <w:color w:val="auto"/>
                <w:lang w:val="en-US" w:eastAsia="zh-CN"/>
              </w:rPr>
            </w:pPr>
            <w:r>
              <w:rPr>
                <w:color w:val="auto"/>
              </w:rPr>
              <w:drawing>
                <wp:inline distT="0" distB="0" distL="114300" distR="114300">
                  <wp:extent cx="3992880" cy="2033905"/>
                  <wp:effectExtent l="0" t="0" r="7620" b="4445"/>
                  <wp:docPr id="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
                          <pic:cNvPicPr>
                            <a:picLocks noChangeAspect="1"/>
                          </pic:cNvPicPr>
                        </pic:nvPicPr>
                        <pic:blipFill>
                          <a:blip r:embed="rId26"/>
                          <a:stretch>
                            <a:fillRect/>
                          </a:stretch>
                        </pic:blipFill>
                        <pic:spPr>
                          <a:xfrm>
                            <a:off x="0" y="0"/>
                            <a:ext cx="3992880" cy="2033905"/>
                          </a:xfrm>
                          <a:prstGeom prst="rect">
                            <a:avLst/>
                          </a:prstGeom>
                          <a:noFill/>
                          <a:ln>
                            <a:noFill/>
                          </a:ln>
                        </pic:spPr>
                      </pic:pic>
                    </a:graphicData>
                  </a:graphic>
                </wp:inline>
              </w:drawing>
            </w:r>
          </w:p>
          <w:p w14:paraId="292D31A0">
            <w:pPr>
              <w:pStyle w:val="45"/>
              <w:tabs>
                <w:tab w:val="left" w:pos="895"/>
              </w:tabs>
              <w:spacing w:line="240" w:lineRule="auto"/>
              <w:ind w:firstLine="0" w:firstLineChars="0"/>
              <w:jc w:val="center"/>
              <w:rPr>
                <w:rFonts w:hint="eastAsia" w:ascii="Times New Roman" w:hAnsi="Times New Roman" w:cs="Times New Roman"/>
                <w:color w:val="auto"/>
                <w:kern w:val="2"/>
                <w:sz w:val="24"/>
                <w:szCs w:val="24"/>
                <w:lang w:val="en-US" w:eastAsia="zh-CN" w:bidi="ar-SA"/>
              </w:rPr>
            </w:pPr>
            <w:r>
              <w:rPr>
                <w:rFonts w:ascii="Times New Roman" w:hAnsi="Times New Roman" w:cs="Times New Roman"/>
                <w:b/>
                <w:bCs/>
                <w:color w:val="auto"/>
                <w:sz w:val="24"/>
                <w:lang w:val="en-US"/>
              </w:rPr>
              <w:t>图</w:t>
            </w:r>
            <w:r>
              <w:rPr>
                <w:rFonts w:hint="eastAsia" w:ascii="Times New Roman" w:hAnsi="Times New Roman" w:cs="Times New Roman"/>
                <w:b/>
                <w:bCs/>
                <w:color w:val="auto"/>
                <w:sz w:val="24"/>
                <w:lang w:val="en-US" w:eastAsia="zh-CN"/>
              </w:rPr>
              <w:t>4</w:t>
            </w:r>
            <w:r>
              <w:rPr>
                <w:rFonts w:ascii="Times New Roman" w:hAnsi="Times New Roman" w:cs="Times New Roman"/>
                <w:b/>
                <w:bCs/>
                <w:color w:val="auto"/>
                <w:sz w:val="24"/>
                <w:lang w:val="en-US"/>
              </w:rPr>
              <w:t>-</w:t>
            </w:r>
            <w:r>
              <w:rPr>
                <w:rFonts w:hint="eastAsia" w:ascii="Times New Roman" w:hAnsi="Times New Roman" w:cs="Times New Roman"/>
                <w:b/>
                <w:bCs/>
                <w:color w:val="auto"/>
                <w:sz w:val="24"/>
                <w:lang w:val="en-US" w:eastAsia="zh-CN"/>
              </w:rPr>
              <w:t xml:space="preserve">1  </w:t>
            </w:r>
            <w:r>
              <w:rPr>
                <w:rFonts w:hint="eastAsia" w:ascii="Times New Roman" w:hAnsi="Times New Roman" w:cs="Times New Roman"/>
                <w:b/>
                <w:bCs/>
                <w:color w:val="auto"/>
                <w:sz w:val="24"/>
                <w:lang w:val="en-US"/>
              </w:rPr>
              <w:t xml:space="preserve"> 医疗废物警示标志</w:t>
            </w:r>
            <w:r>
              <w:rPr>
                <w:color w:val="auto"/>
                <w:lang w:val="en-US" w:eastAsia="zh-CN" w:bidi="ar-SA"/>
              </w:rPr>
              <w:drawing>
                <wp:inline distT="0" distB="0" distL="114300" distR="114300">
                  <wp:extent cx="4036695" cy="1925320"/>
                  <wp:effectExtent l="0" t="0" r="1905" b="17780"/>
                  <wp:docPr id="44"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53"/>
                          <pic:cNvPicPr>
                            <a:picLocks noChangeAspect="1"/>
                          </pic:cNvPicPr>
                        </pic:nvPicPr>
                        <pic:blipFill>
                          <a:blip r:embed="rId27"/>
                          <a:stretch>
                            <a:fillRect/>
                          </a:stretch>
                        </pic:blipFill>
                        <pic:spPr>
                          <a:xfrm>
                            <a:off x="0" y="0"/>
                            <a:ext cx="4036695" cy="1925320"/>
                          </a:xfrm>
                          <a:prstGeom prst="rect">
                            <a:avLst/>
                          </a:prstGeom>
                          <a:noFill/>
                          <a:ln>
                            <a:noFill/>
                          </a:ln>
                        </pic:spPr>
                      </pic:pic>
                    </a:graphicData>
                  </a:graphic>
                </wp:inline>
              </w:drawing>
            </w:r>
          </w:p>
          <w:p w14:paraId="59229D8E">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Times New Roman" w:hAnsi="Times New Roman" w:cs="Times New Roman"/>
                <w:color w:val="auto"/>
                <w:kern w:val="2"/>
                <w:sz w:val="24"/>
                <w:szCs w:val="24"/>
                <w:lang w:val="en-US" w:eastAsia="zh-CN" w:bidi="ar-SA"/>
              </w:rPr>
            </w:pPr>
            <w:r>
              <w:rPr>
                <w:rFonts w:ascii="Times New Roman" w:hAnsi="Times New Roman" w:cs="Times New Roman"/>
                <w:b/>
                <w:bCs/>
                <w:color w:val="auto"/>
                <w:sz w:val="24"/>
                <w:lang w:val="en-US"/>
              </w:rPr>
              <w:t>图</w:t>
            </w:r>
            <w:r>
              <w:rPr>
                <w:rFonts w:hint="eastAsia" w:ascii="Times New Roman" w:hAnsi="Times New Roman" w:cs="Times New Roman"/>
                <w:b/>
                <w:bCs/>
                <w:color w:val="auto"/>
                <w:sz w:val="24"/>
                <w:lang w:val="en-US" w:eastAsia="zh-CN"/>
              </w:rPr>
              <w:t>4</w:t>
            </w:r>
            <w:r>
              <w:rPr>
                <w:rFonts w:ascii="Times New Roman" w:hAnsi="Times New Roman" w:cs="Times New Roman"/>
                <w:b/>
                <w:bCs/>
                <w:color w:val="auto"/>
                <w:sz w:val="24"/>
                <w:lang w:val="en-US"/>
              </w:rPr>
              <w:t>-</w:t>
            </w:r>
            <w:r>
              <w:rPr>
                <w:rFonts w:hint="eastAsia" w:ascii="Times New Roman" w:hAnsi="Times New Roman" w:cs="Times New Roman"/>
                <w:b/>
                <w:bCs/>
                <w:color w:val="auto"/>
                <w:sz w:val="24"/>
                <w:lang w:val="en-US" w:eastAsia="zh-CN"/>
              </w:rPr>
              <w:t>2  危险废物信息公开栏</w:t>
            </w:r>
          </w:p>
          <w:p w14:paraId="29C7C26D">
            <w:pPr>
              <w:pStyle w:val="45"/>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2" w:firstLineChars="200"/>
              <w:jc w:val="both"/>
              <w:textAlignment w:val="auto"/>
              <w:rPr>
                <w:rFonts w:ascii="Times New Roman" w:hAnsi="Times New Roman" w:cs="Times New Roman"/>
                <w:b/>
                <w:bCs/>
                <w:color w:val="auto"/>
                <w:sz w:val="24"/>
                <w:szCs w:val="24"/>
                <w:lang w:val="en-US"/>
              </w:rPr>
            </w:pPr>
            <w:r>
              <w:rPr>
                <w:rFonts w:ascii="Times New Roman" w:hAnsi="Times New Roman" w:eastAsia="宋体" w:cs="Times New Roman"/>
                <w:b/>
                <w:bCs/>
                <w:color w:val="auto"/>
                <w:sz w:val="24"/>
                <w:szCs w:val="24"/>
                <w:lang w:val="en-US" w:eastAsia="zh-CN" w:bidi="zh-CN"/>
              </w:rPr>
              <w:t>8、</w:t>
            </w:r>
            <w:r>
              <w:rPr>
                <w:rFonts w:hint="eastAsia" w:ascii="Times New Roman" w:hAnsi="Times New Roman" w:cs="Times New Roman"/>
                <w:b/>
                <w:bCs/>
                <w:color w:val="auto"/>
                <w:sz w:val="24"/>
                <w:szCs w:val="24"/>
                <w:lang w:val="en-US"/>
              </w:rPr>
              <w:t>污染源监测计划</w:t>
            </w:r>
          </w:p>
          <w:p w14:paraId="53B30AE7">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cs="Times New Roman"/>
                <w:color w:val="auto"/>
                <w:kern w:val="2"/>
                <w:sz w:val="24"/>
                <w:szCs w:val="24"/>
                <w:lang w:val="en-US" w:bidi="ar-SA"/>
              </w:rPr>
            </w:pPr>
            <w:r>
              <w:rPr>
                <w:rFonts w:hint="eastAsia" w:ascii="Times New Roman" w:hAnsi="Times New Roman" w:cs="Times New Roman"/>
                <w:color w:val="auto"/>
                <w:kern w:val="2"/>
                <w:sz w:val="24"/>
                <w:szCs w:val="24"/>
                <w:lang w:val="en-US" w:bidi="ar-SA"/>
              </w:rPr>
              <w:t>根据《排污单位自行监测技术指南 总则》（HJ819-2017）、《排污许可证申请与核发技术规范 医疗机构》（</w:t>
            </w:r>
            <w:r>
              <w:rPr>
                <w:rFonts w:hint="eastAsia" w:ascii="Times New Roman" w:hAnsi="Times New Roman" w:cs="Times New Roman"/>
                <w:color w:val="auto"/>
                <w:kern w:val="2"/>
                <w:sz w:val="24"/>
                <w:szCs w:val="24"/>
                <w:lang w:val="en-US" w:eastAsia="zh-CN" w:bidi="ar-SA"/>
              </w:rPr>
              <w:t>HJ1105</w:t>
            </w:r>
            <w:r>
              <w:rPr>
                <w:rFonts w:hint="eastAsia" w:ascii="Times New Roman" w:hAnsi="Times New Roman" w:cs="Times New Roman"/>
                <w:color w:val="auto"/>
                <w:kern w:val="2"/>
                <w:sz w:val="24"/>
                <w:szCs w:val="24"/>
                <w:lang w:val="en-US" w:bidi="ar-SA"/>
              </w:rPr>
              <w:t>-20</w:t>
            </w:r>
            <w:r>
              <w:rPr>
                <w:rFonts w:hint="eastAsia" w:ascii="Times New Roman" w:hAnsi="Times New Roman" w:cs="Times New Roman"/>
                <w:color w:val="auto"/>
                <w:kern w:val="2"/>
                <w:sz w:val="24"/>
                <w:szCs w:val="24"/>
                <w:lang w:val="en-US" w:eastAsia="zh-CN" w:bidi="ar-SA"/>
              </w:rPr>
              <w:t>20</w:t>
            </w:r>
            <w:r>
              <w:rPr>
                <w:rFonts w:hint="eastAsia" w:ascii="Times New Roman" w:hAnsi="Times New Roman" w:cs="Times New Roman"/>
                <w:color w:val="auto"/>
                <w:kern w:val="2"/>
                <w:sz w:val="24"/>
                <w:szCs w:val="24"/>
                <w:lang w:val="en-US" w:bidi="ar-SA"/>
              </w:rPr>
              <w:t xml:space="preserve">）以及《医疗机构水污染物排放标准》（GB18466-2005） </w:t>
            </w:r>
            <w:r>
              <w:rPr>
                <w:rFonts w:hint="eastAsia" w:ascii="Times New Roman" w:hAnsi="Times New Roman" w:cs="Times New Roman"/>
                <w:color w:val="auto"/>
                <w:kern w:val="2"/>
                <w:sz w:val="24"/>
                <w:szCs w:val="24"/>
                <w:lang w:val="en-US" w:eastAsia="zh-CN" w:bidi="ar-SA"/>
              </w:rPr>
              <w:t>等</w:t>
            </w:r>
            <w:r>
              <w:rPr>
                <w:rFonts w:hint="eastAsia" w:ascii="Times New Roman" w:hAnsi="Times New Roman" w:cs="Times New Roman"/>
                <w:color w:val="auto"/>
                <w:kern w:val="2"/>
                <w:sz w:val="24"/>
                <w:szCs w:val="24"/>
                <w:lang w:val="en-US" w:bidi="ar-SA"/>
              </w:rPr>
              <w:t>相关要求进行制定环境监测计划。</w:t>
            </w:r>
            <w:r>
              <w:rPr>
                <w:rFonts w:hint="eastAsia"/>
                <w:color w:val="auto"/>
                <w:sz w:val="24"/>
                <w:szCs w:val="24"/>
              </w:rPr>
              <w:t>本项目例行监测应纳入医院监测计划一并管理</w:t>
            </w:r>
            <w:r>
              <w:rPr>
                <w:rFonts w:hint="eastAsia"/>
                <w:color w:val="auto"/>
                <w:sz w:val="24"/>
                <w:szCs w:val="24"/>
                <w:lang w:eastAsia="zh-CN"/>
              </w:rPr>
              <w:t>。</w:t>
            </w:r>
            <w:r>
              <w:rPr>
                <w:rFonts w:hint="eastAsia" w:ascii="Times New Roman" w:hAnsi="Times New Roman" w:cs="Times New Roman"/>
                <w:color w:val="auto"/>
                <w:kern w:val="2"/>
                <w:sz w:val="24"/>
                <w:szCs w:val="24"/>
                <w:lang w:val="en-US" w:bidi="ar-SA"/>
              </w:rPr>
              <w:t>建设单位应确保各项污染物达标排放，各排污口</w:t>
            </w:r>
            <w:r>
              <w:rPr>
                <w:rFonts w:hint="eastAsia" w:ascii="Times New Roman" w:hAnsi="Times New Roman" w:cs="Times New Roman"/>
                <w:color w:val="auto"/>
                <w:kern w:val="2"/>
                <w:sz w:val="24"/>
                <w:szCs w:val="24"/>
                <w:lang w:val="en-US" w:eastAsia="zh-CN" w:bidi="ar-SA"/>
              </w:rPr>
              <w:t>应</w:t>
            </w:r>
            <w:r>
              <w:rPr>
                <w:rFonts w:hint="eastAsia" w:ascii="Times New Roman" w:hAnsi="Times New Roman" w:cs="Times New Roman"/>
                <w:color w:val="auto"/>
                <w:kern w:val="2"/>
                <w:sz w:val="24"/>
                <w:szCs w:val="24"/>
                <w:lang w:val="en-US" w:bidi="ar-SA"/>
              </w:rPr>
              <w:t>规范设置、定期开展自行监测。同时，建设单位应做好与监测相关的数据记录，按照规定进行保存，并依法向社会公开监测结果。</w:t>
            </w:r>
          </w:p>
          <w:p w14:paraId="04C89F3A">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cs="Times New Roman"/>
                <w:color w:val="auto"/>
                <w:kern w:val="2"/>
                <w:sz w:val="24"/>
                <w:szCs w:val="24"/>
                <w:lang w:val="en-US" w:bidi="ar-SA"/>
              </w:rPr>
            </w:pPr>
            <w:r>
              <w:rPr>
                <w:rFonts w:ascii="Times New Roman" w:hAnsi="Times New Roman" w:cs="Times New Roman"/>
                <w:color w:val="auto"/>
                <w:kern w:val="2"/>
                <w:sz w:val="24"/>
                <w:szCs w:val="24"/>
                <w:lang w:val="en-US" w:bidi="ar-SA"/>
              </w:rPr>
              <w:t>（1）在所有环保设备经过试运转，并经检验合格后，方可正式运行</w:t>
            </w:r>
            <w:r>
              <w:rPr>
                <w:rFonts w:hint="eastAsia" w:ascii="Times New Roman" w:hAnsi="Times New Roman" w:cs="Times New Roman"/>
                <w:color w:val="auto"/>
                <w:kern w:val="2"/>
                <w:sz w:val="24"/>
                <w:szCs w:val="24"/>
                <w:lang w:val="en-US" w:bidi="ar-SA"/>
              </w:rPr>
              <w:t>；</w:t>
            </w:r>
          </w:p>
          <w:p w14:paraId="0FDAFC56">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cs="Times New Roman"/>
                <w:color w:val="auto"/>
                <w:kern w:val="2"/>
                <w:sz w:val="24"/>
                <w:szCs w:val="24"/>
                <w:lang w:val="en-US" w:bidi="ar-SA"/>
              </w:rPr>
            </w:pPr>
            <w:r>
              <w:rPr>
                <w:rFonts w:ascii="Times New Roman" w:hAnsi="Times New Roman" w:cs="Times New Roman"/>
                <w:color w:val="auto"/>
                <w:kern w:val="2"/>
                <w:sz w:val="24"/>
                <w:szCs w:val="24"/>
                <w:lang w:val="en-US" w:bidi="ar-SA"/>
              </w:rPr>
              <w:t>（2）运行期的环保问题由建设单位负责</w:t>
            </w:r>
            <w:r>
              <w:rPr>
                <w:rFonts w:hint="eastAsia" w:ascii="Times New Roman" w:hAnsi="Times New Roman" w:cs="Times New Roman"/>
                <w:color w:val="auto"/>
                <w:kern w:val="2"/>
                <w:sz w:val="24"/>
                <w:szCs w:val="24"/>
                <w:lang w:val="en-US" w:bidi="ar-SA"/>
              </w:rPr>
              <w:t>；</w:t>
            </w:r>
          </w:p>
          <w:p w14:paraId="2FFBCF1D">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imes New Roman" w:hAnsi="Times New Roman" w:cs="Times New Roman"/>
                <w:color w:val="auto"/>
                <w:kern w:val="2"/>
                <w:sz w:val="24"/>
                <w:szCs w:val="24"/>
                <w:lang w:val="en-US" w:bidi="ar-SA"/>
              </w:rPr>
            </w:pPr>
            <w:r>
              <w:rPr>
                <w:rFonts w:ascii="Times New Roman" w:hAnsi="Times New Roman" w:cs="Times New Roman"/>
                <w:color w:val="auto"/>
                <w:kern w:val="2"/>
                <w:sz w:val="24"/>
                <w:szCs w:val="24"/>
                <w:lang w:val="en-US" w:bidi="ar-SA"/>
              </w:rPr>
              <w:t>（3）企业必须保证所有环保设备的正常运行，并保证各类污染物达到国家的排放标准和</w:t>
            </w:r>
            <w:r>
              <w:rPr>
                <w:rFonts w:hint="eastAsia" w:ascii="Times New Roman" w:hAnsi="Times New Roman" w:cs="Times New Roman"/>
                <w:color w:val="auto"/>
                <w:kern w:val="2"/>
                <w:sz w:val="24"/>
                <w:szCs w:val="24"/>
                <w:lang w:val="en-US" w:bidi="ar-SA"/>
              </w:rPr>
              <w:t>地方生态环境主管部门</w:t>
            </w:r>
            <w:r>
              <w:rPr>
                <w:rFonts w:ascii="Times New Roman" w:hAnsi="Times New Roman" w:cs="Times New Roman"/>
                <w:color w:val="auto"/>
                <w:kern w:val="2"/>
                <w:sz w:val="24"/>
                <w:szCs w:val="24"/>
                <w:lang w:val="en-US" w:bidi="ar-SA"/>
              </w:rPr>
              <w:t>的管理要求</w:t>
            </w:r>
            <w:r>
              <w:rPr>
                <w:rFonts w:hint="eastAsia" w:ascii="Times New Roman" w:hAnsi="Times New Roman" w:cs="Times New Roman"/>
                <w:color w:val="auto"/>
                <w:kern w:val="2"/>
                <w:sz w:val="24"/>
                <w:szCs w:val="24"/>
                <w:lang w:val="en-US" w:bidi="ar-SA"/>
              </w:rPr>
              <w:t>；</w:t>
            </w:r>
          </w:p>
          <w:p w14:paraId="406F89B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ascii="Times New Roman" w:hAnsi="Times New Roman" w:cs="Times New Roman"/>
                <w:color w:val="auto"/>
                <w:kern w:val="2"/>
                <w:sz w:val="24"/>
                <w:szCs w:val="24"/>
                <w:lang w:val="en-US" w:bidi="ar-SA"/>
              </w:rPr>
            </w:pPr>
            <w:r>
              <w:rPr>
                <w:rFonts w:ascii="Times New Roman" w:hAnsi="Times New Roman" w:cs="Times New Roman"/>
                <w:color w:val="auto"/>
                <w:kern w:val="2"/>
                <w:sz w:val="24"/>
                <w:szCs w:val="24"/>
                <w:lang w:val="en-US" w:bidi="ar-SA"/>
              </w:rPr>
              <w:t>（4）对全部设施正常运转的情况下，最大的污染物排放量废气、噪声设备向</w:t>
            </w:r>
            <w:r>
              <w:rPr>
                <w:rFonts w:hint="eastAsia" w:ascii="Times New Roman" w:hAnsi="Times New Roman" w:cs="Times New Roman"/>
                <w:color w:val="auto"/>
                <w:kern w:val="2"/>
                <w:sz w:val="24"/>
                <w:szCs w:val="24"/>
                <w:lang w:val="en-US" w:bidi="ar-SA"/>
              </w:rPr>
              <w:t>地方生态环境主管部门</w:t>
            </w:r>
            <w:r>
              <w:rPr>
                <w:rFonts w:ascii="Times New Roman" w:hAnsi="Times New Roman" w:cs="Times New Roman"/>
                <w:color w:val="auto"/>
                <w:kern w:val="2"/>
                <w:sz w:val="24"/>
                <w:szCs w:val="24"/>
                <w:lang w:val="en-US" w:bidi="ar-SA"/>
              </w:rPr>
              <w:t>进行申报登记，领取排污许可证，并进行年审。</w:t>
            </w:r>
          </w:p>
          <w:p w14:paraId="11595749">
            <w:pPr>
              <w:pStyle w:val="45"/>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ascii="Times New Roman" w:hAnsi="Times New Roman" w:cs="Times New Roman"/>
                <w:color w:val="auto"/>
                <w:kern w:val="2"/>
                <w:sz w:val="24"/>
                <w:szCs w:val="24"/>
                <w:lang w:val="en-US" w:bidi="ar-SA"/>
              </w:rPr>
            </w:pPr>
            <w:r>
              <w:rPr>
                <w:rFonts w:hint="eastAsia" w:ascii="Times New Roman" w:hAnsi="Times New Roman" w:cs="Times New Roman"/>
                <w:color w:val="auto"/>
                <w:kern w:val="2"/>
                <w:sz w:val="24"/>
                <w:szCs w:val="24"/>
                <w:lang w:val="en-US" w:eastAsia="zh-CN" w:bidi="ar-SA"/>
              </w:rPr>
              <w:t>本项目污水处理站出水排入市政排污管道最终进入东胜区北郊水质净化厂，属于间接排放。</w:t>
            </w:r>
            <w:r>
              <w:rPr>
                <w:rFonts w:ascii="Times New Roman" w:hAnsi="Times New Roman" w:cs="Times New Roman"/>
                <w:color w:val="auto"/>
                <w:kern w:val="2"/>
                <w:sz w:val="24"/>
                <w:szCs w:val="24"/>
                <w:lang w:val="en-US" w:bidi="ar-SA"/>
              </w:rPr>
              <w:t>运营期污染源监测见表4</w:t>
            </w:r>
            <w:r>
              <w:rPr>
                <w:rFonts w:hint="eastAsia" w:ascii="Times New Roman" w:hAnsi="Times New Roman" w:cs="Times New Roman"/>
                <w:color w:val="auto"/>
                <w:kern w:val="2"/>
                <w:sz w:val="24"/>
                <w:szCs w:val="24"/>
                <w:lang w:val="en-US" w:bidi="ar-SA"/>
              </w:rPr>
              <w:t>-</w:t>
            </w:r>
            <w:r>
              <w:rPr>
                <w:rFonts w:hint="eastAsia" w:ascii="Times New Roman" w:hAnsi="Times New Roman" w:cs="Times New Roman"/>
                <w:color w:val="auto"/>
                <w:kern w:val="2"/>
                <w:sz w:val="24"/>
                <w:szCs w:val="24"/>
                <w:lang w:val="en-US" w:eastAsia="zh-CN" w:bidi="ar-SA"/>
              </w:rPr>
              <w:t>14</w:t>
            </w:r>
            <w:r>
              <w:rPr>
                <w:rFonts w:ascii="Times New Roman" w:hAnsi="Times New Roman" w:cs="Times New Roman"/>
                <w:color w:val="auto"/>
                <w:kern w:val="2"/>
                <w:sz w:val="24"/>
                <w:szCs w:val="24"/>
                <w:lang w:val="en-US" w:bidi="ar-SA"/>
              </w:rPr>
              <w:t>。</w:t>
            </w:r>
          </w:p>
          <w:p w14:paraId="19C1E92E">
            <w:pPr>
              <w:pStyle w:val="45"/>
              <w:spacing w:line="520" w:lineRule="exact"/>
              <w:jc w:val="center"/>
              <w:rPr>
                <w:rFonts w:ascii="Times New Roman" w:hAnsi="Times New Roman" w:cs="Times New Roman"/>
                <w:b/>
                <w:bCs/>
                <w:color w:val="auto"/>
                <w:sz w:val="24"/>
                <w:szCs w:val="24"/>
                <w:lang w:val="en-US"/>
              </w:rPr>
            </w:pPr>
            <w:r>
              <w:rPr>
                <w:rFonts w:hint="eastAsia" w:ascii="Times New Roman" w:hAnsi="Times New Roman" w:cs="Times New Roman"/>
                <w:b/>
                <w:bCs/>
                <w:color w:val="auto"/>
                <w:sz w:val="24"/>
                <w:szCs w:val="24"/>
                <w:lang w:val="en-US"/>
              </w:rPr>
              <w:t>表4-</w:t>
            </w:r>
            <w:r>
              <w:rPr>
                <w:rFonts w:hint="eastAsia" w:ascii="Times New Roman" w:hAnsi="Times New Roman" w:cs="Times New Roman"/>
                <w:b/>
                <w:bCs/>
                <w:color w:val="auto"/>
                <w:sz w:val="24"/>
                <w:szCs w:val="24"/>
                <w:lang w:val="en-US" w:eastAsia="zh-CN"/>
              </w:rPr>
              <w:t xml:space="preserve">14     </w:t>
            </w:r>
            <w:r>
              <w:rPr>
                <w:rFonts w:hint="eastAsia" w:ascii="Times New Roman" w:hAnsi="Times New Roman" w:cs="Times New Roman"/>
                <w:b/>
                <w:bCs/>
                <w:color w:val="auto"/>
                <w:sz w:val="24"/>
                <w:szCs w:val="24"/>
                <w:lang w:val="en-US"/>
              </w:rPr>
              <w:t xml:space="preserve"> 污染源监测计划表</w:t>
            </w:r>
          </w:p>
          <w:tbl>
            <w:tblPr>
              <w:tblStyle w:val="20"/>
              <w:tblW w:w="821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665"/>
              <w:gridCol w:w="3048"/>
              <w:gridCol w:w="1065"/>
              <w:gridCol w:w="524"/>
              <w:gridCol w:w="1152"/>
              <w:gridCol w:w="1764"/>
            </w:tblGrid>
            <w:tr w14:paraId="29CA13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cantSplit/>
                <w:trHeight w:val="23" w:hRule="atLeast"/>
                <w:jc w:val="center"/>
              </w:trPr>
              <w:tc>
                <w:tcPr>
                  <w:tcW w:w="665" w:type="dxa"/>
                  <w:noWrap w:val="0"/>
                  <w:tcMar>
                    <w:top w:w="0" w:type="dxa"/>
                    <w:left w:w="0" w:type="dxa"/>
                    <w:bottom w:w="0" w:type="dxa"/>
                    <w:right w:w="0" w:type="dxa"/>
                  </w:tcMar>
                  <w:vAlign w:val="center"/>
                </w:tcPr>
                <w:p w14:paraId="672B2DA3">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污染源名称</w:t>
                  </w:r>
                </w:p>
              </w:tc>
              <w:tc>
                <w:tcPr>
                  <w:tcW w:w="3048" w:type="dxa"/>
                  <w:noWrap w:val="0"/>
                  <w:tcMar>
                    <w:top w:w="0" w:type="dxa"/>
                    <w:left w:w="0" w:type="dxa"/>
                    <w:bottom w:w="0" w:type="dxa"/>
                    <w:right w:w="0" w:type="dxa"/>
                  </w:tcMar>
                  <w:vAlign w:val="center"/>
                </w:tcPr>
                <w:p w14:paraId="3010E561">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监测项目</w:t>
                  </w:r>
                </w:p>
              </w:tc>
              <w:tc>
                <w:tcPr>
                  <w:tcW w:w="1065" w:type="dxa"/>
                  <w:noWrap w:val="0"/>
                  <w:tcMar>
                    <w:top w:w="0" w:type="dxa"/>
                    <w:left w:w="0" w:type="dxa"/>
                    <w:bottom w:w="0" w:type="dxa"/>
                    <w:right w:w="0" w:type="dxa"/>
                  </w:tcMar>
                  <w:vAlign w:val="center"/>
                </w:tcPr>
                <w:p w14:paraId="025D2265">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监测点位置</w:t>
                  </w:r>
                </w:p>
              </w:tc>
              <w:tc>
                <w:tcPr>
                  <w:tcW w:w="524" w:type="dxa"/>
                  <w:noWrap w:val="0"/>
                  <w:tcMar>
                    <w:top w:w="0" w:type="dxa"/>
                    <w:left w:w="0" w:type="dxa"/>
                    <w:bottom w:w="0" w:type="dxa"/>
                    <w:right w:w="0" w:type="dxa"/>
                  </w:tcMar>
                  <w:vAlign w:val="center"/>
                </w:tcPr>
                <w:p w14:paraId="7F142ACF">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监测点数</w:t>
                  </w:r>
                </w:p>
              </w:tc>
              <w:tc>
                <w:tcPr>
                  <w:tcW w:w="1152" w:type="dxa"/>
                  <w:noWrap w:val="0"/>
                  <w:tcMar>
                    <w:top w:w="0" w:type="dxa"/>
                    <w:left w:w="0" w:type="dxa"/>
                    <w:bottom w:w="0" w:type="dxa"/>
                    <w:right w:w="0" w:type="dxa"/>
                  </w:tcMar>
                  <w:vAlign w:val="center"/>
                </w:tcPr>
                <w:p w14:paraId="6B43219A">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监测频率</w:t>
                  </w:r>
                </w:p>
              </w:tc>
              <w:tc>
                <w:tcPr>
                  <w:tcW w:w="1764" w:type="dxa"/>
                  <w:noWrap w:val="0"/>
                  <w:tcMar>
                    <w:top w:w="0" w:type="dxa"/>
                    <w:left w:w="0" w:type="dxa"/>
                    <w:bottom w:w="0" w:type="dxa"/>
                    <w:right w:w="0" w:type="dxa"/>
                  </w:tcMar>
                  <w:vAlign w:val="center"/>
                </w:tcPr>
                <w:p w14:paraId="6A70B70F">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执行标准</w:t>
                  </w:r>
                </w:p>
              </w:tc>
            </w:tr>
            <w:tr w14:paraId="1F0D83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cantSplit/>
                <w:trHeight w:val="23" w:hRule="atLeast"/>
                <w:jc w:val="center"/>
              </w:trPr>
              <w:tc>
                <w:tcPr>
                  <w:tcW w:w="665" w:type="dxa"/>
                  <w:noWrap w:val="0"/>
                  <w:tcMar>
                    <w:top w:w="0" w:type="dxa"/>
                    <w:left w:w="0" w:type="dxa"/>
                    <w:bottom w:w="0" w:type="dxa"/>
                    <w:right w:w="0" w:type="dxa"/>
                  </w:tcMar>
                  <w:vAlign w:val="center"/>
                </w:tcPr>
                <w:p w14:paraId="465AB59E">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废气</w:t>
                  </w:r>
                </w:p>
              </w:tc>
              <w:tc>
                <w:tcPr>
                  <w:tcW w:w="3048" w:type="dxa"/>
                  <w:noWrap w:val="0"/>
                  <w:tcMar>
                    <w:top w:w="0" w:type="dxa"/>
                    <w:left w:w="0" w:type="dxa"/>
                    <w:bottom w:w="0" w:type="dxa"/>
                    <w:right w:w="0" w:type="dxa"/>
                  </w:tcMar>
                  <w:vAlign w:val="center"/>
                </w:tcPr>
                <w:p w14:paraId="4F46EE37">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氨、硫化氢、臭气浓度、氯气、甲烷</w:t>
                  </w:r>
                </w:p>
              </w:tc>
              <w:tc>
                <w:tcPr>
                  <w:tcW w:w="1065" w:type="dxa"/>
                  <w:noWrap w:val="0"/>
                  <w:tcMar>
                    <w:top w:w="0" w:type="dxa"/>
                    <w:left w:w="0" w:type="dxa"/>
                    <w:bottom w:w="0" w:type="dxa"/>
                    <w:right w:w="0" w:type="dxa"/>
                  </w:tcMar>
                  <w:vAlign w:val="center"/>
                </w:tcPr>
                <w:p w14:paraId="2B88254C">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8"/>
                      <w:sz w:val="21"/>
                      <w:szCs w:val="21"/>
                      <w:lang w:eastAsia="zh-CN"/>
                    </w:rPr>
                    <w:t>污水处理站</w:t>
                  </w:r>
                  <w:r>
                    <w:rPr>
                      <w:rFonts w:hint="default" w:ascii="Times New Roman" w:hAnsi="Times New Roman" w:eastAsia="宋体" w:cs="Times New Roman"/>
                      <w:color w:val="auto"/>
                      <w:spacing w:val="4"/>
                      <w:sz w:val="21"/>
                      <w:szCs w:val="21"/>
                    </w:rPr>
                    <w:t>周界</w:t>
                  </w:r>
                  <w:r>
                    <w:rPr>
                      <w:rFonts w:hint="default" w:ascii="Times New Roman" w:hAnsi="Times New Roman" w:eastAsia="宋体" w:cs="Times New Roman"/>
                      <w:color w:val="auto"/>
                      <w:sz w:val="21"/>
                      <w:szCs w:val="21"/>
                    </w:rPr>
                    <w:t>上风向1个、下风向3个</w:t>
                  </w:r>
                </w:p>
              </w:tc>
              <w:tc>
                <w:tcPr>
                  <w:tcW w:w="524" w:type="dxa"/>
                  <w:noWrap w:val="0"/>
                  <w:tcMar>
                    <w:top w:w="0" w:type="dxa"/>
                    <w:left w:w="0" w:type="dxa"/>
                    <w:bottom w:w="0" w:type="dxa"/>
                    <w:right w:w="0" w:type="dxa"/>
                  </w:tcMar>
                  <w:vAlign w:val="center"/>
                </w:tcPr>
                <w:p w14:paraId="513B263B">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4个</w:t>
                  </w:r>
                </w:p>
              </w:tc>
              <w:tc>
                <w:tcPr>
                  <w:tcW w:w="1152" w:type="dxa"/>
                  <w:noWrap w:val="0"/>
                  <w:tcMar>
                    <w:top w:w="0" w:type="dxa"/>
                    <w:left w:w="0" w:type="dxa"/>
                    <w:bottom w:w="0" w:type="dxa"/>
                    <w:right w:w="0" w:type="dxa"/>
                  </w:tcMar>
                  <w:vAlign w:val="center"/>
                </w:tcPr>
                <w:p w14:paraId="222CF19D">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1次/季度</w:t>
                  </w:r>
                </w:p>
              </w:tc>
              <w:tc>
                <w:tcPr>
                  <w:tcW w:w="1764" w:type="dxa"/>
                  <w:noWrap w:val="0"/>
                  <w:tcMar>
                    <w:top w:w="0" w:type="dxa"/>
                    <w:left w:w="0" w:type="dxa"/>
                    <w:bottom w:w="0" w:type="dxa"/>
                    <w:right w:w="0" w:type="dxa"/>
                  </w:tcMar>
                  <w:vAlign w:val="center"/>
                </w:tcPr>
                <w:p w14:paraId="308A56C2">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《医疗机构水污染物排放标准》（GB18466-2005）表 3 污水处理站周边大气污染物最高允许浓度</w:t>
                  </w:r>
                </w:p>
              </w:tc>
            </w:tr>
            <w:tr w14:paraId="0A6B4E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cantSplit/>
                <w:trHeight w:val="23" w:hRule="atLeast"/>
                <w:jc w:val="center"/>
              </w:trPr>
              <w:tc>
                <w:tcPr>
                  <w:tcW w:w="665" w:type="dxa"/>
                  <w:noWrap w:val="0"/>
                  <w:tcMar>
                    <w:top w:w="0" w:type="dxa"/>
                    <w:left w:w="0" w:type="dxa"/>
                    <w:bottom w:w="0" w:type="dxa"/>
                    <w:right w:w="0" w:type="dxa"/>
                  </w:tcMar>
                  <w:vAlign w:val="center"/>
                </w:tcPr>
                <w:p w14:paraId="4B50A9A0">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厂界噪声</w:t>
                  </w:r>
                </w:p>
              </w:tc>
              <w:tc>
                <w:tcPr>
                  <w:tcW w:w="3048" w:type="dxa"/>
                  <w:noWrap w:val="0"/>
                  <w:tcMar>
                    <w:top w:w="0" w:type="dxa"/>
                    <w:left w:w="0" w:type="dxa"/>
                    <w:bottom w:w="0" w:type="dxa"/>
                    <w:right w:w="0" w:type="dxa"/>
                  </w:tcMar>
                  <w:vAlign w:val="center"/>
                </w:tcPr>
                <w:p w14:paraId="0DACAF13">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Leq(A)</w:t>
                  </w:r>
                </w:p>
              </w:tc>
              <w:tc>
                <w:tcPr>
                  <w:tcW w:w="1065" w:type="dxa"/>
                  <w:noWrap w:val="0"/>
                  <w:tcMar>
                    <w:top w:w="0" w:type="dxa"/>
                    <w:left w:w="0" w:type="dxa"/>
                    <w:bottom w:w="0" w:type="dxa"/>
                    <w:right w:w="0" w:type="dxa"/>
                  </w:tcMar>
                  <w:vAlign w:val="center"/>
                </w:tcPr>
                <w:p w14:paraId="6C3FF783">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厂界四周</w:t>
                  </w:r>
                </w:p>
              </w:tc>
              <w:tc>
                <w:tcPr>
                  <w:tcW w:w="524" w:type="dxa"/>
                  <w:noWrap w:val="0"/>
                  <w:tcMar>
                    <w:top w:w="0" w:type="dxa"/>
                    <w:left w:w="0" w:type="dxa"/>
                    <w:bottom w:w="0" w:type="dxa"/>
                    <w:right w:w="0" w:type="dxa"/>
                  </w:tcMar>
                  <w:vAlign w:val="center"/>
                </w:tcPr>
                <w:p w14:paraId="7357729D">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4个</w:t>
                  </w:r>
                </w:p>
              </w:tc>
              <w:tc>
                <w:tcPr>
                  <w:tcW w:w="1152" w:type="dxa"/>
                  <w:noWrap w:val="0"/>
                  <w:tcMar>
                    <w:top w:w="0" w:type="dxa"/>
                    <w:left w:w="0" w:type="dxa"/>
                    <w:bottom w:w="0" w:type="dxa"/>
                    <w:right w:w="0" w:type="dxa"/>
                  </w:tcMar>
                  <w:vAlign w:val="center"/>
                </w:tcPr>
                <w:p w14:paraId="42CA904A">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1次/季度，每次1天（昼、夜各1次）</w:t>
                  </w:r>
                </w:p>
              </w:tc>
              <w:tc>
                <w:tcPr>
                  <w:tcW w:w="1764" w:type="dxa"/>
                  <w:noWrap w:val="0"/>
                  <w:tcMar>
                    <w:top w:w="0" w:type="dxa"/>
                    <w:left w:w="0" w:type="dxa"/>
                    <w:bottom w:w="0" w:type="dxa"/>
                    <w:right w:w="0" w:type="dxa"/>
                  </w:tcMar>
                  <w:vAlign w:val="center"/>
                </w:tcPr>
                <w:p w14:paraId="7E01670F">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《工业企业厂界环境噪声排放标准》（GB12348-2008）1类</w:t>
                  </w:r>
                </w:p>
              </w:tc>
            </w:tr>
            <w:tr w14:paraId="37CED8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cantSplit/>
                <w:trHeight w:val="23" w:hRule="atLeast"/>
                <w:jc w:val="center"/>
              </w:trPr>
              <w:tc>
                <w:tcPr>
                  <w:tcW w:w="665" w:type="dxa"/>
                  <w:noWrap w:val="0"/>
                  <w:tcMar>
                    <w:top w:w="0" w:type="dxa"/>
                    <w:left w:w="0" w:type="dxa"/>
                    <w:bottom w:w="0" w:type="dxa"/>
                    <w:right w:w="0" w:type="dxa"/>
                  </w:tcMar>
                  <w:vAlign w:val="center"/>
                </w:tcPr>
                <w:p w14:paraId="66934D82">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rPr>
                    <w:t>固废</w:t>
                  </w:r>
                </w:p>
              </w:tc>
              <w:tc>
                <w:tcPr>
                  <w:tcW w:w="3048" w:type="dxa"/>
                  <w:noWrap w:val="0"/>
                  <w:tcMar>
                    <w:top w:w="0" w:type="dxa"/>
                    <w:left w:w="0" w:type="dxa"/>
                    <w:bottom w:w="0" w:type="dxa"/>
                    <w:right w:w="0" w:type="dxa"/>
                  </w:tcMar>
                  <w:vAlign w:val="center"/>
                </w:tcPr>
                <w:p w14:paraId="75F79767">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调查统计固废的产生量、去向等</w:t>
                  </w:r>
                </w:p>
              </w:tc>
              <w:tc>
                <w:tcPr>
                  <w:tcW w:w="1065" w:type="dxa"/>
                  <w:noWrap w:val="0"/>
                  <w:tcMar>
                    <w:top w:w="0" w:type="dxa"/>
                    <w:left w:w="0" w:type="dxa"/>
                    <w:bottom w:w="0" w:type="dxa"/>
                    <w:right w:w="0" w:type="dxa"/>
                  </w:tcMar>
                  <w:vAlign w:val="center"/>
                </w:tcPr>
                <w:p w14:paraId="093C88BB">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rPr>
                    <w:t>固废产生点</w:t>
                  </w:r>
                </w:p>
              </w:tc>
              <w:tc>
                <w:tcPr>
                  <w:tcW w:w="524" w:type="dxa"/>
                  <w:noWrap w:val="0"/>
                  <w:tcMar>
                    <w:top w:w="0" w:type="dxa"/>
                    <w:left w:w="0" w:type="dxa"/>
                    <w:bottom w:w="0" w:type="dxa"/>
                    <w:right w:w="0" w:type="dxa"/>
                  </w:tcMar>
                  <w:vAlign w:val="center"/>
                </w:tcPr>
                <w:p w14:paraId="5D4DDB9B">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w:t>
                  </w:r>
                </w:p>
              </w:tc>
              <w:tc>
                <w:tcPr>
                  <w:tcW w:w="1152" w:type="dxa"/>
                  <w:noWrap w:val="0"/>
                  <w:tcMar>
                    <w:top w:w="0" w:type="dxa"/>
                    <w:left w:w="0" w:type="dxa"/>
                    <w:bottom w:w="0" w:type="dxa"/>
                    <w:right w:w="0" w:type="dxa"/>
                  </w:tcMar>
                  <w:vAlign w:val="center"/>
                </w:tcPr>
                <w:p w14:paraId="4A0E5C3C">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rPr>
                    <w:t>暂存处理、处置过程随时记录；每月统计1次</w:t>
                  </w:r>
                </w:p>
              </w:tc>
              <w:tc>
                <w:tcPr>
                  <w:tcW w:w="1764" w:type="dxa"/>
                  <w:noWrap w:val="0"/>
                  <w:tcMar>
                    <w:top w:w="0" w:type="dxa"/>
                    <w:left w:w="0" w:type="dxa"/>
                    <w:bottom w:w="0" w:type="dxa"/>
                    <w:right w:w="0" w:type="dxa"/>
                  </w:tcMar>
                  <w:vAlign w:val="center"/>
                </w:tcPr>
                <w:p w14:paraId="3ECCE24A">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05AA33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cantSplit/>
                <w:trHeight w:val="23" w:hRule="atLeast"/>
                <w:jc w:val="center"/>
              </w:trPr>
              <w:tc>
                <w:tcPr>
                  <w:tcW w:w="665" w:type="dxa"/>
                  <w:vMerge w:val="restart"/>
                  <w:noWrap w:val="0"/>
                  <w:tcMar>
                    <w:top w:w="0" w:type="dxa"/>
                    <w:left w:w="0" w:type="dxa"/>
                    <w:bottom w:w="0" w:type="dxa"/>
                    <w:right w:w="0" w:type="dxa"/>
                  </w:tcMar>
                  <w:vAlign w:val="center"/>
                </w:tcPr>
                <w:p w14:paraId="71FAE1E2">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废水</w:t>
                  </w:r>
                </w:p>
              </w:tc>
              <w:tc>
                <w:tcPr>
                  <w:tcW w:w="3048" w:type="dxa"/>
                  <w:noWrap w:val="0"/>
                  <w:tcMar>
                    <w:top w:w="0" w:type="dxa"/>
                    <w:left w:w="0" w:type="dxa"/>
                    <w:bottom w:w="0" w:type="dxa"/>
                    <w:right w:w="0" w:type="dxa"/>
                  </w:tcMar>
                  <w:vAlign w:val="center"/>
                </w:tcPr>
                <w:p w14:paraId="567EB9A3">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z w:val="21"/>
                      <w:szCs w:val="21"/>
                      <w:lang w:val="en-US" w:eastAsia="en-US" w:bidi="ar-SA"/>
                    </w:rPr>
                  </w:pPr>
                  <w:r>
                    <w:rPr>
                      <w:rFonts w:hint="default" w:ascii="Times New Roman" w:hAnsi="Times New Roman" w:eastAsia="宋体" w:cs="Times New Roman"/>
                      <w:color w:val="auto"/>
                      <w:spacing w:val="4"/>
                      <w:sz w:val="21"/>
                      <w:szCs w:val="21"/>
                    </w:rPr>
                    <w:t>流量</w:t>
                  </w:r>
                </w:p>
              </w:tc>
              <w:tc>
                <w:tcPr>
                  <w:tcW w:w="1065" w:type="dxa"/>
                  <w:vMerge w:val="restart"/>
                  <w:noWrap w:val="0"/>
                  <w:tcMar>
                    <w:top w:w="0" w:type="dxa"/>
                    <w:left w:w="0" w:type="dxa"/>
                    <w:bottom w:w="0" w:type="dxa"/>
                    <w:right w:w="0" w:type="dxa"/>
                  </w:tcMar>
                  <w:vAlign w:val="center"/>
                </w:tcPr>
                <w:p w14:paraId="40EB7170">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污水</w:t>
                  </w:r>
                </w:p>
                <w:p w14:paraId="040F34ED">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7"/>
                      <w:sz w:val="21"/>
                      <w:szCs w:val="21"/>
                    </w:rPr>
                    <w:t>总</w:t>
                  </w:r>
                  <w:r>
                    <w:rPr>
                      <w:rFonts w:hint="default" w:ascii="Times New Roman" w:hAnsi="Times New Roman" w:eastAsia="宋体" w:cs="Times New Roman"/>
                      <w:color w:val="auto"/>
                      <w:spacing w:val="7"/>
                      <w:sz w:val="21"/>
                      <w:szCs w:val="21"/>
                      <w:lang w:eastAsia="zh-CN"/>
                    </w:rPr>
                    <w:t>排放</w:t>
                  </w:r>
                  <w:r>
                    <w:rPr>
                      <w:rFonts w:hint="default" w:ascii="Times New Roman" w:hAnsi="Times New Roman" w:eastAsia="宋体" w:cs="Times New Roman"/>
                      <w:color w:val="auto"/>
                      <w:spacing w:val="7"/>
                      <w:sz w:val="21"/>
                      <w:szCs w:val="21"/>
                    </w:rPr>
                    <w:t>口</w:t>
                  </w:r>
                </w:p>
              </w:tc>
              <w:tc>
                <w:tcPr>
                  <w:tcW w:w="524" w:type="dxa"/>
                  <w:vMerge w:val="restart"/>
                  <w:noWrap w:val="0"/>
                  <w:tcMar>
                    <w:top w:w="0" w:type="dxa"/>
                    <w:left w:w="0" w:type="dxa"/>
                    <w:bottom w:w="0" w:type="dxa"/>
                    <w:right w:w="0" w:type="dxa"/>
                  </w:tcMar>
                  <w:vAlign w:val="center"/>
                </w:tcPr>
                <w:p w14:paraId="16B042F9">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1个</w:t>
                  </w:r>
                </w:p>
              </w:tc>
              <w:tc>
                <w:tcPr>
                  <w:tcW w:w="1152" w:type="dxa"/>
                  <w:noWrap w:val="0"/>
                  <w:tcMar>
                    <w:top w:w="0" w:type="dxa"/>
                    <w:left w:w="0" w:type="dxa"/>
                    <w:bottom w:w="0" w:type="dxa"/>
                    <w:right w:w="0" w:type="dxa"/>
                  </w:tcMar>
                  <w:vAlign w:val="center"/>
                </w:tcPr>
                <w:p w14:paraId="3E83683C">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z w:val="21"/>
                      <w:szCs w:val="21"/>
                      <w:lang w:val="en-US" w:eastAsia="en-US" w:bidi="ar-SA"/>
                    </w:rPr>
                  </w:pPr>
                  <w:r>
                    <w:rPr>
                      <w:rFonts w:hint="default" w:ascii="Times New Roman" w:hAnsi="Times New Roman" w:eastAsia="宋体" w:cs="Times New Roman"/>
                      <w:color w:val="auto"/>
                      <w:spacing w:val="-2"/>
                      <w:sz w:val="21"/>
                      <w:szCs w:val="21"/>
                    </w:rPr>
                    <w:t>自动监测</w:t>
                  </w:r>
                </w:p>
              </w:tc>
              <w:tc>
                <w:tcPr>
                  <w:tcW w:w="1764" w:type="dxa"/>
                  <w:vMerge w:val="restart"/>
                  <w:noWrap w:val="0"/>
                  <w:tcMar>
                    <w:top w:w="0" w:type="dxa"/>
                    <w:left w:w="0" w:type="dxa"/>
                    <w:bottom w:w="0" w:type="dxa"/>
                    <w:right w:w="0" w:type="dxa"/>
                  </w:tcMar>
                  <w:vAlign w:val="center"/>
                </w:tcPr>
                <w:p w14:paraId="57E62AAC">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pacing w:val="-2"/>
                      <w:sz w:val="21"/>
                      <w:szCs w:val="21"/>
                    </w:rPr>
                  </w:pPr>
                  <w:r>
                    <w:rPr>
                      <w:rFonts w:hint="default" w:ascii="Times New Roman" w:hAnsi="Times New Roman" w:eastAsia="宋体" w:cs="Times New Roman"/>
                      <w:color w:val="auto"/>
                      <w:spacing w:val="-2"/>
                      <w:sz w:val="21"/>
                      <w:szCs w:val="21"/>
                    </w:rPr>
                    <w:t>《医疗机构水污染物排放标准》</w:t>
                  </w:r>
                </w:p>
                <w:p w14:paraId="045B2DA8">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pacing w:val="-2"/>
                      <w:sz w:val="21"/>
                      <w:szCs w:val="21"/>
                      <w:lang w:eastAsia="zh-CN"/>
                    </w:rPr>
                  </w:pPr>
                  <w:r>
                    <w:rPr>
                      <w:rFonts w:hint="default" w:ascii="Times New Roman" w:hAnsi="Times New Roman" w:eastAsia="宋体" w:cs="Times New Roman"/>
                      <w:color w:val="auto"/>
                      <w:spacing w:val="-2"/>
                      <w:sz w:val="21"/>
                      <w:szCs w:val="21"/>
                    </w:rPr>
                    <w:t>（GB 18466-2005）表 2 综合医疗机构和其他医疗机构水污染物排放限值（日均值）</w:t>
                  </w:r>
                  <w:r>
                    <w:rPr>
                      <w:rFonts w:hint="default" w:ascii="Times New Roman" w:hAnsi="Times New Roman" w:eastAsia="宋体" w:cs="Times New Roman"/>
                      <w:color w:val="auto"/>
                      <w:spacing w:val="-2"/>
                      <w:sz w:val="21"/>
                      <w:szCs w:val="21"/>
                      <w:lang w:eastAsia="zh-CN"/>
                    </w:rPr>
                    <w:t>预处理标准</w:t>
                  </w:r>
                </w:p>
              </w:tc>
            </w:tr>
            <w:tr w14:paraId="21244E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cantSplit/>
                <w:trHeight w:val="23" w:hRule="atLeast"/>
                <w:jc w:val="center"/>
              </w:trPr>
              <w:tc>
                <w:tcPr>
                  <w:tcW w:w="665" w:type="dxa"/>
                  <w:vMerge w:val="continue"/>
                  <w:noWrap w:val="0"/>
                  <w:tcMar>
                    <w:top w:w="0" w:type="dxa"/>
                    <w:left w:w="0" w:type="dxa"/>
                    <w:bottom w:w="0" w:type="dxa"/>
                    <w:right w:w="0" w:type="dxa"/>
                  </w:tcMar>
                  <w:vAlign w:val="center"/>
                </w:tcPr>
                <w:p w14:paraId="116CF1FC">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3048" w:type="dxa"/>
                  <w:noWrap w:val="0"/>
                  <w:tcMar>
                    <w:top w:w="0" w:type="dxa"/>
                    <w:left w:w="0" w:type="dxa"/>
                    <w:bottom w:w="0" w:type="dxa"/>
                    <w:right w:w="0" w:type="dxa"/>
                  </w:tcMar>
                  <w:vAlign w:val="center"/>
                </w:tcPr>
                <w:p w14:paraId="0D45ED91">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z w:val="21"/>
                      <w:szCs w:val="21"/>
                      <w:lang w:val="en-US" w:eastAsia="en-US" w:bidi="ar-SA"/>
                    </w:rPr>
                  </w:pPr>
                  <w:r>
                    <w:rPr>
                      <w:rFonts w:hint="default" w:ascii="Times New Roman" w:hAnsi="Times New Roman" w:eastAsia="宋体" w:cs="Times New Roman"/>
                      <w:color w:val="auto"/>
                      <w:sz w:val="21"/>
                      <w:szCs w:val="21"/>
                    </w:rPr>
                    <w:t>pH</w:t>
                  </w:r>
                  <w:r>
                    <w:rPr>
                      <w:rFonts w:hint="default" w:ascii="Times New Roman" w:hAnsi="Times New Roman" w:eastAsia="宋体" w:cs="Times New Roman"/>
                      <w:color w:val="auto"/>
                      <w:spacing w:val="11"/>
                      <w:sz w:val="21"/>
                      <w:szCs w:val="21"/>
                    </w:rPr>
                    <w:t xml:space="preserve"> </w:t>
                  </w:r>
                  <w:r>
                    <w:rPr>
                      <w:rFonts w:hint="default" w:ascii="Times New Roman" w:hAnsi="Times New Roman" w:eastAsia="宋体" w:cs="Times New Roman"/>
                      <w:color w:val="auto"/>
                      <w:spacing w:val="13"/>
                      <w:sz w:val="21"/>
                      <w:szCs w:val="21"/>
                    </w:rPr>
                    <w:t>值</w:t>
                  </w:r>
                </w:p>
              </w:tc>
              <w:tc>
                <w:tcPr>
                  <w:tcW w:w="1065" w:type="dxa"/>
                  <w:vMerge w:val="continue"/>
                  <w:noWrap w:val="0"/>
                  <w:tcMar>
                    <w:top w:w="0" w:type="dxa"/>
                    <w:left w:w="0" w:type="dxa"/>
                    <w:bottom w:w="0" w:type="dxa"/>
                    <w:right w:w="0" w:type="dxa"/>
                  </w:tcMar>
                  <w:vAlign w:val="center"/>
                </w:tcPr>
                <w:p w14:paraId="28D0EECB">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z w:val="21"/>
                      <w:szCs w:val="21"/>
                      <w:lang w:val="en-US" w:eastAsia="en-US" w:bidi="ar-SA"/>
                    </w:rPr>
                  </w:pPr>
                </w:p>
              </w:tc>
              <w:tc>
                <w:tcPr>
                  <w:tcW w:w="524" w:type="dxa"/>
                  <w:vMerge w:val="continue"/>
                  <w:noWrap w:val="0"/>
                  <w:tcMar>
                    <w:top w:w="0" w:type="dxa"/>
                    <w:left w:w="0" w:type="dxa"/>
                    <w:bottom w:w="0" w:type="dxa"/>
                    <w:right w:w="0" w:type="dxa"/>
                  </w:tcMar>
                  <w:vAlign w:val="center"/>
                </w:tcPr>
                <w:p w14:paraId="1D2DFEDD">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lang w:val="en-US"/>
                    </w:rPr>
                  </w:pPr>
                </w:p>
              </w:tc>
              <w:tc>
                <w:tcPr>
                  <w:tcW w:w="1152" w:type="dxa"/>
                  <w:noWrap w:val="0"/>
                  <w:tcMar>
                    <w:top w:w="0" w:type="dxa"/>
                    <w:left w:w="0" w:type="dxa"/>
                    <w:bottom w:w="0" w:type="dxa"/>
                    <w:right w:w="0" w:type="dxa"/>
                  </w:tcMar>
                  <w:vAlign w:val="center"/>
                </w:tcPr>
                <w:p w14:paraId="34A4F96F">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z w:val="21"/>
                      <w:szCs w:val="21"/>
                      <w:lang w:val="en-US" w:eastAsia="en-US" w:bidi="ar-SA"/>
                    </w:rPr>
                  </w:pPr>
                  <w:r>
                    <w:rPr>
                      <w:rFonts w:hint="default" w:ascii="Times New Roman" w:hAnsi="Times New Roman" w:eastAsia="宋体" w:cs="Times New Roman"/>
                      <w:color w:val="auto"/>
                      <w:spacing w:val="-3"/>
                      <w:sz w:val="21"/>
                      <w:szCs w:val="21"/>
                    </w:rPr>
                    <w:t>12</w:t>
                  </w:r>
                  <w:r>
                    <w:rPr>
                      <w:rFonts w:hint="default" w:ascii="Times New Roman" w:hAnsi="Times New Roman" w:eastAsia="宋体" w:cs="Times New Roman"/>
                      <w:color w:val="auto"/>
                      <w:spacing w:val="18"/>
                      <w:sz w:val="21"/>
                      <w:szCs w:val="21"/>
                    </w:rPr>
                    <w:t xml:space="preserve"> </w:t>
                  </w:r>
                  <w:r>
                    <w:rPr>
                      <w:rFonts w:hint="default" w:ascii="Times New Roman" w:hAnsi="Times New Roman" w:eastAsia="宋体" w:cs="Times New Roman"/>
                      <w:color w:val="auto"/>
                      <w:spacing w:val="-3"/>
                      <w:sz w:val="21"/>
                      <w:szCs w:val="21"/>
                    </w:rPr>
                    <w:t>小时</w:t>
                  </w:r>
                </w:p>
              </w:tc>
              <w:tc>
                <w:tcPr>
                  <w:tcW w:w="1764" w:type="dxa"/>
                  <w:vMerge w:val="continue"/>
                  <w:noWrap w:val="0"/>
                  <w:tcMar>
                    <w:top w:w="0" w:type="dxa"/>
                    <w:left w:w="0" w:type="dxa"/>
                    <w:bottom w:w="0" w:type="dxa"/>
                    <w:right w:w="0" w:type="dxa"/>
                  </w:tcMar>
                  <w:vAlign w:val="center"/>
                </w:tcPr>
                <w:p w14:paraId="1A1879C1">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pacing w:val="-3"/>
                      <w:sz w:val="21"/>
                      <w:szCs w:val="21"/>
                    </w:rPr>
                  </w:pPr>
                </w:p>
              </w:tc>
            </w:tr>
            <w:tr w14:paraId="5CB89E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cantSplit/>
                <w:trHeight w:val="23" w:hRule="atLeast"/>
                <w:jc w:val="center"/>
              </w:trPr>
              <w:tc>
                <w:tcPr>
                  <w:tcW w:w="665" w:type="dxa"/>
                  <w:vMerge w:val="continue"/>
                  <w:noWrap w:val="0"/>
                  <w:tcMar>
                    <w:top w:w="0" w:type="dxa"/>
                    <w:left w:w="0" w:type="dxa"/>
                    <w:bottom w:w="0" w:type="dxa"/>
                    <w:right w:w="0" w:type="dxa"/>
                  </w:tcMar>
                  <w:vAlign w:val="center"/>
                </w:tcPr>
                <w:p w14:paraId="02E8E8F5">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3048" w:type="dxa"/>
                  <w:noWrap w:val="0"/>
                  <w:tcMar>
                    <w:top w:w="0" w:type="dxa"/>
                    <w:left w:w="0" w:type="dxa"/>
                    <w:bottom w:w="0" w:type="dxa"/>
                    <w:right w:w="0" w:type="dxa"/>
                  </w:tcMar>
                  <w:vAlign w:val="center"/>
                </w:tcPr>
                <w:p w14:paraId="497A9987">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z w:val="21"/>
                      <w:szCs w:val="21"/>
                      <w:lang w:val="en-US" w:eastAsia="en-US" w:bidi="ar-SA"/>
                    </w:rPr>
                  </w:pPr>
                  <w:r>
                    <w:rPr>
                      <w:rFonts w:hint="default" w:ascii="Times New Roman" w:hAnsi="Times New Roman" w:eastAsia="宋体" w:cs="Times New Roman"/>
                      <w:color w:val="auto"/>
                      <w:spacing w:val="8"/>
                      <w:sz w:val="21"/>
                      <w:szCs w:val="21"/>
                    </w:rPr>
                    <w:t>化学需氧量、悬浮物</w:t>
                  </w:r>
                </w:p>
              </w:tc>
              <w:tc>
                <w:tcPr>
                  <w:tcW w:w="1065" w:type="dxa"/>
                  <w:vMerge w:val="continue"/>
                  <w:noWrap w:val="0"/>
                  <w:tcMar>
                    <w:top w:w="0" w:type="dxa"/>
                    <w:left w:w="0" w:type="dxa"/>
                    <w:bottom w:w="0" w:type="dxa"/>
                    <w:right w:w="0" w:type="dxa"/>
                  </w:tcMar>
                  <w:vAlign w:val="center"/>
                </w:tcPr>
                <w:p w14:paraId="728D973F">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z w:val="21"/>
                      <w:szCs w:val="21"/>
                      <w:lang w:val="en-US" w:eastAsia="en-US" w:bidi="ar-SA"/>
                    </w:rPr>
                  </w:pPr>
                </w:p>
              </w:tc>
              <w:tc>
                <w:tcPr>
                  <w:tcW w:w="524" w:type="dxa"/>
                  <w:vMerge w:val="continue"/>
                  <w:noWrap w:val="0"/>
                  <w:tcMar>
                    <w:top w:w="0" w:type="dxa"/>
                    <w:left w:w="0" w:type="dxa"/>
                    <w:bottom w:w="0" w:type="dxa"/>
                    <w:right w:w="0" w:type="dxa"/>
                  </w:tcMar>
                  <w:vAlign w:val="center"/>
                </w:tcPr>
                <w:p w14:paraId="431A4D49">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lang w:val="en-US"/>
                    </w:rPr>
                  </w:pPr>
                </w:p>
              </w:tc>
              <w:tc>
                <w:tcPr>
                  <w:tcW w:w="1152" w:type="dxa"/>
                  <w:noWrap w:val="0"/>
                  <w:tcMar>
                    <w:top w:w="0" w:type="dxa"/>
                    <w:left w:w="0" w:type="dxa"/>
                    <w:bottom w:w="0" w:type="dxa"/>
                    <w:right w:w="0" w:type="dxa"/>
                  </w:tcMar>
                  <w:vAlign w:val="center"/>
                </w:tcPr>
                <w:p w14:paraId="120FB98A">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z w:val="21"/>
                      <w:szCs w:val="21"/>
                      <w:lang w:val="en-US" w:eastAsia="en-US" w:bidi="ar-SA"/>
                    </w:rPr>
                  </w:pPr>
                  <w:r>
                    <w:rPr>
                      <w:rFonts w:hint="default" w:ascii="Times New Roman" w:hAnsi="Times New Roman" w:eastAsia="宋体" w:cs="Times New Roman"/>
                      <w:color w:val="auto"/>
                      <w:sz w:val="21"/>
                      <w:szCs w:val="21"/>
                    </w:rPr>
                    <w:t>周</w:t>
                  </w:r>
                </w:p>
              </w:tc>
              <w:tc>
                <w:tcPr>
                  <w:tcW w:w="1764" w:type="dxa"/>
                  <w:vMerge w:val="continue"/>
                  <w:noWrap w:val="0"/>
                  <w:tcMar>
                    <w:top w:w="0" w:type="dxa"/>
                    <w:left w:w="0" w:type="dxa"/>
                    <w:bottom w:w="0" w:type="dxa"/>
                    <w:right w:w="0" w:type="dxa"/>
                  </w:tcMar>
                  <w:vAlign w:val="center"/>
                </w:tcPr>
                <w:p w14:paraId="1892F185">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z w:val="21"/>
                      <w:szCs w:val="21"/>
                    </w:rPr>
                  </w:pPr>
                </w:p>
              </w:tc>
            </w:tr>
            <w:tr w14:paraId="1ACB2E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cantSplit/>
                <w:trHeight w:val="23" w:hRule="atLeast"/>
                <w:jc w:val="center"/>
              </w:trPr>
              <w:tc>
                <w:tcPr>
                  <w:tcW w:w="665" w:type="dxa"/>
                  <w:vMerge w:val="continue"/>
                  <w:noWrap w:val="0"/>
                  <w:tcMar>
                    <w:top w:w="0" w:type="dxa"/>
                    <w:left w:w="0" w:type="dxa"/>
                    <w:bottom w:w="0" w:type="dxa"/>
                    <w:right w:w="0" w:type="dxa"/>
                  </w:tcMar>
                  <w:vAlign w:val="center"/>
                </w:tcPr>
                <w:p w14:paraId="4783480C">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3048" w:type="dxa"/>
                  <w:noWrap w:val="0"/>
                  <w:tcMar>
                    <w:top w:w="0" w:type="dxa"/>
                    <w:left w:w="0" w:type="dxa"/>
                    <w:bottom w:w="0" w:type="dxa"/>
                    <w:right w:w="0" w:type="dxa"/>
                  </w:tcMar>
                  <w:vAlign w:val="center"/>
                </w:tcPr>
                <w:p w14:paraId="04BCF82B">
                  <w:pPr>
                    <w:pStyle w:val="57"/>
                    <w:keepNext w:val="0"/>
                    <w:keepLines w:val="0"/>
                    <w:pageBreakBefore w:val="0"/>
                    <w:widowControl w:val="0"/>
                    <w:kinsoku/>
                    <w:wordWrap/>
                    <w:overflowPunct/>
                    <w:topLinePunct w:val="0"/>
                    <w:autoSpaceDE/>
                    <w:autoSpaceDN/>
                    <w:bidi w:val="0"/>
                    <w:spacing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en-US" w:bidi="ar-SA"/>
                    </w:rPr>
                  </w:pPr>
                  <w:r>
                    <w:rPr>
                      <w:rFonts w:hint="default" w:ascii="Times New Roman" w:hAnsi="Times New Roman" w:eastAsia="宋体" w:cs="Times New Roman"/>
                      <w:color w:val="auto"/>
                      <w:spacing w:val="7"/>
                      <w:sz w:val="21"/>
                      <w:szCs w:val="21"/>
                    </w:rPr>
                    <w:t>粪大肠菌群</w:t>
                  </w:r>
                </w:p>
              </w:tc>
              <w:tc>
                <w:tcPr>
                  <w:tcW w:w="1065" w:type="dxa"/>
                  <w:vMerge w:val="continue"/>
                  <w:noWrap w:val="0"/>
                  <w:tcMar>
                    <w:top w:w="0" w:type="dxa"/>
                    <w:left w:w="0" w:type="dxa"/>
                    <w:bottom w:w="0" w:type="dxa"/>
                    <w:right w:w="0" w:type="dxa"/>
                  </w:tcMar>
                  <w:vAlign w:val="center"/>
                </w:tcPr>
                <w:p w14:paraId="79B97B45">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z w:val="21"/>
                      <w:szCs w:val="21"/>
                      <w:lang w:val="en-US" w:eastAsia="en-US" w:bidi="ar-SA"/>
                    </w:rPr>
                  </w:pPr>
                </w:p>
              </w:tc>
              <w:tc>
                <w:tcPr>
                  <w:tcW w:w="524" w:type="dxa"/>
                  <w:vMerge w:val="continue"/>
                  <w:noWrap w:val="0"/>
                  <w:tcMar>
                    <w:top w:w="0" w:type="dxa"/>
                    <w:left w:w="0" w:type="dxa"/>
                    <w:bottom w:w="0" w:type="dxa"/>
                    <w:right w:w="0" w:type="dxa"/>
                  </w:tcMar>
                  <w:vAlign w:val="center"/>
                </w:tcPr>
                <w:p w14:paraId="3FA0C559">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lang w:val="en-US"/>
                    </w:rPr>
                  </w:pPr>
                </w:p>
              </w:tc>
              <w:tc>
                <w:tcPr>
                  <w:tcW w:w="1152" w:type="dxa"/>
                  <w:noWrap w:val="0"/>
                  <w:tcMar>
                    <w:top w:w="0" w:type="dxa"/>
                    <w:left w:w="0" w:type="dxa"/>
                    <w:bottom w:w="0" w:type="dxa"/>
                    <w:right w:w="0" w:type="dxa"/>
                  </w:tcMar>
                  <w:vAlign w:val="center"/>
                </w:tcPr>
                <w:p w14:paraId="72D5D6DB">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z w:val="21"/>
                      <w:szCs w:val="21"/>
                      <w:lang w:val="en-US" w:eastAsia="en-US" w:bidi="ar-SA"/>
                    </w:rPr>
                  </w:pPr>
                  <w:r>
                    <w:rPr>
                      <w:rFonts w:hint="default" w:ascii="Times New Roman" w:hAnsi="Times New Roman" w:eastAsia="宋体" w:cs="Times New Roman"/>
                      <w:color w:val="auto"/>
                      <w:sz w:val="21"/>
                      <w:szCs w:val="21"/>
                    </w:rPr>
                    <w:t>月</w:t>
                  </w:r>
                </w:p>
              </w:tc>
              <w:tc>
                <w:tcPr>
                  <w:tcW w:w="1764" w:type="dxa"/>
                  <w:vMerge w:val="continue"/>
                  <w:noWrap w:val="0"/>
                  <w:tcMar>
                    <w:top w:w="0" w:type="dxa"/>
                    <w:left w:w="0" w:type="dxa"/>
                    <w:bottom w:w="0" w:type="dxa"/>
                    <w:right w:w="0" w:type="dxa"/>
                  </w:tcMar>
                  <w:vAlign w:val="center"/>
                </w:tcPr>
                <w:p w14:paraId="5DF88BF9">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z w:val="21"/>
                      <w:szCs w:val="21"/>
                    </w:rPr>
                  </w:pPr>
                </w:p>
              </w:tc>
            </w:tr>
            <w:tr w14:paraId="2FE308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cantSplit/>
                <w:trHeight w:val="23" w:hRule="atLeast"/>
                <w:jc w:val="center"/>
              </w:trPr>
              <w:tc>
                <w:tcPr>
                  <w:tcW w:w="665" w:type="dxa"/>
                  <w:vMerge w:val="continue"/>
                  <w:noWrap w:val="0"/>
                  <w:tcMar>
                    <w:top w:w="0" w:type="dxa"/>
                    <w:left w:w="0" w:type="dxa"/>
                    <w:bottom w:w="0" w:type="dxa"/>
                    <w:right w:w="0" w:type="dxa"/>
                  </w:tcMar>
                  <w:vAlign w:val="center"/>
                </w:tcPr>
                <w:p w14:paraId="326813D1">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3048" w:type="dxa"/>
                  <w:noWrap w:val="0"/>
                  <w:tcMar>
                    <w:top w:w="0" w:type="dxa"/>
                    <w:left w:w="0" w:type="dxa"/>
                    <w:bottom w:w="0" w:type="dxa"/>
                    <w:right w:w="0" w:type="dxa"/>
                  </w:tcMar>
                  <w:vAlign w:val="center"/>
                </w:tcPr>
                <w:p w14:paraId="2106BA17">
                  <w:pPr>
                    <w:pStyle w:val="57"/>
                    <w:keepNext w:val="0"/>
                    <w:keepLines w:val="0"/>
                    <w:pageBreakBefore w:val="0"/>
                    <w:widowControl w:val="0"/>
                    <w:kinsoku/>
                    <w:wordWrap/>
                    <w:overflowPunct/>
                    <w:topLinePunct w:val="0"/>
                    <w:autoSpaceDE/>
                    <w:autoSpaceDN/>
                    <w:bidi w:val="0"/>
                    <w:spacing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pacing w:val="3"/>
                      <w:sz w:val="21"/>
                      <w:szCs w:val="21"/>
                    </w:rPr>
                    <w:t>五日生化需氧量、石油类、挥发酚、动植物油、</w:t>
                  </w:r>
                  <w:r>
                    <w:rPr>
                      <w:rFonts w:hint="default" w:ascii="Times New Roman" w:hAnsi="Times New Roman" w:eastAsia="宋体" w:cs="Times New Roman"/>
                      <w:color w:val="auto"/>
                      <w:spacing w:val="8"/>
                      <w:sz w:val="21"/>
                      <w:szCs w:val="21"/>
                    </w:rPr>
                    <w:t>阴离子表面活性剂、总氰化物</w:t>
                  </w:r>
                  <w:r>
                    <w:rPr>
                      <w:rFonts w:hint="default" w:ascii="Times New Roman" w:hAnsi="Times New Roman" w:eastAsia="宋体" w:cs="Times New Roman"/>
                      <w:color w:val="auto"/>
                      <w:spacing w:val="8"/>
                      <w:sz w:val="21"/>
                      <w:szCs w:val="21"/>
                      <w:lang w:eastAsia="zh-CN"/>
                    </w:rPr>
                    <w:t>、</w:t>
                  </w:r>
                  <w:r>
                    <w:rPr>
                      <w:rFonts w:hint="default" w:ascii="Times New Roman" w:hAnsi="Times New Roman" w:eastAsia="宋体" w:cs="Times New Roman"/>
                      <w:color w:val="auto"/>
                      <w:sz w:val="21"/>
                      <w:szCs w:val="21"/>
                      <w:lang w:val="en-US"/>
                    </w:rPr>
                    <w:t>肠道致病菌（沙门氏菌）、色度、氨氮、总余氯</w:t>
                  </w:r>
                  <w:r>
                    <w:rPr>
                      <w:rFonts w:hint="default" w:ascii="Times New Roman" w:hAnsi="Times New Roman" w:eastAsia="宋体" w:cs="Times New Roman"/>
                      <w:color w:val="auto"/>
                      <w:sz w:val="21"/>
                      <w:szCs w:val="21"/>
                      <w:lang w:val="en-US" w:eastAsia="zh-CN"/>
                    </w:rPr>
                    <w:t>、总汞、总铬、六价铬、总镉、总砷、总铅、总银、总α、总β</w:t>
                  </w:r>
                </w:p>
              </w:tc>
              <w:tc>
                <w:tcPr>
                  <w:tcW w:w="1065" w:type="dxa"/>
                  <w:vMerge w:val="continue"/>
                  <w:noWrap w:val="0"/>
                  <w:tcMar>
                    <w:top w:w="0" w:type="dxa"/>
                    <w:left w:w="0" w:type="dxa"/>
                    <w:bottom w:w="0" w:type="dxa"/>
                    <w:right w:w="0" w:type="dxa"/>
                  </w:tcMar>
                  <w:vAlign w:val="center"/>
                </w:tcPr>
                <w:p w14:paraId="3E612F84">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z w:val="21"/>
                      <w:szCs w:val="21"/>
                      <w:lang w:val="en-US" w:eastAsia="en-US" w:bidi="ar-SA"/>
                    </w:rPr>
                  </w:pPr>
                </w:p>
              </w:tc>
              <w:tc>
                <w:tcPr>
                  <w:tcW w:w="524" w:type="dxa"/>
                  <w:vMerge w:val="continue"/>
                  <w:noWrap w:val="0"/>
                  <w:tcMar>
                    <w:top w:w="0" w:type="dxa"/>
                    <w:left w:w="0" w:type="dxa"/>
                    <w:bottom w:w="0" w:type="dxa"/>
                    <w:right w:w="0" w:type="dxa"/>
                  </w:tcMar>
                  <w:vAlign w:val="center"/>
                </w:tcPr>
                <w:p w14:paraId="737AF44B">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lang w:val="en-US"/>
                    </w:rPr>
                  </w:pPr>
                </w:p>
              </w:tc>
              <w:tc>
                <w:tcPr>
                  <w:tcW w:w="1152" w:type="dxa"/>
                  <w:noWrap w:val="0"/>
                  <w:tcMar>
                    <w:top w:w="0" w:type="dxa"/>
                    <w:left w:w="0" w:type="dxa"/>
                    <w:bottom w:w="0" w:type="dxa"/>
                    <w:right w:w="0" w:type="dxa"/>
                  </w:tcMar>
                  <w:vAlign w:val="center"/>
                </w:tcPr>
                <w:p w14:paraId="2CEBA352">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z w:val="21"/>
                      <w:szCs w:val="21"/>
                      <w:lang w:val="en-US" w:eastAsia="en-US" w:bidi="ar-SA"/>
                    </w:rPr>
                  </w:pPr>
                  <w:r>
                    <w:rPr>
                      <w:rFonts w:hint="default" w:ascii="Times New Roman" w:hAnsi="Times New Roman" w:eastAsia="宋体" w:cs="Times New Roman"/>
                      <w:color w:val="auto"/>
                      <w:spacing w:val="4"/>
                      <w:sz w:val="21"/>
                      <w:szCs w:val="21"/>
                    </w:rPr>
                    <w:t>季度</w:t>
                  </w:r>
                </w:p>
              </w:tc>
              <w:tc>
                <w:tcPr>
                  <w:tcW w:w="1764" w:type="dxa"/>
                  <w:vMerge w:val="continue"/>
                  <w:noWrap w:val="0"/>
                  <w:tcMar>
                    <w:top w:w="0" w:type="dxa"/>
                    <w:left w:w="0" w:type="dxa"/>
                    <w:bottom w:w="0" w:type="dxa"/>
                    <w:right w:w="0" w:type="dxa"/>
                  </w:tcMar>
                  <w:vAlign w:val="center"/>
                </w:tcPr>
                <w:p w14:paraId="3DFB5B21">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pacing w:val="4"/>
                      <w:sz w:val="21"/>
                      <w:szCs w:val="21"/>
                    </w:rPr>
                  </w:pPr>
                </w:p>
              </w:tc>
            </w:tr>
            <w:tr w14:paraId="462E19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cantSplit/>
                <w:trHeight w:val="23" w:hRule="atLeast"/>
                <w:jc w:val="center"/>
              </w:trPr>
              <w:tc>
                <w:tcPr>
                  <w:tcW w:w="665" w:type="dxa"/>
                  <w:vMerge w:val="continue"/>
                  <w:noWrap w:val="0"/>
                  <w:tcMar>
                    <w:top w:w="0" w:type="dxa"/>
                    <w:left w:w="0" w:type="dxa"/>
                    <w:bottom w:w="0" w:type="dxa"/>
                    <w:right w:w="0" w:type="dxa"/>
                  </w:tcMar>
                  <w:vAlign w:val="center"/>
                </w:tcPr>
                <w:p w14:paraId="7D6917C3">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3048" w:type="dxa"/>
                  <w:noWrap w:val="0"/>
                  <w:tcMar>
                    <w:top w:w="0" w:type="dxa"/>
                    <w:left w:w="0" w:type="dxa"/>
                    <w:bottom w:w="0" w:type="dxa"/>
                    <w:right w:w="0" w:type="dxa"/>
                  </w:tcMar>
                  <w:vAlign w:val="center"/>
                </w:tcPr>
                <w:p w14:paraId="7B423449">
                  <w:pPr>
                    <w:pStyle w:val="57"/>
                    <w:keepNext w:val="0"/>
                    <w:keepLines w:val="0"/>
                    <w:pageBreakBefore w:val="0"/>
                    <w:widowControl w:val="0"/>
                    <w:kinsoku/>
                    <w:wordWrap/>
                    <w:overflowPunct/>
                    <w:topLinePunct w:val="0"/>
                    <w:autoSpaceDE/>
                    <w:autoSpaceDN/>
                    <w:bidi w:val="0"/>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color w:val="auto"/>
                      <w:sz w:val="21"/>
                      <w:szCs w:val="21"/>
                      <w:lang w:val="en-US"/>
                    </w:rPr>
                    <w:t>总余氯</w:t>
                  </w:r>
                </w:p>
              </w:tc>
              <w:tc>
                <w:tcPr>
                  <w:tcW w:w="1065" w:type="dxa"/>
                  <w:noWrap w:val="0"/>
                  <w:tcMar>
                    <w:top w:w="0" w:type="dxa"/>
                    <w:left w:w="0" w:type="dxa"/>
                    <w:bottom w:w="0" w:type="dxa"/>
                    <w:right w:w="0" w:type="dxa"/>
                  </w:tcMar>
                  <w:vAlign w:val="center"/>
                </w:tcPr>
                <w:p w14:paraId="02BA52B4">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z w:val="21"/>
                      <w:szCs w:val="21"/>
                      <w:lang w:val="en-US" w:eastAsia="en-US" w:bidi="ar-SA"/>
                    </w:rPr>
                  </w:pPr>
                  <w:r>
                    <w:rPr>
                      <w:rFonts w:hint="default" w:ascii="Times New Roman" w:hAnsi="Times New Roman" w:eastAsia="宋体" w:cs="Times New Roman"/>
                      <w:color w:val="auto"/>
                      <w:sz w:val="21"/>
                      <w:szCs w:val="21"/>
                      <w:lang w:val="en-US" w:eastAsia="zh-CN"/>
                    </w:rPr>
                    <w:t>接触氧化池出口</w:t>
                  </w:r>
                </w:p>
              </w:tc>
              <w:tc>
                <w:tcPr>
                  <w:tcW w:w="524" w:type="dxa"/>
                  <w:noWrap w:val="0"/>
                  <w:tcMar>
                    <w:top w:w="0" w:type="dxa"/>
                    <w:left w:w="0" w:type="dxa"/>
                    <w:bottom w:w="0" w:type="dxa"/>
                    <w:right w:w="0" w:type="dxa"/>
                  </w:tcMar>
                  <w:vAlign w:val="center"/>
                </w:tcPr>
                <w:p w14:paraId="0AFA918B">
                  <w:pPr>
                    <w:keepNext w:val="0"/>
                    <w:keepLines w:val="0"/>
                    <w:pageBreakBefore w:val="0"/>
                    <w:widowControl w:val="0"/>
                    <w:kinsoku/>
                    <w:wordWrap/>
                    <w:overflowPunct/>
                    <w:topLinePunct w:val="0"/>
                    <w:autoSpaceDE/>
                    <w:autoSpaceDN/>
                    <w:bidi w:val="0"/>
                    <w:adjustRightInd w:val="0"/>
                    <w:snapToGrid w:val="0"/>
                    <w:spacing w:line="360" w:lineRule="exact"/>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1个</w:t>
                  </w:r>
                </w:p>
              </w:tc>
              <w:tc>
                <w:tcPr>
                  <w:tcW w:w="1152" w:type="dxa"/>
                  <w:noWrap w:val="0"/>
                  <w:tcMar>
                    <w:top w:w="0" w:type="dxa"/>
                    <w:left w:w="0" w:type="dxa"/>
                    <w:bottom w:w="0" w:type="dxa"/>
                    <w:right w:w="0" w:type="dxa"/>
                  </w:tcMar>
                  <w:vAlign w:val="center"/>
                </w:tcPr>
                <w:p w14:paraId="3EC7BF52">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pacing w:val="4"/>
                      <w:sz w:val="21"/>
                      <w:szCs w:val="21"/>
                    </w:rPr>
                  </w:pPr>
                  <w:r>
                    <w:rPr>
                      <w:rFonts w:hint="default" w:ascii="Times New Roman" w:hAnsi="Times New Roman" w:eastAsia="宋体" w:cs="Times New Roman"/>
                      <w:color w:val="auto"/>
                      <w:spacing w:val="4"/>
                      <w:sz w:val="21"/>
                      <w:szCs w:val="21"/>
                    </w:rPr>
                    <w:t>季度</w:t>
                  </w:r>
                </w:p>
              </w:tc>
              <w:tc>
                <w:tcPr>
                  <w:tcW w:w="1764" w:type="dxa"/>
                  <w:vMerge w:val="continue"/>
                  <w:noWrap w:val="0"/>
                  <w:tcMar>
                    <w:top w:w="0" w:type="dxa"/>
                    <w:left w:w="0" w:type="dxa"/>
                    <w:bottom w:w="0" w:type="dxa"/>
                    <w:right w:w="0" w:type="dxa"/>
                  </w:tcMar>
                  <w:vAlign w:val="center"/>
                </w:tcPr>
                <w:p w14:paraId="084FD472">
                  <w:pPr>
                    <w:pStyle w:val="57"/>
                    <w:keepNext w:val="0"/>
                    <w:keepLines w:val="0"/>
                    <w:pageBreakBefore w:val="0"/>
                    <w:widowControl w:val="0"/>
                    <w:kinsoku/>
                    <w:wordWrap/>
                    <w:overflowPunct/>
                    <w:topLinePunct w:val="0"/>
                    <w:autoSpaceDE/>
                    <w:autoSpaceDN/>
                    <w:bidi w:val="0"/>
                    <w:spacing w:line="360" w:lineRule="exact"/>
                    <w:ind w:left="0" w:leftChars="0" w:right="0" w:firstLine="0" w:firstLineChars="0"/>
                    <w:jc w:val="center"/>
                    <w:textAlignment w:val="auto"/>
                    <w:rPr>
                      <w:rFonts w:hint="default" w:ascii="Times New Roman" w:hAnsi="Times New Roman" w:eastAsia="宋体" w:cs="Times New Roman"/>
                      <w:color w:val="auto"/>
                      <w:spacing w:val="4"/>
                      <w:sz w:val="21"/>
                      <w:szCs w:val="21"/>
                    </w:rPr>
                  </w:pPr>
                </w:p>
              </w:tc>
            </w:tr>
          </w:tbl>
          <w:p w14:paraId="2379DD3B">
            <w:pPr>
              <w:pStyle w:val="45"/>
              <w:spacing w:line="520" w:lineRule="exact"/>
              <w:ind w:firstLine="482" w:firstLineChars="200"/>
              <w:jc w:val="both"/>
              <w:rPr>
                <w:rFonts w:ascii="Times New Roman" w:hAnsi="Times New Roman" w:cs="Times New Roman"/>
                <w:b/>
                <w:bCs/>
                <w:color w:val="auto"/>
                <w:sz w:val="24"/>
                <w:szCs w:val="24"/>
                <w:lang w:val="en-US"/>
              </w:rPr>
            </w:pPr>
            <w:r>
              <w:rPr>
                <w:rFonts w:hint="eastAsia" w:ascii="Times New Roman" w:hAnsi="Times New Roman" w:cs="Times New Roman"/>
                <w:b/>
                <w:bCs/>
                <w:color w:val="auto"/>
                <w:sz w:val="24"/>
                <w:szCs w:val="24"/>
                <w:lang w:val="en-US"/>
              </w:rPr>
              <w:t>9、“三同时”验收</w:t>
            </w:r>
          </w:p>
          <w:p w14:paraId="20D5E44A">
            <w:pPr>
              <w:pStyle w:val="45"/>
              <w:spacing w:line="520" w:lineRule="exact"/>
              <w:ind w:firstLine="480" w:firstLineChars="200"/>
              <w:jc w:val="both"/>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项目治理设施</w:t>
            </w:r>
            <w:r>
              <w:rPr>
                <w:rFonts w:hint="eastAsia" w:ascii="Times New Roman" w:hAnsi="Times New Roman" w:cs="Times New Roman"/>
                <w:color w:val="auto"/>
                <w:sz w:val="24"/>
                <w:szCs w:val="24"/>
                <w:lang w:val="en-US"/>
              </w:rPr>
              <w:t>“</w:t>
            </w:r>
            <w:r>
              <w:rPr>
                <w:rFonts w:ascii="Times New Roman" w:hAnsi="Times New Roman" w:cs="Times New Roman"/>
                <w:color w:val="auto"/>
                <w:sz w:val="24"/>
                <w:szCs w:val="24"/>
                <w:lang w:val="en-US"/>
              </w:rPr>
              <w:t>三同时</w:t>
            </w:r>
            <w:r>
              <w:rPr>
                <w:rFonts w:hint="eastAsia" w:ascii="Times New Roman" w:hAnsi="Times New Roman" w:cs="Times New Roman"/>
                <w:color w:val="auto"/>
                <w:sz w:val="24"/>
                <w:szCs w:val="24"/>
                <w:lang w:val="en-US"/>
              </w:rPr>
              <w:t>”</w:t>
            </w:r>
            <w:r>
              <w:rPr>
                <w:rFonts w:ascii="Times New Roman" w:hAnsi="Times New Roman" w:cs="Times New Roman"/>
                <w:color w:val="auto"/>
                <w:sz w:val="24"/>
                <w:szCs w:val="24"/>
                <w:lang w:val="en-US"/>
              </w:rPr>
              <w:t>验收一览表见表4-</w:t>
            </w:r>
            <w:r>
              <w:rPr>
                <w:rFonts w:hint="eastAsia" w:ascii="Times New Roman" w:hAnsi="Times New Roman" w:cs="Times New Roman"/>
                <w:color w:val="auto"/>
                <w:sz w:val="24"/>
                <w:szCs w:val="24"/>
                <w:lang w:val="en-US" w:eastAsia="zh-CN"/>
              </w:rPr>
              <w:t>15</w:t>
            </w:r>
            <w:r>
              <w:rPr>
                <w:rFonts w:hint="eastAsia" w:ascii="Times New Roman" w:hAnsi="Times New Roman" w:cs="Times New Roman"/>
                <w:color w:val="auto"/>
                <w:sz w:val="24"/>
                <w:szCs w:val="24"/>
                <w:lang w:val="en-US"/>
              </w:rPr>
              <w:t>。</w:t>
            </w:r>
            <w:r>
              <w:rPr>
                <w:rFonts w:ascii="Times New Roman" w:hAnsi="Times New Roman" w:cs="Times New Roman"/>
                <w:color w:val="auto"/>
                <w:sz w:val="24"/>
                <w:szCs w:val="24"/>
                <w:lang w:val="en-US"/>
              </w:rPr>
              <w:t xml:space="preserve"> </w:t>
            </w:r>
          </w:p>
          <w:p w14:paraId="502D19D7">
            <w:pPr>
              <w:pStyle w:val="45"/>
              <w:spacing w:line="520" w:lineRule="exact"/>
              <w:jc w:val="center"/>
              <w:rPr>
                <w:rFonts w:hint="eastAsia" w:ascii="Times New Roman" w:hAnsi="Times New Roman" w:cs="Times New Roman"/>
                <w:b/>
                <w:bCs/>
                <w:color w:val="auto"/>
                <w:sz w:val="24"/>
                <w:szCs w:val="24"/>
                <w:lang w:val="en-US"/>
              </w:rPr>
            </w:pPr>
            <w:r>
              <w:rPr>
                <w:rFonts w:hint="eastAsia" w:ascii="Times New Roman" w:hAnsi="Times New Roman" w:cs="Times New Roman"/>
                <w:b/>
                <w:bCs/>
                <w:color w:val="auto"/>
                <w:sz w:val="24"/>
                <w:szCs w:val="24"/>
                <w:lang w:val="en-US"/>
              </w:rPr>
              <w:t>表4-</w:t>
            </w:r>
            <w:r>
              <w:rPr>
                <w:rFonts w:hint="eastAsia" w:ascii="Times New Roman" w:hAnsi="Times New Roman" w:cs="Times New Roman"/>
                <w:b/>
                <w:bCs/>
                <w:color w:val="auto"/>
                <w:sz w:val="24"/>
                <w:szCs w:val="24"/>
                <w:lang w:val="en-US" w:eastAsia="zh-CN"/>
              </w:rPr>
              <w:t>15</w:t>
            </w:r>
            <w:r>
              <w:rPr>
                <w:rFonts w:hint="eastAsia" w:ascii="Times New Roman" w:hAnsi="Times New Roman" w:cs="Times New Roman"/>
                <w:b/>
                <w:bCs/>
                <w:color w:val="auto"/>
                <w:sz w:val="24"/>
                <w:szCs w:val="24"/>
                <w:lang w:val="en-US"/>
              </w:rPr>
              <w:t xml:space="preserve">    建设项目环境保护“三同时”验收一览表</w:t>
            </w:r>
          </w:p>
          <w:tbl>
            <w:tblPr>
              <w:tblStyle w:val="20"/>
              <w:tblW w:w="821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30"/>
              <w:gridCol w:w="854"/>
              <w:gridCol w:w="1322"/>
              <w:gridCol w:w="3366"/>
              <w:gridCol w:w="1708"/>
              <w:gridCol w:w="437"/>
            </w:tblGrid>
            <w:tr w14:paraId="384E55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8" w:hRule="atLeast"/>
                <w:tblHeader/>
                <w:jc w:val="center"/>
              </w:trPr>
              <w:tc>
                <w:tcPr>
                  <w:tcW w:w="530" w:type="dxa"/>
                  <w:noWrap w:val="0"/>
                  <w:tcMar>
                    <w:top w:w="0" w:type="dxa"/>
                    <w:left w:w="28" w:type="dxa"/>
                    <w:bottom w:w="0" w:type="dxa"/>
                    <w:right w:w="28" w:type="dxa"/>
                  </w:tcMar>
                  <w:vAlign w:val="center"/>
                </w:tcPr>
                <w:p w14:paraId="60E5F425">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r>
                    <w:rPr>
                      <w:rFonts w:ascii="Times New Roman" w:hAnsi="Times New Roman" w:cs="Times New Roman"/>
                      <w:color w:val="auto"/>
                      <w:sz w:val="21"/>
                      <w:szCs w:val="21"/>
                    </w:rPr>
                    <w:t>类型</w:t>
                  </w:r>
                </w:p>
              </w:tc>
              <w:tc>
                <w:tcPr>
                  <w:tcW w:w="854" w:type="dxa"/>
                  <w:noWrap w:val="0"/>
                  <w:tcMar>
                    <w:top w:w="0" w:type="dxa"/>
                    <w:left w:w="28" w:type="dxa"/>
                    <w:bottom w:w="0" w:type="dxa"/>
                    <w:right w:w="28" w:type="dxa"/>
                  </w:tcMar>
                  <w:vAlign w:val="center"/>
                </w:tcPr>
                <w:p w14:paraId="1100D508">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r>
                    <w:rPr>
                      <w:rFonts w:ascii="Times New Roman" w:hAnsi="Times New Roman" w:cs="Times New Roman"/>
                      <w:color w:val="auto"/>
                      <w:sz w:val="21"/>
                      <w:szCs w:val="21"/>
                    </w:rPr>
                    <w:t>污染工序</w:t>
                  </w:r>
                </w:p>
              </w:tc>
              <w:tc>
                <w:tcPr>
                  <w:tcW w:w="1322" w:type="dxa"/>
                  <w:noWrap w:val="0"/>
                  <w:tcMar>
                    <w:top w:w="0" w:type="dxa"/>
                    <w:left w:w="28" w:type="dxa"/>
                    <w:bottom w:w="0" w:type="dxa"/>
                    <w:right w:w="28" w:type="dxa"/>
                  </w:tcMar>
                  <w:vAlign w:val="center"/>
                </w:tcPr>
                <w:p w14:paraId="73E21705">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eastAsia="zh-CN"/>
                    </w:rPr>
                    <w:t>污染物</w:t>
                  </w:r>
                </w:p>
              </w:tc>
              <w:tc>
                <w:tcPr>
                  <w:tcW w:w="3366" w:type="dxa"/>
                  <w:noWrap w:val="0"/>
                  <w:tcMar>
                    <w:top w:w="0" w:type="dxa"/>
                    <w:left w:w="28" w:type="dxa"/>
                    <w:bottom w:w="0" w:type="dxa"/>
                    <w:right w:w="28" w:type="dxa"/>
                  </w:tcMar>
                  <w:vAlign w:val="center"/>
                </w:tcPr>
                <w:p w14:paraId="12F00447">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lang w:val="zh-CN" w:eastAsia="zh-CN" w:bidi="zh-CN"/>
                    </w:rPr>
                  </w:pPr>
                  <w:r>
                    <w:rPr>
                      <w:rFonts w:ascii="Times New Roman" w:hAnsi="Times New Roman" w:cs="Times New Roman"/>
                      <w:color w:val="auto"/>
                      <w:sz w:val="21"/>
                      <w:szCs w:val="21"/>
                    </w:rPr>
                    <w:t>环保措施</w:t>
                  </w:r>
                </w:p>
              </w:tc>
              <w:tc>
                <w:tcPr>
                  <w:tcW w:w="1708" w:type="dxa"/>
                  <w:noWrap w:val="0"/>
                  <w:tcMar>
                    <w:top w:w="0" w:type="dxa"/>
                    <w:left w:w="28" w:type="dxa"/>
                    <w:bottom w:w="0" w:type="dxa"/>
                    <w:right w:w="28" w:type="dxa"/>
                  </w:tcMar>
                  <w:vAlign w:val="center"/>
                </w:tcPr>
                <w:p w14:paraId="6C226B55">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r>
                    <w:rPr>
                      <w:rFonts w:ascii="Times New Roman" w:hAnsi="Times New Roman" w:cs="Times New Roman"/>
                      <w:color w:val="auto"/>
                      <w:sz w:val="21"/>
                      <w:szCs w:val="21"/>
                    </w:rPr>
                    <w:t>验收标准</w:t>
                  </w:r>
                </w:p>
              </w:tc>
              <w:tc>
                <w:tcPr>
                  <w:tcW w:w="437" w:type="dxa"/>
                  <w:noWrap w:val="0"/>
                  <w:tcMar>
                    <w:top w:w="0" w:type="dxa"/>
                    <w:left w:w="28" w:type="dxa"/>
                    <w:bottom w:w="0" w:type="dxa"/>
                    <w:right w:w="28" w:type="dxa"/>
                  </w:tcMar>
                  <w:vAlign w:val="center"/>
                </w:tcPr>
                <w:p w14:paraId="203AEDCF">
                  <w:pPr>
                    <w:pStyle w:val="45"/>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完成</w:t>
                  </w:r>
                </w:p>
                <w:p w14:paraId="1B6C5359">
                  <w:pPr>
                    <w:pStyle w:val="45"/>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r>
                    <w:rPr>
                      <w:rFonts w:ascii="Times New Roman" w:hAnsi="Times New Roman" w:cs="Times New Roman"/>
                      <w:color w:val="auto"/>
                      <w:sz w:val="21"/>
                      <w:szCs w:val="21"/>
                      <w:lang w:val="en-US"/>
                    </w:rPr>
                    <w:t>时间</w:t>
                  </w:r>
                </w:p>
              </w:tc>
            </w:tr>
            <w:tr w14:paraId="44BBC1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530" w:type="dxa"/>
                  <w:vMerge w:val="restart"/>
                  <w:noWrap w:val="0"/>
                  <w:tcMar>
                    <w:top w:w="0" w:type="dxa"/>
                    <w:left w:w="28" w:type="dxa"/>
                    <w:bottom w:w="0" w:type="dxa"/>
                    <w:right w:w="28" w:type="dxa"/>
                  </w:tcMar>
                  <w:vAlign w:val="center"/>
                </w:tcPr>
                <w:p w14:paraId="5E50B6AC">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highlight w:val="yellow"/>
                    </w:rPr>
                  </w:pPr>
                  <w:r>
                    <w:rPr>
                      <w:rFonts w:ascii="Times New Roman" w:hAnsi="Times New Roman" w:cs="Times New Roman"/>
                      <w:color w:val="auto"/>
                      <w:sz w:val="21"/>
                      <w:szCs w:val="21"/>
                    </w:rPr>
                    <w:t>废气</w:t>
                  </w:r>
                </w:p>
              </w:tc>
              <w:tc>
                <w:tcPr>
                  <w:tcW w:w="854" w:type="dxa"/>
                  <w:noWrap w:val="0"/>
                  <w:tcMar>
                    <w:top w:w="0" w:type="dxa"/>
                    <w:left w:w="28" w:type="dxa"/>
                    <w:bottom w:w="0" w:type="dxa"/>
                    <w:right w:w="28" w:type="dxa"/>
                  </w:tcMar>
                  <w:vAlign w:val="center"/>
                </w:tcPr>
                <w:p w14:paraId="35ED0525">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eastAsia="zh-CN"/>
                    </w:rPr>
                    <w:t>污水处理站</w:t>
                  </w:r>
                  <w:r>
                    <w:rPr>
                      <w:rFonts w:hint="eastAsia" w:ascii="Times New Roman" w:hAnsi="Times New Roman" w:eastAsia="宋体" w:cs="Times New Roman"/>
                      <w:color w:val="auto"/>
                      <w:sz w:val="21"/>
                      <w:szCs w:val="21"/>
                      <w:lang w:eastAsia="zh-CN"/>
                    </w:rPr>
                    <w:t>恶臭</w:t>
                  </w:r>
                </w:p>
              </w:tc>
              <w:tc>
                <w:tcPr>
                  <w:tcW w:w="1322" w:type="dxa"/>
                  <w:noWrap w:val="0"/>
                  <w:tcMar>
                    <w:top w:w="0" w:type="dxa"/>
                    <w:left w:w="28" w:type="dxa"/>
                    <w:bottom w:w="0" w:type="dxa"/>
                    <w:right w:w="28" w:type="dxa"/>
                  </w:tcMar>
                  <w:vAlign w:val="center"/>
                </w:tcPr>
                <w:p w14:paraId="786808CC">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氨、硫</w:t>
                  </w:r>
                </w:p>
                <w:p w14:paraId="4E2F8A8B">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r>
                    <w:rPr>
                      <w:rFonts w:hint="eastAsia" w:ascii="Times New Roman" w:hAnsi="Times New Roman" w:cs="Times New Roman"/>
                      <w:color w:val="auto"/>
                      <w:sz w:val="21"/>
                      <w:szCs w:val="21"/>
                    </w:rPr>
                    <w:t>化氢</w:t>
                  </w:r>
                </w:p>
              </w:tc>
              <w:tc>
                <w:tcPr>
                  <w:tcW w:w="3366" w:type="dxa"/>
                  <w:noWrap w:val="0"/>
                  <w:tcMar>
                    <w:top w:w="0" w:type="dxa"/>
                    <w:left w:w="28" w:type="dxa"/>
                    <w:bottom w:w="0" w:type="dxa"/>
                    <w:right w:w="28" w:type="dxa"/>
                  </w:tcMar>
                  <w:vAlign w:val="center"/>
                </w:tcPr>
                <w:p w14:paraId="06FA584A">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cs="Times New Roman"/>
                      <w:color w:val="auto"/>
                      <w:sz w:val="21"/>
                      <w:szCs w:val="21"/>
                      <w:lang w:val="en-US" w:eastAsia="zh-CN" w:bidi="zh-CN"/>
                    </w:rPr>
                  </w:pPr>
                  <w:r>
                    <w:rPr>
                      <w:rFonts w:hint="eastAsia" w:ascii="Times New Roman" w:hAnsi="Times New Roman" w:cs="Times New Roman"/>
                      <w:color w:val="auto"/>
                      <w:sz w:val="21"/>
                      <w:szCs w:val="21"/>
                      <w:lang w:val="en-US" w:eastAsia="zh-CN"/>
                    </w:rPr>
                    <w:t>污水处理设施为地埋式，各构筑物密封加盖，喷洒除臭剂</w:t>
                  </w:r>
                </w:p>
              </w:tc>
              <w:tc>
                <w:tcPr>
                  <w:tcW w:w="1708" w:type="dxa"/>
                  <w:noWrap w:val="0"/>
                  <w:tcMar>
                    <w:top w:w="0" w:type="dxa"/>
                    <w:left w:w="28" w:type="dxa"/>
                    <w:bottom w:w="0" w:type="dxa"/>
                    <w:right w:w="28" w:type="dxa"/>
                  </w:tcMar>
                  <w:vAlign w:val="center"/>
                </w:tcPr>
                <w:p w14:paraId="2A41EF03">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highlight w:val="yellow"/>
                    </w:rPr>
                  </w:pPr>
                  <w:r>
                    <w:rPr>
                      <w:rFonts w:hint="default" w:ascii="Times New Roman" w:hAnsi="Times New Roman" w:cs="Times New Roman"/>
                      <w:color w:val="auto"/>
                      <w:sz w:val="21"/>
                      <w:szCs w:val="21"/>
                      <w:highlight w:val="none"/>
                      <w:lang w:val="en-US" w:eastAsia="zh-CN"/>
                    </w:rPr>
                    <w:t>《医疗机构水污染物排放标准》（GB18466-2005）表 3 污水处理站周边大气污染物最高允许浓度限值</w:t>
                  </w:r>
                </w:p>
              </w:tc>
              <w:tc>
                <w:tcPr>
                  <w:tcW w:w="437" w:type="dxa"/>
                  <w:vMerge w:val="restart"/>
                  <w:noWrap w:val="0"/>
                  <w:tcMar>
                    <w:top w:w="0" w:type="dxa"/>
                    <w:left w:w="28" w:type="dxa"/>
                    <w:bottom w:w="0" w:type="dxa"/>
                    <w:right w:w="28" w:type="dxa"/>
                  </w:tcMar>
                  <w:vAlign w:val="center"/>
                </w:tcPr>
                <w:p w14:paraId="160DFD8F">
                  <w:pPr>
                    <w:pStyle w:val="45"/>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与建设项目同时设计，同时施工，同时投产</w:t>
                  </w:r>
                </w:p>
              </w:tc>
            </w:tr>
            <w:tr w14:paraId="089841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0" w:type="dxa"/>
                  <w:vMerge w:val="continue"/>
                  <w:noWrap w:val="0"/>
                  <w:tcMar>
                    <w:top w:w="0" w:type="dxa"/>
                    <w:left w:w="28" w:type="dxa"/>
                    <w:bottom w:w="0" w:type="dxa"/>
                    <w:right w:w="28" w:type="dxa"/>
                  </w:tcMar>
                  <w:vAlign w:val="center"/>
                </w:tcPr>
                <w:p w14:paraId="33BAC622">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p>
              </w:tc>
              <w:tc>
                <w:tcPr>
                  <w:tcW w:w="854" w:type="dxa"/>
                  <w:noWrap w:val="0"/>
                  <w:tcMar>
                    <w:top w:w="0" w:type="dxa"/>
                    <w:left w:w="28" w:type="dxa"/>
                    <w:bottom w:w="0" w:type="dxa"/>
                    <w:right w:w="28" w:type="dxa"/>
                  </w:tcMar>
                  <w:vAlign w:val="center"/>
                </w:tcPr>
                <w:p w14:paraId="54795746">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cs="Times New Roman"/>
                      <w:color w:val="auto"/>
                      <w:sz w:val="21"/>
                      <w:szCs w:val="21"/>
                      <w:lang w:eastAsia="zh-CN"/>
                    </w:rPr>
                  </w:pPr>
                  <w:r>
                    <w:rPr>
                      <w:rFonts w:hint="eastAsia" w:ascii="Times New Roman" w:hAnsi="Times New Roman" w:cs="Times New Roman"/>
                      <w:color w:val="auto"/>
                      <w:sz w:val="21"/>
                      <w:szCs w:val="21"/>
                      <w:lang w:eastAsia="zh-CN"/>
                    </w:rPr>
                    <w:t>停车场</w:t>
                  </w:r>
                </w:p>
                <w:p w14:paraId="18BDAECA">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cs="Times New Roman"/>
                      <w:color w:val="auto"/>
                      <w:sz w:val="21"/>
                      <w:szCs w:val="21"/>
                      <w:lang w:eastAsia="zh-CN"/>
                    </w:rPr>
                  </w:pPr>
                  <w:r>
                    <w:rPr>
                      <w:rFonts w:hint="eastAsia" w:ascii="Times New Roman" w:hAnsi="Times New Roman" w:cs="Times New Roman"/>
                      <w:color w:val="auto"/>
                      <w:sz w:val="21"/>
                      <w:szCs w:val="21"/>
                      <w:lang w:eastAsia="zh-CN"/>
                    </w:rPr>
                    <w:t>尾气</w:t>
                  </w:r>
                </w:p>
              </w:tc>
              <w:tc>
                <w:tcPr>
                  <w:tcW w:w="1322" w:type="dxa"/>
                  <w:noWrap w:val="0"/>
                  <w:tcMar>
                    <w:top w:w="0" w:type="dxa"/>
                    <w:left w:w="28" w:type="dxa"/>
                    <w:bottom w:w="0" w:type="dxa"/>
                    <w:right w:w="28" w:type="dxa"/>
                  </w:tcMar>
                  <w:vAlign w:val="center"/>
                </w:tcPr>
                <w:p w14:paraId="3924DDCD">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CO、碳氢化合物、NO</w:t>
                  </w:r>
                  <w:r>
                    <w:rPr>
                      <w:rFonts w:hint="eastAsia" w:ascii="Times New Roman" w:hAnsi="Times New Roman" w:eastAsia="宋体" w:cs="Times New Roman"/>
                      <w:color w:val="auto"/>
                      <w:sz w:val="21"/>
                      <w:szCs w:val="21"/>
                      <w:vertAlign w:val="subscript"/>
                      <w:lang w:val="en-US" w:eastAsia="zh-CN"/>
                    </w:rPr>
                    <w:t>X</w:t>
                  </w:r>
                </w:p>
              </w:tc>
              <w:tc>
                <w:tcPr>
                  <w:tcW w:w="3366" w:type="dxa"/>
                  <w:noWrap w:val="0"/>
                  <w:tcMar>
                    <w:top w:w="0" w:type="dxa"/>
                    <w:left w:w="28" w:type="dxa"/>
                    <w:bottom w:w="0" w:type="dxa"/>
                    <w:right w:w="28" w:type="dxa"/>
                  </w:tcMar>
                  <w:vAlign w:val="center"/>
                </w:tcPr>
                <w:p w14:paraId="298AC546">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地下车库设置竖井，将机动车尾气通过排气扇抽至周围绿化带排放，排气口远离人群活动场所</w:t>
                  </w:r>
                </w:p>
              </w:tc>
              <w:tc>
                <w:tcPr>
                  <w:tcW w:w="1708" w:type="dxa"/>
                  <w:noWrap w:val="0"/>
                  <w:tcMar>
                    <w:top w:w="0" w:type="dxa"/>
                    <w:left w:w="28" w:type="dxa"/>
                    <w:bottom w:w="0" w:type="dxa"/>
                    <w:right w:w="28" w:type="dxa"/>
                  </w:tcMar>
                  <w:vAlign w:val="center"/>
                </w:tcPr>
                <w:p w14:paraId="5AFE0D38">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437" w:type="dxa"/>
                  <w:vMerge w:val="continue"/>
                  <w:noWrap w:val="0"/>
                  <w:tcMar>
                    <w:top w:w="0" w:type="dxa"/>
                    <w:left w:w="28" w:type="dxa"/>
                    <w:bottom w:w="0" w:type="dxa"/>
                    <w:right w:w="28" w:type="dxa"/>
                  </w:tcMar>
                  <w:vAlign w:val="center"/>
                </w:tcPr>
                <w:p w14:paraId="117A2121">
                  <w:pPr>
                    <w:pStyle w:val="45"/>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lang w:val="en-US"/>
                    </w:rPr>
                  </w:pPr>
                </w:p>
              </w:tc>
            </w:tr>
            <w:tr w14:paraId="775686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530" w:type="dxa"/>
                  <w:vMerge w:val="restart"/>
                  <w:noWrap w:val="0"/>
                  <w:tcMar>
                    <w:top w:w="0" w:type="dxa"/>
                    <w:left w:w="28" w:type="dxa"/>
                    <w:bottom w:w="0" w:type="dxa"/>
                    <w:right w:w="28" w:type="dxa"/>
                  </w:tcMar>
                  <w:vAlign w:val="center"/>
                </w:tcPr>
                <w:p w14:paraId="59DF31C0">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r>
                    <w:rPr>
                      <w:rFonts w:ascii="Times New Roman" w:hAnsi="Times New Roman" w:cs="Times New Roman"/>
                      <w:color w:val="auto"/>
                      <w:sz w:val="21"/>
                      <w:szCs w:val="21"/>
                    </w:rPr>
                    <w:t>废水</w:t>
                  </w:r>
                </w:p>
              </w:tc>
              <w:tc>
                <w:tcPr>
                  <w:tcW w:w="854" w:type="dxa"/>
                  <w:noWrap w:val="0"/>
                  <w:tcMar>
                    <w:top w:w="0" w:type="dxa"/>
                    <w:left w:w="28" w:type="dxa"/>
                    <w:bottom w:w="0" w:type="dxa"/>
                    <w:right w:w="28" w:type="dxa"/>
                  </w:tcMar>
                  <w:vAlign w:val="center"/>
                </w:tcPr>
                <w:p w14:paraId="5F2DE76C">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宋体" w:cs="Times New Roman"/>
                      <w:bCs/>
                      <w:color w:val="auto"/>
                      <w:sz w:val="21"/>
                      <w:szCs w:val="21"/>
                      <w:lang w:eastAsia="zh-CN" w:bidi="ar"/>
                    </w:rPr>
                  </w:pPr>
                  <w:r>
                    <w:rPr>
                      <w:rFonts w:hint="default" w:ascii="Times New Roman" w:hAnsi="Times New Roman" w:eastAsia="宋体" w:cs="Times New Roman"/>
                      <w:color w:val="auto"/>
                      <w:spacing w:val="0"/>
                      <w:w w:val="100"/>
                      <w:kern w:val="2"/>
                      <w:sz w:val="21"/>
                      <w:szCs w:val="21"/>
                      <w:lang w:val="en-US" w:eastAsia="zh-CN"/>
                    </w:rPr>
                    <w:t>特殊性质污水</w:t>
                  </w:r>
                </w:p>
              </w:tc>
              <w:tc>
                <w:tcPr>
                  <w:tcW w:w="1322" w:type="dxa"/>
                  <w:noWrap w:val="0"/>
                  <w:tcMar>
                    <w:top w:w="0" w:type="dxa"/>
                    <w:left w:w="28" w:type="dxa"/>
                    <w:bottom w:w="0" w:type="dxa"/>
                    <w:right w:w="28" w:type="dxa"/>
                  </w:tcMar>
                  <w:vAlign w:val="center"/>
                </w:tcPr>
                <w:p w14:paraId="5B556488">
                  <w:pPr>
                    <w:pStyle w:val="36"/>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w:t>
                  </w:r>
                </w:p>
              </w:tc>
              <w:tc>
                <w:tcPr>
                  <w:tcW w:w="3366" w:type="dxa"/>
                  <w:noWrap w:val="0"/>
                  <w:tcMar>
                    <w:top w:w="0" w:type="dxa"/>
                    <w:left w:w="28" w:type="dxa"/>
                    <w:bottom w:w="0" w:type="dxa"/>
                    <w:right w:w="28" w:type="dxa"/>
                  </w:tcMar>
                  <w:vAlign w:val="center"/>
                </w:tcPr>
                <w:p w14:paraId="2C16DAEB">
                  <w:pPr>
                    <w:pStyle w:val="36"/>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kern w:val="0"/>
                      <w:sz w:val="21"/>
                      <w:szCs w:val="21"/>
                      <w:lang w:val="en-US" w:eastAsia="zh-CN" w:bidi="zh-CN"/>
                    </w:rPr>
                  </w:pPr>
                  <w:r>
                    <w:rPr>
                      <w:rFonts w:hint="default" w:ascii="Times New Roman" w:hAnsi="Times New Roman" w:eastAsia="宋体" w:cs="Times New Roman"/>
                      <w:color w:val="auto"/>
                      <w:kern w:val="0"/>
                      <w:sz w:val="21"/>
                      <w:szCs w:val="21"/>
                      <w:lang w:val="en-US" w:eastAsia="zh-CN" w:bidi="zh-CN"/>
                    </w:rPr>
                    <w:t>检验科设小型实验室污水废水综合处理设备，废水经预处理后排入医院污水处理系统</w:t>
                  </w:r>
                </w:p>
              </w:tc>
              <w:tc>
                <w:tcPr>
                  <w:tcW w:w="1708" w:type="dxa"/>
                  <w:vMerge w:val="restart"/>
                  <w:noWrap w:val="0"/>
                  <w:tcMar>
                    <w:top w:w="0" w:type="dxa"/>
                    <w:left w:w="28" w:type="dxa"/>
                    <w:bottom w:w="0" w:type="dxa"/>
                    <w:right w:w="28" w:type="dxa"/>
                  </w:tcMar>
                  <w:vAlign w:val="center"/>
                </w:tcPr>
                <w:p w14:paraId="5D03BEAF">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《医疗机构水污染物排放标准》（GB 18466-2005）表2 综合医疗机构和其他医疗机构水污染物排放限值（日均值）预处理标准</w:t>
                  </w:r>
                </w:p>
              </w:tc>
              <w:tc>
                <w:tcPr>
                  <w:tcW w:w="437" w:type="dxa"/>
                  <w:vMerge w:val="continue"/>
                  <w:noWrap w:val="0"/>
                  <w:tcMar>
                    <w:top w:w="0" w:type="dxa"/>
                    <w:left w:w="28" w:type="dxa"/>
                    <w:bottom w:w="0" w:type="dxa"/>
                    <w:right w:w="28" w:type="dxa"/>
                  </w:tcMar>
                  <w:vAlign w:val="center"/>
                </w:tcPr>
                <w:p w14:paraId="5A4EF88A">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p>
              </w:tc>
            </w:tr>
            <w:tr w14:paraId="0CDF63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530" w:type="dxa"/>
                  <w:vMerge w:val="continue"/>
                  <w:noWrap w:val="0"/>
                  <w:tcMar>
                    <w:top w:w="0" w:type="dxa"/>
                    <w:left w:w="28" w:type="dxa"/>
                    <w:bottom w:w="0" w:type="dxa"/>
                    <w:right w:w="28" w:type="dxa"/>
                  </w:tcMar>
                  <w:vAlign w:val="center"/>
                </w:tcPr>
                <w:p w14:paraId="66B39987">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p>
              </w:tc>
              <w:tc>
                <w:tcPr>
                  <w:tcW w:w="854" w:type="dxa"/>
                  <w:noWrap w:val="0"/>
                  <w:tcMar>
                    <w:top w:w="0" w:type="dxa"/>
                    <w:left w:w="28" w:type="dxa"/>
                    <w:bottom w:w="0" w:type="dxa"/>
                    <w:right w:w="28" w:type="dxa"/>
                  </w:tcMar>
                  <w:vAlign w:val="center"/>
                </w:tcPr>
                <w:p w14:paraId="2AC91C07">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宋体" w:cs="Times New Roman"/>
                      <w:bCs/>
                      <w:color w:val="auto"/>
                      <w:sz w:val="21"/>
                      <w:szCs w:val="21"/>
                      <w:lang w:val="zh-CN" w:eastAsia="zh-CN" w:bidi="ar"/>
                    </w:rPr>
                  </w:pPr>
                  <w:r>
                    <w:rPr>
                      <w:rFonts w:hint="eastAsia" w:ascii="Times New Roman" w:hAnsi="Times New Roman" w:cs="Times New Roman"/>
                      <w:bCs/>
                      <w:color w:val="auto"/>
                      <w:sz w:val="21"/>
                      <w:szCs w:val="21"/>
                      <w:lang w:eastAsia="zh-CN" w:bidi="ar"/>
                    </w:rPr>
                    <w:t>医疗废水</w:t>
                  </w:r>
                </w:p>
              </w:tc>
              <w:tc>
                <w:tcPr>
                  <w:tcW w:w="1322" w:type="dxa"/>
                  <w:noWrap w:val="0"/>
                  <w:tcMar>
                    <w:top w:w="0" w:type="dxa"/>
                    <w:left w:w="28" w:type="dxa"/>
                    <w:bottom w:w="0" w:type="dxa"/>
                    <w:right w:w="28" w:type="dxa"/>
                  </w:tcMar>
                  <w:vAlign w:val="center"/>
                </w:tcPr>
                <w:p w14:paraId="77415197">
                  <w:pPr>
                    <w:pStyle w:val="36"/>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宋体" w:cs="Times New Roman"/>
                      <w:color w:val="auto"/>
                      <w:kern w:val="0"/>
                      <w:sz w:val="21"/>
                      <w:szCs w:val="21"/>
                      <w:lang w:val="en-US" w:eastAsia="zh-CN" w:bidi="zh-CN"/>
                    </w:rPr>
                  </w:pPr>
                  <w:r>
                    <w:rPr>
                      <w:rFonts w:hint="eastAsia" w:ascii="Times New Roman" w:hAnsi="Times New Roman" w:eastAsia="宋体" w:cs="Times New Roman"/>
                      <w:color w:val="auto"/>
                      <w:kern w:val="0"/>
                      <w:sz w:val="21"/>
                      <w:szCs w:val="21"/>
                      <w:lang w:val="en-US" w:eastAsia="zh-CN" w:bidi="zh-CN"/>
                    </w:rPr>
                    <w:t>COD、BOD</w:t>
                  </w:r>
                  <w:r>
                    <w:rPr>
                      <w:rFonts w:hint="eastAsia" w:ascii="Times New Roman" w:hAnsi="Times New Roman" w:eastAsia="宋体" w:cs="Times New Roman"/>
                      <w:color w:val="auto"/>
                      <w:kern w:val="0"/>
                      <w:sz w:val="21"/>
                      <w:szCs w:val="21"/>
                      <w:vertAlign w:val="subscript"/>
                      <w:lang w:val="en-US" w:eastAsia="zh-CN" w:bidi="zh-CN"/>
                    </w:rPr>
                    <w:t>5</w:t>
                  </w:r>
                  <w:r>
                    <w:rPr>
                      <w:rFonts w:hint="eastAsia" w:ascii="Times New Roman" w:hAnsi="Times New Roman" w:eastAsia="宋体" w:cs="Times New Roman"/>
                      <w:color w:val="auto"/>
                      <w:kern w:val="0"/>
                      <w:sz w:val="21"/>
                      <w:szCs w:val="21"/>
                      <w:lang w:val="en-US" w:eastAsia="zh-CN" w:bidi="zh-CN"/>
                    </w:rPr>
                    <w:t>、NH</w:t>
                  </w:r>
                  <w:r>
                    <w:rPr>
                      <w:rFonts w:hint="eastAsia" w:ascii="Times New Roman" w:hAnsi="Times New Roman" w:eastAsia="宋体" w:cs="Times New Roman"/>
                      <w:color w:val="auto"/>
                      <w:kern w:val="0"/>
                      <w:sz w:val="21"/>
                      <w:szCs w:val="21"/>
                      <w:vertAlign w:val="subscript"/>
                      <w:lang w:val="en-US" w:eastAsia="zh-CN" w:bidi="zh-CN"/>
                    </w:rPr>
                    <w:t>3</w:t>
                  </w:r>
                  <w:r>
                    <w:rPr>
                      <w:rFonts w:hint="eastAsia" w:ascii="Times New Roman" w:hAnsi="Times New Roman" w:eastAsia="宋体" w:cs="Times New Roman"/>
                      <w:color w:val="auto"/>
                      <w:kern w:val="0"/>
                      <w:sz w:val="21"/>
                      <w:szCs w:val="21"/>
                      <w:lang w:val="en-US" w:eastAsia="zh-CN" w:bidi="zh-CN"/>
                    </w:rPr>
                    <w:t>-N、SS、粪大肠菌群数、动植物油</w:t>
                  </w:r>
                </w:p>
              </w:tc>
              <w:tc>
                <w:tcPr>
                  <w:tcW w:w="3366" w:type="dxa"/>
                  <w:noWrap w:val="0"/>
                  <w:tcMar>
                    <w:top w:w="0" w:type="dxa"/>
                    <w:left w:w="28" w:type="dxa"/>
                    <w:bottom w:w="0" w:type="dxa"/>
                    <w:right w:w="28" w:type="dxa"/>
                  </w:tcMar>
                  <w:vAlign w:val="center"/>
                </w:tcPr>
                <w:p w14:paraId="36824BBB">
                  <w:pPr>
                    <w:pStyle w:val="36"/>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宋体" w:cs="Times New Roman"/>
                      <w:color w:val="auto"/>
                      <w:kern w:val="0"/>
                      <w:sz w:val="21"/>
                      <w:szCs w:val="21"/>
                      <w:lang w:val="en-US" w:eastAsia="zh-CN" w:bidi="zh-CN"/>
                    </w:rPr>
                  </w:pPr>
                  <w:r>
                    <w:rPr>
                      <w:rFonts w:hint="eastAsia" w:ascii="Times New Roman" w:hAnsi="Times New Roman" w:cs="Times New Roman"/>
                      <w:color w:val="auto"/>
                      <w:kern w:val="2"/>
                      <w:sz w:val="21"/>
                      <w:szCs w:val="21"/>
                      <w:lang w:val="en-US" w:eastAsia="zh-CN"/>
                    </w:rPr>
                    <w:t>达到《医疗机构水污染物排放标准》（GB 18466-2005）表2 综合医疗机构和其他医疗机构水污染物排放限值（日均值）预处理标准要求后排入市政污水管网，最终进入东胜区北郊水质净化厂统一处理</w:t>
                  </w:r>
                </w:p>
              </w:tc>
              <w:tc>
                <w:tcPr>
                  <w:tcW w:w="1708" w:type="dxa"/>
                  <w:vMerge w:val="continue"/>
                  <w:noWrap w:val="0"/>
                  <w:tcMar>
                    <w:top w:w="0" w:type="dxa"/>
                    <w:left w:w="28" w:type="dxa"/>
                    <w:bottom w:w="0" w:type="dxa"/>
                    <w:right w:w="28" w:type="dxa"/>
                  </w:tcMar>
                  <w:vAlign w:val="center"/>
                </w:tcPr>
                <w:p w14:paraId="41089145">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cs="Times New Roman"/>
                      <w:color w:val="auto"/>
                      <w:sz w:val="21"/>
                      <w:szCs w:val="21"/>
                      <w:lang w:val="en-US"/>
                    </w:rPr>
                  </w:pPr>
                </w:p>
              </w:tc>
              <w:tc>
                <w:tcPr>
                  <w:tcW w:w="437" w:type="dxa"/>
                  <w:vMerge w:val="continue"/>
                  <w:noWrap w:val="0"/>
                  <w:tcMar>
                    <w:top w:w="0" w:type="dxa"/>
                    <w:left w:w="28" w:type="dxa"/>
                    <w:bottom w:w="0" w:type="dxa"/>
                    <w:right w:w="28" w:type="dxa"/>
                  </w:tcMar>
                  <w:vAlign w:val="center"/>
                </w:tcPr>
                <w:p w14:paraId="6530BE00">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p>
              </w:tc>
            </w:tr>
            <w:tr w14:paraId="046BCA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530" w:type="dxa"/>
                  <w:vMerge w:val="restart"/>
                  <w:noWrap w:val="0"/>
                  <w:tcMar>
                    <w:top w:w="0" w:type="dxa"/>
                    <w:left w:w="28" w:type="dxa"/>
                    <w:bottom w:w="0" w:type="dxa"/>
                    <w:right w:w="28" w:type="dxa"/>
                  </w:tcMar>
                  <w:vAlign w:val="center"/>
                </w:tcPr>
                <w:p w14:paraId="79B4EF93">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eastAsia="zh-CN"/>
                    </w:rPr>
                    <w:t>固废</w:t>
                  </w:r>
                </w:p>
              </w:tc>
              <w:tc>
                <w:tcPr>
                  <w:tcW w:w="854" w:type="dxa"/>
                  <w:noWrap w:val="0"/>
                  <w:tcMar>
                    <w:top w:w="0" w:type="dxa"/>
                    <w:left w:w="28" w:type="dxa"/>
                    <w:bottom w:w="0" w:type="dxa"/>
                    <w:right w:w="28" w:type="dxa"/>
                  </w:tcMar>
                  <w:vAlign w:val="center"/>
                </w:tcPr>
                <w:p w14:paraId="1111DA75">
                  <w:pPr>
                    <w:pStyle w:val="36"/>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eastAsia="zh-CN"/>
                    </w:rPr>
                    <w:t>医疗服务</w:t>
                  </w:r>
                </w:p>
              </w:tc>
              <w:tc>
                <w:tcPr>
                  <w:tcW w:w="1322" w:type="dxa"/>
                  <w:noWrap w:val="0"/>
                  <w:tcMar>
                    <w:top w:w="0" w:type="dxa"/>
                    <w:left w:w="28" w:type="dxa"/>
                    <w:bottom w:w="0" w:type="dxa"/>
                    <w:right w:w="28" w:type="dxa"/>
                  </w:tcMar>
                  <w:vAlign w:val="center"/>
                </w:tcPr>
                <w:p w14:paraId="53B8DA44">
                  <w:pPr>
                    <w:pStyle w:val="36"/>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cs="Times New Roman"/>
                      <w:color w:val="auto"/>
                      <w:sz w:val="21"/>
                      <w:szCs w:val="21"/>
                    </w:rPr>
                  </w:pPr>
                  <w:r>
                    <w:rPr>
                      <w:rFonts w:ascii="Times New Roman" w:hAnsi="Times New Roman" w:cs="Times New Roman"/>
                      <w:color w:val="auto"/>
                      <w:sz w:val="21"/>
                      <w:szCs w:val="21"/>
                    </w:rPr>
                    <w:t>生活垃圾</w:t>
                  </w:r>
                </w:p>
              </w:tc>
              <w:tc>
                <w:tcPr>
                  <w:tcW w:w="3366" w:type="dxa"/>
                  <w:noWrap w:val="0"/>
                  <w:tcMar>
                    <w:top w:w="0" w:type="dxa"/>
                    <w:left w:w="28" w:type="dxa"/>
                    <w:bottom w:w="0" w:type="dxa"/>
                    <w:right w:w="28" w:type="dxa"/>
                  </w:tcMar>
                  <w:vAlign w:val="center"/>
                </w:tcPr>
                <w:p w14:paraId="1A77C6AD">
                  <w:pPr>
                    <w:pStyle w:val="36"/>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宋体" w:cs="Times New Roman"/>
                      <w:color w:val="auto"/>
                      <w:kern w:val="0"/>
                      <w:sz w:val="21"/>
                      <w:szCs w:val="21"/>
                      <w:lang w:val="zh-CN" w:eastAsia="zh-CN" w:bidi="zh-CN"/>
                    </w:rPr>
                  </w:pPr>
                  <w:r>
                    <w:rPr>
                      <w:rFonts w:hint="eastAsia" w:ascii="Times New Roman" w:hAnsi="Times New Roman" w:cs="Times New Roman"/>
                      <w:color w:val="auto"/>
                      <w:sz w:val="21"/>
                      <w:szCs w:val="21"/>
                    </w:rPr>
                    <w:t>集中收集至垃圾桶后由环卫部门拉运处理</w:t>
                  </w:r>
                </w:p>
              </w:tc>
              <w:tc>
                <w:tcPr>
                  <w:tcW w:w="1708" w:type="dxa"/>
                  <w:noWrap w:val="0"/>
                  <w:tcMar>
                    <w:top w:w="0" w:type="dxa"/>
                    <w:left w:w="28" w:type="dxa"/>
                    <w:bottom w:w="0" w:type="dxa"/>
                    <w:right w:w="28" w:type="dxa"/>
                  </w:tcMar>
                  <w:vAlign w:val="center"/>
                </w:tcPr>
                <w:p w14:paraId="614F446B">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r>
                    <w:rPr>
                      <w:rFonts w:hint="eastAsia" w:ascii="Times New Roman" w:hAnsi="Times New Roman" w:cs="Times New Roman"/>
                      <w:color w:val="auto"/>
                      <w:sz w:val="21"/>
                      <w:szCs w:val="21"/>
                      <w:lang w:val="en-US"/>
                    </w:rPr>
                    <w:t>--</w:t>
                  </w:r>
                </w:p>
              </w:tc>
              <w:tc>
                <w:tcPr>
                  <w:tcW w:w="437" w:type="dxa"/>
                  <w:vMerge w:val="continue"/>
                  <w:noWrap w:val="0"/>
                  <w:tcMar>
                    <w:top w:w="0" w:type="dxa"/>
                    <w:left w:w="28" w:type="dxa"/>
                    <w:bottom w:w="0" w:type="dxa"/>
                    <w:right w:w="28" w:type="dxa"/>
                  </w:tcMar>
                  <w:vAlign w:val="center"/>
                </w:tcPr>
                <w:p w14:paraId="77B8639D">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p>
              </w:tc>
            </w:tr>
            <w:tr w14:paraId="7CFDAE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30" w:type="dxa"/>
                  <w:vMerge w:val="continue"/>
                  <w:noWrap w:val="0"/>
                  <w:tcMar>
                    <w:top w:w="0" w:type="dxa"/>
                    <w:left w:w="28" w:type="dxa"/>
                    <w:bottom w:w="0" w:type="dxa"/>
                    <w:right w:w="28" w:type="dxa"/>
                  </w:tcMar>
                  <w:vAlign w:val="center"/>
                </w:tcPr>
                <w:p w14:paraId="08A1EC81">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p>
              </w:tc>
              <w:tc>
                <w:tcPr>
                  <w:tcW w:w="854" w:type="dxa"/>
                  <w:noWrap w:val="0"/>
                  <w:tcMar>
                    <w:top w:w="0" w:type="dxa"/>
                    <w:left w:w="28" w:type="dxa"/>
                    <w:bottom w:w="0" w:type="dxa"/>
                    <w:right w:w="28" w:type="dxa"/>
                  </w:tcMar>
                  <w:vAlign w:val="center"/>
                </w:tcPr>
                <w:p w14:paraId="7BAD9873">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bCs/>
                      <w:color w:val="auto"/>
                      <w:sz w:val="21"/>
                      <w:szCs w:val="21"/>
                    </w:rPr>
                  </w:pPr>
                  <w:r>
                    <w:rPr>
                      <w:rFonts w:hint="eastAsia" w:ascii="Times New Roman" w:hAnsi="Times New Roman" w:cs="Times New Roman"/>
                      <w:color w:val="auto"/>
                      <w:sz w:val="21"/>
                      <w:szCs w:val="21"/>
                      <w:lang w:eastAsia="zh-CN"/>
                    </w:rPr>
                    <w:t>医疗服务</w:t>
                  </w:r>
                </w:p>
              </w:tc>
              <w:tc>
                <w:tcPr>
                  <w:tcW w:w="1322" w:type="dxa"/>
                  <w:noWrap w:val="0"/>
                  <w:tcMar>
                    <w:top w:w="0" w:type="dxa"/>
                    <w:left w:w="28" w:type="dxa"/>
                    <w:bottom w:w="0" w:type="dxa"/>
                    <w:right w:w="28" w:type="dxa"/>
                  </w:tcMar>
                  <w:vAlign w:val="center"/>
                </w:tcPr>
                <w:p w14:paraId="77D8FC74">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bCs/>
                      <w:color w:val="auto"/>
                      <w:sz w:val="21"/>
                      <w:szCs w:val="21"/>
                    </w:rPr>
                  </w:pPr>
                  <w:r>
                    <w:rPr>
                      <w:rFonts w:hint="eastAsia" w:ascii="Times New Roman" w:hAnsi="Times New Roman" w:eastAsia="宋体" w:cs="Times New Roman"/>
                      <w:color w:val="auto"/>
                      <w:kern w:val="0"/>
                      <w:sz w:val="21"/>
                      <w:szCs w:val="21"/>
                      <w:vertAlign w:val="baseline"/>
                      <w:lang w:val="en-US" w:eastAsia="zh-CN"/>
                    </w:rPr>
                    <w:t>医疗废物</w:t>
                  </w:r>
                </w:p>
              </w:tc>
              <w:tc>
                <w:tcPr>
                  <w:tcW w:w="3366" w:type="dxa"/>
                  <w:noWrap w:val="0"/>
                  <w:tcMar>
                    <w:top w:w="0" w:type="dxa"/>
                    <w:left w:w="28" w:type="dxa"/>
                    <w:bottom w:w="0" w:type="dxa"/>
                    <w:right w:w="28" w:type="dxa"/>
                  </w:tcMar>
                  <w:vAlign w:val="center"/>
                </w:tcPr>
                <w:p w14:paraId="0B98E602">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cs="Times New Roman"/>
                      <w:bCs/>
                      <w:color w:val="auto"/>
                      <w:sz w:val="21"/>
                      <w:szCs w:val="21"/>
                      <w:lang w:val="zh-CN" w:eastAsia="zh-CN" w:bidi="zh-CN"/>
                    </w:rPr>
                  </w:pPr>
                  <w:r>
                    <w:rPr>
                      <w:rFonts w:hint="eastAsia" w:ascii="Times New Roman" w:hAnsi="Times New Roman" w:cs="Times New Roman"/>
                      <w:color w:val="auto"/>
                      <w:sz w:val="21"/>
                      <w:szCs w:val="21"/>
                    </w:rPr>
                    <w:t>按规定分类收集至相应容器后暂存于危废暂存库，</w:t>
                  </w:r>
                  <w:r>
                    <w:rPr>
                      <w:rFonts w:hint="default" w:ascii="Times New Roman" w:hAnsi="Times New Roman" w:eastAsia="宋体" w:cs="Times New Roman"/>
                      <w:color w:val="auto"/>
                      <w:spacing w:val="0"/>
                      <w:w w:val="100"/>
                      <w:sz w:val="21"/>
                      <w:szCs w:val="21"/>
                      <w:lang w:eastAsia="zh-CN"/>
                    </w:rPr>
                    <w:t>定期</w:t>
                  </w:r>
                  <w:r>
                    <w:rPr>
                      <w:rFonts w:hint="default" w:ascii="Times New Roman" w:hAnsi="Times New Roman" w:eastAsia="宋体" w:cs="Times New Roman"/>
                      <w:color w:val="auto"/>
                      <w:spacing w:val="0"/>
                      <w:w w:val="100"/>
                      <w:sz w:val="21"/>
                      <w:szCs w:val="21"/>
                    </w:rPr>
                    <w:t>由</w:t>
                  </w:r>
                  <w:r>
                    <w:rPr>
                      <w:rFonts w:hint="default" w:ascii="Times New Roman" w:hAnsi="Times New Roman" w:eastAsia="宋体" w:cs="Times New Roman"/>
                      <w:color w:val="auto"/>
                      <w:spacing w:val="0"/>
                      <w:w w:val="100"/>
                      <w:sz w:val="21"/>
                      <w:szCs w:val="21"/>
                      <w:lang w:eastAsia="zh-CN"/>
                    </w:rPr>
                    <w:t>鄂尔多斯市仲安医疗废物集中处置有限公司处置</w:t>
                  </w:r>
                </w:p>
              </w:tc>
              <w:tc>
                <w:tcPr>
                  <w:tcW w:w="1708" w:type="dxa"/>
                  <w:vMerge w:val="restart"/>
                  <w:noWrap w:val="0"/>
                  <w:tcMar>
                    <w:top w:w="0" w:type="dxa"/>
                    <w:left w:w="28" w:type="dxa"/>
                    <w:bottom w:w="0" w:type="dxa"/>
                    <w:right w:w="28" w:type="dxa"/>
                  </w:tcMar>
                  <w:vAlign w:val="center"/>
                </w:tcPr>
                <w:p w14:paraId="2E9AA570">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r>
                    <w:rPr>
                      <w:rFonts w:hint="eastAsia" w:ascii="Times New Roman" w:hAnsi="Times New Roman" w:cs="Times New Roman"/>
                      <w:color w:val="auto"/>
                      <w:sz w:val="21"/>
                      <w:szCs w:val="21"/>
                    </w:rPr>
                    <w:t>《危险废物贮存污染控制标准》（GB 18597—2023）</w:t>
                  </w:r>
                </w:p>
              </w:tc>
              <w:tc>
                <w:tcPr>
                  <w:tcW w:w="437" w:type="dxa"/>
                  <w:vMerge w:val="continue"/>
                  <w:noWrap w:val="0"/>
                  <w:tcMar>
                    <w:top w:w="0" w:type="dxa"/>
                    <w:left w:w="28" w:type="dxa"/>
                    <w:bottom w:w="0" w:type="dxa"/>
                    <w:right w:w="28" w:type="dxa"/>
                  </w:tcMar>
                  <w:vAlign w:val="center"/>
                </w:tcPr>
                <w:p w14:paraId="2A2694BA">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p>
              </w:tc>
            </w:tr>
            <w:tr w14:paraId="65A5C3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530" w:type="dxa"/>
                  <w:vMerge w:val="continue"/>
                  <w:noWrap w:val="0"/>
                  <w:tcMar>
                    <w:top w:w="0" w:type="dxa"/>
                    <w:left w:w="28" w:type="dxa"/>
                    <w:bottom w:w="0" w:type="dxa"/>
                    <w:right w:w="28" w:type="dxa"/>
                  </w:tcMar>
                  <w:vAlign w:val="center"/>
                </w:tcPr>
                <w:p w14:paraId="26AC9478">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p>
              </w:tc>
              <w:tc>
                <w:tcPr>
                  <w:tcW w:w="854" w:type="dxa"/>
                  <w:noWrap w:val="0"/>
                  <w:tcMar>
                    <w:top w:w="0" w:type="dxa"/>
                    <w:left w:w="28" w:type="dxa"/>
                    <w:bottom w:w="0" w:type="dxa"/>
                    <w:right w:w="28" w:type="dxa"/>
                  </w:tcMar>
                  <w:vAlign w:val="center"/>
                </w:tcPr>
                <w:p w14:paraId="6029FED6">
                  <w:pPr>
                    <w:pStyle w:val="41"/>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污水处理</w:t>
                  </w:r>
                </w:p>
              </w:tc>
              <w:tc>
                <w:tcPr>
                  <w:tcW w:w="1322" w:type="dxa"/>
                  <w:noWrap w:val="0"/>
                  <w:tcMar>
                    <w:top w:w="0" w:type="dxa"/>
                    <w:left w:w="28" w:type="dxa"/>
                    <w:bottom w:w="0" w:type="dxa"/>
                    <w:right w:w="28" w:type="dxa"/>
                  </w:tcMar>
                  <w:vAlign w:val="center"/>
                </w:tcPr>
                <w:p w14:paraId="32E98B42">
                  <w:pPr>
                    <w:pStyle w:val="35"/>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cs="Times New Roman"/>
                      <w:color w:val="auto"/>
                      <w:sz w:val="21"/>
                      <w:szCs w:val="21"/>
                    </w:rPr>
                  </w:pPr>
                  <w:r>
                    <w:rPr>
                      <w:rFonts w:hint="default" w:ascii="Times New Roman" w:hAnsi="Times New Roman"/>
                      <w:color w:val="auto"/>
                      <w:sz w:val="21"/>
                      <w:szCs w:val="21"/>
                      <w:lang w:val="en-US" w:eastAsia="zh-CN"/>
                    </w:rPr>
                    <w:t>栅渣、化粪池和污水处理站污泥</w:t>
                  </w:r>
                </w:p>
              </w:tc>
              <w:tc>
                <w:tcPr>
                  <w:tcW w:w="3366" w:type="dxa"/>
                  <w:noWrap w:val="0"/>
                  <w:tcMar>
                    <w:top w:w="0" w:type="dxa"/>
                    <w:left w:w="28" w:type="dxa"/>
                    <w:bottom w:w="0" w:type="dxa"/>
                    <w:right w:w="28" w:type="dxa"/>
                  </w:tcMar>
                  <w:vAlign w:val="center"/>
                </w:tcPr>
                <w:p w14:paraId="4432CF50">
                  <w:pPr>
                    <w:pStyle w:val="35"/>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宋体" w:cs="Times New Roman"/>
                      <w:color w:val="auto"/>
                      <w:kern w:val="0"/>
                      <w:sz w:val="21"/>
                      <w:szCs w:val="21"/>
                      <w:lang w:val="zh-CN" w:eastAsia="zh-CN" w:bidi="zh-CN"/>
                    </w:rPr>
                  </w:pPr>
                  <w:r>
                    <w:rPr>
                      <w:rFonts w:hint="eastAsia" w:ascii="Times New Roman" w:hAnsi="Times New Roman" w:cs="Times New Roman"/>
                      <w:color w:val="auto"/>
                      <w:sz w:val="21"/>
                      <w:szCs w:val="21"/>
                    </w:rPr>
                    <w:t>暂存于</w:t>
                  </w:r>
                  <w:r>
                    <w:rPr>
                      <w:rFonts w:hint="eastAsia" w:ascii="Times New Roman" w:hAnsi="Times New Roman" w:cs="Times New Roman"/>
                      <w:color w:val="auto"/>
                      <w:sz w:val="21"/>
                      <w:szCs w:val="21"/>
                      <w:lang w:eastAsia="zh-CN"/>
                    </w:rPr>
                    <w:t>危废暂存库</w:t>
                  </w:r>
                  <w:r>
                    <w:rPr>
                      <w:rFonts w:hint="eastAsia" w:ascii="Times New Roman" w:hAnsi="Times New Roman" w:cs="Times New Roman"/>
                      <w:color w:val="auto"/>
                      <w:sz w:val="21"/>
                      <w:szCs w:val="21"/>
                    </w:rPr>
                    <w:t>，</w:t>
                  </w:r>
                  <w:r>
                    <w:rPr>
                      <w:rFonts w:hint="default" w:ascii="Times New Roman" w:hAnsi="Times New Roman" w:eastAsia="宋体" w:cs="Times New Roman"/>
                      <w:color w:val="auto"/>
                      <w:spacing w:val="0"/>
                      <w:w w:val="100"/>
                      <w:sz w:val="21"/>
                      <w:szCs w:val="21"/>
                      <w:lang w:eastAsia="zh-CN"/>
                    </w:rPr>
                    <w:t>定期</w:t>
                  </w:r>
                  <w:r>
                    <w:rPr>
                      <w:rFonts w:hint="default" w:ascii="Times New Roman" w:hAnsi="Times New Roman" w:eastAsia="宋体" w:cs="Times New Roman"/>
                      <w:color w:val="auto"/>
                      <w:spacing w:val="0"/>
                      <w:w w:val="100"/>
                      <w:sz w:val="21"/>
                      <w:szCs w:val="21"/>
                    </w:rPr>
                    <w:t>由</w:t>
                  </w:r>
                  <w:r>
                    <w:rPr>
                      <w:rFonts w:hint="default" w:ascii="Times New Roman" w:hAnsi="Times New Roman" w:eastAsia="宋体" w:cs="Times New Roman"/>
                      <w:color w:val="auto"/>
                      <w:spacing w:val="0"/>
                      <w:w w:val="100"/>
                      <w:sz w:val="21"/>
                      <w:szCs w:val="21"/>
                      <w:lang w:eastAsia="zh-CN"/>
                    </w:rPr>
                    <w:t>鄂尔多斯市</w:t>
                  </w:r>
                  <w:r>
                    <w:rPr>
                      <w:rFonts w:hint="eastAsia" w:ascii="Times New Roman" w:hAnsi="Times New Roman" w:eastAsia="宋体" w:cs="Times New Roman"/>
                      <w:color w:val="auto"/>
                      <w:spacing w:val="0"/>
                      <w:w w:val="100"/>
                      <w:sz w:val="21"/>
                      <w:szCs w:val="21"/>
                      <w:lang w:val="en-US" w:eastAsia="zh-CN"/>
                    </w:rPr>
                    <w:t>馨蕊</w:t>
                  </w:r>
                  <w:r>
                    <w:rPr>
                      <w:rFonts w:hint="default" w:ascii="Times New Roman" w:hAnsi="Times New Roman" w:eastAsia="宋体" w:cs="Times New Roman"/>
                      <w:color w:val="auto"/>
                      <w:spacing w:val="0"/>
                      <w:w w:val="100"/>
                      <w:sz w:val="21"/>
                      <w:szCs w:val="21"/>
                      <w:lang w:eastAsia="zh-CN"/>
                    </w:rPr>
                    <w:t>医疗废物处置有限</w:t>
                  </w:r>
                  <w:r>
                    <w:rPr>
                      <w:rFonts w:hint="eastAsia" w:ascii="Times New Roman" w:hAnsi="Times New Roman" w:eastAsia="宋体" w:cs="Times New Roman"/>
                      <w:color w:val="auto"/>
                      <w:spacing w:val="0"/>
                      <w:w w:val="100"/>
                      <w:sz w:val="21"/>
                      <w:szCs w:val="21"/>
                      <w:lang w:val="en-US" w:eastAsia="zh-CN"/>
                    </w:rPr>
                    <w:t>责任</w:t>
                  </w:r>
                  <w:r>
                    <w:rPr>
                      <w:rFonts w:hint="default" w:ascii="Times New Roman" w:hAnsi="Times New Roman" w:eastAsia="宋体" w:cs="Times New Roman"/>
                      <w:color w:val="auto"/>
                      <w:spacing w:val="0"/>
                      <w:w w:val="100"/>
                      <w:sz w:val="21"/>
                      <w:szCs w:val="21"/>
                      <w:lang w:eastAsia="zh-CN"/>
                    </w:rPr>
                    <w:t>公司处置</w:t>
                  </w:r>
                </w:p>
              </w:tc>
              <w:tc>
                <w:tcPr>
                  <w:tcW w:w="1708" w:type="dxa"/>
                  <w:vMerge w:val="continue"/>
                  <w:noWrap w:val="0"/>
                  <w:tcMar>
                    <w:top w:w="0" w:type="dxa"/>
                    <w:left w:w="28" w:type="dxa"/>
                    <w:bottom w:w="0" w:type="dxa"/>
                    <w:right w:w="28" w:type="dxa"/>
                  </w:tcMar>
                  <w:vAlign w:val="center"/>
                </w:tcPr>
                <w:p w14:paraId="2E25DA13">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p>
              </w:tc>
              <w:tc>
                <w:tcPr>
                  <w:tcW w:w="437" w:type="dxa"/>
                  <w:vMerge w:val="continue"/>
                  <w:noWrap w:val="0"/>
                  <w:tcMar>
                    <w:top w:w="0" w:type="dxa"/>
                    <w:left w:w="28" w:type="dxa"/>
                    <w:bottom w:w="0" w:type="dxa"/>
                    <w:right w:w="28" w:type="dxa"/>
                  </w:tcMar>
                  <w:vAlign w:val="center"/>
                </w:tcPr>
                <w:p w14:paraId="1BDBA3B6">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p>
              </w:tc>
            </w:tr>
            <w:tr w14:paraId="00D32C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530" w:type="dxa"/>
                  <w:noWrap w:val="0"/>
                  <w:tcMar>
                    <w:top w:w="0" w:type="dxa"/>
                    <w:left w:w="28" w:type="dxa"/>
                    <w:bottom w:w="0" w:type="dxa"/>
                    <w:right w:w="28" w:type="dxa"/>
                  </w:tcMar>
                  <w:vAlign w:val="center"/>
                </w:tcPr>
                <w:p w14:paraId="1E58AC84">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r>
                    <w:rPr>
                      <w:rFonts w:ascii="Times New Roman" w:hAnsi="Times New Roman" w:cs="Times New Roman"/>
                      <w:color w:val="auto"/>
                      <w:sz w:val="21"/>
                      <w:szCs w:val="21"/>
                    </w:rPr>
                    <w:t>噪声</w:t>
                  </w:r>
                </w:p>
              </w:tc>
              <w:tc>
                <w:tcPr>
                  <w:tcW w:w="854" w:type="dxa"/>
                  <w:noWrap w:val="0"/>
                  <w:tcMar>
                    <w:top w:w="0" w:type="dxa"/>
                    <w:left w:w="28" w:type="dxa"/>
                    <w:bottom w:w="0" w:type="dxa"/>
                    <w:right w:w="28" w:type="dxa"/>
                  </w:tcMar>
                  <w:vAlign w:val="center"/>
                </w:tcPr>
                <w:p w14:paraId="4592F4E8">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宋体" w:cs="Times New Roman"/>
                      <w:color w:val="auto"/>
                      <w:sz w:val="21"/>
                      <w:szCs w:val="21"/>
                      <w:highlight w:val="yellow"/>
                      <w:lang w:eastAsia="zh-CN"/>
                    </w:rPr>
                  </w:pPr>
                  <w:r>
                    <w:rPr>
                      <w:rFonts w:ascii="Times New Roman" w:hAnsi="Times New Roman" w:cs="Times New Roman"/>
                      <w:color w:val="auto"/>
                      <w:sz w:val="21"/>
                      <w:szCs w:val="21"/>
                    </w:rPr>
                    <w:t>产噪设备</w:t>
                  </w:r>
                  <w:r>
                    <w:rPr>
                      <w:rFonts w:hint="eastAsia" w:ascii="Times New Roman" w:hAnsi="Times New Roman" w:cs="Times New Roman"/>
                      <w:color w:val="auto"/>
                      <w:sz w:val="21"/>
                      <w:szCs w:val="21"/>
                      <w:lang w:eastAsia="zh-CN"/>
                    </w:rPr>
                    <w:t>、就诊人员</w:t>
                  </w:r>
                </w:p>
              </w:tc>
              <w:tc>
                <w:tcPr>
                  <w:tcW w:w="1322" w:type="dxa"/>
                  <w:noWrap w:val="0"/>
                  <w:tcMar>
                    <w:top w:w="0" w:type="dxa"/>
                    <w:left w:w="28" w:type="dxa"/>
                    <w:bottom w:w="0" w:type="dxa"/>
                    <w:right w:w="28" w:type="dxa"/>
                  </w:tcMar>
                  <w:vAlign w:val="center"/>
                </w:tcPr>
                <w:p w14:paraId="6D868981">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宋体" w:cs="Times New Roman"/>
                      <w:color w:val="auto"/>
                      <w:sz w:val="21"/>
                      <w:szCs w:val="21"/>
                      <w:highlight w:val="yellow"/>
                      <w:lang w:eastAsia="zh-CN"/>
                    </w:rPr>
                  </w:pPr>
                  <w:r>
                    <w:rPr>
                      <w:rFonts w:hint="eastAsia" w:ascii="Times New Roman" w:hAnsi="Times New Roman" w:cs="Times New Roman"/>
                      <w:color w:val="auto"/>
                      <w:sz w:val="21"/>
                      <w:szCs w:val="21"/>
                      <w:highlight w:val="none"/>
                      <w:lang w:eastAsia="zh-CN"/>
                    </w:rPr>
                    <w:t>设备噪声、人员噪声</w:t>
                  </w:r>
                </w:p>
              </w:tc>
              <w:tc>
                <w:tcPr>
                  <w:tcW w:w="3366" w:type="dxa"/>
                  <w:noWrap w:val="0"/>
                  <w:tcMar>
                    <w:top w:w="0" w:type="dxa"/>
                    <w:left w:w="28" w:type="dxa"/>
                    <w:bottom w:w="0" w:type="dxa"/>
                    <w:right w:w="28" w:type="dxa"/>
                  </w:tcMar>
                  <w:vAlign w:val="center"/>
                </w:tcPr>
                <w:p w14:paraId="450681A1">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highlight w:val="yellow"/>
                      <w:lang w:val="en-US" w:eastAsia="zh-CN" w:bidi="zh-CN"/>
                    </w:rPr>
                  </w:pPr>
                  <w:r>
                    <w:rPr>
                      <w:rFonts w:hint="eastAsia" w:ascii="Times New Roman" w:hAnsi="Times New Roman" w:cs="Times New Roman"/>
                      <w:color w:val="auto"/>
                      <w:sz w:val="21"/>
                      <w:szCs w:val="21"/>
                      <w:lang w:val="en-US"/>
                    </w:rPr>
                    <w:t>高噪声医疗仪器诊室采用隔声门窗措施，污水处理站采取基础减振、消声、隔声等措施</w:t>
                  </w:r>
                </w:p>
              </w:tc>
              <w:tc>
                <w:tcPr>
                  <w:tcW w:w="1708" w:type="dxa"/>
                  <w:noWrap w:val="0"/>
                  <w:tcMar>
                    <w:top w:w="0" w:type="dxa"/>
                    <w:left w:w="28" w:type="dxa"/>
                    <w:bottom w:w="0" w:type="dxa"/>
                    <w:right w:w="28" w:type="dxa"/>
                  </w:tcMar>
                  <w:vAlign w:val="center"/>
                </w:tcPr>
                <w:p w14:paraId="78D5A0AD">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r>
                    <w:rPr>
                      <w:rFonts w:ascii="Times New Roman" w:hAnsi="Times New Roman" w:cs="Times New Roman"/>
                      <w:color w:val="auto"/>
                      <w:sz w:val="21"/>
                      <w:szCs w:val="21"/>
                    </w:rPr>
                    <w:t>《工业企业厂界环境噪声排放标准》（GB12348-2008）</w:t>
                  </w:r>
                  <w:r>
                    <w:rPr>
                      <w:rFonts w:hint="eastAsia" w:ascii="Times New Roman" w:hAnsi="Times New Roman" w:cs="Times New Roman"/>
                      <w:color w:val="auto"/>
                      <w:sz w:val="21"/>
                      <w:szCs w:val="21"/>
                      <w:lang w:val="en-US" w:eastAsia="zh-CN"/>
                    </w:rPr>
                    <w:t>1</w:t>
                  </w:r>
                  <w:r>
                    <w:rPr>
                      <w:rFonts w:ascii="Times New Roman" w:hAnsi="Times New Roman" w:cs="Times New Roman"/>
                      <w:color w:val="auto"/>
                      <w:sz w:val="21"/>
                      <w:szCs w:val="21"/>
                    </w:rPr>
                    <w:t>类标准</w:t>
                  </w:r>
                </w:p>
              </w:tc>
              <w:tc>
                <w:tcPr>
                  <w:tcW w:w="437" w:type="dxa"/>
                  <w:vMerge w:val="continue"/>
                  <w:noWrap w:val="0"/>
                  <w:tcMar>
                    <w:top w:w="0" w:type="dxa"/>
                    <w:left w:w="28" w:type="dxa"/>
                    <w:bottom w:w="0" w:type="dxa"/>
                    <w:right w:w="28" w:type="dxa"/>
                  </w:tcMar>
                  <w:vAlign w:val="center"/>
                </w:tcPr>
                <w:p w14:paraId="45883FFE">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p>
              </w:tc>
            </w:tr>
            <w:tr w14:paraId="2267BD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99" w:hRule="atLeast"/>
                <w:jc w:val="center"/>
              </w:trPr>
              <w:tc>
                <w:tcPr>
                  <w:tcW w:w="530" w:type="dxa"/>
                  <w:noWrap w:val="0"/>
                  <w:tcMar>
                    <w:top w:w="0" w:type="dxa"/>
                    <w:left w:w="28" w:type="dxa"/>
                    <w:bottom w:w="0" w:type="dxa"/>
                    <w:right w:w="28" w:type="dxa"/>
                  </w:tcMar>
                  <w:vAlign w:val="center"/>
                </w:tcPr>
                <w:p w14:paraId="2EDDEAE0">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r>
                    <w:rPr>
                      <w:rFonts w:ascii="Times New Roman" w:hAnsi="Times New Roman" w:cs="Times New Roman"/>
                      <w:color w:val="auto"/>
                      <w:sz w:val="21"/>
                      <w:szCs w:val="21"/>
                    </w:rPr>
                    <w:t>防渗</w:t>
                  </w:r>
                </w:p>
              </w:tc>
              <w:tc>
                <w:tcPr>
                  <w:tcW w:w="7250" w:type="dxa"/>
                  <w:gridSpan w:val="4"/>
                  <w:noWrap w:val="0"/>
                  <w:tcMar>
                    <w:top w:w="0" w:type="dxa"/>
                    <w:left w:w="28" w:type="dxa"/>
                    <w:bottom w:w="0" w:type="dxa"/>
                    <w:right w:w="28" w:type="dxa"/>
                  </w:tcMar>
                  <w:vAlign w:val="center"/>
                </w:tcPr>
                <w:p w14:paraId="09773C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Times New Roman" w:hAnsi="Times New Roman" w:eastAsia="宋体" w:cs="Times New Roman"/>
                      <w:color w:val="auto"/>
                      <w:spacing w:val="0"/>
                      <w:w w:val="100"/>
                      <w:sz w:val="21"/>
                      <w:szCs w:val="21"/>
                      <w:lang w:eastAsia="zh-CN"/>
                    </w:rPr>
                  </w:pPr>
                  <w:r>
                    <w:rPr>
                      <w:rFonts w:hint="eastAsia" w:ascii="Times New Roman" w:hAnsi="Times New Roman" w:eastAsia="宋体" w:cs="Times New Roman"/>
                      <w:color w:val="auto"/>
                      <w:spacing w:val="0"/>
                      <w:w w:val="100"/>
                      <w:sz w:val="21"/>
                      <w:szCs w:val="21"/>
                      <w:lang w:eastAsia="zh-CN"/>
                    </w:rPr>
                    <w:t>危废暂存库：按照《危险废物贮存污染控制标准》（GB 18597—2023）要求进行防渗，地面要求硬化、耐腐蚀、防渗漏，且表面无裂隙，地面及裙脚基础垫层+2mmHDPE膜+环氧砂浆涂层，墙壁防渗防腐衬层高度为50cm，保证构筑物渗透系数不大于1.0×10</w:t>
                  </w:r>
                  <w:r>
                    <w:rPr>
                      <w:rFonts w:hint="eastAsia" w:ascii="Times New Roman" w:hAnsi="Times New Roman" w:eastAsia="宋体" w:cs="Times New Roman"/>
                      <w:color w:val="auto"/>
                      <w:spacing w:val="0"/>
                      <w:w w:val="100"/>
                      <w:sz w:val="21"/>
                      <w:szCs w:val="21"/>
                      <w:vertAlign w:val="superscript"/>
                      <w:lang w:eastAsia="zh-CN"/>
                    </w:rPr>
                    <w:t>-10</w:t>
                  </w:r>
                  <w:r>
                    <w:rPr>
                      <w:rFonts w:hint="eastAsia" w:ascii="Times New Roman" w:hAnsi="Times New Roman" w:eastAsia="宋体" w:cs="Times New Roman"/>
                      <w:color w:val="auto"/>
                      <w:spacing w:val="0"/>
                      <w:w w:val="100"/>
                      <w:sz w:val="21"/>
                      <w:szCs w:val="21"/>
                      <w:lang w:eastAsia="zh-CN"/>
                    </w:rPr>
                    <w:t>cm/s；</w:t>
                  </w:r>
                </w:p>
                <w:p w14:paraId="449710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default" w:ascii="Times New Roman" w:hAnsi="Times New Roman" w:eastAsia="宋体" w:cs="Times New Roman"/>
                      <w:color w:val="auto"/>
                      <w:spacing w:val="0"/>
                      <w:w w:val="100"/>
                      <w:sz w:val="21"/>
                      <w:szCs w:val="21"/>
                      <w:lang w:val="en-US" w:eastAsia="zh-CN" w:bidi="zh-CN"/>
                    </w:rPr>
                  </w:pPr>
                  <w:r>
                    <w:rPr>
                      <w:rFonts w:hint="eastAsia" w:ascii="Times New Roman" w:hAnsi="Times New Roman" w:eastAsia="宋体" w:cs="Times New Roman"/>
                      <w:color w:val="auto"/>
                      <w:spacing w:val="0"/>
                      <w:w w:val="100"/>
                      <w:sz w:val="21"/>
                      <w:szCs w:val="21"/>
                      <w:lang w:eastAsia="zh-CN"/>
                    </w:rPr>
                    <w:t>污水处理站：采用20cm混凝土防渗层；墙壁防渗防腐衬层高度为50cm，保证构筑物渗透系数不大于1.0×10</w:t>
                  </w:r>
                  <w:r>
                    <w:rPr>
                      <w:rFonts w:hint="eastAsia" w:ascii="Times New Roman" w:hAnsi="Times New Roman" w:eastAsia="宋体" w:cs="Times New Roman"/>
                      <w:color w:val="auto"/>
                      <w:spacing w:val="0"/>
                      <w:w w:val="100"/>
                      <w:sz w:val="21"/>
                      <w:szCs w:val="21"/>
                      <w:vertAlign w:val="superscript"/>
                      <w:lang w:eastAsia="zh-CN"/>
                    </w:rPr>
                    <w:t>-7</w:t>
                  </w:r>
                  <w:r>
                    <w:rPr>
                      <w:rFonts w:hint="eastAsia" w:ascii="Times New Roman" w:hAnsi="Times New Roman" w:eastAsia="宋体" w:cs="Times New Roman"/>
                      <w:color w:val="auto"/>
                      <w:spacing w:val="0"/>
                      <w:w w:val="100"/>
                      <w:sz w:val="21"/>
                      <w:szCs w:val="21"/>
                      <w:lang w:eastAsia="zh-CN"/>
                    </w:rPr>
                    <w:t>cm/s</w:t>
                  </w:r>
                </w:p>
              </w:tc>
              <w:tc>
                <w:tcPr>
                  <w:tcW w:w="437" w:type="dxa"/>
                  <w:vMerge w:val="continue"/>
                  <w:noWrap w:val="0"/>
                  <w:tcMar>
                    <w:top w:w="0" w:type="dxa"/>
                    <w:left w:w="28" w:type="dxa"/>
                    <w:bottom w:w="0" w:type="dxa"/>
                    <w:right w:w="28" w:type="dxa"/>
                  </w:tcMar>
                  <w:vAlign w:val="center"/>
                </w:tcPr>
                <w:p w14:paraId="2AA8B215">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Times New Roman" w:hAnsi="Times New Roman" w:cs="Times New Roman"/>
                      <w:color w:val="auto"/>
                      <w:sz w:val="21"/>
                      <w:szCs w:val="21"/>
                    </w:rPr>
                  </w:pPr>
                </w:p>
              </w:tc>
            </w:tr>
          </w:tbl>
          <w:p w14:paraId="398DCE78">
            <w:pPr>
              <w:pStyle w:val="45"/>
              <w:spacing w:line="520" w:lineRule="exact"/>
              <w:ind w:firstLine="482" w:firstLineChars="200"/>
              <w:jc w:val="both"/>
              <w:rPr>
                <w:rFonts w:hint="eastAsia" w:ascii="Times New Roman" w:hAnsi="Times New Roman" w:cs="Times New Roman"/>
                <w:b/>
                <w:bCs/>
                <w:color w:val="auto"/>
                <w:sz w:val="24"/>
                <w:szCs w:val="24"/>
                <w:lang w:val="en-US"/>
              </w:rPr>
            </w:pPr>
            <w:r>
              <w:rPr>
                <w:rFonts w:hint="eastAsia" w:ascii="Times New Roman" w:hAnsi="Times New Roman" w:cs="Times New Roman"/>
                <w:b/>
                <w:bCs/>
                <w:color w:val="auto"/>
                <w:sz w:val="24"/>
                <w:szCs w:val="24"/>
                <w:lang w:val="en-US"/>
              </w:rPr>
              <w:t>10、环保投资</w:t>
            </w:r>
          </w:p>
          <w:p w14:paraId="26CB8517">
            <w:pPr>
              <w:pStyle w:val="45"/>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本工程总投资为</w:t>
            </w:r>
            <w:r>
              <w:rPr>
                <w:rFonts w:hint="eastAsia" w:ascii="Times New Roman" w:hAnsi="Times New Roman" w:cs="Times New Roman"/>
                <w:color w:val="auto"/>
                <w:sz w:val="24"/>
                <w:szCs w:val="24"/>
                <w:lang w:val="en-US" w:eastAsia="zh-CN"/>
              </w:rPr>
              <w:t>5</w:t>
            </w:r>
            <w:r>
              <w:rPr>
                <w:rFonts w:hint="eastAsia" w:ascii="Times New Roman" w:hAnsi="Times New Roman" w:cs="Times New Roman"/>
                <w:color w:val="auto"/>
                <w:sz w:val="24"/>
                <w:szCs w:val="24"/>
                <w:lang w:val="en-US"/>
              </w:rPr>
              <w:t>00万元，其中环保投资</w:t>
            </w:r>
            <w:r>
              <w:rPr>
                <w:rFonts w:hint="eastAsia" w:ascii="Times New Roman" w:hAnsi="Times New Roman" w:cs="Times New Roman"/>
                <w:color w:val="auto"/>
                <w:sz w:val="24"/>
                <w:szCs w:val="24"/>
                <w:lang w:val="en-US" w:eastAsia="zh-CN"/>
              </w:rPr>
              <w:t>90.65</w:t>
            </w:r>
            <w:r>
              <w:rPr>
                <w:rFonts w:hint="eastAsia" w:ascii="Times New Roman" w:hAnsi="Times New Roman" w:cs="Times New Roman"/>
                <w:color w:val="auto"/>
                <w:sz w:val="24"/>
                <w:szCs w:val="24"/>
                <w:lang w:val="en-US"/>
              </w:rPr>
              <w:t>万元，占总投资的</w:t>
            </w:r>
            <w:r>
              <w:rPr>
                <w:rFonts w:hint="eastAsia" w:ascii="Times New Roman" w:hAnsi="Times New Roman" w:cs="Times New Roman"/>
                <w:color w:val="auto"/>
                <w:sz w:val="24"/>
                <w:szCs w:val="24"/>
                <w:lang w:val="en-US" w:eastAsia="zh-CN"/>
              </w:rPr>
              <w:t>18.13</w:t>
            </w:r>
            <w:r>
              <w:rPr>
                <w:rFonts w:hint="eastAsia" w:ascii="Times New Roman" w:hAnsi="Times New Roman" w:cs="Times New Roman"/>
                <w:color w:val="auto"/>
                <w:sz w:val="24"/>
                <w:szCs w:val="24"/>
                <w:lang w:val="en-US"/>
              </w:rPr>
              <w:t>%</w:t>
            </w:r>
            <w:r>
              <w:rPr>
                <w:rFonts w:hint="eastAsia" w:ascii="Times New Roman" w:hAnsi="Times New Roman" w:cs="Times New Roman"/>
                <w:color w:val="auto"/>
                <w:sz w:val="24"/>
                <w:szCs w:val="24"/>
                <w:lang w:val="en-US" w:eastAsia="zh-CN"/>
              </w:rPr>
              <w:t>。</w:t>
            </w:r>
            <w:r>
              <w:rPr>
                <w:rFonts w:ascii="Times New Roman" w:hAnsi="Times New Roman" w:cs="Times New Roman"/>
                <w:color w:val="auto"/>
                <w:sz w:val="24"/>
                <w:szCs w:val="24"/>
                <w:lang w:val="en-US"/>
              </w:rPr>
              <w:t>项目</w:t>
            </w:r>
            <w:r>
              <w:rPr>
                <w:rFonts w:hint="eastAsia" w:ascii="Times New Roman" w:hAnsi="Times New Roman" w:cs="Times New Roman"/>
                <w:color w:val="auto"/>
                <w:sz w:val="24"/>
                <w:szCs w:val="24"/>
                <w:lang w:val="en-US"/>
              </w:rPr>
              <w:t>环保投资</w:t>
            </w:r>
            <w:r>
              <w:rPr>
                <w:rFonts w:ascii="Times New Roman" w:hAnsi="Times New Roman" w:cs="Times New Roman"/>
                <w:color w:val="auto"/>
                <w:sz w:val="24"/>
                <w:szCs w:val="24"/>
                <w:lang w:val="en-US"/>
              </w:rPr>
              <w:t>一览表见表4-</w:t>
            </w:r>
            <w:r>
              <w:rPr>
                <w:rFonts w:hint="eastAsia" w:ascii="Times New Roman" w:hAnsi="Times New Roman" w:cs="Times New Roman"/>
                <w:color w:val="auto"/>
                <w:sz w:val="24"/>
                <w:szCs w:val="24"/>
                <w:lang w:val="en-US" w:eastAsia="zh-CN"/>
              </w:rPr>
              <w:t>16</w:t>
            </w:r>
            <w:r>
              <w:rPr>
                <w:rFonts w:hint="eastAsia" w:ascii="Times New Roman" w:hAnsi="Times New Roman" w:cs="Times New Roman"/>
                <w:color w:val="auto"/>
                <w:sz w:val="24"/>
                <w:szCs w:val="24"/>
                <w:lang w:val="en-US"/>
              </w:rPr>
              <w:t>。</w:t>
            </w:r>
            <w:r>
              <w:rPr>
                <w:rFonts w:ascii="Times New Roman" w:hAnsi="Times New Roman" w:cs="Times New Roman"/>
                <w:color w:val="auto"/>
                <w:sz w:val="24"/>
                <w:szCs w:val="24"/>
                <w:lang w:val="en-US"/>
              </w:rPr>
              <w:t xml:space="preserve"> </w:t>
            </w:r>
          </w:p>
          <w:p w14:paraId="659C5756">
            <w:pPr>
              <w:pStyle w:val="45"/>
              <w:spacing w:line="520" w:lineRule="exact"/>
              <w:jc w:val="center"/>
              <w:rPr>
                <w:rFonts w:hint="eastAsia" w:ascii="Times New Roman" w:hAnsi="Times New Roman" w:cs="Times New Roman"/>
                <w:b/>
                <w:bCs/>
                <w:color w:val="auto"/>
                <w:sz w:val="24"/>
                <w:szCs w:val="24"/>
                <w:lang w:val="en-US"/>
              </w:rPr>
            </w:pPr>
            <w:r>
              <w:rPr>
                <w:rFonts w:hint="eastAsia" w:ascii="Times New Roman" w:hAnsi="Times New Roman" w:cs="Times New Roman"/>
                <w:b/>
                <w:bCs/>
                <w:color w:val="auto"/>
                <w:sz w:val="24"/>
                <w:szCs w:val="24"/>
                <w:lang w:val="en-US"/>
              </w:rPr>
              <w:t>表4-</w:t>
            </w:r>
            <w:r>
              <w:rPr>
                <w:rFonts w:hint="eastAsia" w:ascii="Times New Roman" w:hAnsi="Times New Roman" w:cs="Times New Roman"/>
                <w:b/>
                <w:bCs/>
                <w:color w:val="auto"/>
                <w:sz w:val="24"/>
                <w:szCs w:val="24"/>
                <w:lang w:val="en-US" w:eastAsia="zh-CN"/>
              </w:rPr>
              <w:t>16</w:t>
            </w:r>
            <w:r>
              <w:rPr>
                <w:rFonts w:hint="eastAsia" w:ascii="Times New Roman" w:hAnsi="Times New Roman" w:cs="Times New Roman"/>
                <w:b/>
                <w:bCs/>
                <w:color w:val="auto"/>
                <w:sz w:val="24"/>
                <w:szCs w:val="24"/>
                <w:lang w:val="en-US"/>
              </w:rPr>
              <w:t xml:space="preserve">       环保投资一览表</w:t>
            </w:r>
          </w:p>
          <w:tbl>
            <w:tblPr>
              <w:tblStyle w:val="20"/>
              <w:tblW w:w="826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494"/>
              <w:gridCol w:w="909"/>
              <w:gridCol w:w="1594"/>
              <w:gridCol w:w="4333"/>
              <w:gridCol w:w="935"/>
            </w:tblGrid>
            <w:tr w14:paraId="152696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jc w:val="center"/>
              </w:trPr>
              <w:tc>
                <w:tcPr>
                  <w:tcW w:w="494" w:type="dxa"/>
                  <w:noWrap w:val="0"/>
                  <w:vAlign w:val="center"/>
                </w:tcPr>
                <w:p w14:paraId="16E3D02D">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类型</w:t>
                  </w:r>
                </w:p>
              </w:tc>
              <w:tc>
                <w:tcPr>
                  <w:tcW w:w="909" w:type="dxa"/>
                  <w:noWrap w:val="0"/>
                  <w:vAlign w:val="center"/>
                </w:tcPr>
                <w:p w14:paraId="22E4E086">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污染工序</w:t>
                  </w:r>
                </w:p>
              </w:tc>
              <w:tc>
                <w:tcPr>
                  <w:tcW w:w="1594" w:type="dxa"/>
                  <w:noWrap w:val="0"/>
                  <w:vAlign w:val="center"/>
                </w:tcPr>
                <w:p w14:paraId="2E583207">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污染物</w:t>
                  </w:r>
                </w:p>
              </w:tc>
              <w:tc>
                <w:tcPr>
                  <w:tcW w:w="4333" w:type="dxa"/>
                  <w:noWrap w:val="0"/>
                  <w:vAlign w:val="center"/>
                </w:tcPr>
                <w:p w14:paraId="61A710B4">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环保措施</w:t>
                  </w:r>
                </w:p>
              </w:tc>
              <w:tc>
                <w:tcPr>
                  <w:tcW w:w="935" w:type="dxa"/>
                  <w:noWrap w:val="0"/>
                  <w:vAlign w:val="center"/>
                </w:tcPr>
                <w:p w14:paraId="55BD2D31">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投资</w:t>
                  </w:r>
                </w:p>
                <w:p w14:paraId="245E05C5">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（万元）</w:t>
                  </w:r>
                </w:p>
              </w:tc>
            </w:tr>
            <w:tr w14:paraId="066650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94" w:type="dxa"/>
                  <w:noWrap w:val="0"/>
                  <w:vAlign w:val="center"/>
                </w:tcPr>
                <w:p w14:paraId="43D599CA">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废气</w:t>
                  </w:r>
                </w:p>
              </w:tc>
              <w:tc>
                <w:tcPr>
                  <w:tcW w:w="909" w:type="dxa"/>
                  <w:noWrap w:val="0"/>
                  <w:vAlign w:val="center"/>
                </w:tcPr>
                <w:p w14:paraId="737FE4F3">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sz w:val="21"/>
                      <w:szCs w:val="21"/>
                      <w:lang w:val="zh-CN" w:eastAsia="zh-CN" w:bidi="zh-CN"/>
                    </w:rPr>
                  </w:pPr>
                  <w:r>
                    <w:rPr>
                      <w:rFonts w:hint="default" w:ascii="Times New Roman" w:hAnsi="Times New Roman" w:cs="Times New Roman"/>
                      <w:color w:val="auto"/>
                      <w:sz w:val="21"/>
                      <w:szCs w:val="21"/>
                      <w:lang w:eastAsia="zh-CN"/>
                    </w:rPr>
                    <w:t>污水处理站</w:t>
                  </w:r>
                  <w:r>
                    <w:rPr>
                      <w:rFonts w:hint="default" w:ascii="Times New Roman" w:hAnsi="Times New Roman" w:eastAsia="宋体" w:cs="Times New Roman"/>
                      <w:color w:val="auto"/>
                      <w:sz w:val="21"/>
                      <w:szCs w:val="21"/>
                      <w:lang w:eastAsia="zh-CN"/>
                    </w:rPr>
                    <w:t>恶臭</w:t>
                  </w:r>
                </w:p>
              </w:tc>
              <w:tc>
                <w:tcPr>
                  <w:tcW w:w="1594" w:type="dxa"/>
                  <w:noWrap w:val="0"/>
                  <w:vAlign w:val="center"/>
                </w:tcPr>
                <w:p w14:paraId="1F2E9653">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rPr>
                    <w:t>氨、硫化氢</w:t>
                  </w:r>
                </w:p>
              </w:tc>
              <w:tc>
                <w:tcPr>
                  <w:tcW w:w="4333" w:type="dxa"/>
                  <w:noWrap w:val="0"/>
                  <w:vAlign w:val="center"/>
                </w:tcPr>
                <w:p w14:paraId="474FADD7">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lang w:val="zh-CN" w:eastAsia="zh-CN" w:bidi="zh-CN"/>
                    </w:rPr>
                  </w:pPr>
                  <w:r>
                    <w:rPr>
                      <w:rFonts w:hint="eastAsia" w:ascii="Times New Roman" w:hAnsi="Times New Roman" w:cs="Times New Roman"/>
                      <w:color w:val="auto"/>
                      <w:sz w:val="21"/>
                      <w:szCs w:val="21"/>
                      <w:lang w:val="en-US" w:eastAsia="zh-CN"/>
                    </w:rPr>
                    <w:t>污水处理设施为地埋式，各构筑物密封加盖，</w:t>
                  </w:r>
                  <w:r>
                    <w:rPr>
                      <w:rFonts w:hint="default" w:ascii="Times New Roman" w:hAnsi="Times New Roman" w:cs="Times New Roman"/>
                      <w:color w:val="auto"/>
                      <w:sz w:val="21"/>
                      <w:szCs w:val="21"/>
                      <w:lang w:val="en-US" w:eastAsia="zh-CN"/>
                    </w:rPr>
                    <w:t>喷洒除臭剂除臭</w:t>
                  </w:r>
                </w:p>
              </w:tc>
              <w:tc>
                <w:tcPr>
                  <w:tcW w:w="935" w:type="dxa"/>
                  <w:noWrap w:val="0"/>
                  <w:vAlign w:val="center"/>
                </w:tcPr>
                <w:p w14:paraId="79925638">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5</w:t>
                  </w:r>
                </w:p>
              </w:tc>
            </w:tr>
            <w:tr w14:paraId="3F875A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94" w:type="dxa"/>
                  <w:noWrap w:val="0"/>
                  <w:vAlign w:val="center"/>
                </w:tcPr>
                <w:p w14:paraId="1E1E624E">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废水</w:t>
                  </w:r>
                </w:p>
              </w:tc>
              <w:tc>
                <w:tcPr>
                  <w:tcW w:w="909" w:type="dxa"/>
                  <w:noWrap w:val="0"/>
                  <w:vAlign w:val="center"/>
                </w:tcPr>
                <w:p w14:paraId="07551243">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bCs/>
                      <w:color w:val="auto"/>
                      <w:sz w:val="21"/>
                      <w:szCs w:val="21"/>
                      <w:lang w:val="zh-CN" w:eastAsia="zh-CN" w:bidi="ar"/>
                    </w:rPr>
                  </w:pPr>
                  <w:r>
                    <w:rPr>
                      <w:rFonts w:hint="default" w:ascii="Times New Roman" w:hAnsi="Times New Roman" w:cs="Times New Roman"/>
                      <w:bCs/>
                      <w:color w:val="auto"/>
                      <w:sz w:val="21"/>
                      <w:szCs w:val="21"/>
                      <w:lang w:eastAsia="zh-CN" w:bidi="ar"/>
                    </w:rPr>
                    <w:t>医疗废水</w:t>
                  </w:r>
                </w:p>
              </w:tc>
              <w:tc>
                <w:tcPr>
                  <w:tcW w:w="1594" w:type="dxa"/>
                  <w:noWrap w:val="0"/>
                  <w:vAlign w:val="center"/>
                </w:tcPr>
                <w:p w14:paraId="321A6A6D">
                  <w:pPr>
                    <w:pStyle w:val="36"/>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kern w:val="0"/>
                      <w:sz w:val="21"/>
                      <w:szCs w:val="21"/>
                      <w:lang w:val="en-US" w:eastAsia="zh-CN" w:bidi="zh-CN"/>
                    </w:rPr>
                  </w:pPr>
                  <w:r>
                    <w:rPr>
                      <w:rFonts w:hint="default" w:ascii="Times New Roman" w:hAnsi="Times New Roman" w:eastAsia="宋体" w:cs="Times New Roman"/>
                      <w:color w:val="auto"/>
                      <w:kern w:val="0"/>
                      <w:sz w:val="21"/>
                      <w:szCs w:val="21"/>
                      <w:lang w:val="en-US" w:eastAsia="zh-CN" w:bidi="zh-CN"/>
                    </w:rPr>
                    <w:t>COD、BOD</w:t>
                  </w:r>
                  <w:r>
                    <w:rPr>
                      <w:rFonts w:hint="default" w:ascii="Times New Roman" w:hAnsi="Times New Roman" w:eastAsia="宋体" w:cs="Times New Roman"/>
                      <w:color w:val="auto"/>
                      <w:kern w:val="0"/>
                      <w:sz w:val="21"/>
                      <w:szCs w:val="21"/>
                      <w:vertAlign w:val="subscript"/>
                      <w:lang w:val="en-US" w:eastAsia="zh-CN" w:bidi="zh-CN"/>
                    </w:rPr>
                    <w:t>5</w:t>
                  </w:r>
                  <w:r>
                    <w:rPr>
                      <w:rFonts w:hint="default" w:ascii="Times New Roman" w:hAnsi="Times New Roman" w:eastAsia="宋体" w:cs="Times New Roman"/>
                      <w:color w:val="auto"/>
                      <w:kern w:val="0"/>
                      <w:sz w:val="21"/>
                      <w:szCs w:val="21"/>
                      <w:lang w:val="en-US" w:eastAsia="zh-CN" w:bidi="zh-CN"/>
                    </w:rPr>
                    <w:t>、NH</w:t>
                  </w:r>
                  <w:r>
                    <w:rPr>
                      <w:rFonts w:hint="default" w:ascii="Times New Roman" w:hAnsi="Times New Roman" w:eastAsia="宋体" w:cs="Times New Roman"/>
                      <w:color w:val="auto"/>
                      <w:kern w:val="0"/>
                      <w:sz w:val="21"/>
                      <w:szCs w:val="21"/>
                      <w:vertAlign w:val="subscript"/>
                      <w:lang w:val="en-US" w:eastAsia="zh-CN" w:bidi="zh-CN"/>
                    </w:rPr>
                    <w:t>3</w:t>
                  </w:r>
                  <w:r>
                    <w:rPr>
                      <w:rFonts w:hint="default" w:ascii="Times New Roman" w:hAnsi="Times New Roman" w:eastAsia="宋体" w:cs="Times New Roman"/>
                      <w:color w:val="auto"/>
                      <w:kern w:val="0"/>
                      <w:sz w:val="21"/>
                      <w:szCs w:val="21"/>
                      <w:lang w:val="en-US" w:eastAsia="zh-CN" w:bidi="zh-CN"/>
                    </w:rPr>
                    <w:t>-N、SS、粪大肠菌群数、动植物油</w:t>
                  </w:r>
                </w:p>
              </w:tc>
              <w:tc>
                <w:tcPr>
                  <w:tcW w:w="4333" w:type="dxa"/>
                  <w:noWrap w:val="0"/>
                  <w:vAlign w:val="center"/>
                </w:tcPr>
                <w:p w14:paraId="15C51513">
                  <w:pPr>
                    <w:pStyle w:val="36"/>
                    <w:keepNext w:val="0"/>
                    <w:keepLines w:val="0"/>
                    <w:pageBreakBefore w:val="0"/>
                    <w:widowControl w:val="0"/>
                    <w:kinsoku/>
                    <w:wordWrap/>
                    <w:overflowPunct/>
                    <w:topLinePunct w:val="0"/>
                    <w:autoSpaceDE/>
                    <w:autoSpaceDN/>
                    <w:bidi w:val="0"/>
                    <w:adjustRightInd/>
                    <w:spacing w:line="360" w:lineRule="exact"/>
                    <w:textAlignment w:val="auto"/>
                    <w:rPr>
                      <w:rFonts w:hint="default" w:ascii="Times New Roman" w:hAnsi="Times New Roman" w:eastAsia="宋体" w:cs="Times New Roman"/>
                      <w:color w:val="auto"/>
                      <w:kern w:val="0"/>
                      <w:sz w:val="21"/>
                      <w:szCs w:val="21"/>
                      <w:lang w:val="zh-CN" w:eastAsia="zh-CN" w:bidi="zh-CN"/>
                    </w:rPr>
                  </w:pPr>
                  <w:r>
                    <w:rPr>
                      <w:rFonts w:hint="default" w:ascii="Times New Roman" w:hAnsi="Times New Roman" w:cs="Times New Roman"/>
                      <w:color w:val="auto"/>
                      <w:kern w:val="2"/>
                      <w:sz w:val="21"/>
                      <w:szCs w:val="21"/>
                      <w:lang w:val="en-US" w:eastAsia="zh-CN"/>
                    </w:rPr>
                    <w:t>达到《医疗机构水污染物排放标准》（GB 18466-2005）表2 综合医疗机构和其他医疗机构水污染物排放限值（日均值）预处理标准要求后排入市政污水管网，最终进入东胜区北郊水质净化厂统一处理</w:t>
                  </w:r>
                </w:p>
              </w:tc>
              <w:tc>
                <w:tcPr>
                  <w:tcW w:w="935" w:type="dxa"/>
                  <w:noWrap w:val="0"/>
                  <w:vAlign w:val="center"/>
                </w:tcPr>
                <w:p w14:paraId="1AF39B95">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lang w:val="en-US" w:eastAsia="zh-CN" w:bidi="zh-CN"/>
                    </w:rPr>
                  </w:pPr>
                  <w:r>
                    <w:rPr>
                      <w:rFonts w:hint="eastAsia" w:ascii="Times New Roman" w:hAnsi="Times New Roman" w:cs="Times New Roman"/>
                      <w:color w:val="auto"/>
                      <w:sz w:val="21"/>
                      <w:szCs w:val="21"/>
                      <w:lang w:val="en-US" w:eastAsia="zh-CN"/>
                    </w:rPr>
                    <w:t>40</w:t>
                  </w:r>
                </w:p>
              </w:tc>
            </w:tr>
            <w:tr w14:paraId="7259E5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94" w:type="dxa"/>
                  <w:vMerge w:val="restart"/>
                  <w:noWrap w:val="0"/>
                  <w:vAlign w:val="center"/>
                </w:tcPr>
                <w:p w14:paraId="55AC13EC">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固废</w:t>
                  </w:r>
                </w:p>
              </w:tc>
              <w:tc>
                <w:tcPr>
                  <w:tcW w:w="909" w:type="dxa"/>
                  <w:noWrap w:val="0"/>
                  <w:vAlign w:val="center"/>
                </w:tcPr>
                <w:p w14:paraId="0D3D86AD">
                  <w:pPr>
                    <w:pStyle w:val="36"/>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kern w:val="0"/>
                      <w:sz w:val="21"/>
                      <w:szCs w:val="21"/>
                      <w:lang w:val="zh-CN" w:eastAsia="zh-CN" w:bidi="zh-CN"/>
                    </w:rPr>
                  </w:pPr>
                  <w:r>
                    <w:rPr>
                      <w:rFonts w:hint="default" w:ascii="Times New Roman" w:hAnsi="Times New Roman" w:cs="Times New Roman"/>
                      <w:color w:val="auto"/>
                      <w:sz w:val="21"/>
                      <w:szCs w:val="21"/>
                      <w:lang w:eastAsia="zh-CN"/>
                    </w:rPr>
                    <w:t>医疗服务</w:t>
                  </w:r>
                </w:p>
              </w:tc>
              <w:tc>
                <w:tcPr>
                  <w:tcW w:w="1594" w:type="dxa"/>
                  <w:noWrap w:val="0"/>
                  <w:vAlign w:val="center"/>
                </w:tcPr>
                <w:p w14:paraId="7A0F5128">
                  <w:pPr>
                    <w:pStyle w:val="36"/>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kern w:val="0"/>
                      <w:sz w:val="21"/>
                      <w:szCs w:val="21"/>
                      <w:lang w:val="zh-CN" w:eastAsia="zh-CN" w:bidi="zh-CN"/>
                    </w:rPr>
                  </w:pPr>
                  <w:r>
                    <w:rPr>
                      <w:rFonts w:hint="default" w:ascii="Times New Roman" w:hAnsi="Times New Roman" w:cs="Times New Roman"/>
                      <w:color w:val="auto"/>
                      <w:sz w:val="21"/>
                      <w:szCs w:val="21"/>
                    </w:rPr>
                    <w:t>生活垃圾</w:t>
                  </w:r>
                </w:p>
              </w:tc>
              <w:tc>
                <w:tcPr>
                  <w:tcW w:w="4333" w:type="dxa"/>
                  <w:noWrap w:val="0"/>
                  <w:vAlign w:val="center"/>
                </w:tcPr>
                <w:p w14:paraId="08052EF8">
                  <w:pPr>
                    <w:pStyle w:val="36"/>
                    <w:keepNext w:val="0"/>
                    <w:keepLines w:val="0"/>
                    <w:pageBreakBefore w:val="0"/>
                    <w:widowControl w:val="0"/>
                    <w:kinsoku/>
                    <w:wordWrap/>
                    <w:overflowPunct/>
                    <w:topLinePunct w:val="0"/>
                    <w:autoSpaceDE/>
                    <w:autoSpaceDN/>
                    <w:bidi w:val="0"/>
                    <w:adjustRightInd/>
                    <w:spacing w:line="360" w:lineRule="exact"/>
                    <w:textAlignment w:val="auto"/>
                    <w:rPr>
                      <w:rFonts w:hint="default" w:ascii="Times New Roman" w:hAnsi="Times New Roman" w:eastAsia="宋体" w:cs="Times New Roman"/>
                      <w:color w:val="auto"/>
                      <w:kern w:val="0"/>
                      <w:sz w:val="21"/>
                      <w:szCs w:val="21"/>
                      <w:lang w:val="zh-CN" w:eastAsia="zh-CN" w:bidi="zh-CN"/>
                    </w:rPr>
                  </w:pPr>
                  <w:r>
                    <w:rPr>
                      <w:rFonts w:hint="default" w:ascii="Times New Roman" w:hAnsi="Times New Roman" w:cs="Times New Roman"/>
                      <w:color w:val="auto"/>
                      <w:sz w:val="21"/>
                      <w:szCs w:val="21"/>
                    </w:rPr>
                    <w:t>集中收集至垃圾桶后由环卫部门拉运处理</w:t>
                  </w:r>
                </w:p>
              </w:tc>
              <w:tc>
                <w:tcPr>
                  <w:tcW w:w="935" w:type="dxa"/>
                  <w:noWrap w:val="0"/>
                  <w:vAlign w:val="center"/>
                </w:tcPr>
                <w:p w14:paraId="327823CF">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lang w:val="en-US" w:eastAsia="zh-CN"/>
                    </w:rPr>
                    <w:t>0.05</w:t>
                  </w:r>
                </w:p>
              </w:tc>
            </w:tr>
            <w:tr w14:paraId="1CD240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94" w:type="dxa"/>
                  <w:vMerge w:val="continue"/>
                  <w:noWrap w:val="0"/>
                  <w:vAlign w:val="center"/>
                </w:tcPr>
                <w:p w14:paraId="4E6F038C">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rPr>
                  </w:pPr>
                </w:p>
              </w:tc>
              <w:tc>
                <w:tcPr>
                  <w:tcW w:w="909" w:type="dxa"/>
                  <w:noWrap w:val="0"/>
                  <w:vAlign w:val="center"/>
                </w:tcPr>
                <w:p w14:paraId="509239F9">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bCs/>
                      <w:color w:val="auto"/>
                      <w:sz w:val="21"/>
                      <w:szCs w:val="21"/>
                      <w:lang w:val="zh-CN" w:eastAsia="zh-CN" w:bidi="zh-CN"/>
                    </w:rPr>
                  </w:pPr>
                  <w:r>
                    <w:rPr>
                      <w:rFonts w:hint="default" w:ascii="Times New Roman" w:hAnsi="Times New Roman" w:cs="Times New Roman"/>
                      <w:color w:val="auto"/>
                      <w:sz w:val="21"/>
                      <w:szCs w:val="21"/>
                      <w:lang w:eastAsia="zh-CN"/>
                    </w:rPr>
                    <w:t>医疗服务</w:t>
                  </w:r>
                </w:p>
              </w:tc>
              <w:tc>
                <w:tcPr>
                  <w:tcW w:w="1594" w:type="dxa"/>
                  <w:noWrap w:val="0"/>
                  <w:vAlign w:val="center"/>
                </w:tcPr>
                <w:p w14:paraId="771636A0">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bCs/>
                      <w:color w:val="auto"/>
                      <w:sz w:val="21"/>
                      <w:szCs w:val="21"/>
                      <w:lang w:val="en-US" w:eastAsia="zh-CN" w:bidi="zh-CN"/>
                    </w:rPr>
                  </w:pPr>
                  <w:r>
                    <w:rPr>
                      <w:rFonts w:hint="default" w:ascii="Times New Roman" w:hAnsi="Times New Roman" w:eastAsia="宋体" w:cs="Times New Roman"/>
                      <w:color w:val="auto"/>
                      <w:kern w:val="0"/>
                      <w:sz w:val="21"/>
                      <w:szCs w:val="21"/>
                      <w:vertAlign w:val="baseline"/>
                      <w:lang w:val="en-US" w:eastAsia="zh-CN"/>
                    </w:rPr>
                    <w:t>医疗废物</w:t>
                  </w:r>
                </w:p>
              </w:tc>
              <w:tc>
                <w:tcPr>
                  <w:tcW w:w="4333" w:type="dxa"/>
                  <w:noWrap w:val="0"/>
                  <w:vAlign w:val="center"/>
                </w:tcPr>
                <w:p w14:paraId="4989D9E1">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bCs/>
                      <w:color w:val="auto"/>
                      <w:sz w:val="21"/>
                      <w:szCs w:val="21"/>
                      <w:lang w:val="zh-CN" w:eastAsia="zh-CN" w:bidi="zh-CN"/>
                    </w:rPr>
                  </w:pPr>
                  <w:r>
                    <w:rPr>
                      <w:rFonts w:hint="default" w:ascii="Times New Roman" w:hAnsi="Times New Roman" w:cs="Times New Roman"/>
                      <w:color w:val="auto"/>
                      <w:sz w:val="21"/>
                      <w:szCs w:val="21"/>
                    </w:rPr>
                    <w:t>按规定分类收集至相应容器后暂存于危废暂存库，</w:t>
                  </w:r>
                  <w:r>
                    <w:rPr>
                      <w:rFonts w:hint="default" w:ascii="Times New Roman" w:hAnsi="Times New Roman" w:eastAsia="宋体" w:cs="Times New Roman"/>
                      <w:color w:val="auto"/>
                      <w:spacing w:val="0"/>
                      <w:w w:val="100"/>
                      <w:sz w:val="21"/>
                      <w:szCs w:val="21"/>
                      <w:lang w:eastAsia="zh-CN"/>
                    </w:rPr>
                    <w:t>定期</w:t>
                  </w:r>
                  <w:r>
                    <w:rPr>
                      <w:rFonts w:hint="default" w:ascii="Times New Roman" w:hAnsi="Times New Roman" w:eastAsia="宋体" w:cs="Times New Roman"/>
                      <w:color w:val="auto"/>
                      <w:spacing w:val="0"/>
                      <w:w w:val="100"/>
                      <w:sz w:val="21"/>
                      <w:szCs w:val="21"/>
                    </w:rPr>
                    <w:t>由</w:t>
                  </w:r>
                  <w:r>
                    <w:rPr>
                      <w:rFonts w:hint="default" w:ascii="Times New Roman" w:hAnsi="Times New Roman" w:eastAsia="宋体" w:cs="Times New Roman"/>
                      <w:color w:val="auto"/>
                      <w:spacing w:val="0"/>
                      <w:w w:val="100"/>
                      <w:sz w:val="21"/>
                      <w:szCs w:val="21"/>
                      <w:lang w:eastAsia="zh-CN"/>
                    </w:rPr>
                    <w:t>鄂尔多斯市仲安医疗废物集中处置有限公司处置</w:t>
                  </w:r>
                </w:p>
              </w:tc>
              <w:tc>
                <w:tcPr>
                  <w:tcW w:w="935" w:type="dxa"/>
                  <w:noWrap w:val="0"/>
                  <w:vAlign w:val="center"/>
                </w:tcPr>
                <w:p w14:paraId="6A09DB55">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w:t>
                  </w:r>
                </w:p>
              </w:tc>
            </w:tr>
            <w:tr w14:paraId="423FDB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94" w:type="dxa"/>
                  <w:vMerge w:val="continue"/>
                  <w:noWrap w:val="0"/>
                  <w:vAlign w:val="center"/>
                </w:tcPr>
                <w:p w14:paraId="59C14649">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rPr>
                  </w:pPr>
                </w:p>
              </w:tc>
              <w:tc>
                <w:tcPr>
                  <w:tcW w:w="909" w:type="dxa"/>
                  <w:noWrap w:val="0"/>
                  <w:vAlign w:val="center"/>
                </w:tcPr>
                <w:p w14:paraId="664AED4B">
                  <w:pPr>
                    <w:pStyle w:val="41"/>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zh-CN"/>
                    </w:rPr>
                  </w:pPr>
                  <w:r>
                    <w:rPr>
                      <w:rFonts w:hint="default" w:ascii="Times New Roman" w:hAnsi="Times New Roman" w:eastAsia="宋体" w:cs="Times New Roman"/>
                      <w:color w:val="auto"/>
                      <w:kern w:val="0"/>
                      <w:sz w:val="21"/>
                      <w:szCs w:val="21"/>
                      <w:vertAlign w:val="baseline"/>
                      <w:lang w:val="en-US" w:eastAsia="zh-CN"/>
                    </w:rPr>
                    <w:t>污水处理</w:t>
                  </w:r>
                </w:p>
              </w:tc>
              <w:tc>
                <w:tcPr>
                  <w:tcW w:w="1594" w:type="dxa"/>
                  <w:noWrap w:val="0"/>
                  <w:vAlign w:val="center"/>
                </w:tcPr>
                <w:p w14:paraId="042B0F59">
                  <w:pPr>
                    <w:pStyle w:val="35"/>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default" w:ascii="Times New Roman" w:hAnsi="Times New Roman" w:eastAsia="宋体" w:cs="Times New Roman"/>
                      <w:color w:val="auto"/>
                      <w:kern w:val="0"/>
                      <w:sz w:val="21"/>
                      <w:szCs w:val="21"/>
                      <w:lang w:val="en-US" w:eastAsia="zh-CN" w:bidi="zh-CN"/>
                    </w:rPr>
                  </w:pPr>
                  <w:r>
                    <w:rPr>
                      <w:rFonts w:hint="default" w:ascii="Times New Roman" w:hAnsi="Times New Roman" w:cs="Times New Roman"/>
                      <w:color w:val="auto"/>
                      <w:sz w:val="21"/>
                      <w:szCs w:val="21"/>
                      <w:lang w:val="en-US" w:eastAsia="zh-CN"/>
                    </w:rPr>
                    <w:t>栅渣、化粪池和污水处理站污泥</w:t>
                  </w:r>
                </w:p>
              </w:tc>
              <w:tc>
                <w:tcPr>
                  <w:tcW w:w="4333" w:type="dxa"/>
                  <w:noWrap w:val="0"/>
                  <w:vAlign w:val="center"/>
                </w:tcPr>
                <w:p w14:paraId="22EE9B38">
                  <w:pPr>
                    <w:pStyle w:val="35"/>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default" w:ascii="Times New Roman" w:hAnsi="Times New Roman" w:eastAsia="宋体" w:cs="Times New Roman"/>
                      <w:color w:val="auto"/>
                      <w:kern w:val="0"/>
                      <w:sz w:val="21"/>
                      <w:szCs w:val="21"/>
                      <w:lang w:val="zh-CN" w:eastAsia="zh-CN" w:bidi="zh-CN"/>
                    </w:rPr>
                  </w:pPr>
                  <w:r>
                    <w:rPr>
                      <w:rFonts w:hint="default" w:ascii="Times New Roman" w:hAnsi="Times New Roman" w:cs="Times New Roman"/>
                      <w:color w:val="auto"/>
                      <w:sz w:val="21"/>
                      <w:szCs w:val="21"/>
                    </w:rPr>
                    <w:t>收集后暂存于危废暂存库，</w:t>
                  </w:r>
                  <w:r>
                    <w:rPr>
                      <w:rFonts w:hint="default" w:ascii="Times New Roman" w:hAnsi="Times New Roman" w:eastAsia="宋体" w:cs="Times New Roman"/>
                      <w:color w:val="auto"/>
                      <w:spacing w:val="0"/>
                      <w:w w:val="100"/>
                      <w:sz w:val="21"/>
                      <w:szCs w:val="21"/>
                      <w:lang w:eastAsia="zh-CN"/>
                    </w:rPr>
                    <w:t>定期</w:t>
                  </w:r>
                  <w:r>
                    <w:rPr>
                      <w:rFonts w:hint="default" w:ascii="Times New Roman" w:hAnsi="Times New Roman" w:eastAsia="宋体" w:cs="Times New Roman"/>
                      <w:color w:val="auto"/>
                      <w:spacing w:val="0"/>
                      <w:w w:val="100"/>
                      <w:sz w:val="21"/>
                      <w:szCs w:val="21"/>
                    </w:rPr>
                    <w:t>由</w:t>
                  </w:r>
                  <w:r>
                    <w:rPr>
                      <w:rFonts w:hint="default" w:ascii="Times New Roman" w:hAnsi="Times New Roman" w:eastAsia="宋体" w:cs="Times New Roman"/>
                      <w:color w:val="auto"/>
                      <w:spacing w:val="0"/>
                      <w:w w:val="100"/>
                      <w:sz w:val="21"/>
                      <w:szCs w:val="21"/>
                      <w:lang w:eastAsia="zh-CN"/>
                    </w:rPr>
                    <w:t>鄂尔多斯市</w:t>
                  </w:r>
                  <w:r>
                    <w:rPr>
                      <w:rFonts w:hint="eastAsia" w:ascii="Times New Roman" w:hAnsi="Times New Roman" w:eastAsia="宋体" w:cs="Times New Roman"/>
                      <w:color w:val="auto"/>
                      <w:spacing w:val="0"/>
                      <w:w w:val="100"/>
                      <w:sz w:val="21"/>
                      <w:szCs w:val="21"/>
                      <w:lang w:val="en-US" w:eastAsia="zh-CN"/>
                    </w:rPr>
                    <w:t>馨蕊</w:t>
                  </w:r>
                  <w:r>
                    <w:rPr>
                      <w:rFonts w:hint="default" w:ascii="Times New Roman" w:hAnsi="Times New Roman" w:eastAsia="宋体" w:cs="Times New Roman"/>
                      <w:color w:val="auto"/>
                      <w:spacing w:val="0"/>
                      <w:w w:val="100"/>
                      <w:sz w:val="21"/>
                      <w:szCs w:val="21"/>
                      <w:lang w:eastAsia="zh-CN"/>
                    </w:rPr>
                    <w:t>医疗废物处置有限</w:t>
                  </w:r>
                  <w:r>
                    <w:rPr>
                      <w:rFonts w:hint="eastAsia" w:ascii="Times New Roman" w:hAnsi="Times New Roman" w:eastAsia="宋体" w:cs="Times New Roman"/>
                      <w:color w:val="auto"/>
                      <w:spacing w:val="0"/>
                      <w:w w:val="100"/>
                      <w:sz w:val="21"/>
                      <w:szCs w:val="21"/>
                      <w:lang w:val="en-US" w:eastAsia="zh-CN"/>
                    </w:rPr>
                    <w:t>责任</w:t>
                  </w:r>
                  <w:r>
                    <w:rPr>
                      <w:rFonts w:hint="default" w:ascii="Times New Roman" w:hAnsi="Times New Roman" w:eastAsia="宋体" w:cs="Times New Roman"/>
                      <w:color w:val="auto"/>
                      <w:spacing w:val="0"/>
                      <w:w w:val="100"/>
                      <w:sz w:val="21"/>
                      <w:szCs w:val="21"/>
                      <w:lang w:eastAsia="zh-CN"/>
                    </w:rPr>
                    <w:t>公司处置</w:t>
                  </w:r>
                </w:p>
              </w:tc>
              <w:tc>
                <w:tcPr>
                  <w:tcW w:w="935" w:type="dxa"/>
                  <w:noWrap w:val="0"/>
                  <w:vAlign w:val="center"/>
                </w:tcPr>
                <w:p w14:paraId="43C3D67B">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6.5</w:t>
                  </w:r>
                </w:p>
              </w:tc>
            </w:tr>
            <w:tr w14:paraId="190ED8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94" w:type="dxa"/>
                  <w:noWrap w:val="0"/>
                  <w:vAlign w:val="center"/>
                </w:tcPr>
                <w:p w14:paraId="103B072E">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噪声</w:t>
                  </w:r>
                </w:p>
              </w:tc>
              <w:tc>
                <w:tcPr>
                  <w:tcW w:w="909" w:type="dxa"/>
                  <w:noWrap w:val="0"/>
                  <w:vAlign w:val="center"/>
                </w:tcPr>
                <w:p w14:paraId="0D126B11">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sz w:val="21"/>
                      <w:szCs w:val="21"/>
                      <w:highlight w:val="yellow"/>
                      <w:lang w:val="zh-CN" w:eastAsia="zh-CN" w:bidi="zh-CN"/>
                    </w:rPr>
                  </w:pPr>
                  <w:r>
                    <w:rPr>
                      <w:rFonts w:hint="default" w:ascii="Times New Roman" w:hAnsi="Times New Roman" w:cs="Times New Roman"/>
                      <w:color w:val="auto"/>
                      <w:sz w:val="21"/>
                      <w:szCs w:val="21"/>
                      <w:lang w:eastAsia="zh-CN"/>
                    </w:rPr>
                    <w:t>污水处理站、医疗服务</w:t>
                  </w:r>
                </w:p>
              </w:tc>
              <w:tc>
                <w:tcPr>
                  <w:tcW w:w="1594" w:type="dxa"/>
                  <w:noWrap w:val="0"/>
                  <w:vAlign w:val="center"/>
                </w:tcPr>
                <w:p w14:paraId="25DDD873">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设备噪声、人员噪声</w:t>
                  </w:r>
                </w:p>
              </w:tc>
              <w:tc>
                <w:tcPr>
                  <w:tcW w:w="4333" w:type="dxa"/>
                  <w:noWrap w:val="0"/>
                  <w:vAlign w:val="center"/>
                </w:tcPr>
                <w:p w14:paraId="182869DA">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highlight w:val="yellow"/>
                      <w:lang w:val="zh-CN" w:eastAsia="zh-CN" w:bidi="zh-CN"/>
                    </w:rPr>
                  </w:pPr>
                  <w:r>
                    <w:rPr>
                      <w:rFonts w:hint="default" w:ascii="Times New Roman" w:hAnsi="Times New Roman" w:cs="Times New Roman"/>
                      <w:color w:val="auto"/>
                      <w:sz w:val="21"/>
                      <w:szCs w:val="21"/>
                      <w:lang w:val="en-US"/>
                    </w:rPr>
                    <w:t>高噪声医疗仪器诊室采用隔声门窗措施，污水处理站采取基础减振、消声、隔声等措施</w:t>
                  </w:r>
                </w:p>
              </w:tc>
              <w:tc>
                <w:tcPr>
                  <w:tcW w:w="935" w:type="dxa"/>
                  <w:noWrap w:val="0"/>
                  <w:vAlign w:val="center"/>
                </w:tcPr>
                <w:p w14:paraId="555EF185">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2.1</w:t>
                  </w:r>
                </w:p>
              </w:tc>
            </w:tr>
            <w:tr w14:paraId="74BADA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94" w:type="dxa"/>
                  <w:noWrap w:val="0"/>
                  <w:vAlign w:val="center"/>
                </w:tcPr>
                <w:p w14:paraId="702EDF1B">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防渗</w:t>
                  </w:r>
                </w:p>
              </w:tc>
              <w:tc>
                <w:tcPr>
                  <w:tcW w:w="6836" w:type="dxa"/>
                  <w:gridSpan w:val="3"/>
                  <w:noWrap w:val="0"/>
                  <w:vAlign w:val="center"/>
                </w:tcPr>
                <w:p w14:paraId="52D293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default" w:ascii="Times New Roman" w:hAnsi="Times New Roman" w:eastAsia="宋体" w:cs="Times New Roman"/>
                      <w:color w:val="auto"/>
                      <w:spacing w:val="0"/>
                      <w:w w:val="100"/>
                      <w:sz w:val="21"/>
                      <w:szCs w:val="21"/>
                      <w:lang w:eastAsia="zh-CN"/>
                    </w:rPr>
                  </w:pPr>
                  <w:r>
                    <w:rPr>
                      <w:rFonts w:hint="default" w:ascii="Times New Roman" w:hAnsi="Times New Roman" w:eastAsia="宋体" w:cs="Times New Roman"/>
                      <w:color w:val="auto"/>
                      <w:spacing w:val="0"/>
                      <w:w w:val="100"/>
                      <w:sz w:val="21"/>
                      <w:szCs w:val="21"/>
                      <w:lang w:eastAsia="zh-CN"/>
                    </w:rPr>
                    <w:t>危废暂存库：按照《危险废物贮存污染控制标准》（GB 18597—2023）要求进行防渗，地面要求硬化、耐腐蚀、防渗漏，且表面无裂隙，地面及裙脚基础垫层+2mmHDPE膜+环氧砂浆涂层，墙壁防渗防腐衬层高度为50cm，保证构筑物渗透系数不大于1.0×10</w:t>
                  </w:r>
                  <w:r>
                    <w:rPr>
                      <w:rFonts w:hint="default" w:ascii="Times New Roman" w:hAnsi="Times New Roman" w:eastAsia="宋体" w:cs="Times New Roman"/>
                      <w:color w:val="auto"/>
                      <w:spacing w:val="0"/>
                      <w:w w:val="100"/>
                      <w:sz w:val="21"/>
                      <w:szCs w:val="21"/>
                      <w:vertAlign w:val="superscript"/>
                      <w:lang w:eastAsia="zh-CN"/>
                    </w:rPr>
                    <w:t>-10</w:t>
                  </w:r>
                  <w:r>
                    <w:rPr>
                      <w:rFonts w:hint="default" w:ascii="Times New Roman" w:hAnsi="Times New Roman" w:eastAsia="宋体" w:cs="Times New Roman"/>
                      <w:color w:val="auto"/>
                      <w:spacing w:val="0"/>
                      <w:w w:val="100"/>
                      <w:sz w:val="21"/>
                      <w:szCs w:val="21"/>
                      <w:lang w:eastAsia="zh-CN"/>
                    </w:rPr>
                    <w:t>cm/s；</w:t>
                  </w:r>
                </w:p>
                <w:p w14:paraId="28607400">
                  <w:pPr>
                    <w:keepNext w:val="0"/>
                    <w:keepLines w:val="0"/>
                    <w:pageBreakBefore w:val="0"/>
                    <w:widowControl w:val="0"/>
                    <w:kinsoku/>
                    <w:wordWrap/>
                    <w:overflowPunct/>
                    <w:topLinePunct w:val="0"/>
                    <w:autoSpaceDE/>
                    <w:autoSpaceDN/>
                    <w:bidi w:val="0"/>
                    <w:adjustRightInd/>
                    <w:snapToGrid w:val="0"/>
                    <w:spacing w:line="360" w:lineRule="exact"/>
                    <w:textAlignment w:val="auto"/>
                    <w:rPr>
                      <w:rFonts w:hint="eastAsia" w:ascii="Times New Roman" w:hAnsi="Times New Roman" w:eastAsia="宋体" w:cs="Times New Roman"/>
                      <w:color w:val="auto"/>
                      <w:spacing w:val="0"/>
                      <w:w w:val="100"/>
                      <w:sz w:val="21"/>
                      <w:szCs w:val="21"/>
                      <w:lang w:val="zh-CN" w:eastAsia="zh-CN" w:bidi="zh-CN"/>
                    </w:rPr>
                  </w:pPr>
                  <w:r>
                    <w:rPr>
                      <w:rFonts w:hint="default" w:ascii="Times New Roman" w:hAnsi="Times New Roman" w:eastAsia="宋体" w:cs="Times New Roman"/>
                      <w:color w:val="auto"/>
                      <w:spacing w:val="0"/>
                      <w:w w:val="100"/>
                      <w:sz w:val="21"/>
                      <w:szCs w:val="21"/>
                      <w:lang w:eastAsia="zh-CN"/>
                    </w:rPr>
                    <w:t>污水处理站：采用20cm混凝土防渗层；墙壁防渗防腐衬层高度为50cm，保证构筑物渗透系数不大于1.0×10</w:t>
                  </w:r>
                  <w:r>
                    <w:rPr>
                      <w:rFonts w:hint="default" w:ascii="Times New Roman" w:hAnsi="Times New Roman" w:eastAsia="宋体" w:cs="Times New Roman"/>
                      <w:color w:val="auto"/>
                      <w:spacing w:val="0"/>
                      <w:w w:val="100"/>
                      <w:sz w:val="21"/>
                      <w:szCs w:val="21"/>
                      <w:vertAlign w:val="superscript"/>
                      <w:lang w:eastAsia="zh-CN"/>
                    </w:rPr>
                    <w:t>-7</w:t>
                  </w:r>
                  <w:r>
                    <w:rPr>
                      <w:rFonts w:hint="default" w:ascii="Times New Roman" w:hAnsi="Times New Roman" w:eastAsia="宋体" w:cs="Times New Roman"/>
                      <w:color w:val="auto"/>
                      <w:spacing w:val="0"/>
                      <w:w w:val="100"/>
                      <w:sz w:val="21"/>
                      <w:szCs w:val="21"/>
                      <w:lang w:eastAsia="zh-CN"/>
                    </w:rPr>
                    <w:t>cm/s</w:t>
                  </w:r>
                  <w:r>
                    <w:rPr>
                      <w:rFonts w:hint="eastAsia" w:ascii="Times New Roman" w:hAnsi="Times New Roman" w:cs="Times New Roman"/>
                      <w:color w:val="auto"/>
                      <w:sz w:val="21"/>
                      <w:szCs w:val="21"/>
                      <w:lang w:eastAsia="zh-CN"/>
                    </w:rPr>
                    <w:t>。</w:t>
                  </w:r>
                </w:p>
              </w:tc>
              <w:tc>
                <w:tcPr>
                  <w:tcW w:w="935" w:type="dxa"/>
                  <w:noWrap w:val="0"/>
                  <w:vAlign w:val="center"/>
                </w:tcPr>
                <w:p w14:paraId="1BF3E24A">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lang w:val="en-US"/>
                    </w:rPr>
                    <w:t>25</w:t>
                  </w:r>
                </w:p>
              </w:tc>
            </w:tr>
            <w:tr w14:paraId="2B603F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330" w:type="dxa"/>
                  <w:gridSpan w:val="4"/>
                  <w:noWrap w:val="0"/>
                  <w:vAlign w:val="center"/>
                </w:tcPr>
                <w:p w14:paraId="208EB01A">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合计</w:t>
                  </w:r>
                </w:p>
              </w:tc>
              <w:tc>
                <w:tcPr>
                  <w:tcW w:w="935" w:type="dxa"/>
                  <w:noWrap w:val="0"/>
                  <w:vAlign w:val="center"/>
                </w:tcPr>
                <w:p w14:paraId="5BA0C5E6">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90</w:t>
                  </w:r>
                  <w:r>
                    <w:rPr>
                      <w:rFonts w:hint="default" w:ascii="Times New Roman" w:hAnsi="Times New Roman" w:cs="Times New Roman"/>
                      <w:color w:val="auto"/>
                      <w:sz w:val="21"/>
                      <w:szCs w:val="21"/>
                      <w:lang w:val="en-US" w:eastAsia="zh-CN"/>
                    </w:rPr>
                    <w:t>.65</w:t>
                  </w:r>
                </w:p>
              </w:tc>
            </w:tr>
            <w:tr w14:paraId="71440C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330" w:type="dxa"/>
                  <w:gridSpan w:val="4"/>
                  <w:noWrap w:val="0"/>
                  <w:vAlign w:val="center"/>
                </w:tcPr>
                <w:p w14:paraId="7388492D">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环保投资占工程总投资比例</w:t>
                  </w:r>
                </w:p>
              </w:tc>
              <w:tc>
                <w:tcPr>
                  <w:tcW w:w="935" w:type="dxa"/>
                  <w:noWrap w:val="0"/>
                  <w:vAlign w:val="center"/>
                </w:tcPr>
                <w:p w14:paraId="7DF58E8E">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18.13</w:t>
                  </w:r>
                  <w:r>
                    <w:rPr>
                      <w:rFonts w:hint="default" w:ascii="Times New Roman" w:hAnsi="Times New Roman" w:cs="Times New Roman"/>
                      <w:color w:val="auto"/>
                      <w:sz w:val="21"/>
                      <w:szCs w:val="21"/>
                    </w:rPr>
                    <w:t>%</w:t>
                  </w:r>
                </w:p>
              </w:tc>
            </w:tr>
          </w:tbl>
          <w:p w14:paraId="4650F1B1">
            <w:pPr>
              <w:pStyle w:val="45"/>
              <w:spacing w:line="520" w:lineRule="exact"/>
              <w:rPr>
                <w:rFonts w:ascii="Times New Roman" w:hAnsi="Times New Roman" w:cs="Times New Roman"/>
                <w:color w:val="auto"/>
                <w:sz w:val="24"/>
                <w:szCs w:val="24"/>
                <w:lang w:val="en-US"/>
              </w:rPr>
            </w:pPr>
          </w:p>
        </w:tc>
      </w:tr>
    </w:tbl>
    <w:p w14:paraId="74390D00">
      <w:pPr>
        <w:rPr>
          <w:color w:val="auto"/>
          <w:sz w:val="2"/>
          <w:szCs w:val="2"/>
        </w:rPr>
        <w:sectPr>
          <w:footerReference r:id="rId9" w:type="default"/>
          <w:footerReference r:id="rId10" w:type="even"/>
          <w:pgSz w:w="11910" w:h="16840"/>
          <w:pgMar w:top="1701" w:right="1531" w:bottom="1701" w:left="1531" w:header="720" w:footer="1474" w:gutter="0"/>
          <w:pgBorders>
            <w:top w:val="none" w:sz="0" w:space="0"/>
            <w:left w:val="none" w:sz="0" w:space="0"/>
            <w:bottom w:val="none" w:sz="0" w:space="0"/>
            <w:right w:val="none" w:sz="0" w:space="0"/>
          </w:pgBorders>
          <w:pgNumType w:fmt="decimal"/>
          <w:cols w:space="720" w:num="1"/>
        </w:sectPr>
      </w:pPr>
    </w:p>
    <w:p w14:paraId="242A92A1">
      <w:pPr>
        <w:keepNext w:val="0"/>
        <w:keepLines w:val="0"/>
        <w:pageBreakBefore w:val="0"/>
        <w:widowControl w:val="0"/>
        <w:kinsoku/>
        <w:wordWrap/>
        <w:overflowPunct/>
        <w:topLinePunct w:val="0"/>
        <w:autoSpaceDE w:val="0"/>
        <w:autoSpaceDN w:val="0"/>
        <w:bidi w:val="0"/>
        <w:adjustRightInd/>
        <w:snapToGrid/>
        <w:spacing w:before="124" w:after="0" w:afterLines="100"/>
        <w:ind w:left="442" w:right="465"/>
        <w:jc w:val="center"/>
        <w:textAlignment w:val="auto"/>
        <w:rPr>
          <w:rFonts w:ascii="黑体" w:eastAsia="黑体"/>
          <w:color w:val="auto"/>
          <w:sz w:val="30"/>
        </w:rPr>
      </w:pPr>
      <w:bookmarkStart w:id="7" w:name="六、结论"/>
      <w:bookmarkEnd w:id="7"/>
      <w:bookmarkStart w:id="8" w:name="五、环境保护措施监督检查清单"/>
      <w:bookmarkEnd w:id="8"/>
      <w:r>
        <w:rPr>
          <w:rFonts w:hint="eastAsia" w:ascii="黑体" w:eastAsia="黑体"/>
          <w:color w:val="auto"/>
          <w:sz w:val="30"/>
          <w:lang w:val="en-US"/>
        </w:rPr>
        <w:t>五</w:t>
      </w:r>
      <w:r>
        <w:rPr>
          <w:rFonts w:hint="eastAsia" w:ascii="黑体" w:eastAsia="黑体"/>
          <w:color w:val="auto"/>
          <w:sz w:val="30"/>
        </w:rPr>
        <w:t>、环境保护措施监督检查清单</w:t>
      </w:r>
    </w:p>
    <w:tbl>
      <w:tblPr>
        <w:tblStyle w:val="2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7"/>
        <w:gridCol w:w="1716"/>
        <w:gridCol w:w="1152"/>
        <w:gridCol w:w="3224"/>
        <w:gridCol w:w="2478"/>
      </w:tblGrid>
      <w:tr w14:paraId="5B2064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7" w:type="dxa"/>
            <w:noWrap w:val="0"/>
            <w:vAlign w:val="center"/>
          </w:tcPr>
          <w:p w14:paraId="18E0958E">
            <w:pPr>
              <w:pStyle w:val="45"/>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rPr>
              <mc:AlternateContent>
                <mc:Choice Requires="wps">
                  <w:drawing>
                    <wp:anchor distT="0" distB="0" distL="114300" distR="114300" simplePos="0" relativeHeight="251696128" behindDoc="0" locked="0" layoutInCell="1" allowOverlap="1">
                      <wp:simplePos x="0" y="0"/>
                      <wp:positionH relativeFrom="column">
                        <wp:posOffset>-8890</wp:posOffset>
                      </wp:positionH>
                      <wp:positionV relativeFrom="paragraph">
                        <wp:posOffset>5080</wp:posOffset>
                      </wp:positionV>
                      <wp:extent cx="716280" cy="464820"/>
                      <wp:effectExtent l="2540" t="3810" r="5080" b="7620"/>
                      <wp:wrapNone/>
                      <wp:docPr id="63" name="直线 234"/>
                      <wp:cNvGraphicFramePr/>
                      <a:graphic xmlns:a="http://schemas.openxmlformats.org/drawingml/2006/main">
                        <a:graphicData uri="http://schemas.microsoft.com/office/word/2010/wordprocessingShape">
                          <wps:wsp>
                            <wps:cNvCnPr/>
                            <wps:spPr>
                              <a:xfrm>
                                <a:off x="0" y="0"/>
                                <a:ext cx="716280" cy="46482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34" o:spid="_x0000_s1026" o:spt="20" style="position:absolute;left:0pt;margin-left:-0.7pt;margin-top:0.4pt;height:36.6pt;width:56.4pt;z-index:251696128;mso-width-relative:page;mso-height-relative:page;" filled="f" stroked="t" coordsize="21600,21600" o:gfxdata="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d&#10;kfRG0gAAAAYBAAAPAAAAAAAAAAEAIAAAACIAAABkcnMvZG93bnJldi54bWxQSwECFAAUAAAACACH&#10;TuJA2UMV6PEBAADiAwAADgAAAAAAAAABACAAAAAhAQAAZHJzL2Uyb0RvYy54bWxQSwUGAAAAAAYA&#10;BgBZAQAAhAUAAAAA&#10;">
                      <v:fill on="f" focussize="0,0"/>
                      <v:stroke color="#000000" joinstyle="round"/>
                      <v:imagedata o:title=""/>
                      <o:lock v:ext="edit" aspectratio="f"/>
                    </v:line>
                  </w:pict>
                </mc:Fallback>
              </mc:AlternateContent>
            </w:r>
            <w:r>
              <w:rPr>
                <w:rFonts w:hint="default" w:ascii="Times New Roman" w:hAnsi="Times New Roman" w:cs="Times New Roman"/>
                <w:color w:val="auto"/>
                <w:sz w:val="24"/>
                <w:szCs w:val="24"/>
                <w:lang w:val="en-US" w:eastAsia="zh-CN"/>
              </w:rPr>
              <w:t xml:space="preserve">        </w:t>
            </w:r>
            <w:r>
              <w:rPr>
                <w:rFonts w:hint="default" w:ascii="Times New Roman" w:hAnsi="Times New Roman" w:eastAsia="宋体" w:cs="Times New Roman"/>
                <w:color w:val="auto"/>
                <w:sz w:val="24"/>
                <w:szCs w:val="24"/>
              </w:rPr>
              <w:t>内容</w:t>
            </w:r>
          </w:p>
          <w:p w14:paraId="468E8E91">
            <w:pPr>
              <w:pStyle w:val="45"/>
              <w:keepNext w:val="0"/>
              <w:keepLines w:val="0"/>
              <w:pageBreakBefore w:val="0"/>
              <w:widowControl w:val="0"/>
              <w:kinsoku/>
              <w:wordWrap/>
              <w:overflowPunct/>
              <w:topLinePunct w:val="0"/>
              <w:autoSpaceDE/>
              <w:autoSpaceDN/>
              <w:bidi w:val="0"/>
              <w:spacing w:line="400" w:lineRule="exact"/>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要素</w:t>
            </w:r>
          </w:p>
        </w:tc>
        <w:tc>
          <w:tcPr>
            <w:tcW w:w="1716" w:type="dxa"/>
            <w:noWrap w:val="0"/>
            <w:vAlign w:val="center"/>
          </w:tcPr>
          <w:p w14:paraId="38CB6A73">
            <w:pPr>
              <w:pStyle w:val="45"/>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排放口</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编号、名称</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/污染源</w:t>
            </w:r>
          </w:p>
        </w:tc>
        <w:tc>
          <w:tcPr>
            <w:tcW w:w="1152" w:type="dxa"/>
            <w:noWrap w:val="0"/>
            <w:vAlign w:val="center"/>
          </w:tcPr>
          <w:p w14:paraId="3B9127FD">
            <w:pPr>
              <w:pStyle w:val="45"/>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污染物</w:t>
            </w:r>
          </w:p>
          <w:p w14:paraId="0685D698">
            <w:pPr>
              <w:pStyle w:val="45"/>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w:t>
            </w:r>
          </w:p>
        </w:tc>
        <w:tc>
          <w:tcPr>
            <w:tcW w:w="3224" w:type="dxa"/>
            <w:noWrap w:val="0"/>
            <w:vAlign w:val="center"/>
          </w:tcPr>
          <w:p w14:paraId="108F433C">
            <w:pPr>
              <w:pStyle w:val="45"/>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环境保护措施</w:t>
            </w:r>
          </w:p>
        </w:tc>
        <w:tc>
          <w:tcPr>
            <w:tcW w:w="2478" w:type="dxa"/>
            <w:noWrap w:val="0"/>
            <w:vAlign w:val="center"/>
          </w:tcPr>
          <w:p w14:paraId="0E0E9243">
            <w:pPr>
              <w:pStyle w:val="45"/>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执行标准</w:t>
            </w:r>
          </w:p>
        </w:tc>
      </w:tr>
      <w:tr w14:paraId="4B4F8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7" w:type="dxa"/>
            <w:vMerge w:val="restart"/>
            <w:noWrap w:val="0"/>
            <w:vAlign w:val="center"/>
          </w:tcPr>
          <w:p w14:paraId="6F0D30AE">
            <w:pPr>
              <w:pStyle w:val="45"/>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highlight w:val="yellow"/>
              </w:rPr>
            </w:pPr>
            <w:r>
              <w:rPr>
                <w:rFonts w:hint="default" w:ascii="Times New Roman" w:hAnsi="Times New Roman" w:eastAsia="宋体" w:cs="Times New Roman"/>
                <w:color w:val="auto"/>
                <w:sz w:val="24"/>
                <w:szCs w:val="24"/>
              </w:rPr>
              <w:t>大气环境</w:t>
            </w:r>
          </w:p>
        </w:tc>
        <w:tc>
          <w:tcPr>
            <w:tcW w:w="1716" w:type="dxa"/>
            <w:noWrap w:val="0"/>
            <w:vAlign w:val="center"/>
          </w:tcPr>
          <w:p w14:paraId="5BC122B2">
            <w:pPr>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val="en-US" w:eastAsia="zh-CN" w:bidi="zh-CN"/>
              </w:rPr>
            </w:pPr>
            <w:r>
              <w:rPr>
                <w:rFonts w:hint="default" w:ascii="Times New Roman" w:hAnsi="Times New Roman" w:eastAsia="宋体" w:cs="Times New Roman"/>
                <w:color w:val="auto"/>
                <w:sz w:val="24"/>
                <w:szCs w:val="24"/>
                <w:lang w:eastAsia="zh-CN"/>
              </w:rPr>
              <w:t>污水处理站恶臭</w:t>
            </w:r>
          </w:p>
        </w:tc>
        <w:tc>
          <w:tcPr>
            <w:tcW w:w="1152" w:type="dxa"/>
            <w:noWrap w:val="0"/>
            <w:vAlign w:val="center"/>
          </w:tcPr>
          <w:p w14:paraId="5C931B38">
            <w:pPr>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val="en-US" w:eastAsia="zh-CN" w:bidi="zh-CN"/>
              </w:rPr>
            </w:pPr>
            <w:r>
              <w:rPr>
                <w:rFonts w:hint="default" w:ascii="Times New Roman" w:hAnsi="Times New Roman" w:eastAsia="宋体" w:cs="Times New Roman"/>
                <w:color w:val="auto"/>
                <w:sz w:val="24"/>
                <w:szCs w:val="24"/>
                <w:lang w:val="en-US" w:eastAsia="zh-CN" w:bidi="zh-CN"/>
              </w:rPr>
              <w:t>氨、硫化氢</w:t>
            </w:r>
          </w:p>
        </w:tc>
        <w:tc>
          <w:tcPr>
            <w:tcW w:w="3224" w:type="dxa"/>
            <w:noWrap w:val="0"/>
            <w:vAlign w:val="center"/>
          </w:tcPr>
          <w:p w14:paraId="1DAB9DD4">
            <w:pPr>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highlight w:val="yellow"/>
                <w:lang w:val="en-US" w:eastAsia="zh-CN" w:bidi="zh-CN"/>
              </w:rPr>
            </w:pPr>
            <w:r>
              <w:rPr>
                <w:rFonts w:hint="eastAsia" w:ascii="Times New Roman" w:hAnsi="Times New Roman" w:cs="Times New Roman"/>
                <w:color w:val="auto"/>
                <w:sz w:val="24"/>
                <w:szCs w:val="24"/>
                <w:lang w:val="en-US" w:eastAsia="zh-CN"/>
              </w:rPr>
              <w:t>污水处理设施为地埋式，各构筑物密封加盖，</w:t>
            </w:r>
            <w:r>
              <w:rPr>
                <w:rFonts w:hint="default" w:ascii="Times New Roman" w:hAnsi="Times New Roman" w:eastAsia="宋体" w:cs="Times New Roman"/>
                <w:color w:val="auto"/>
                <w:sz w:val="24"/>
                <w:szCs w:val="24"/>
                <w:lang w:val="en-US" w:eastAsia="zh-CN"/>
              </w:rPr>
              <w:t>喷洒除臭剂除臭</w:t>
            </w:r>
          </w:p>
        </w:tc>
        <w:tc>
          <w:tcPr>
            <w:tcW w:w="2478" w:type="dxa"/>
            <w:noWrap w:val="0"/>
            <w:vAlign w:val="center"/>
          </w:tcPr>
          <w:p w14:paraId="5BE0378B">
            <w:pPr>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eastAsia="zh-CN"/>
              </w:rPr>
              <w:t>《医疗机构水污染物排放标准》（GB18466-2005）表 3 污水处理站周边大气污染物最高允许浓度标准限值</w:t>
            </w:r>
          </w:p>
        </w:tc>
      </w:tr>
      <w:tr w14:paraId="197D3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7" w:type="dxa"/>
            <w:vMerge w:val="continue"/>
            <w:noWrap w:val="0"/>
            <w:vAlign w:val="center"/>
          </w:tcPr>
          <w:p w14:paraId="559E3340">
            <w:pPr>
              <w:pStyle w:val="45"/>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val="en-US" w:eastAsia="zh-CN"/>
              </w:rPr>
            </w:pPr>
          </w:p>
        </w:tc>
        <w:tc>
          <w:tcPr>
            <w:tcW w:w="1716" w:type="dxa"/>
            <w:noWrap w:val="0"/>
            <w:vAlign w:val="center"/>
          </w:tcPr>
          <w:p w14:paraId="2A01F7A3">
            <w:pPr>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停车场尾气</w:t>
            </w:r>
          </w:p>
        </w:tc>
        <w:tc>
          <w:tcPr>
            <w:tcW w:w="1152" w:type="dxa"/>
            <w:noWrap w:val="0"/>
            <w:vAlign w:val="center"/>
          </w:tcPr>
          <w:p w14:paraId="2037EF8E">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default" w:ascii="Times New Roman" w:hAnsi="Times New Roman" w:eastAsia="宋体" w:cs="Times New Roman"/>
                <w:color w:val="auto"/>
                <w:sz w:val="24"/>
                <w:szCs w:val="24"/>
                <w:lang w:val="en-US" w:eastAsia="zh-CN" w:bidi="zh-CN"/>
              </w:rPr>
            </w:pPr>
            <w:r>
              <w:rPr>
                <w:rFonts w:hint="default" w:ascii="Times New Roman" w:hAnsi="Times New Roman" w:eastAsia="宋体" w:cs="Times New Roman"/>
                <w:color w:val="auto"/>
                <w:sz w:val="24"/>
                <w:szCs w:val="24"/>
                <w:lang w:val="en-US" w:eastAsia="zh-CN"/>
              </w:rPr>
              <w:t>CO、碳氢化合物、NO</w:t>
            </w:r>
            <w:r>
              <w:rPr>
                <w:rFonts w:hint="default" w:ascii="Times New Roman" w:hAnsi="Times New Roman" w:eastAsia="宋体" w:cs="Times New Roman"/>
                <w:color w:val="auto"/>
                <w:sz w:val="24"/>
                <w:szCs w:val="24"/>
                <w:vertAlign w:val="subscript"/>
                <w:lang w:val="en-US" w:eastAsia="zh-CN"/>
              </w:rPr>
              <w:t>X</w:t>
            </w:r>
          </w:p>
        </w:tc>
        <w:tc>
          <w:tcPr>
            <w:tcW w:w="3224" w:type="dxa"/>
            <w:noWrap w:val="0"/>
            <w:vAlign w:val="center"/>
          </w:tcPr>
          <w:p w14:paraId="6BBF14D7">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地下车库设置竖井，将机动车尾气通过排气扇抽至周围绿化带排放，排气口远离人群活动场所</w:t>
            </w:r>
          </w:p>
        </w:tc>
        <w:tc>
          <w:tcPr>
            <w:tcW w:w="2478" w:type="dxa"/>
            <w:noWrap w:val="0"/>
            <w:vAlign w:val="center"/>
          </w:tcPr>
          <w:p w14:paraId="04ACF502">
            <w:pPr>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p>
        </w:tc>
      </w:tr>
      <w:tr w14:paraId="79CC2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7" w:type="dxa"/>
            <w:vMerge w:val="restart"/>
            <w:noWrap w:val="0"/>
            <w:vAlign w:val="center"/>
          </w:tcPr>
          <w:p w14:paraId="10A9B51E">
            <w:pPr>
              <w:pStyle w:val="45"/>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水环境</w:t>
            </w:r>
          </w:p>
        </w:tc>
        <w:tc>
          <w:tcPr>
            <w:tcW w:w="1716" w:type="dxa"/>
            <w:noWrap w:val="0"/>
            <w:vAlign w:val="center"/>
          </w:tcPr>
          <w:p w14:paraId="55B9F0A5">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default" w:ascii="Times New Roman" w:hAnsi="Times New Roman" w:eastAsia="宋体" w:cs="Times New Roman"/>
                <w:bCs/>
                <w:color w:val="auto"/>
                <w:sz w:val="24"/>
                <w:szCs w:val="24"/>
                <w:lang w:val="zh-CN" w:eastAsia="zh-CN" w:bidi="ar"/>
              </w:rPr>
            </w:pPr>
            <w:r>
              <w:rPr>
                <w:rFonts w:hint="default" w:ascii="Times New Roman" w:hAnsi="Times New Roman" w:eastAsia="宋体" w:cs="Times New Roman"/>
                <w:color w:val="auto"/>
                <w:spacing w:val="0"/>
                <w:w w:val="100"/>
                <w:kern w:val="2"/>
                <w:sz w:val="24"/>
                <w:szCs w:val="24"/>
                <w:lang w:val="en-US" w:eastAsia="zh-CN"/>
              </w:rPr>
              <w:t>特殊性质污水</w:t>
            </w:r>
          </w:p>
        </w:tc>
        <w:tc>
          <w:tcPr>
            <w:tcW w:w="1152" w:type="dxa"/>
            <w:noWrap w:val="0"/>
            <w:vAlign w:val="center"/>
          </w:tcPr>
          <w:p w14:paraId="34CC197D">
            <w:pPr>
              <w:pStyle w:val="36"/>
              <w:keepNext w:val="0"/>
              <w:keepLines w:val="0"/>
              <w:pageBreakBefore w:val="0"/>
              <w:widowControl w:val="0"/>
              <w:kinsoku/>
              <w:wordWrap/>
              <w:overflowPunct/>
              <w:topLinePunct w:val="0"/>
              <w:autoSpaceDE/>
              <w:autoSpaceDN/>
              <w:bidi w:val="0"/>
              <w:adjustRightInd/>
              <w:spacing w:line="400" w:lineRule="exact"/>
              <w:jc w:val="center"/>
              <w:textAlignment w:val="auto"/>
              <w:rPr>
                <w:rFonts w:hint="default" w:ascii="Times New Roman" w:hAnsi="Times New Roman" w:eastAsia="宋体" w:cs="Times New Roman"/>
                <w:color w:val="auto"/>
                <w:kern w:val="0"/>
                <w:sz w:val="24"/>
                <w:szCs w:val="24"/>
                <w:lang w:val="zh-CN" w:eastAsia="zh-CN" w:bidi="zh-CN"/>
              </w:rPr>
            </w:pPr>
            <w:r>
              <w:rPr>
                <w:rFonts w:hint="default" w:ascii="Times New Roman" w:hAnsi="Times New Roman" w:eastAsia="宋体" w:cs="Times New Roman"/>
                <w:color w:val="auto"/>
                <w:sz w:val="24"/>
                <w:szCs w:val="24"/>
                <w:lang w:val="en-US" w:eastAsia="zh-CN"/>
              </w:rPr>
              <w:t>/</w:t>
            </w:r>
          </w:p>
        </w:tc>
        <w:tc>
          <w:tcPr>
            <w:tcW w:w="3224" w:type="dxa"/>
            <w:noWrap w:val="0"/>
            <w:vAlign w:val="center"/>
          </w:tcPr>
          <w:p w14:paraId="060ECA6C">
            <w:pPr>
              <w:pStyle w:val="36"/>
              <w:keepNext w:val="0"/>
              <w:keepLines w:val="0"/>
              <w:pageBreakBefore w:val="0"/>
              <w:widowControl w:val="0"/>
              <w:kinsoku/>
              <w:wordWrap/>
              <w:overflowPunct/>
              <w:topLinePunct w:val="0"/>
              <w:autoSpaceDE/>
              <w:autoSpaceDN/>
              <w:bidi w:val="0"/>
              <w:adjustRightInd/>
              <w:spacing w:line="400" w:lineRule="exact"/>
              <w:jc w:val="center"/>
              <w:textAlignment w:val="auto"/>
              <w:rPr>
                <w:rFonts w:hint="default" w:ascii="Times New Roman" w:hAnsi="Times New Roman" w:eastAsia="宋体" w:cs="Times New Roman"/>
                <w:color w:val="auto"/>
                <w:kern w:val="0"/>
                <w:sz w:val="24"/>
                <w:szCs w:val="24"/>
                <w:lang w:val="en-US" w:eastAsia="zh-CN" w:bidi="zh-CN"/>
              </w:rPr>
            </w:pPr>
            <w:r>
              <w:rPr>
                <w:rFonts w:hint="default" w:ascii="Times New Roman" w:hAnsi="Times New Roman" w:eastAsia="宋体" w:cs="Times New Roman"/>
                <w:color w:val="auto"/>
                <w:kern w:val="0"/>
                <w:sz w:val="24"/>
                <w:szCs w:val="24"/>
                <w:lang w:val="en-US" w:eastAsia="zh-CN" w:bidi="zh-CN"/>
              </w:rPr>
              <w:t>检验科设小型实验室污水废水综合处理设备，废水经预处理后排入医院污水处理系统</w:t>
            </w:r>
          </w:p>
        </w:tc>
        <w:tc>
          <w:tcPr>
            <w:tcW w:w="2478" w:type="dxa"/>
            <w:vMerge w:val="restart"/>
            <w:noWrap w:val="0"/>
            <w:vAlign w:val="center"/>
          </w:tcPr>
          <w:p w14:paraId="7FBB4410">
            <w:pPr>
              <w:pStyle w:val="45"/>
              <w:keepNext w:val="0"/>
              <w:keepLines w:val="0"/>
              <w:pageBreakBefore w:val="0"/>
              <w:widowControl w:val="0"/>
              <w:kinsoku/>
              <w:wordWrap/>
              <w:overflowPunct/>
              <w:topLinePunct w:val="0"/>
              <w:autoSpaceDE/>
              <w:autoSpaceDN/>
              <w:bidi w:val="0"/>
              <w:spacing w:line="400" w:lineRule="exact"/>
              <w:ind w:hanging="317"/>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rPr>
              <w:t>《医疗机构水污染物排放标准》（GB 18466-2005）表2 综合医疗机构和其他医疗机构水污染物排放限值（日均值）预处理标准</w:t>
            </w:r>
          </w:p>
        </w:tc>
      </w:tr>
      <w:tr w14:paraId="4B87E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7" w:type="dxa"/>
            <w:vMerge w:val="continue"/>
            <w:noWrap w:val="0"/>
            <w:vAlign w:val="center"/>
          </w:tcPr>
          <w:p w14:paraId="4474BA7E">
            <w:pPr>
              <w:pStyle w:val="36"/>
              <w:keepNext w:val="0"/>
              <w:keepLines w:val="0"/>
              <w:pageBreakBefore w:val="0"/>
              <w:widowControl w:val="0"/>
              <w:kinsoku/>
              <w:wordWrap/>
              <w:overflowPunct/>
              <w:topLinePunct w:val="0"/>
              <w:autoSpaceDE/>
              <w:autoSpaceDN/>
              <w:bidi w:val="0"/>
              <w:spacing w:line="400" w:lineRule="exact"/>
              <w:textAlignment w:val="auto"/>
              <w:rPr>
                <w:rFonts w:hint="default" w:ascii="Times New Roman" w:hAnsi="Times New Roman" w:eastAsia="宋体" w:cs="Times New Roman"/>
                <w:color w:val="auto"/>
                <w:sz w:val="24"/>
                <w:szCs w:val="24"/>
              </w:rPr>
            </w:pPr>
          </w:p>
        </w:tc>
        <w:tc>
          <w:tcPr>
            <w:tcW w:w="1716" w:type="dxa"/>
            <w:noWrap w:val="0"/>
            <w:vAlign w:val="center"/>
          </w:tcPr>
          <w:p w14:paraId="2BADD461">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default" w:ascii="Times New Roman" w:hAnsi="Times New Roman" w:eastAsia="宋体" w:cs="Times New Roman"/>
                <w:bCs/>
                <w:color w:val="auto"/>
                <w:sz w:val="24"/>
                <w:szCs w:val="24"/>
                <w:lang w:val="zh-CN" w:eastAsia="zh-CN" w:bidi="ar"/>
              </w:rPr>
            </w:pPr>
            <w:r>
              <w:rPr>
                <w:rFonts w:hint="default" w:ascii="Times New Roman" w:hAnsi="Times New Roman" w:eastAsia="宋体" w:cs="Times New Roman"/>
                <w:bCs/>
                <w:color w:val="auto"/>
                <w:sz w:val="24"/>
                <w:szCs w:val="24"/>
                <w:lang w:eastAsia="zh-CN" w:bidi="ar"/>
              </w:rPr>
              <w:t>医疗废水</w:t>
            </w:r>
          </w:p>
        </w:tc>
        <w:tc>
          <w:tcPr>
            <w:tcW w:w="1152" w:type="dxa"/>
            <w:noWrap w:val="0"/>
            <w:vAlign w:val="center"/>
          </w:tcPr>
          <w:p w14:paraId="193D3BFD">
            <w:pPr>
              <w:pStyle w:val="36"/>
              <w:keepNext w:val="0"/>
              <w:keepLines w:val="0"/>
              <w:pageBreakBefore w:val="0"/>
              <w:widowControl w:val="0"/>
              <w:kinsoku/>
              <w:wordWrap/>
              <w:overflowPunct/>
              <w:topLinePunct w:val="0"/>
              <w:autoSpaceDE/>
              <w:autoSpaceDN/>
              <w:bidi w:val="0"/>
              <w:adjustRightInd/>
              <w:spacing w:line="400" w:lineRule="exact"/>
              <w:jc w:val="center"/>
              <w:textAlignment w:val="auto"/>
              <w:rPr>
                <w:rFonts w:hint="default" w:ascii="Times New Roman" w:hAnsi="Times New Roman" w:eastAsia="宋体" w:cs="Times New Roman"/>
                <w:color w:val="auto"/>
                <w:kern w:val="0"/>
                <w:sz w:val="24"/>
                <w:szCs w:val="24"/>
                <w:lang w:val="zh-CN" w:eastAsia="zh-CN" w:bidi="zh-CN"/>
              </w:rPr>
            </w:pPr>
            <w:r>
              <w:rPr>
                <w:rFonts w:hint="default" w:ascii="Times New Roman" w:hAnsi="Times New Roman" w:eastAsia="宋体" w:cs="Times New Roman"/>
                <w:color w:val="auto"/>
                <w:kern w:val="0"/>
                <w:sz w:val="24"/>
                <w:szCs w:val="24"/>
                <w:lang w:val="en-US" w:eastAsia="zh-CN" w:bidi="zh-CN"/>
              </w:rPr>
              <w:t>COD、BOD</w:t>
            </w:r>
            <w:r>
              <w:rPr>
                <w:rFonts w:hint="default" w:ascii="Times New Roman" w:hAnsi="Times New Roman" w:eastAsia="宋体" w:cs="Times New Roman"/>
                <w:color w:val="auto"/>
                <w:kern w:val="0"/>
                <w:sz w:val="24"/>
                <w:szCs w:val="24"/>
                <w:vertAlign w:val="subscript"/>
                <w:lang w:val="en-US" w:eastAsia="zh-CN" w:bidi="zh-CN"/>
              </w:rPr>
              <w:t>5</w:t>
            </w:r>
            <w:r>
              <w:rPr>
                <w:rFonts w:hint="default" w:ascii="Times New Roman" w:hAnsi="Times New Roman" w:eastAsia="宋体" w:cs="Times New Roman"/>
                <w:color w:val="auto"/>
                <w:kern w:val="0"/>
                <w:sz w:val="24"/>
                <w:szCs w:val="24"/>
                <w:lang w:val="en-US" w:eastAsia="zh-CN" w:bidi="zh-CN"/>
              </w:rPr>
              <w:t>、NH</w:t>
            </w:r>
            <w:r>
              <w:rPr>
                <w:rFonts w:hint="default" w:ascii="Times New Roman" w:hAnsi="Times New Roman" w:eastAsia="宋体" w:cs="Times New Roman"/>
                <w:color w:val="auto"/>
                <w:kern w:val="0"/>
                <w:sz w:val="24"/>
                <w:szCs w:val="24"/>
                <w:vertAlign w:val="subscript"/>
                <w:lang w:val="en-US" w:eastAsia="zh-CN" w:bidi="zh-CN"/>
              </w:rPr>
              <w:t>3</w:t>
            </w:r>
            <w:r>
              <w:rPr>
                <w:rFonts w:hint="default" w:ascii="Times New Roman" w:hAnsi="Times New Roman" w:eastAsia="宋体" w:cs="Times New Roman"/>
                <w:color w:val="auto"/>
                <w:kern w:val="0"/>
                <w:sz w:val="24"/>
                <w:szCs w:val="24"/>
                <w:lang w:val="en-US" w:eastAsia="zh-CN" w:bidi="zh-CN"/>
              </w:rPr>
              <w:t>-N、SS、粪大肠菌群数、动植物油</w:t>
            </w:r>
          </w:p>
        </w:tc>
        <w:tc>
          <w:tcPr>
            <w:tcW w:w="3224" w:type="dxa"/>
            <w:noWrap w:val="0"/>
            <w:vAlign w:val="center"/>
          </w:tcPr>
          <w:p w14:paraId="22D5413A">
            <w:pPr>
              <w:pStyle w:val="36"/>
              <w:keepNext w:val="0"/>
              <w:keepLines w:val="0"/>
              <w:pageBreakBefore w:val="0"/>
              <w:widowControl w:val="0"/>
              <w:kinsoku/>
              <w:wordWrap/>
              <w:overflowPunct/>
              <w:topLinePunct w:val="0"/>
              <w:autoSpaceDE/>
              <w:autoSpaceDN/>
              <w:bidi w:val="0"/>
              <w:adjustRightInd/>
              <w:spacing w:line="400" w:lineRule="exact"/>
              <w:jc w:val="center"/>
              <w:textAlignment w:val="auto"/>
              <w:rPr>
                <w:rFonts w:hint="default" w:ascii="Times New Roman" w:hAnsi="Times New Roman" w:eastAsia="宋体" w:cs="Times New Roman"/>
                <w:color w:val="auto"/>
                <w:kern w:val="0"/>
                <w:sz w:val="24"/>
                <w:szCs w:val="24"/>
                <w:lang w:val="en-US" w:eastAsia="zh-CN" w:bidi="zh-CN"/>
              </w:rPr>
            </w:pPr>
            <w:r>
              <w:rPr>
                <w:rFonts w:hint="default" w:ascii="Times New Roman" w:hAnsi="Times New Roman" w:eastAsia="宋体" w:cs="Times New Roman"/>
                <w:color w:val="auto"/>
                <w:kern w:val="2"/>
                <w:sz w:val="24"/>
                <w:szCs w:val="24"/>
                <w:lang w:val="en-US" w:eastAsia="zh-CN"/>
              </w:rPr>
              <w:t>达到《医疗机构水污染物排放标准》（GB 18466-2005）表2 综合医疗机构和其他医疗机构水污染物排放限值（日均值）预处理标准要求后排入市政污水管网，最终进入东胜区北郊水质净化厂统一处理</w:t>
            </w:r>
          </w:p>
        </w:tc>
        <w:tc>
          <w:tcPr>
            <w:tcW w:w="2478" w:type="dxa"/>
            <w:vMerge w:val="continue"/>
            <w:noWrap w:val="0"/>
            <w:vAlign w:val="center"/>
          </w:tcPr>
          <w:p w14:paraId="3EA6209B">
            <w:pPr>
              <w:pStyle w:val="36"/>
              <w:keepNext w:val="0"/>
              <w:keepLines w:val="0"/>
              <w:pageBreakBefore w:val="0"/>
              <w:widowControl w:val="0"/>
              <w:kinsoku/>
              <w:wordWrap/>
              <w:overflowPunct/>
              <w:topLinePunct w:val="0"/>
              <w:autoSpaceDE/>
              <w:autoSpaceDN/>
              <w:bidi w:val="0"/>
              <w:spacing w:line="400" w:lineRule="exact"/>
              <w:textAlignment w:val="auto"/>
              <w:rPr>
                <w:rFonts w:hint="default" w:ascii="Times New Roman" w:hAnsi="Times New Roman" w:eastAsia="宋体" w:cs="Times New Roman"/>
                <w:bCs/>
                <w:color w:val="auto"/>
                <w:sz w:val="24"/>
                <w:szCs w:val="24"/>
                <w:lang w:eastAsia="zh-CN" w:bidi="ar"/>
              </w:rPr>
            </w:pPr>
          </w:p>
        </w:tc>
      </w:tr>
      <w:tr w14:paraId="66458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7" w:type="dxa"/>
            <w:noWrap w:val="0"/>
            <w:vAlign w:val="center"/>
          </w:tcPr>
          <w:p w14:paraId="542B9528">
            <w:pPr>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声环境</w:t>
            </w:r>
          </w:p>
        </w:tc>
        <w:tc>
          <w:tcPr>
            <w:tcW w:w="1716" w:type="dxa"/>
            <w:noWrap w:val="0"/>
            <w:vAlign w:val="center"/>
          </w:tcPr>
          <w:p w14:paraId="21AB811B">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default" w:ascii="Times New Roman" w:hAnsi="Times New Roman" w:eastAsia="宋体" w:cs="Times New Roman"/>
                <w:color w:val="auto"/>
                <w:sz w:val="24"/>
                <w:szCs w:val="24"/>
                <w:highlight w:val="yellow"/>
                <w:lang w:val="zh-CN" w:eastAsia="zh-CN" w:bidi="zh-CN"/>
              </w:rPr>
            </w:pPr>
            <w:r>
              <w:rPr>
                <w:rFonts w:hint="default" w:ascii="Times New Roman" w:hAnsi="Times New Roman" w:eastAsia="宋体" w:cs="Times New Roman"/>
                <w:color w:val="auto"/>
                <w:sz w:val="24"/>
                <w:szCs w:val="24"/>
                <w:lang w:eastAsia="zh-CN"/>
              </w:rPr>
              <w:t>污水处理站、医疗服务</w:t>
            </w:r>
          </w:p>
        </w:tc>
        <w:tc>
          <w:tcPr>
            <w:tcW w:w="1152" w:type="dxa"/>
            <w:noWrap w:val="0"/>
            <w:vAlign w:val="center"/>
          </w:tcPr>
          <w:p w14:paraId="6888E49A">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default" w:ascii="Times New Roman" w:hAnsi="Times New Roman" w:eastAsia="宋体" w:cs="Times New Roman"/>
                <w:color w:val="auto"/>
                <w:sz w:val="24"/>
                <w:szCs w:val="24"/>
                <w:lang w:val="zh-CN" w:eastAsia="zh-CN" w:bidi="zh-CN"/>
              </w:rPr>
            </w:pPr>
            <w:r>
              <w:rPr>
                <w:rFonts w:hint="default" w:ascii="Times New Roman" w:hAnsi="Times New Roman" w:eastAsia="宋体" w:cs="Times New Roman"/>
                <w:color w:val="auto"/>
                <w:sz w:val="24"/>
                <w:szCs w:val="24"/>
                <w:lang w:eastAsia="zh-CN"/>
              </w:rPr>
              <w:t>设备噪声、人员噪声</w:t>
            </w:r>
          </w:p>
        </w:tc>
        <w:tc>
          <w:tcPr>
            <w:tcW w:w="3224" w:type="dxa"/>
            <w:noWrap w:val="0"/>
            <w:vAlign w:val="center"/>
          </w:tcPr>
          <w:p w14:paraId="0FF5D77D">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default" w:ascii="Times New Roman" w:hAnsi="Times New Roman" w:eastAsia="宋体" w:cs="Times New Roman"/>
                <w:color w:val="auto"/>
                <w:sz w:val="24"/>
                <w:szCs w:val="24"/>
                <w:highlight w:val="yellow"/>
                <w:lang w:val="en-US" w:eastAsia="zh-CN" w:bidi="zh-CN"/>
              </w:rPr>
            </w:pPr>
            <w:r>
              <w:rPr>
                <w:rFonts w:hint="default" w:ascii="Times New Roman" w:hAnsi="Times New Roman" w:eastAsia="宋体" w:cs="Times New Roman"/>
                <w:color w:val="auto"/>
                <w:sz w:val="24"/>
                <w:szCs w:val="24"/>
                <w:lang w:val="en-US"/>
              </w:rPr>
              <w:t>高噪声医疗仪器诊室采用隔声门窗措施，污水处理站采取基础减振、消声、隔声等措施</w:t>
            </w:r>
          </w:p>
        </w:tc>
        <w:tc>
          <w:tcPr>
            <w:tcW w:w="2478" w:type="dxa"/>
            <w:noWrap w:val="0"/>
            <w:vAlign w:val="center"/>
          </w:tcPr>
          <w:p w14:paraId="26E96253">
            <w:pPr>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rPr>
              <w:t>《工业企业厂界环境噪声排放标准》（GB12348-2008）</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rPr>
              <w:t>类标准</w:t>
            </w:r>
          </w:p>
        </w:tc>
      </w:tr>
      <w:tr w14:paraId="0674A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7" w:type="dxa"/>
            <w:vMerge w:val="restart"/>
            <w:noWrap w:val="0"/>
            <w:vAlign w:val="center"/>
          </w:tcPr>
          <w:p w14:paraId="41D1DB60">
            <w:pPr>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固体废物</w:t>
            </w:r>
          </w:p>
        </w:tc>
        <w:tc>
          <w:tcPr>
            <w:tcW w:w="1716" w:type="dxa"/>
            <w:noWrap w:val="0"/>
            <w:vAlign w:val="center"/>
          </w:tcPr>
          <w:p w14:paraId="318F56C0">
            <w:pPr>
              <w:pStyle w:val="36"/>
              <w:keepNext w:val="0"/>
              <w:keepLines w:val="0"/>
              <w:pageBreakBefore w:val="0"/>
              <w:widowControl w:val="0"/>
              <w:kinsoku/>
              <w:wordWrap/>
              <w:overflowPunct/>
              <w:topLinePunct w:val="0"/>
              <w:autoSpaceDE/>
              <w:autoSpaceDN/>
              <w:bidi w:val="0"/>
              <w:adjustRightInd/>
              <w:spacing w:line="400" w:lineRule="exact"/>
              <w:jc w:val="center"/>
              <w:textAlignment w:val="auto"/>
              <w:rPr>
                <w:rFonts w:hint="default" w:ascii="Times New Roman" w:hAnsi="Times New Roman" w:eastAsia="宋体" w:cs="Times New Roman"/>
                <w:color w:val="auto"/>
                <w:kern w:val="0"/>
                <w:sz w:val="24"/>
                <w:szCs w:val="24"/>
                <w:lang w:val="en-US" w:eastAsia="zh-CN" w:bidi="zh-CN"/>
              </w:rPr>
            </w:pPr>
            <w:r>
              <w:rPr>
                <w:rFonts w:hint="default" w:ascii="Times New Roman" w:hAnsi="Times New Roman" w:eastAsia="宋体" w:cs="Times New Roman"/>
                <w:color w:val="auto"/>
                <w:sz w:val="24"/>
                <w:szCs w:val="24"/>
                <w:lang w:eastAsia="zh-CN"/>
              </w:rPr>
              <w:t>医疗服务</w:t>
            </w:r>
          </w:p>
        </w:tc>
        <w:tc>
          <w:tcPr>
            <w:tcW w:w="1152" w:type="dxa"/>
            <w:noWrap w:val="0"/>
            <w:vAlign w:val="center"/>
          </w:tcPr>
          <w:p w14:paraId="3454A8A1">
            <w:pPr>
              <w:pStyle w:val="36"/>
              <w:keepNext w:val="0"/>
              <w:keepLines w:val="0"/>
              <w:pageBreakBefore w:val="0"/>
              <w:widowControl w:val="0"/>
              <w:kinsoku/>
              <w:wordWrap/>
              <w:overflowPunct/>
              <w:topLinePunct w:val="0"/>
              <w:autoSpaceDE/>
              <w:autoSpaceDN/>
              <w:bidi w:val="0"/>
              <w:adjustRightInd/>
              <w:spacing w:line="400" w:lineRule="exact"/>
              <w:jc w:val="center"/>
              <w:textAlignment w:val="auto"/>
              <w:rPr>
                <w:rFonts w:hint="default" w:ascii="Times New Roman" w:hAnsi="Times New Roman" w:eastAsia="宋体" w:cs="Times New Roman"/>
                <w:color w:val="auto"/>
                <w:kern w:val="0"/>
                <w:sz w:val="24"/>
                <w:szCs w:val="24"/>
                <w:lang w:val="zh-CN" w:eastAsia="zh-CN" w:bidi="zh-CN"/>
              </w:rPr>
            </w:pPr>
            <w:r>
              <w:rPr>
                <w:rFonts w:hint="default" w:ascii="Times New Roman" w:hAnsi="Times New Roman" w:eastAsia="宋体" w:cs="Times New Roman"/>
                <w:color w:val="auto"/>
                <w:sz w:val="24"/>
                <w:szCs w:val="24"/>
              </w:rPr>
              <w:t>生活垃圾</w:t>
            </w:r>
          </w:p>
        </w:tc>
        <w:tc>
          <w:tcPr>
            <w:tcW w:w="3224" w:type="dxa"/>
            <w:noWrap w:val="0"/>
            <w:vAlign w:val="center"/>
          </w:tcPr>
          <w:p w14:paraId="3C766B11">
            <w:pPr>
              <w:pStyle w:val="36"/>
              <w:keepNext w:val="0"/>
              <w:keepLines w:val="0"/>
              <w:pageBreakBefore w:val="0"/>
              <w:widowControl w:val="0"/>
              <w:kinsoku/>
              <w:wordWrap/>
              <w:overflowPunct/>
              <w:topLinePunct w:val="0"/>
              <w:autoSpaceDE/>
              <w:autoSpaceDN/>
              <w:bidi w:val="0"/>
              <w:adjustRightInd/>
              <w:spacing w:line="400" w:lineRule="exact"/>
              <w:textAlignment w:val="auto"/>
              <w:rPr>
                <w:rFonts w:hint="default" w:ascii="Times New Roman" w:hAnsi="Times New Roman" w:eastAsia="宋体" w:cs="Times New Roman"/>
                <w:color w:val="auto"/>
                <w:kern w:val="0"/>
                <w:sz w:val="24"/>
                <w:szCs w:val="24"/>
                <w:lang w:val="en-US" w:eastAsia="zh-CN" w:bidi="zh-CN"/>
              </w:rPr>
            </w:pPr>
            <w:r>
              <w:rPr>
                <w:rFonts w:hint="default" w:ascii="Times New Roman" w:hAnsi="Times New Roman" w:eastAsia="宋体" w:cs="Times New Roman"/>
                <w:color w:val="auto"/>
                <w:sz w:val="24"/>
                <w:szCs w:val="24"/>
              </w:rPr>
              <w:t>集中收集至垃圾桶后由环卫部门拉运处理</w:t>
            </w:r>
          </w:p>
        </w:tc>
        <w:tc>
          <w:tcPr>
            <w:tcW w:w="2478" w:type="dxa"/>
            <w:noWrap w:val="0"/>
            <w:vAlign w:val="center"/>
          </w:tcPr>
          <w:p w14:paraId="4BAAC2E1">
            <w:pPr>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p>
        </w:tc>
      </w:tr>
      <w:tr w14:paraId="381D9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7" w:type="dxa"/>
            <w:vMerge w:val="continue"/>
            <w:noWrap w:val="0"/>
            <w:vAlign w:val="center"/>
          </w:tcPr>
          <w:p w14:paraId="5BE707F4">
            <w:pPr>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val="en-US"/>
              </w:rPr>
            </w:pPr>
          </w:p>
        </w:tc>
        <w:tc>
          <w:tcPr>
            <w:tcW w:w="1716" w:type="dxa"/>
            <w:noWrap w:val="0"/>
            <w:vAlign w:val="center"/>
          </w:tcPr>
          <w:p w14:paraId="06939341">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default" w:ascii="Times New Roman" w:hAnsi="Times New Roman" w:eastAsia="宋体" w:cs="Times New Roman"/>
                <w:bCs/>
                <w:color w:val="auto"/>
                <w:sz w:val="24"/>
                <w:szCs w:val="24"/>
                <w:lang w:val="en-GB" w:eastAsia="zh-CN" w:bidi="zh-CN"/>
              </w:rPr>
            </w:pPr>
            <w:r>
              <w:rPr>
                <w:rFonts w:hint="default" w:ascii="Times New Roman" w:hAnsi="Times New Roman" w:eastAsia="宋体" w:cs="Times New Roman"/>
                <w:color w:val="auto"/>
                <w:sz w:val="24"/>
                <w:szCs w:val="24"/>
                <w:lang w:eastAsia="zh-CN"/>
              </w:rPr>
              <w:t>医疗服务</w:t>
            </w:r>
          </w:p>
        </w:tc>
        <w:tc>
          <w:tcPr>
            <w:tcW w:w="1152" w:type="dxa"/>
            <w:noWrap w:val="0"/>
            <w:vAlign w:val="center"/>
          </w:tcPr>
          <w:p w14:paraId="18777E47">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default" w:ascii="Times New Roman" w:hAnsi="Times New Roman" w:eastAsia="宋体" w:cs="Times New Roman"/>
                <w:bCs/>
                <w:color w:val="auto"/>
                <w:sz w:val="24"/>
                <w:szCs w:val="24"/>
                <w:lang w:val="en-US" w:eastAsia="zh-CN" w:bidi="zh-CN"/>
              </w:rPr>
            </w:pPr>
            <w:r>
              <w:rPr>
                <w:rFonts w:hint="default" w:ascii="Times New Roman" w:hAnsi="Times New Roman" w:eastAsia="宋体" w:cs="Times New Roman"/>
                <w:color w:val="auto"/>
                <w:kern w:val="0"/>
                <w:sz w:val="24"/>
                <w:szCs w:val="24"/>
                <w:vertAlign w:val="baseline"/>
                <w:lang w:val="en-US" w:eastAsia="zh-CN"/>
              </w:rPr>
              <w:t>医疗废物</w:t>
            </w:r>
          </w:p>
        </w:tc>
        <w:tc>
          <w:tcPr>
            <w:tcW w:w="3224" w:type="dxa"/>
            <w:noWrap w:val="0"/>
            <w:vAlign w:val="center"/>
          </w:tcPr>
          <w:p w14:paraId="100E16A7">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default" w:ascii="Times New Roman" w:hAnsi="Times New Roman" w:eastAsia="宋体" w:cs="Times New Roman"/>
                <w:bCs/>
                <w:color w:val="auto"/>
                <w:sz w:val="24"/>
                <w:szCs w:val="24"/>
                <w:lang w:val="en-US" w:eastAsia="zh-CN" w:bidi="zh-CN"/>
              </w:rPr>
            </w:pPr>
            <w:r>
              <w:rPr>
                <w:rFonts w:hint="default" w:ascii="Times New Roman" w:hAnsi="Times New Roman" w:eastAsia="宋体" w:cs="Times New Roman"/>
                <w:color w:val="auto"/>
                <w:sz w:val="24"/>
                <w:szCs w:val="24"/>
              </w:rPr>
              <w:t>按规定分类收集至相应容器后暂存于危废暂存库，</w:t>
            </w:r>
            <w:r>
              <w:rPr>
                <w:rFonts w:hint="default" w:ascii="Times New Roman" w:hAnsi="Times New Roman" w:eastAsia="宋体" w:cs="Times New Roman"/>
                <w:color w:val="auto"/>
                <w:sz w:val="24"/>
                <w:szCs w:val="24"/>
                <w:lang w:eastAsia="zh-CN"/>
              </w:rPr>
              <w:t>定期</w:t>
            </w:r>
            <w:r>
              <w:rPr>
                <w:rFonts w:hint="default" w:ascii="Times New Roman" w:hAnsi="Times New Roman" w:eastAsia="宋体" w:cs="Times New Roman"/>
                <w:color w:val="auto"/>
                <w:sz w:val="24"/>
                <w:szCs w:val="24"/>
              </w:rPr>
              <w:t>由</w:t>
            </w:r>
            <w:r>
              <w:rPr>
                <w:rFonts w:hint="default" w:ascii="Times New Roman" w:hAnsi="Times New Roman" w:eastAsia="宋体" w:cs="Times New Roman"/>
                <w:color w:val="auto"/>
                <w:sz w:val="24"/>
                <w:szCs w:val="24"/>
                <w:lang w:eastAsia="zh-CN"/>
              </w:rPr>
              <w:t>鄂尔多斯市仲安医疗废物集中处置有限公司处置</w:t>
            </w:r>
          </w:p>
        </w:tc>
        <w:tc>
          <w:tcPr>
            <w:tcW w:w="2478" w:type="dxa"/>
            <w:vMerge w:val="restart"/>
            <w:noWrap w:val="0"/>
            <w:vAlign w:val="center"/>
          </w:tcPr>
          <w:p w14:paraId="1F5B49C1">
            <w:pPr>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val="en-US" w:eastAsia="zh-CN" w:bidi="zh-CN"/>
              </w:rPr>
            </w:pPr>
            <w:r>
              <w:rPr>
                <w:rFonts w:hint="default" w:ascii="Times New Roman" w:hAnsi="Times New Roman" w:eastAsia="宋体" w:cs="Times New Roman"/>
                <w:color w:val="auto"/>
                <w:spacing w:val="0"/>
                <w:w w:val="100"/>
                <w:sz w:val="24"/>
                <w:szCs w:val="24"/>
              </w:rPr>
              <w:t>《危险废物贮存污染控制标准》（GB18597</w:t>
            </w:r>
            <w:r>
              <w:rPr>
                <w:rFonts w:hint="default" w:ascii="Times New Roman" w:hAnsi="Times New Roman" w:eastAsia="宋体" w:cs="Times New Roman"/>
                <w:color w:val="auto"/>
                <w:spacing w:val="0"/>
                <w:w w:val="100"/>
                <w:sz w:val="24"/>
                <w:szCs w:val="24"/>
                <w:lang w:val="en-US" w:eastAsia="zh-CN"/>
              </w:rPr>
              <w:t>-</w:t>
            </w:r>
            <w:r>
              <w:rPr>
                <w:rFonts w:hint="default" w:ascii="Times New Roman" w:hAnsi="Times New Roman" w:eastAsia="宋体" w:cs="Times New Roman"/>
                <w:color w:val="auto"/>
                <w:spacing w:val="0"/>
                <w:w w:val="100"/>
                <w:sz w:val="24"/>
                <w:szCs w:val="24"/>
              </w:rPr>
              <w:t>2023）</w:t>
            </w:r>
          </w:p>
        </w:tc>
      </w:tr>
      <w:tr w14:paraId="1DBD0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7" w:type="dxa"/>
            <w:vMerge w:val="continue"/>
            <w:noWrap w:val="0"/>
            <w:vAlign w:val="center"/>
          </w:tcPr>
          <w:p w14:paraId="1B9D4DED">
            <w:pPr>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val="en-US"/>
              </w:rPr>
            </w:pPr>
          </w:p>
        </w:tc>
        <w:tc>
          <w:tcPr>
            <w:tcW w:w="1716" w:type="dxa"/>
            <w:noWrap w:val="0"/>
            <w:vAlign w:val="center"/>
          </w:tcPr>
          <w:p w14:paraId="3361B3D7">
            <w:pPr>
              <w:pStyle w:val="41"/>
              <w:keepNext w:val="0"/>
              <w:keepLines w:val="0"/>
              <w:pageBreakBefore w:val="0"/>
              <w:widowControl w:val="0"/>
              <w:kinsoku/>
              <w:wordWrap/>
              <w:overflowPunct/>
              <w:topLinePunct w:val="0"/>
              <w:autoSpaceDE/>
              <w:autoSpaceDN/>
              <w:bidi w:val="0"/>
              <w:adjustRightInd/>
              <w:spacing w:line="400" w:lineRule="exact"/>
              <w:jc w:val="center"/>
              <w:textAlignment w:val="auto"/>
              <w:rPr>
                <w:rFonts w:hint="default" w:ascii="Times New Roman" w:hAnsi="Times New Roman" w:eastAsia="宋体" w:cs="Times New Roman"/>
                <w:color w:val="auto"/>
                <w:kern w:val="0"/>
                <w:sz w:val="24"/>
                <w:szCs w:val="24"/>
                <w:vertAlign w:val="baseline"/>
                <w:lang w:val="en-US" w:eastAsia="zh-CN" w:bidi="zh-CN"/>
              </w:rPr>
            </w:pPr>
            <w:r>
              <w:rPr>
                <w:rFonts w:hint="default" w:ascii="Times New Roman" w:hAnsi="Times New Roman" w:eastAsia="宋体" w:cs="Times New Roman"/>
                <w:color w:val="auto"/>
                <w:kern w:val="0"/>
                <w:sz w:val="24"/>
                <w:szCs w:val="24"/>
                <w:vertAlign w:val="baseline"/>
                <w:lang w:val="en-US" w:eastAsia="zh-CN"/>
              </w:rPr>
              <w:t>污水处理</w:t>
            </w:r>
          </w:p>
        </w:tc>
        <w:tc>
          <w:tcPr>
            <w:tcW w:w="1152" w:type="dxa"/>
            <w:noWrap w:val="0"/>
            <w:vAlign w:val="center"/>
          </w:tcPr>
          <w:p w14:paraId="62796E16">
            <w:pPr>
              <w:pStyle w:val="35"/>
              <w:keepNext w:val="0"/>
              <w:keepLines w:val="0"/>
              <w:pageBreakBefore w:val="0"/>
              <w:widowControl w:val="0"/>
              <w:kinsoku/>
              <w:wordWrap/>
              <w:overflowPunct/>
              <w:topLinePunct w:val="0"/>
              <w:autoSpaceDE/>
              <w:autoSpaceDN/>
              <w:bidi w:val="0"/>
              <w:adjustRightInd/>
              <w:spacing w:line="400" w:lineRule="exact"/>
              <w:ind w:firstLine="0" w:firstLineChars="0"/>
              <w:jc w:val="center"/>
              <w:textAlignment w:val="auto"/>
              <w:rPr>
                <w:rFonts w:hint="default" w:ascii="Times New Roman" w:hAnsi="Times New Roman" w:eastAsia="宋体" w:cs="Times New Roman"/>
                <w:color w:val="auto"/>
                <w:kern w:val="0"/>
                <w:sz w:val="24"/>
                <w:szCs w:val="24"/>
                <w:lang w:val="en-US" w:eastAsia="zh-CN" w:bidi="zh-CN"/>
              </w:rPr>
            </w:pPr>
            <w:r>
              <w:rPr>
                <w:rFonts w:hint="default" w:ascii="Times New Roman" w:hAnsi="Times New Roman" w:eastAsia="宋体" w:cs="Times New Roman"/>
                <w:color w:val="auto"/>
                <w:sz w:val="24"/>
                <w:szCs w:val="24"/>
                <w:lang w:val="en-US" w:eastAsia="zh-CN"/>
              </w:rPr>
              <w:t>栅渣、化粪池和污水处理站污泥</w:t>
            </w:r>
          </w:p>
        </w:tc>
        <w:tc>
          <w:tcPr>
            <w:tcW w:w="3224" w:type="dxa"/>
            <w:noWrap w:val="0"/>
            <w:vAlign w:val="center"/>
          </w:tcPr>
          <w:p w14:paraId="1CE88DAB">
            <w:pPr>
              <w:pStyle w:val="35"/>
              <w:keepNext w:val="0"/>
              <w:keepLines w:val="0"/>
              <w:pageBreakBefore w:val="0"/>
              <w:widowControl w:val="0"/>
              <w:kinsoku/>
              <w:wordWrap/>
              <w:overflowPunct/>
              <w:topLinePunct w:val="0"/>
              <w:autoSpaceDE/>
              <w:autoSpaceDN/>
              <w:bidi w:val="0"/>
              <w:adjustRightInd/>
              <w:spacing w:line="400" w:lineRule="exact"/>
              <w:ind w:firstLine="0" w:firstLineChars="0"/>
              <w:jc w:val="center"/>
              <w:textAlignment w:val="auto"/>
              <w:rPr>
                <w:rFonts w:hint="default" w:ascii="Times New Roman" w:hAnsi="Times New Roman" w:eastAsia="宋体" w:cs="Times New Roman"/>
                <w:color w:val="auto"/>
                <w:kern w:val="0"/>
                <w:sz w:val="24"/>
                <w:szCs w:val="24"/>
                <w:lang w:val="en-US" w:eastAsia="zh-CN" w:bidi="zh-CN"/>
              </w:rPr>
            </w:pPr>
            <w:r>
              <w:rPr>
                <w:rFonts w:hint="default" w:ascii="Times New Roman" w:hAnsi="Times New Roman" w:eastAsia="宋体" w:cs="Times New Roman"/>
                <w:color w:val="auto"/>
                <w:sz w:val="24"/>
                <w:szCs w:val="24"/>
              </w:rPr>
              <w:t>收集后暂存于危废暂存库，</w:t>
            </w:r>
            <w:r>
              <w:rPr>
                <w:rFonts w:hint="default" w:ascii="Times New Roman" w:hAnsi="Times New Roman" w:eastAsia="宋体" w:cs="Times New Roman"/>
                <w:color w:val="auto"/>
                <w:sz w:val="24"/>
                <w:szCs w:val="24"/>
                <w:lang w:eastAsia="zh-CN"/>
              </w:rPr>
              <w:t>定期</w:t>
            </w:r>
            <w:r>
              <w:rPr>
                <w:rFonts w:hint="default" w:ascii="Times New Roman" w:hAnsi="Times New Roman" w:eastAsia="宋体" w:cs="Times New Roman"/>
                <w:color w:val="auto"/>
                <w:sz w:val="24"/>
                <w:szCs w:val="24"/>
              </w:rPr>
              <w:t>由</w:t>
            </w:r>
            <w:r>
              <w:rPr>
                <w:rFonts w:hint="default" w:ascii="Times New Roman" w:hAnsi="Times New Roman" w:eastAsia="宋体" w:cs="Times New Roman"/>
                <w:color w:val="auto"/>
                <w:sz w:val="24"/>
                <w:szCs w:val="24"/>
                <w:lang w:eastAsia="zh-CN"/>
              </w:rPr>
              <w:t>鄂尔多斯市</w:t>
            </w:r>
            <w:r>
              <w:rPr>
                <w:rFonts w:hint="eastAsia" w:ascii="Times New Roman" w:hAnsi="Times New Roman" w:eastAsia="宋体" w:cs="Times New Roman"/>
                <w:color w:val="auto"/>
                <w:sz w:val="24"/>
                <w:szCs w:val="24"/>
                <w:lang w:val="en-US" w:eastAsia="zh-CN"/>
              </w:rPr>
              <w:t>馨蕊</w:t>
            </w:r>
            <w:r>
              <w:rPr>
                <w:rFonts w:hint="default" w:ascii="Times New Roman" w:hAnsi="Times New Roman" w:eastAsia="宋体" w:cs="Times New Roman"/>
                <w:color w:val="auto"/>
                <w:sz w:val="24"/>
                <w:szCs w:val="24"/>
                <w:lang w:eastAsia="zh-CN"/>
              </w:rPr>
              <w:t>医疗废物处置有限</w:t>
            </w:r>
            <w:r>
              <w:rPr>
                <w:rFonts w:hint="eastAsia" w:ascii="Times New Roman" w:hAnsi="Times New Roman" w:eastAsia="宋体" w:cs="Times New Roman"/>
                <w:color w:val="auto"/>
                <w:sz w:val="24"/>
                <w:szCs w:val="24"/>
                <w:lang w:val="en-US" w:eastAsia="zh-CN"/>
              </w:rPr>
              <w:t>责任</w:t>
            </w:r>
            <w:r>
              <w:rPr>
                <w:rFonts w:hint="default" w:ascii="Times New Roman" w:hAnsi="Times New Roman" w:eastAsia="宋体" w:cs="Times New Roman"/>
                <w:color w:val="auto"/>
                <w:sz w:val="24"/>
                <w:szCs w:val="24"/>
                <w:lang w:eastAsia="zh-CN"/>
              </w:rPr>
              <w:t>公司处置</w:t>
            </w:r>
          </w:p>
        </w:tc>
        <w:tc>
          <w:tcPr>
            <w:tcW w:w="2478" w:type="dxa"/>
            <w:vMerge w:val="continue"/>
            <w:noWrap w:val="0"/>
            <w:vAlign w:val="center"/>
          </w:tcPr>
          <w:p w14:paraId="2E341B94">
            <w:pPr>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val="en-US"/>
              </w:rPr>
            </w:pPr>
          </w:p>
        </w:tc>
      </w:tr>
      <w:tr w14:paraId="33CC0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7" w:type="dxa"/>
            <w:noWrap w:val="0"/>
            <w:vAlign w:val="center"/>
          </w:tcPr>
          <w:p w14:paraId="48502A59">
            <w:pPr>
              <w:pStyle w:val="45"/>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rPr>
              <w:t>土壤及地下水污染防治措施</w:t>
            </w:r>
          </w:p>
        </w:tc>
        <w:tc>
          <w:tcPr>
            <w:tcW w:w="6092" w:type="dxa"/>
            <w:gridSpan w:val="3"/>
            <w:noWrap w:val="0"/>
            <w:vAlign w:val="center"/>
          </w:tcPr>
          <w:p w14:paraId="2B25941E">
            <w:pPr>
              <w:keepNext w:val="0"/>
              <w:keepLines w:val="0"/>
              <w:pageBreakBefore w:val="0"/>
              <w:widowControl w:val="0"/>
              <w:kinsoku/>
              <w:wordWrap/>
              <w:overflowPunct/>
              <w:topLinePunct/>
              <w:autoSpaceDE/>
              <w:autoSpaceDN/>
              <w:bidi w:val="0"/>
              <w:adjustRightInd/>
              <w:snapToGrid w:val="0"/>
              <w:spacing w:line="400" w:lineRule="exact"/>
              <w:jc w:val="both"/>
              <w:textAlignment w:val="auto"/>
              <w:rPr>
                <w:rFonts w:hint="default" w:ascii="Times New Roman" w:hAnsi="Times New Roman" w:eastAsia="宋体" w:cs="Times New Roman"/>
                <w:color w:val="auto"/>
                <w:spacing w:val="0"/>
                <w:w w:val="100"/>
                <w:sz w:val="24"/>
                <w:szCs w:val="24"/>
                <w:lang w:eastAsia="zh-CN"/>
              </w:rPr>
            </w:pPr>
            <w:r>
              <w:rPr>
                <w:rFonts w:hint="default" w:ascii="Times New Roman" w:hAnsi="Times New Roman" w:eastAsia="宋体" w:cs="Times New Roman"/>
                <w:color w:val="auto"/>
                <w:spacing w:val="0"/>
                <w:w w:val="100"/>
                <w:sz w:val="24"/>
                <w:szCs w:val="24"/>
                <w:lang w:eastAsia="zh-CN"/>
              </w:rPr>
              <w:t>危废暂存库：按照《危险废物贮存污染控制标准》（GB 18597—2023）要求进行防渗，地面要求硬化、耐腐蚀、防渗漏，且表面无裂隙，地面及裙脚基础垫层+2mmHDPE膜+环氧砂浆涂层，墙壁防渗防腐衬层高度为50cm，保证构筑物渗透系数</w:t>
            </w:r>
            <w:r>
              <w:rPr>
                <w:rFonts w:hint="eastAsia" w:ascii="Times New Roman" w:hAnsi="Times New Roman" w:cs="Times New Roman"/>
                <w:color w:val="auto"/>
                <w:spacing w:val="0"/>
                <w:w w:val="100"/>
                <w:sz w:val="24"/>
                <w:szCs w:val="24"/>
                <w:lang w:val="en-US" w:eastAsia="zh-CN"/>
              </w:rPr>
              <w:t>≤</w:t>
            </w:r>
            <w:r>
              <w:rPr>
                <w:rFonts w:hint="default" w:ascii="Times New Roman" w:hAnsi="Times New Roman" w:eastAsia="宋体" w:cs="Times New Roman"/>
                <w:color w:val="auto"/>
                <w:spacing w:val="0"/>
                <w:w w:val="100"/>
                <w:sz w:val="24"/>
                <w:szCs w:val="24"/>
                <w:lang w:eastAsia="zh-CN"/>
              </w:rPr>
              <w:t>1.0×10</w:t>
            </w:r>
            <w:r>
              <w:rPr>
                <w:rFonts w:hint="default" w:ascii="Times New Roman" w:hAnsi="Times New Roman" w:eastAsia="宋体" w:cs="Times New Roman"/>
                <w:color w:val="auto"/>
                <w:spacing w:val="0"/>
                <w:w w:val="100"/>
                <w:sz w:val="24"/>
                <w:szCs w:val="24"/>
                <w:vertAlign w:val="superscript"/>
                <w:lang w:eastAsia="zh-CN"/>
              </w:rPr>
              <w:t>-10</w:t>
            </w:r>
            <w:r>
              <w:rPr>
                <w:rFonts w:hint="default" w:ascii="Times New Roman" w:hAnsi="Times New Roman" w:eastAsia="宋体" w:cs="Times New Roman"/>
                <w:color w:val="auto"/>
                <w:spacing w:val="0"/>
                <w:w w:val="100"/>
                <w:sz w:val="24"/>
                <w:szCs w:val="24"/>
                <w:lang w:eastAsia="zh-CN"/>
              </w:rPr>
              <w:t>cm/s；</w:t>
            </w:r>
          </w:p>
          <w:p w14:paraId="4C25DE36">
            <w:pPr>
              <w:keepNext w:val="0"/>
              <w:keepLines w:val="0"/>
              <w:pageBreakBefore w:val="0"/>
              <w:widowControl w:val="0"/>
              <w:kinsoku/>
              <w:wordWrap/>
              <w:overflowPunct/>
              <w:topLinePunct/>
              <w:autoSpaceDE/>
              <w:autoSpaceDN/>
              <w:bidi w:val="0"/>
              <w:adjustRightInd/>
              <w:snapToGrid w:val="0"/>
              <w:spacing w:line="400" w:lineRule="exact"/>
              <w:jc w:val="both"/>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pacing w:val="0"/>
                <w:w w:val="100"/>
                <w:sz w:val="24"/>
                <w:szCs w:val="24"/>
                <w:lang w:eastAsia="zh-CN"/>
              </w:rPr>
              <w:t>污水处理站：采用20cm混凝土防渗层；墙壁防渗防腐衬层高度为50cm，保证构筑物渗透系数</w:t>
            </w:r>
            <w:r>
              <w:rPr>
                <w:rFonts w:hint="eastAsia" w:ascii="Times New Roman" w:hAnsi="Times New Roman" w:cs="Times New Roman"/>
                <w:color w:val="auto"/>
                <w:spacing w:val="0"/>
                <w:w w:val="100"/>
                <w:sz w:val="24"/>
                <w:szCs w:val="24"/>
                <w:lang w:val="en-US" w:eastAsia="zh-CN"/>
              </w:rPr>
              <w:t>≤</w:t>
            </w:r>
            <w:r>
              <w:rPr>
                <w:rFonts w:hint="default" w:ascii="Times New Roman" w:hAnsi="Times New Roman" w:eastAsia="宋体" w:cs="Times New Roman"/>
                <w:color w:val="auto"/>
                <w:spacing w:val="0"/>
                <w:w w:val="100"/>
                <w:sz w:val="24"/>
                <w:szCs w:val="24"/>
                <w:lang w:eastAsia="zh-CN"/>
              </w:rPr>
              <w:t>1.0×10</w:t>
            </w:r>
            <w:r>
              <w:rPr>
                <w:rFonts w:hint="default" w:ascii="Times New Roman" w:hAnsi="Times New Roman" w:eastAsia="宋体" w:cs="Times New Roman"/>
                <w:color w:val="auto"/>
                <w:spacing w:val="0"/>
                <w:w w:val="100"/>
                <w:sz w:val="24"/>
                <w:szCs w:val="24"/>
                <w:vertAlign w:val="superscript"/>
                <w:lang w:eastAsia="zh-CN"/>
              </w:rPr>
              <w:t>-7</w:t>
            </w:r>
            <w:r>
              <w:rPr>
                <w:rFonts w:hint="default" w:ascii="Times New Roman" w:hAnsi="Times New Roman" w:eastAsia="宋体" w:cs="Times New Roman"/>
                <w:color w:val="auto"/>
                <w:spacing w:val="0"/>
                <w:w w:val="100"/>
                <w:sz w:val="24"/>
                <w:szCs w:val="24"/>
                <w:lang w:eastAsia="zh-CN"/>
              </w:rPr>
              <w:t>cm/s</w:t>
            </w:r>
            <w:r>
              <w:rPr>
                <w:rFonts w:hint="eastAsia" w:ascii="Times New Roman" w:hAnsi="Times New Roman" w:cs="Times New Roman"/>
                <w:color w:val="auto"/>
                <w:sz w:val="24"/>
                <w:szCs w:val="24"/>
                <w:lang w:eastAsia="zh-CN"/>
              </w:rPr>
              <w:t>。</w:t>
            </w:r>
          </w:p>
        </w:tc>
        <w:tc>
          <w:tcPr>
            <w:tcW w:w="2478" w:type="dxa"/>
            <w:noWrap w:val="0"/>
            <w:vAlign w:val="center"/>
          </w:tcPr>
          <w:p w14:paraId="626ECD9F">
            <w:pPr>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p>
        </w:tc>
      </w:tr>
      <w:tr w14:paraId="2C853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7" w:type="dxa"/>
            <w:noWrap w:val="0"/>
            <w:vAlign w:val="center"/>
          </w:tcPr>
          <w:p w14:paraId="685E484F">
            <w:pPr>
              <w:pStyle w:val="45"/>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生态保护</w:t>
            </w:r>
          </w:p>
          <w:p w14:paraId="2C88B5BC">
            <w:pPr>
              <w:pStyle w:val="45"/>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rPr>
              <w:t>措施</w:t>
            </w:r>
          </w:p>
        </w:tc>
        <w:tc>
          <w:tcPr>
            <w:tcW w:w="8570" w:type="dxa"/>
            <w:gridSpan w:val="4"/>
            <w:noWrap w:val="0"/>
            <w:vAlign w:val="center"/>
          </w:tcPr>
          <w:p w14:paraId="459D025F">
            <w:pPr>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w:t>
            </w:r>
          </w:p>
        </w:tc>
      </w:tr>
      <w:tr w14:paraId="43575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7" w:type="dxa"/>
            <w:noWrap w:val="0"/>
            <w:vAlign w:val="center"/>
          </w:tcPr>
          <w:p w14:paraId="23B06A77">
            <w:pPr>
              <w:pStyle w:val="45"/>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环境风险</w:t>
            </w:r>
          </w:p>
          <w:p w14:paraId="4C36275E">
            <w:pPr>
              <w:pStyle w:val="45"/>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rPr>
              <w:t>防范措施</w:t>
            </w:r>
          </w:p>
        </w:tc>
        <w:tc>
          <w:tcPr>
            <w:tcW w:w="8570" w:type="dxa"/>
            <w:gridSpan w:val="4"/>
            <w:noWrap w:val="0"/>
            <w:vAlign w:val="center"/>
          </w:tcPr>
          <w:p w14:paraId="23DD5EB5">
            <w:pPr>
              <w:keepNext w:val="0"/>
              <w:keepLines w:val="0"/>
              <w:pageBreakBefore w:val="0"/>
              <w:widowControl w:val="0"/>
              <w:numPr>
                <w:ilvl w:val="0"/>
                <w:numId w:val="0"/>
              </w:numPr>
              <w:kinsoku/>
              <w:wordWrap/>
              <w:overflowPunct/>
              <w:topLinePunct w:val="0"/>
              <w:autoSpaceDE/>
              <w:autoSpaceDN/>
              <w:bidi w:val="0"/>
              <w:snapToGrid/>
              <w:spacing w:line="400" w:lineRule="exact"/>
              <w:ind w:firstLine="0" w:firstLineChars="0"/>
              <w:jc w:val="both"/>
              <w:textAlignment w:val="auto"/>
              <w:rPr>
                <w:rFonts w:hint="default" w:ascii="Times New Roman" w:hAnsi="Times New Roman" w:eastAsia="宋体" w:cs="Times New Roman"/>
                <w:bCs/>
                <w:color w:val="auto"/>
                <w:sz w:val="24"/>
                <w:szCs w:val="24"/>
                <w:lang w:eastAsia="zh-CN"/>
              </w:rPr>
            </w:pPr>
            <w:r>
              <w:rPr>
                <w:rFonts w:hint="default" w:ascii="Times New Roman" w:hAnsi="Times New Roman" w:eastAsia="宋体" w:cs="Times New Roman"/>
                <w:bCs/>
                <w:color w:val="auto"/>
                <w:sz w:val="24"/>
                <w:szCs w:val="24"/>
                <w:lang w:val="zh-CN" w:eastAsia="zh-CN" w:bidi="zh-CN"/>
              </w:rPr>
              <w:t>（1）</w:t>
            </w:r>
            <w:r>
              <w:rPr>
                <w:rFonts w:hint="default" w:ascii="Times New Roman" w:hAnsi="Times New Roman" w:eastAsia="宋体" w:cs="Times New Roman"/>
                <w:bCs/>
                <w:color w:val="auto"/>
                <w:sz w:val="24"/>
                <w:szCs w:val="24"/>
              </w:rPr>
              <w:t>组建环保管理机构，配备管理人员，通过技能培训，承担医院运行后</w:t>
            </w:r>
            <w:r>
              <w:rPr>
                <w:rFonts w:hint="default" w:ascii="Times New Roman" w:hAnsi="Times New Roman" w:eastAsia="宋体" w:cs="Times New Roman"/>
                <w:bCs/>
                <w:color w:val="auto"/>
                <w:sz w:val="24"/>
                <w:szCs w:val="24"/>
                <w:lang w:eastAsia="zh-CN"/>
              </w:rPr>
              <w:t>污水处理站、危废暂存库等</w:t>
            </w:r>
            <w:r>
              <w:rPr>
                <w:rFonts w:hint="default" w:ascii="Times New Roman" w:hAnsi="Times New Roman" w:eastAsia="宋体" w:cs="Times New Roman"/>
                <w:bCs/>
                <w:color w:val="auto"/>
                <w:sz w:val="24"/>
                <w:szCs w:val="24"/>
              </w:rPr>
              <w:t>的环保安全工作</w:t>
            </w:r>
            <w:r>
              <w:rPr>
                <w:rFonts w:hint="default" w:ascii="Times New Roman" w:hAnsi="Times New Roman" w:eastAsia="宋体" w:cs="Times New Roman"/>
                <w:bCs/>
                <w:color w:val="auto"/>
                <w:sz w:val="24"/>
                <w:szCs w:val="24"/>
                <w:lang w:eastAsia="zh-CN"/>
              </w:rPr>
              <w:t>；</w:t>
            </w:r>
          </w:p>
          <w:p w14:paraId="6C88686A">
            <w:pPr>
              <w:keepNext w:val="0"/>
              <w:keepLines w:val="0"/>
              <w:pageBreakBefore w:val="0"/>
              <w:widowControl w:val="0"/>
              <w:numPr>
                <w:ilvl w:val="0"/>
                <w:numId w:val="0"/>
              </w:numPr>
              <w:kinsoku/>
              <w:wordWrap/>
              <w:overflowPunct/>
              <w:topLinePunct w:val="0"/>
              <w:autoSpaceDE/>
              <w:autoSpaceDN/>
              <w:bidi w:val="0"/>
              <w:snapToGrid/>
              <w:spacing w:line="400" w:lineRule="exact"/>
              <w:ind w:firstLine="0" w:firstLineChars="0"/>
              <w:jc w:val="both"/>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（2）</w:t>
            </w:r>
            <w:r>
              <w:rPr>
                <w:rFonts w:hint="default" w:ascii="Times New Roman" w:hAnsi="Times New Roman" w:eastAsia="宋体" w:cs="Times New Roman"/>
                <w:bCs/>
                <w:color w:val="auto"/>
                <w:sz w:val="24"/>
                <w:szCs w:val="24"/>
              </w:rPr>
              <w:t>加强安全教育</w:t>
            </w:r>
            <w:r>
              <w:rPr>
                <w:rFonts w:hint="default" w:ascii="Times New Roman" w:hAnsi="Times New Roman" w:eastAsia="宋体" w:cs="Times New Roman"/>
                <w:bCs/>
                <w:color w:val="auto"/>
                <w:sz w:val="24"/>
                <w:szCs w:val="24"/>
                <w:lang w:eastAsia="zh-CN"/>
              </w:rPr>
              <w:t>、</w:t>
            </w:r>
            <w:r>
              <w:rPr>
                <w:rFonts w:hint="default" w:ascii="Times New Roman" w:hAnsi="Times New Roman" w:eastAsia="宋体" w:cs="Times New Roman"/>
                <w:color w:val="auto"/>
                <w:sz w:val="24"/>
                <w:szCs w:val="24"/>
                <w:lang w:val="en-US"/>
              </w:rPr>
              <w:t>强化管理；</w:t>
            </w:r>
          </w:p>
          <w:p w14:paraId="3BE131BD">
            <w:pPr>
              <w:keepNext w:val="0"/>
              <w:keepLines w:val="0"/>
              <w:pageBreakBefore w:val="0"/>
              <w:widowControl w:val="0"/>
              <w:kinsoku/>
              <w:wordWrap/>
              <w:overflowPunct/>
              <w:topLinePunct w:val="0"/>
              <w:autoSpaceDE/>
              <w:autoSpaceDN/>
              <w:bidi w:val="0"/>
              <w:snapToGrid/>
              <w:spacing w:line="400" w:lineRule="exact"/>
              <w:ind w:firstLine="0" w:firstLineChars="0"/>
              <w:jc w:val="both"/>
              <w:textAlignment w:val="auto"/>
              <w:rPr>
                <w:rFonts w:hint="default" w:ascii="Times New Roman" w:hAnsi="Times New Roman" w:eastAsia="宋体" w:cs="Times New Roman"/>
                <w:bCs/>
                <w:color w:val="auto"/>
                <w:sz w:val="24"/>
                <w:szCs w:val="24"/>
                <w:lang w:eastAsia="zh-CN"/>
              </w:rPr>
            </w:pPr>
            <w:r>
              <w:rPr>
                <w:rFonts w:hint="default" w:ascii="Times New Roman" w:hAnsi="Times New Roman" w:eastAsia="宋体" w:cs="Times New Roman"/>
                <w:color w:val="auto"/>
                <w:sz w:val="24"/>
                <w:szCs w:val="24"/>
                <w:lang w:val="en-US"/>
              </w:rPr>
              <w:t>（3）</w:t>
            </w:r>
            <w:r>
              <w:rPr>
                <w:rFonts w:hint="default" w:ascii="Times New Roman" w:hAnsi="Times New Roman" w:eastAsia="宋体" w:cs="Times New Roman"/>
                <w:color w:val="auto"/>
                <w:sz w:val="24"/>
                <w:szCs w:val="24"/>
                <w:lang w:val="en-US" w:eastAsia="zh-CN"/>
              </w:rPr>
              <w:t>编制应急预案，</w:t>
            </w:r>
            <w:r>
              <w:rPr>
                <w:rFonts w:hint="default" w:ascii="Times New Roman" w:hAnsi="Times New Roman" w:eastAsia="宋体" w:cs="Times New Roman"/>
                <w:bCs/>
                <w:color w:val="auto"/>
                <w:sz w:val="24"/>
                <w:szCs w:val="24"/>
              </w:rPr>
              <w:t>设立急救指挥小组，并和当地事故应急救援部门建立正常联系，一旦出现事故能立刻采取有效救援措施</w:t>
            </w:r>
            <w:r>
              <w:rPr>
                <w:rFonts w:hint="default" w:ascii="Times New Roman" w:hAnsi="Times New Roman" w:eastAsia="宋体" w:cs="Times New Roman"/>
                <w:bCs/>
                <w:color w:val="auto"/>
                <w:sz w:val="24"/>
                <w:szCs w:val="24"/>
                <w:lang w:eastAsia="zh-CN"/>
              </w:rPr>
              <w:t>；</w:t>
            </w:r>
          </w:p>
          <w:p w14:paraId="0510146E">
            <w:pPr>
              <w:pStyle w:val="46"/>
              <w:keepNext w:val="0"/>
              <w:keepLines w:val="0"/>
              <w:pageBreakBefore w:val="0"/>
              <w:widowControl w:val="0"/>
              <w:kinsoku/>
              <w:wordWrap/>
              <w:overflowPunct/>
              <w:topLinePunct w:val="0"/>
              <w:autoSpaceDE/>
              <w:autoSpaceDN/>
              <w:bidi w:val="0"/>
              <w:snapToGrid/>
              <w:spacing w:line="400" w:lineRule="exact"/>
              <w:ind w:firstLine="0" w:firstLineChars="0"/>
              <w:jc w:val="both"/>
              <w:textAlignment w:val="auto"/>
              <w:rPr>
                <w:rFonts w:hint="default" w:ascii="Times New Roman" w:hAnsi="Times New Roman" w:eastAsia="宋体" w:cs="Times New Roman"/>
                <w:bCs/>
                <w:color w:val="auto"/>
                <w:sz w:val="24"/>
                <w:szCs w:val="24"/>
                <w:lang w:eastAsia="zh-CN"/>
              </w:rPr>
            </w:pPr>
            <w:r>
              <w:rPr>
                <w:rFonts w:hint="default" w:ascii="Times New Roman" w:hAnsi="Times New Roman" w:eastAsia="宋体" w:cs="Times New Roman"/>
                <w:bCs/>
                <w:color w:val="auto"/>
                <w:sz w:val="24"/>
                <w:szCs w:val="24"/>
                <w:lang w:eastAsia="zh-CN"/>
              </w:rPr>
              <w:t>（</w:t>
            </w:r>
            <w:r>
              <w:rPr>
                <w:rFonts w:hint="default" w:ascii="Times New Roman" w:hAnsi="Times New Roman" w:eastAsia="宋体" w:cs="Times New Roman"/>
                <w:bCs/>
                <w:color w:val="auto"/>
                <w:sz w:val="24"/>
                <w:szCs w:val="24"/>
                <w:lang w:val="en-US" w:eastAsia="zh-CN"/>
              </w:rPr>
              <w:t>4</w:t>
            </w:r>
            <w:r>
              <w:rPr>
                <w:rFonts w:hint="default" w:ascii="Times New Roman" w:hAnsi="Times New Roman" w:eastAsia="宋体" w:cs="Times New Roman"/>
                <w:bCs/>
                <w:color w:val="auto"/>
                <w:sz w:val="24"/>
                <w:szCs w:val="24"/>
                <w:lang w:eastAsia="zh-CN"/>
              </w:rPr>
              <w:t>）</w:t>
            </w:r>
            <w:r>
              <w:rPr>
                <w:rFonts w:hint="default" w:ascii="Times New Roman" w:hAnsi="Times New Roman" w:eastAsia="宋体" w:cs="Times New Roman"/>
                <w:bCs/>
                <w:color w:val="auto"/>
                <w:sz w:val="24"/>
                <w:szCs w:val="24"/>
              </w:rPr>
              <w:t>加强污水处理设施维护、保养，同时加强日常管理及监测</w:t>
            </w:r>
            <w:r>
              <w:rPr>
                <w:rFonts w:hint="default" w:ascii="Times New Roman" w:hAnsi="Times New Roman" w:eastAsia="宋体" w:cs="Times New Roman"/>
                <w:bCs/>
                <w:color w:val="auto"/>
                <w:sz w:val="24"/>
                <w:szCs w:val="24"/>
                <w:lang w:eastAsia="zh-CN"/>
              </w:rPr>
              <w:t>；</w:t>
            </w:r>
          </w:p>
          <w:p w14:paraId="2C7FF0AB">
            <w:pPr>
              <w:pStyle w:val="46"/>
              <w:keepNext w:val="0"/>
              <w:keepLines w:val="0"/>
              <w:pageBreakBefore w:val="0"/>
              <w:widowControl w:val="0"/>
              <w:kinsoku/>
              <w:wordWrap/>
              <w:overflowPunct/>
              <w:topLinePunct w:val="0"/>
              <w:autoSpaceDE/>
              <w:autoSpaceDN/>
              <w:bidi w:val="0"/>
              <w:snapToGrid/>
              <w:spacing w:line="400" w:lineRule="exact"/>
              <w:ind w:firstLine="0" w:firstLineChars="0"/>
              <w:jc w:val="both"/>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lang w:eastAsia="zh-CN"/>
              </w:rPr>
              <w:t>（</w:t>
            </w:r>
            <w:r>
              <w:rPr>
                <w:rFonts w:hint="default" w:ascii="Times New Roman" w:hAnsi="Times New Roman" w:eastAsia="宋体" w:cs="Times New Roman"/>
                <w:bCs/>
                <w:color w:val="auto"/>
                <w:sz w:val="24"/>
                <w:szCs w:val="24"/>
                <w:lang w:val="en-US" w:eastAsia="zh-CN"/>
              </w:rPr>
              <w:t>5</w:t>
            </w:r>
            <w:r>
              <w:rPr>
                <w:rFonts w:hint="default" w:ascii="Times New Roman" w:hAnsi="Times New Roman" w:eastAsia="宋体" w:cs="Times New Roman"/>
                <w:bCs/>
                <w:color w:val="auto"/>
                <w:sz w:val="24"/>
                <w:szCs w:val="24"/>
                <w:lang w:eastAsia="zh-CN"/>
              </w:rPr>
              <w:t>）</w:t>
            </w:r>
            <w:r>
              <w:rPr>
                <w:rFonts w:hint="default" w:ascii="Times New Roman" w:hAnsi="Times New Roman" w:eastAsia="宋体" w:cs="Times New Roman"/>
                <w:bCs/>
                <w:color w:val="auto"/>
                <w:sz w:val="24"/>
                <w:szCs w:val="24"/>
              </w:rPr>
              <w:t>设</w:t>
            </w:r>
            <w:r>
              <w:rPr>
                <w:rFonts w:hint="default" w:ascii="Times New Roman" w:hAnsi="Times New Roman" w:eastAsia="宋体" w:cs="Times New Roman"/>
                <w:bCs/>
                <w:color w:val="auto"/>
                <w:sz w:val="24"/>
                <w:szCs w:val="24"/>
                <w:lang w:val="en-US" w:eastAsia="zh-CN"/>
              </w:rPr>
              <w:t>20m</w:t>
            </w:r>
            <w:r>
              <w:rPr>
                <w:rFonts w:hint="default" w:ascii="Times New Roman" w:hAnsi="Times New Roman" w:eastAsia="宋体" w:cs="Times New Roman"/>
                <w:bCs/>
                <w:color w:val="auto"/>
                <w:sz w:val="24"/>
                <w:szCs w:val="24"/>
                <w:vertAlign w:val="superscript"/>
                <w:lang w:val="en-US" w:eastAsia="zh-CN"/>
              </w:rPr>
              <w:t>3</w:t>
            </w:r>
            <w:r>
              <w:rPr>
                <w:rFonts w:hint="default" w:ascii="Times New Roman" w:hAnsi="Times New Roman" w:eastAsia="宋体" w:cs="Times New Roman"/>
                <w:bCs/>
                <w:color w:val="auto"/>
                <w:sz w:val="24"/>
                <w:szCs w:val="24"/>
              </w:rPr>
              <w:t>应急事故池，以贮存处理系统事故或其它突发事件时医院污水</w:t>
            </w:r>
            <w:r>
              <w:rPr>
                <w:rFonts w:hint="default" w:ascii="Times New Roman" w:hAnsi="Times New Roman" w:eastAsia="宋体" w:cs="Times New Roman"/>
                <w:bCs/>
                <w:color w:val="auto"/>
                <w:sz w:val="24"/>
                <w:szCs w:val="24"/>
                <w:lang w:eastAsia="zh-CN"/>
              </w:rPr>
              <w:t>；</w:t>
            </w:r>
          </w:p>
          <w:p w14:paraId="4FEE3F76">
            <w:pPr>
              <w:keepNext w:val="0"/>
              <w:keepLines w:val="0"/>
              <w:pageBreakBefore w:val="0"/>
              <w:widowControl w:val="0"/>
              <w:kinsoku/>
              <w:wordWrap/>
              <w:overflowPunct/>
              <w:topLinePunct w:val="0"/>
              <w:autoSpaceDE/>
              <w:autoSpaceDN/>
              <w:bidi w:val="0"/>
              <w:snapToGrid/>
              <w:spacing w:line="400" w:lineRule="exact"/>
              <w:ind w:left="0" w:leftChars="0" w:firstLine="0" w:firstLineChars="0"/>
              <w:jc w:val="both"/>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bCs/>
                <w:color w:val="auto"/>
                <w:sz w:val="24"/>
                <w:szCs w:val="24"/>
                <w:lang w:eastAsia="zh-CN"/>
              </w:rPr>
              <w:t>（</w:t>
            </w:r>
            <w:r>
              <w:rPr>
                <w:rFonts w:hint="default" w:ascii="Times New Roman" w:hAnsi="Times New Roman" w:eastAsia="宋体" w:cs="Times New Roman"/>
                <w:bCs/>
                <w:color w:val="auto"/>
                <w:sz w:val="24"/>
                <w:szCs w:val="24"/>
                <w:lang w:val="en-US" w:eastAsia="zh-CN"/>
              </w:rPr>
              <w:t>6</w:t>
            </w:r>
            <w:r>
              <w:rPr>
                <w:rFonts w:hint="default" w:ascii="Times New Roman" w:hAnsi="Times New Roman" w:eastAsia="宋体" w:cs="Times New Roman"/>
                <w:bCs/>
                <w:color w:val="auto"/>
                <w:sz w:val="24"/>
                <w:szCs w:val="24"/>
                <w:lang w:eastAsia="zh-CN"/>
              </w:rPr>
              <w:t>）</w:t>
            </w:r>
            <w:r>
              <w:rPr>
                <w:rFonts w:hint="default" w:ascii="Times New Roman" w:hAnsi="Times New Roman" w:eastAsia="宋体" w:cs="Times New Roman"/>
                <w:color w:val="auto"/>
                <w:sz w:val="24"/>
                <w:szCs w:val="24"/>
              </w:rPr>
              <w:t>医疗废物分类收集</w:t>
            </w:r>
            <w:r>
              <w:rPr>
                <w:rFonts w:hint="default" w:ascii="Times New Roman" w:hAnsi="Times New Roman" w:eastAsia="宋体" w:cs="Times New Roman"/>
                <w:color w:val="auto"/>
                <w:sz w:val="24"/>
                <w:szCs w:val="24"/>
                <w:lang w:eastAsia="zh-CN"/>
              </w:rPr>
              <w:t>；</w:t>
            </w:r>
          </w:p>
          <w:p w14:paraId="6CF7276F">
            <w:pPr>
              <w:pStyle w:val="5"/>
              <w:keepNext w:val="0"/>
              <w:keepLines w:val="0"/>
              <w:pageBreakBefore w:val="0"/>
              <w:widowControl w:val="0"/>
              <w:kinsoku/>
              <w:wordWrap/>
              <w:overflowPunct/>
              <w:topLinePunct w:val="0"/>
              <w:autoSpaceDE/>
              <w:autoSpaceDN/>
              <w:bidi w:val="0"/>
              <w:snapToGrid/>
              <w:spacing w:after="0" w:line="400" w:lineRule="exact"/>
              <w:ind w:left="0" w:leftChars="0" w:firstLine="0" w:firstLineChars="0"/>
              <w:jc w:val="both"/>
              <w:textAlignment w:val="auto"/>
              <w:rPr>
                <w:rFonts w:hint="default" w:ascii="Times New Roman" w:hAnsi="Times New Roman" w:cs="Times New Roman"/>
                <w:color w:val="auto"/>
                <w:sz w:val="24"/>
                <w:szCs w:val="24"/>
                <w:lang w:val="en-US"/>
              </w:rPr>
            </w:pPr>
            <w:r>
              <w:rPr>
                <w:rFonts w:hint="default"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lang w:val="en-US" w:eastAsia="zh-CN"/>
              </w:rPr>
              <w:t>7</w:t>
            </w:r>
            <w:r>
              <w:rPr>
                <w:rFonts w:hint="default" w:ascii="Times New Roman" w:hAnsi="Times New Roman" w:eastAsia="宋体" w:cs="Times New Roman"/>
                <w:color w:val="auto"/>
                <w:sz w:val="24"/>
                <w:szCs w:val="24"/>
                <w:lang w:eastAsia="zh-CN"/>
              </w:rPr>
              <w:t>）危废暂存库</w:t>
            </w:r>
            <w:r>
              <w:rPr>
                <w:rFonts w:hint="eastAsia" w:cs="Times New Roman"/>
                <w:color w:val="auto"/>
                <w:sz w:val="24"/>
                <w:szCs w:val="24"/>
                <w:lang w:eastAsia="zh-CN"/>
              </w:rPr>
              <w:t>设置</w:t>
            </w:r>
            <w:r>
              <w:rPr>
                <w:rFonts w:hint="default" w:ascii="Times New Roman" w:hAnsi="Times New Roman" w:eastAsia="宋体" w:cs="Times New Roman"/>
                <w:color w:val="auto"/>
                <w:sz w:val="24"/>
                <w:szCs w:val="24"/>
              </w:rPr>
              <w:t>明显的警示标识和</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禁止吸烟、饮食</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的警示标识</w:t>
            </w:r>
            <w:r>
              <w:rPr>
                <w:rFonts w:hint="default" w:ascii="Times New Roman" w:hAnsi="Times New Roman" w:eastAsia="宋体" w:cs="Times New Roman"/>
                <w:color w:val="auto"/>
                <w:sz w:val="24"/>
                <w:szCs w:val="24"/>
                <w:lang w:eastAsia="zh-CN"/>
              </w:rPr>
              <w:t>。</w:t>
            </w:r>
          </w:p>
        </w:tc>
      </w:tr>
      <w:tr w14:paraId="269E8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07" w:type="dxa"/>
            <w:noWrap w:val="0"/>
            <w:vAlign w:val="center"/>
          </w:tcPr>
          <w:p w14:paraId="66907937">
            <w:pPr>
              <w:pStyle w:val="45"/>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其他环境</w:t>
            </w:r>
          </w:p>
          <w:p w14:paraId="23D40328">
            <w:pPr>
              <w:pStyle w:val="45"/>
              <w:keepNext w:val="0"/>
              <w:keepLines w:val="0"/>
              <w:pageBreakBefore w:val="0"/>
              <w:widowControl w:val="0"/>
              <w:kinsoku/>
              <w:wordWrap/>
              <w:overflowPunct/>
              <w:topLinePunct w:val="0"/>
              <w:autoSpaceDE/>
              <w:autoSpaceDN/>
              <w:bidi w:val="0"/>
              <w:spacing w:line="400" w:lineRule="exact"/>
              <w:jc w:val="center"/>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rPr>
              <w:t>管理要求</w:t>
            </w:r>
          </w:p>
        </w:tc>
        <w:tc>
          <w:tcPr>
            <w:tcW w:w="8570" w:type="dxa"/>
            <w:gridSpan w:val="4"/>
            <w:noWrap w:val="0"/>
            <w:vAlign w:val="center"/>
          </w:tcPr>
          <w:p w14:paraId="6AB60864">
            <w:pPr>
              <w:keepNext w:val="0"/>
              <w:keepLines w:val="0"/>
              <w:pageBreakBefore w:val="0"/>
              <w:widowControl w:val="0"/>
              <w:kinsoku/>
              <w:wordWrap/>
              <w:overflowPunct/>
              <w:topLinePunct w:val="0"/>
              <w:autoSpaceDE/>
              <w:autoSpaceDN/>
              <w:bidi w:val="0"/>
              <w:spacing w:line="400" w:lineRule="exact"/>
              <w:jc w:val="left"/>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①认真贯彻执行国家有关环境保护法律、法规和标准，协助协调项目建设、运行活动与环境保护活动。</w:t>
            </w:r>
          </w:p>
          <w:p w14:paraId="692D5888">
            <w:pPr>
              <w:keepNext w:val="0"/>
              <w:keepLines w:val="0"/>
              <w:pageBreakBefore w:val="0"/>
              <w:widowControl w:val="0"/>
              <w:kinsoku/>
              <w:wordWrap/>
              <w:overflowPunct/>
              <w:topLinePunct w:val="0"/>
              <w:autoSpaceDE/>
              <w:autoSpaceDN/>
              <w:bidi w:val="0"/>
              <w:spacing w:line="400" w:lineRule="exact"/>
              <w:jc w:val="left"/>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②建立项目的污染源档案及相关台账，并负责编制环境监测报告。</w:t>
            </w:r>
          </w:p>
          <w:p w14:paraId="43305CD3">
            <w:pPr>
              <w:keepNext w:val="0"/>
              <w:keepLines w:val="0"/>
              <w:pageBreakBefore w:val="0"/>
              <w:widowControl w:val="0"/>
              <w:kinsoku/>
              <w:wordWrap/>
              <w:overflowPunct/>
              <w:topLinePunct w:val="0"/>
              <w:autoSpaceDE/>
              <w:autoSpaceDN/>
              <w:bidi w:val="0"/>
              <w:spacing w:line="400" w:lineRule="exact"/>
              <w:jc w:val="left"/>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rPr>
              <w:t>③监督环保公用设施的运行、维修，以确保其正常稳定运行；负责污染物排放口的规范管理。</w:t>
            </w:r>
          </w:p>
        </w:tc>
      </w:tr>
    </w:tbl>
    <w:p w14:paraId="1EA2D9B4">
      <w:pPr>
        <w:spacing w:before="124"/>
        <w:ind w:left="442" w:right="464"/>
        <w:jc w:val="center"/>
        <w:rPr>
          <w:rFonts w:ascii="黑体" w:eastAsia="黑体"/>
          <w:color w:val="auto"/>
          <w:sz w:val="30"/>
        </w:rPr>
      </w:pPr>
    </w:p>
    <w:p w14:paraId="54F1CA13">
      <w:pPr>
        <w:spacing w:before="124"/>
        <w:ind w:left="442" w:right="464"/>
        <w:jc w:val="center"/>
        <w:rPr>
          <w:rFonts w:hint="eastAsia" w:ascii="黑体" w:eastAsia="黑体"/>
          <w:color w:val="auto"/>
          <w:sz w:val="30"/>
        </w:rPr>
      </w:pPr>
    </w:p>
    <w:p w14:paraId="3037418F">
      <w:pPr>
        <w:spacing w:before="124"/>
        <w:ind w:left="442" w:right="464"/>
        <w:jc w:val="center"/>
        <w:rPr>
          <w:rFonts w:hint="eastAsia" w:ascii="黑体" w:eastAsia="黑体"/>
          <w:color w:val="auto"/>
          <w:sz w:val="30"/>
        </w:rPr>
      </w:pPr>
    </w:p>
    <w:p w14:paraId="6A40BD68">
      <w:pPr>
        <w:spacing w:before="124"/>
        <w:ind w:left="442" w:right="464"/>
        <w:jc w:val="center"/>
        <w:rPr>
          <w:rFonts w:hint="eastAsia" w:ascii="黑体" w:eastAsia="黑体"/>
          <w:color w:val="auto"/>
          <w:sz w:val="30"/>
        </w:rPr>
      </w:pPr>
    </w:p>
    <w:p w14:paraId="5A75D78D">
      <w:pPr>
        <w:pageBreakBefore/>
        <w:spacing w:before="124"/>
        <w:ind w:left="442" w:right="465"/>
        <w:jc w:val="center"/>
        <w:rPr>
          <w:rFonts w:ascii="黑体" w:eastAsia="黑体"/>
          <w:color w:val="auto"/>
          <w:sz w:val="30"/>
        </w:rPr>
      </w:pPr>
      <w:r>
        <w:rPr>
          <w:rFonts w:hint="eastAsia" w:ascii="黑体" w:eastAsia="黑体"/>
          <w:color w:val="auto"/>
          <w:sz w:val="30"/>
        </w:rPr>
        <w:t>六、结论</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46"/>
      </w:tblGrid>
      <w:tr w14:paraId="792A1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4" w:hRule="atLeast"/>
        </w:trPr>
        <w:tc>
          <w:tcPr>
            <w:tcW w:w="10347" w:type="dxa"/>
            <w:noWrap w:val="0"/>
            <w:vAlign w:val="center"/>
          </w:tcPr>
          <w:p w14:paraId="3A3F2B61">
            <w:pPr>
              <w:spacing w:line="520" w:lineRule="exact"/>
              <w:ind w:firstLine="480" w:firstLineChars="200"/>
              <w:jc w:val="both"/>
              <w:rPr>
                <w:rFonts w:ascii="黑体" w:eastAsia="黑体"/>
                <w:color w:val="auto"/>
                <w:sz w:val="30"/>
                <w:lang w:val="en-US"/>
              </w:rPr>
            </w:pPr>
            <w:r>
              <w:rPr>
                <w:rFonts w:ascii="Times New Roman" w:hAnsi="Times New Roman" w:cs="Times New Roman"/>
                <w:color w:val="auto"/>
                <w:sz w:val="24"/>
                <w:szCs w:val="24"/>
                <w:lang w:val="en-US"/>
              </w:rPr>
              <w:t>综上所述，</w:t>
            </w:r>
            <w:r>
              <w:rPr>
                <w:rFonts w:hint="eastAsia" w:ascii="Times New Roman" w:hAnsi="Times New Roman" w:cs="Times New Roman"/>
                <w:color w:val="auto"/>
                <w:sz w:val="24"/>
                <w:szCs w:val="24"/>
                <w:lang w:val="en-US" w:eastAsia="zh-CN"/>
              </w:rPr>
              <w:t>鄂尔多斯广厦医院改扩建项目</w:t>
            </w:r>
            <w:r>
              <w:rPr>
                <w:rFonts w:ascii="Times New Roman" w:hAnsi="Times New Roman" w:cs="Times New Roman"/>
                <w:color w:val="auto"/>
                <w:sz w:val="24"/>
                <w:szCs w:val="24"/>
                <w:lang w:val="en-US"/>
              </w:rPr>
              <w:t>符合国家产业政策，项目选址</w:t>
            </w:r>
            <w:r>
              <w:rPr>
                <w:rFonts w:hint="eastAsia" w:ascii="Times New Roman" w:hAnsi="Times New Roman" w:cs="Times New Roman"/>
                <w:color w:val="auto"/>
                <w:sz w:val="24"/>
                <w:szCs w:val="24"/>
                <w:lang w:val="en-US"/>
              </w:rPr>
              <w:t>可行</w:t>
            </w:r>
            <w:r>
              <w:rPr>
                <w:rFonts w:ascii="Times New Roman" w:hAnsi="Times New Roman" w:cs="Times New Roman"/>
                <w:color w:val="auto"/>
                <w:sz w:val="24"/>
                <w:szCs w:val="24"/>
                <w:lang w:val="en-US"/>
              </w:rPr>
              <w:t>。通过本项目所在地环境现状调查、污染分析、环境影响分析可知，只要建设方在生产过程中充分落实本环评提出的各项污染防治对策，认真做好</w:t>
            </w:r>
            <w:r>
              <w:rPr>
                <w:rFonts w:hint="eastAsia" w:ascii="Times New Roman" w:hAnsi="Times New Roman" w:cs="Times New Roman"/>
                <w:color w:val="auto"/>
                <w:sz w:val="24"/>
                <w:szCs w:val="24"/>
                <w:lang w:val="en-US"/>
              </w:rPr>
              <w:t>“</w:t>
            </w:r>
            <w:r>
              <w:rPr>
                <w:rFonts w:ascii="Times New Roman" w:hAnsi="Times New Roman" w:cs="Times New Roman"/>
                <w:color w:val="auto"/>
                <w:sz w:val="24"/>
                <w:szCs w:val="24"/>
                <w:lang w:val="en-US"/>
              </w:rPr>
              <w:t>三同时</w:t>
            </w:r>
            <w:r>
              <w:rPr>
                <w:rFonts w:hint="eastAsia" w:ascii="Times New Roman" w:hAnsi="Times New Roman" w:cs="Times New Roman"/>
                <w:color w:val="auto"/>
                <w:sz w:val="24"/>
                <w:szCs w:val="24"/>
                <w:lang w:val="en-US"/>
              </w:rPr>
              <w:t>”</w:t>
            </w:r>
            <w:r>
              <w:rPr>
                <w:rFonts w:ascii="Times New Roman" w:hAnsi="Times New Roman" w:cs="Times New Roman"/>
                <w:color w:val="auto"/>
                <w:sz w:val="24"/>
                <w:szCs w:val="24"/>
                <w:lang w:val="en-US"/>
              </w:rPr>
              <w:t>及日常环保管理工作，项目对环境的影响可降至最小。从环保角度出发，本项目的建设可行。</w:t>
            </w:r>
          </w:p>
        </w:tc>
      </w:tr>
    </w:tbl>
    <w:p w14:paraId="391B1493">
      <w:pPr>
        <w:spacing w:before="124"/>
        <w:ind w:left="442" w:right="464"/>
        <w:jc w:val="center"/>
        <w:rPr>
          <w:rFonts w:ascii="黑体" w:eastAsia="黑体"/>
          <w:color w:val="auto"/>
          <w:sz w:val="30"/>
        </w:rPr>
      </w:pPr>
    </w:p>
    <w:p w14:paraId="35DF8B02">
      <w:pPr>
        <w:spacing w:line="364" w:lineRule="auto"/>
        <w:rPr>
          <w:color w:val="auto"/>
        </w:rPr>
        <w:sectPr>
          <w:footerReference r:id="rId11" w:type="default"/>
          <w:footerReference r:id="rId12" w:type="even"/>
          <w:pgSz w:w="11910" w:h="16840"/>
          <w:pgMar w:top="1440" w:right="879" w:bottom="1219" w:left="901" w:header="720" w:footer="1043" w:gutter="0"/>
          <w:pgBorders>
            <w:top w:val="none" w:sz="0" w:space="0"/>
            <w:left w:val="none" w:sz="0" w:space="0"/>
            <w:bottom w:val="none" w:sz="0" w:space="0"/>
            <w:right w:val="none" w:sz="0" w:space="0"/>
          </w:pgBorders>
          <w:pgNumType w:fmt="decimal"/>
          <w:cols w:space="720" w:num="1"/>
        </w:sectPr>
      </w:pPr>
    </w:p>
    <w:p w14:paraId="2EE7845B">
      <w:pPr>
        <w:pStyle w:val="10"/>
        <w:rPr>
          <w:color w:val="auto"/>
          <w:sz w:val="22"/>
        </w:rPr>
      </w:pPr>
    </w:p>
    <w:p w14:paraId="3BF98046">
      <w:pPr>
        <w:spacing w:before="54"/>
        <w:ind w:left="140"/>
        <w:rPr>
          <w:rFonts w:ascii="黑体"/>
          <w:color w:val="auto"/>
          <w:sz w:val="20"/>
        </w:rPr>
      </w:pPr>
      <w:bookmarkStart w:id="9" w:name="附表"/>
      <w:bookmarkEnd w:id="9"/>
      <w:r>
        <w:rPr>
          <w:rFonts w:hint="eastAsia" w:ascii="黑体" w:eastAsia="黑体"/>
          <w:color w:val="auto"/>
          <w:sz w:val="32"/>
        </w:rPr>
        <w:t>附表</w:t>
      </w:r>
    </w:p>
    <w:p w14:paraId="0E74AD07">
      <w:pPr>
        <w:pStyle w:val="2"/>
        <w:spacing w:line="520" w:lineRule="exact"/>
        <w:ind w:left="0" w:right="0"/>
        <w:rPr>
          <w:color w:val="auto"/>
        </w:rPr>
      </w:pPr>
      <w:bookmarkStart w:id="10" w:name="建设项目污染物排放量汇总表"/>
      <w:bookmarkEnd w:id="10"/>
      <w:r>
        <w:rPr>
          <w:color w:val="auto"/>
        </w:rPr>
        <w:t>建设项目污染物排放量汇总表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500"/>
        <w:gridCol w:w="1744"/>
        <w:gridCol w:w="1340"/>
        <w:gridCol w:w="1885"/>
        <w:gridCol w:w="1708"/>
        <w:gridCol w:w="1964"/>
        <w:gridCol w:w="1978"/>
        <w:gridCol w:w="1450"/>
      </w:tblGrid>
      <w:tr w14:paraId="0EEFD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8" w:type="dxa"/>
            <w:tcBorders>
              <w:tl2br w:val="single" w:color="auto" w:sz="4" w:space="0"/>
            </w:tcBorders>
            <w:noWrap w:val="0"/>
            <w:vAlign w:val="center"/>
          </w:tcPr>
          <w:p w14:paraId="160DD8F7">
            <w:pPr>
              <w:keepNext w:val="0"/>
              <w:keepLines w:val="0"/>
              <w:pageBreakBefore w:val="0"/>
              <w:widowControl w:val="0"/>
              <w:kinsoku/>
              <w:wordWrap/>
              <w:overflowPunct/>
              <w:topLinePunct w:val="0"/>
              <w:autoSpaceDE/>
              <w:autoSpaceDN/>
              <w:bidi w:val="0"/>
              <w:adjustRightInd/>
              <w:snapToGrid/>
              <w:spacing w:line="360" w:lineRule="exact"/>
              <w:ind w:left="0"/>
              <w:jc w:val="right"/>
              <w:textAlignment w:val="auto"/>
              <w:rPr>
                <w:rFonts w:hint="default" w:ascii="Times New Roman" w:hAnsi="Times New Roman" w:eastAsia="宋体" w:cs="Times New Roman"/>
                <w:color w:val="auto"/>
                <w:spacing w:val="0"/>
                <w:position w:val="0"/>
                <w:sz w:val="21"/>
                <w:szCs w:val="21"/>
                <w:lang w:val="en-US"/>
              </w:rPr>
            </w:pPr>
            <w:r>
              <w:rPr>
                <w:rFonts w:hint="default" w:ascii="Times New Roman" w:hAnsi="Times New Roman" w:eastAsia="宋体" w:cs="Times New Roman"/>
                <w:color w:val="auto"/>
                <w:spacing w:val="0"/>
                <w:position w:val="0"/>
                <w:sz w:val="21"/>
                <w:szCs w:val="21"/>
                <w:lang w:val="en-US"/>
              </w:rPr>
              <w:t>项目</w:t>
            </w:r>
          </w:p>
          <w:p w14:paraId="2ED8307F">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rPr>
            </w:pPr>
          </w:p>
          <w:p w14:paraId="10D94E39">
            <w:pPr>
              <w:keepNext w:val="0"/>
              <w:keepLines w:val="0"/>
              <w:pageBreakBefore w:val="0"/>
              <w:widowControl w:val="0"/>
              <w:kinsoku/>
              <w:wordWrap/>
              <w:overflowPunct/>
              <w:topLinePunct w:val="0"/>
              <w:autoSpaceDE/>
              <w:autoSpaceDN/>
              <w:bidi w:val="0"/>
              <w:adjustRightInd/>
              <w:snapToGrid/>
              <w:spacing w:line="360" w:lineRule="exact"/>
              <w:ind w:left="0"/>
              <w:jc w:val="both"/>
              <w:textAlignment w:val="auto"/>
              <w:rPr>
                <w:rFonts w:hint="default" w:ascii="Times New Roman" w:hAnsi="Times New Roman" w:eastAsia="宋体" w:cs="Times New Roman"/>
                <w:color w:val="auto"/>
                <w:spacing w:val="0"/>
                <w:position w:val="0"/>
                <w:sz w:val="21"/>
                <w:szCs w:val="21"/>
                <w:lang w:val="en-US"/>
              </w:rPr>
            </w:pPr>
            <w:r>
              <w:rPr>
                <w:rFonts w:hint="default" w:ascii="Times New Roman" w:hAnsi="Times New Roman" w:eastAsia="宋体" w:cs="Times New Roman"/>
                <w:color w:val="auto"/>
                <w:spacing w:val="0"/>
                <w:position w:val="0"/>
                <w:sz w:val="21"/>
                <w:szCs w:val="21"/>
                <w:lang w:val="en-US"/>
              </w:rPr>
              <w:t>分类</w:t>
            </w:r>
          </w:p>
        </w:tc>
        <w:tc>
          <w:tcPr>
            <w:tcW w:w="1500" w:type="dxa"/>
            <w:noWrap w:val="0"/>
            <w:vAlign w:val="center"/>
          </w:tcPr>
          <w:p w14:paraId="79275347">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污染物名称</w:t>
            </w:r>
          </w:p>
        </w:tc>
        <w:tc>
          <w:tcPr>
            <w:tcW w:w="1744" w:type="dxa"/>
            <w:noWrap w:val="0"/>
            <w:vAlign w:val="center"/>
          </w:tcPr>
          <w:p w14:paraId="7987A760">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现有工程</w:t>
            </w:r>
          </w:p>
          <w:p w14:paraId="3EE8181B">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排放量（固体废物产生量）①</w:t>
            </w:r>
          </w:p>
        </w:tc>
        <w:tc>
          <w:tcPr>
            <w:tcW w:w="1340" w:type="dxa"/>
            <w:noWrap w:val="0"/>
            <w:vAlign w:val="center"/>
          </w:tcPr>
          <w:p w14:paraId="3F0BADBB">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现有工程</w:t>
            </w:r>
          </w:p>
          <w:p w14:paraId="0A117040">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许可排放量</w:t>
            </w:r>
          </w:p>
          <w:p w14:paraId="52161967">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②</w:t>
            </w:r>
          </w:p>
        </w:tc>
        <w:tc>
          <w:tcPr>
            <w:tcW w:w="1885" w:type="dxa"/>
            <w:noWrap w:val="0"/>
            <w:vAlign w:val="center"/>
          </w:tcPr>
          <w:p w14:paraId="1265F98E">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在建工程</w:t>
            </w:r>
          </w:p>
          <w:p w14:paraId="1CDAA7DC">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排放</w:t>
            </w:r>
            <w:r>
              <w:rPr>
                <w:rFonts w:hint="default" w:ascii="Times New Roman" w:hAnsi="Times New Roman" w:eastAsia="宋体" w:cs="Times New Roman"/>
                <w:color w:val="auto"/>
                <w:spacing w:val="0"/>
                <w:position w:val="0"/>
                <w:sz w:val="21"/>
                <w:szCs w:val="21"/>
                <w:lang w:val="en-US"/>
              </w:rPr>
              <w:t>量</w:t>
            </w:r>
            <w:r>
              <w:rPr>
                <w:rFonts w:hint="default" w:ascii="Times New Roman" w:hAnsi="Times New Roman" w:eastAsia="宋体" w:cs="Times New Roman"/>
                <w:color w:val="auto"/>
                <w:spacing w:val="0"/>
                <w:position w:val="0"/>
                <w:sz w:val="21"/>
                <w:szCs w:val="21"/>
              </w:rPr>
              <w:t>（固体废物产生量）③</w:t>
            </w:r>
          </w:p>
        </w:tc>
        <w:tc>
          <w:tcPr>
            <w:tcW w:w="1708" w:type="dxa"/>
            <w:noWrap w:val="0"/>
            <w:vAlign w:val="center"/>
          </w:tcPr>
          <w:p w14:paraId="4EFA8EEC">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本项目</w:t>
            </w:r>
          </w:p>
          <w:p w14:paraId="784CD6A6">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排放量（固体废物产生量）④</w:t>
            </w:r>
          </w:p>
        </w:tc>
        <w:tc>
          <w:tcPr>
            <w:tcW w:w="1964" w:type="dxa"/>
            <w:noWrap w:val="0"/>
            <w:vAlign w:val="center"/>
          </w:tcPr>
          <w:p w14:paraId="3191EDD1">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以新带老削减量</w:t>
            </w:r>
          </w:p>
          <w:p w14:paraId="71593792">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（新建项目不填）</w:t>
            </w:r>
          </w:p>
          <w:p w14:paraId="0344EE03">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⑤</w:t>
            </w:r>
          </w:p>
        </w:tc>
        <w:tc>
          <w:tcPr>
            <w:tcW w:w="1978" w:type="dxa"/>
            <w:noWrap w:val="0"/>
            <w:vAlign w:val="center"/>
          </w:tcPr>
          <w:p w14:paraId="77501537">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本项目建成后</w:t>
            </w:r>
          </w:p>
          <w:p w14:paraId="2782C617">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全厂排放量（固体废物产生量）⑥</w:t>
            </w:r>
          </w:p>
        </w:tc>
        <w:tc>
          <w:tcPr>
            <w:tcW w:w="1450" w:type="dxa"/>
            <w:noWrap w:val="0"/>
            <w:vAlign w:val="center"/>
          </w:tcPr>
          <w:p w14:paraId="5E181772">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rPr>
            </w:pPr>
          </w:p>
          <w:p w14:paraId="4B99C18A">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变化量</w:t>
            </w:r>
          </w:p>
          <w:p w14:paraId="482013CF">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⑦</w:t>
            </w:r>
          </w:p>
        </w:tc>
      </w:tr>
      <w:tr w14:paraId="20AC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8" w:type="dxa"/>
            <w:vMerge w:val="restart"/>
            <w:noWrap w:val="0"/>
            <w:vAlign w:val="center"/>
          </w:tcPr>
          <w:p w14:paraId="35D16F0B">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rPr>
            </w:pPr>
            <w:r>
              <w:rPr>
                <w:rFonts w:hint="default" w:ascii="Times New Roman" w:hAnsi="Times New Roman" w:eastAsia="宋体" w:cs="Times New Roman"/>
                <w:color w:val="auto"/>
                <w:spacing w:val="0"/>
                <w:position w:val="0"/>
                <w:sz w:val="21"/>
                <w:szCs w:val="21"/>
                <w:lang w:val="en-US"/>
              </w:rPr>
              <w:t>废气</w:t>
            </w:r>
          </w:p>
        </w:tc>
        <w:tc>
          <w:tcPr>
            <w:tcW w:w="1500" w:type="dxa"/>
            <w:noWrap w:val="0"/>
            <w:vAlign w:val="center"/>
          </w:tcPr>
          <w:p w14:paraId="18B72C15">
            <w:pPr>
              <w:pStyle w:val="45"/>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氨</w:t>
            </w:r>
          </w:p>
        </w:tc>
        <w:tc>
          <w:tcPr>
            <w:tcW w:w="1744" w:type="dxa"/>
            <w:noWrap w:val="0"/>
            <w:vAlign w:val="center"/>
          </w:tcPr>
          <w:p w14:paraId="40DB7ABD">
            <w:pPr>
              <w:pStyle w:val="45"/>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cs="Times New Roman"/>
                <w:color w:val="auto"/>
                <w:spacing w:val="0"/>
                <w:position w:val="0"/>
                <w:sz w:val="21"/>
                <w:szCs w:val="21"/>
                <w:lang w:val="en-US" w:eastAsia="zh-CN"/>
              </w:rPr>
              <w:t>0.001</w:t>
            </w:r>
            <w:r>
              <w:rPr>
                <w:rFonts w:hint="default" w:ascii="Times New Roman" w:hAnsi="Times New Roman" w:eastAsia="宋体" w:cs="Times New Roman"/>
                <w:color w:val="auto"/>
                <w:spacing w:val="0"/>
                <w:position w:val="0"/>
                <w:sz w:val="21"/>
                <w:szCs w:val="21"/>
                <w:lang w:val="en-US" w:eastAsia="zh-CN"/>
              </w:rPr>
              <w:t>t/a</w:t>
            </w:r>
          </w:p>
        </w:tc>
        <w:tc>
          <w:tcPr>
            <w:tcW w:w="1340" w:type="dxa"/>
            <w:noWrap w:val="0"/>
            <w:vAlign w:val="center"/>
          </w:tcPr>
          <w:p w14:paraId="4C851D41">
            <w:pPr>
              <w:pStyle w:val="45"/>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rPr>
            </w:pPr>
            <w:r>
              <w:rPr>
                <w:rFonts w:hint="default" w:ascii="Times New Roman" w:hAnsi="Times New Roman" w:eastAsia="宋体" w:cs="Times New Roman"/>
                <w:color w:val="auto"/>
                <w:spacing w:val="0"/>
                <w:position w:val="0"/>
                <w:sz w:val="21"/>
                <w:szCs w:val="21"/>
                <w:lang w:val="en-US"/>
              </w:rPr>
              <w:t>/</w:t>
            </w:r>
          </w:p>
        </w:tc>
        <w:tc>
          <w:tcPr>
            <w:tcW w:w="1885" w:type="dxa"/>
            <w:noWrap w:val="0"/>
            <w:vAlign w:val="center"/>
          </w:tcPr>
          <w:p w14:paraId="0858D574">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rPr>
            </w:pPr>
            <w:r>
              <w:rPr>
                <w:rFonts w:hint="default" w:ascii="Times New Roman" w:hAnsi="Times New Roman" w:eastAsia="宋体" w:cs="Times New Roman"/>
                <w:color w:val="auto"/>
                <w:spacing w:val="0"/>
                <w:position w:val="0"/>
                <w:sz w:val="21"/>
                <w:szCs w:val="21"/>
                <w:lang w:val="en-US"/>
              </w:rPr>
              <w:t>/</w:t>
            </w:r>
          </w:p>
        </w:tc>
        <w:tc>
          <w:tcPr>
            <w:tcW w:w="1708" w:type="dxa"/>
            <w:noWrap w:val="0"/>
            <w:vAlign w:val="center"/>
          </w:tcPr>
          <w:p w14:paraId="1F41AE7B">
            <w:pPr>
              <w:pStyle w:val="45"/>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w:t>
            </w:r>
            <w:r>
              <w:rPr>
                <w:rFonts w:hint="eastAsia" w:ascii="Times New Roman" w:hAnsi="Times New Roman" w:cs="Times New Roman"/>
                <w:color w:val="auto"/>
                <w:spacing w:val="0"/>
                <w:position w:val="0"/>
                <w:sz w:val="21"/>
                <w:szCs w:val="21"/>
                <w:lang w:val="en-US" w:eastAsia="zh-CN"/>
              </w:rPr>
              <w:t>0045</w:t>
            </w:r>
            <w:r>
              <w:rPr>
                <w:rFonts w:hint="default" w:ascii="Times New Roman" w:hAnsi="Times New Roman" w:eastAsia="宋体" w:cs="Times New Roman"/>
                <w:color w:val="auto"/>
                <w:spacing w:val="0"/>
                <w:position w:val="0"/>
                <w:sz w:val="21"/>
                <w:szCs w:val="21"/>
                <w:lang w:val="en-US" w:eastAsia="zh-CN"/>
              </w:rPr>
              <w:t>t/a</w:t>
            </w:r>
          </w:p>
        </w:tc>
        <w:tc>
          <w:tcPr>
            <w:tcW w:w="1964" w:type="dxa"/>
            <w:noWrap w:val="0"/>
            <w:vAlign w:val="center"/>
          </w:tcPr>
          <w:p w14:paraId="7EBAD697">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rPr>
            </w:pPr>
            <w:r>
              <w:rPr>
                <w:rFonts w:hint="eastAsia" w:ascii="Times New Roman" w:hAnsi="Times New Roman" w:cs="Times New Roman"/>
                <w:color w:val="auto"/>
                <w:spacing w:val="0"/>
                <w:position w:val="0"/>
                <w:sz w:val="21"/>
                <w:szCs w:val="21"/>
                <w:lang w:val="en-US" w:eastAsia="zh-CN"/>
              </w:rPr>
              <w:t>0.001</w:t>
            </w:r>
            <w:r>
              <w:rPr>
                <w:rFonts w:hint="default" w:ascii="Times New Roman" w:hAnsi="Times New Roman" w:eastAsia="宋体" w:cs="Times New Roman"/>
                <w:color w:val="auto"/>
                <w:spacing w:val="0"/>
                <w:position w:val="0"/>
                <w:sz w:val="21"/>
                <w:szCs w:val="21"/>
                <w:lang w:val="en-US" w:eastAsia="zh-CN"/>
              </w:rPr>
              <w:t>t/a</w:t>
            </w:r>
          </w:p>
        </w:tc>
        <w:tc>
          <w:tcPr>
            <w:tcW w:w="1978" w:type="dxa"/>
            <w:noWrap w:val="0"/>
            <w:vAlign w:val="center"/>
          </w:tcPr>
          <w:p w14:paraId="55CE7B01">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eastAsia="zh-CN"/>
              </w:rPr>
              <w:t>0.</w:t>
            </w:r>
            <w:r>
              <w:rPr>
                <w:rFonts w:hint="eastAsia" w:ascii="Times New Roman" w:hAnsi="Times New Roman" w:cs="Times New Roman"/>
                <w:color w:val="auto"/>
                <w:spacing w:val="0"/>
                <w:position w:val="0"/>
                <w:sz w:val="21"/>
                <w:szCs w:val="21"/>
                <w:lang w:val="en-US" w:eastAsia="zh-CN"/>
              </w:rPr>
              <w:t>0045</w:t>
            </w:r>
            <w:r>
              <w:rPr>
                <w:rFonts w:hint="default" w:ascii="Times New Roman" w:hAnsi="Times New Roman" w:eastAsia="宋体" w:cs="Times New Roman"/>
                <w:color w:val="auto"/>
                <w:spacing w:val="0"/>
                <w:position w:val="0"/>
                <w:sz w:val="21"/>
                <w:szCs w:val="21"/>
                <w:lang w:val="en-US" w:eastAsia="zh-CN"/>
              </w:rPr>
              <w:t>t/a</w:t>
            </w:r>
          </w:p>
        </w:tc>
        <w:tc>
          <w:tcPr>
            <w:tcW w:w="1450" w:type="dxa"/>
            <w:noWrap w:val="0"/>
            <w:vAlign w:val="center"/>
          </w:tcPr>
          <w:p w14:paraId="6EB8931B">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rPr>
              <w:t>+</w:t>
            </w:r>
            <w:r>
              <w:rPr>
                <w:rFonts w:hint="default" w:ascii="Times New Roman" w:hAnsi="Times New Roman" w:eastAsia="宋体" w:cs="Times New Roman"/>
                <w:color w:val="auto"/>
                <w:spacing w:val="0"/>
                <w:position w:val="0"/>
                <w:sz w:val="21"/>
                <w:szCs w:val="21"/>
                <w:lang w:val="en-US" w:eastAsia="zh-CN"/>
              </w:rPr>
              <w:t>0.</w:t>
            </w:r>
            <w:r>
              <w:rPr>
                <w:rFonts w:hint="eastAsia" w:ascii="Times New Roman" w:hAnsi="Times New Roman" w:cs="Times New Roman"/>
                <w:color w:val="auto"/>
                <w:spacing w:val="0"/>
                <w:position w:val="0"/>
                <w:sz w:val="21"/>
                <w:szCs w:val="21"/>
                <w:lang w:val="en-US" w:eastAsia="zh-CN"/>
              </w:rPr>
              <w:t>0035</w:t>
            </w:r>
            <w:r>
              <w:rPr>
                <w:rFonts w:hint="default" w:ascii="Times New Roman" w:hAnsi="Times New Roman" w:eastAsia="宋体" w:cs="Times New Roman"/>
                <w:color w:val="auto"/>
                <w:spacing w:val="0"/>
                <w:position w:val="0"/>
                <w:sz w:val="21"/>
                <w:szCs w:val="21"/>
                <w:lang w:val="en-US" w:eastAsia="zh-CN"/>
              </w:rPr>
              <w:t>t/a</w:t>
            </w:r>
          </w:p>
        </w:tc>
      </w:tr>
      <w:tr w14:paraId="28090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8" w:type="dxa"/>
            <w:vMerge w:val="continue"/>
            <w:noWrap w:val="0"/>
            <w:vAlign w:val="center"/>
          </w:tcPr>
          <w:p w14:paraId="66E4AFF3">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rPr>
            </w:pPr>
          </w:p>
        </w:tc>
        <w:tc>
          <w:tcPr>
            <w:tcW w:w="1500" w:type="dxa"/>
            <w:noWrap w:val="0"/>
            <w:vAlign w:val="center"/>
          </w:tcPr>
          <w:p w14:paraId="5157ADEB">
            <w:pPr>
              <w:pStyle w:val="45"/>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硫化氢</w:t>
            </w:r>
          </w:p>
        </w:tc>
        <w:tc>
          <w:tcPr>
            <w:tcW w:w="1744" w:type="dxa"/>
            <w:noWrap w:val="0"/>
            <w:vAlign w:val="center"/>
          </w:tcPr>
          <w:p w14:paraId="1A426582">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eastAsia" w:ascii="Times New Roman" w:hAnsi="Times New Roman" w:cs="Times New Roman"/>
                <w:color w:val="auto"/>
                <w:spacing w:val="0"/>
                <w:position w:val="0"/>
                <w:sz w:val="21"/>
                <w:szCs w:val="21"/>
                <w:lang w:val="en-US" w:eastAsia="zh-CN"/>
              </w:rPr>
              <w:t>0.00003</w:t>
            </w:r>
            <w:r>
              <w:rPr>
                <w:rFonts w:hint="default" w:ascii="Times New Roman" w:hAnsi="Times New Roman" w:eastAsia="宋体" w:cs="Times New Roman"/>
                <w:color w:val="auto"/>
                <w:spacing w:val="0"/>
                <w:position w:val="0"/>
                <w:sz w:val="21"/>
                <w:szCs w:val="21"/>
                <w:lang w:val="en-US" w:eastAsia="zh-CN"/>
              </w:rPr>
              <w:t>t/a</w:t>
            </w:r>
          </w:p>
        </w:tc>
        <w:tc>
          <w:tcPr>
            <w:tcW w:w="1340" w:type="dxa"/>
            <w:noWrap w:val="0"/>
            <w:vAlign w:val="center"/>
          </w:tcPr>
          <w:p w14:paraId="261D954A">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rPr>
              <w:t>/</w:t>
            </w:r>
          </w:p>
        </w:tc>
        <w:tc>
          <w:tcPr>
            <w:tcW w:w="1885" w:type="dxa"/>
            <w:noWrap w:val="0"/>
            <w:vAlign w:val="center"/>
          </w:tcPr>
          <w:p w14:paraId="79D51B89">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rPr>
              <w:t>/</w:t>
            </w:r>
          </w:p>
        </w:tc>
        <w:tc>
          <w:tcPr>
            <w:tcW w:w="1708" w:type="dxa"/>
            <w:noWrap w:val="0"/>
            <w:vAlign w:val="center"/>
          </w:tcPr>
          <w:p w14:paraId="30F6C09D">
            <w:pPr>
              <w:pStyle w:val="45"/>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cs="Times New Roman"/>
                <w:color w:val="auto"/>
                <w:spacing w:val="0"/>
                <w:position w:val="0"/>
                <w:sz w:val="21"/>
                <w:szCs w:val="21"/>
                <w:lang w:val="en-US" w:eastAsia="zh-CN"/>
              </w:rPr>
              <w:t>0.00015</w:t>
            </w:r>
            <w:r>
              <w:rPr>
                <w:rFonts w:hint="default" w:ascii="Times New Roman" w:hAnsi="Times New Roman" w:eastAsia="宋体" w:cs="Times New Roman"/>
                <w:color w:val="auto"/>
                <w:spacing w:val="0"/>
                <w:position w:val="0"/>
                <w:sz w:val="21"/>
                <w:szCs w:val="21"/>
                <w:lang w:val="en-US" w:eastAsia="zh-CN"/>
              </w:rPr>
              <w:t>t/a</w:t>
            </w:r>
          </w:p>
        </w:tc>
        <w:tc>
          <w:tcPr>
            <w:tcW w:w="1964" w:type="dxa"/>
            <w:noWrap w:val="0"/>
            <w:vAlign w:val="center"/>
          </w:tcPr>
          <w:p w14:paraId="72958893">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rPr>
            </w:pPr>
            <w:r>
              <w:rPr>
                <w:rFonts w:hint="eastAsia" w:ascii="Times New Roman" w:hAnsi="Times New Roman" w:cs="Times New Roman"/>
                <w:color w:val="auto"/>
                <w:spacing w:val="0"/>
                <w:position w:val="0"/>
                <w:sz w:val="21"/>
                <w:szCs w:val="21"/>
                <w:lang w:val="en-US" w:eastAsia="zh-CN"/>
              </w:rPr>
              <w:t>0.00003</w:t>
            </w:r>
            <w:r>
              <w:rPr>
                <w:rFonts w:hint="default" w:ascii="Times New Roman" w:hAnsi="Times New Roman" w:eastAsia="宋体" w:cs="Times New Roman"/>
                <w:color w:val="auto"/>
                <w:spacing w:val="0"/>
                <w:position w:val="0"/>
                <w:sz w:val="21"/>
                <w:szCs w:val="21"/>
                <w:lang w:val="en-US" w:eastAsia="zh-CN"/>
              </w:rPr>
              <w:t>t/a</w:t>
            </w:r>
          </w:p>
        </w:tc>
        <w:tc>
          <w:tcPr>
            <w:tcW w:w="1978" w:type="dxa"/>
            <w:noWrap w:val="0"/>
            <w:vAlign w:val="center"/>
          </w:tcPr>
          <w:p w14:paraId="628B50FC">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eastAsia" w:ascii="Times New Roman" w:hAnsi="Times New Roman" w:cs="Times New Roman"/>
                <w:color w:val="auto"/>
                <w:spacing w:val="0"/>
                <w:position w:val="0"/>
                <w:sz w:val="21"/>
                <w:szCs w:val="21"/>
                <w:lang w:val="en-US" w:eastAsia="zh-CN"/>
              </w:rPr>
              <w:t>0.00015</w:t>
            </w:r>
            <w:r>
              <w:rPr>
                <w:rFonts w:hint="default" w:ascii="Times New Roman" w:hAnsi="Times New Roman" w:eastAsia="宋体" w:cs="Times New Roman"/>
                <w:color w:val="auto"/>
                <w:spacing w:val="0"/>
                <w:position w:val="0"/>
                <w:sz w:val="21"/>
                <w:szCs w:val="21"/>
                <w:lang w:val="en-US" w:eastAsia="zh-CN"/>
              </w:rPr>
              <w:t>t/a</w:t>
            </w:r>
          </w:p>
        </w:tc>
        <w:tc>
          <w:tcPr>
            <w:tcW w:w="1450" w:type="dxa"/>
            <w:noWrap w:val="0"/>
            <w:vAlign w:val="center"/>
          </w:tcPr>
          <w:p w14:paraId="2691548B">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rPr>
              <w:t>+</w:t>
            </w:r>
            <w:r>
              <w:rPr>
                <w:rFonts w:hint="eastAsia" w:ascii="Times New Roman" w:hAnsi="Times New Roman" w:cs="Times New Roman"/>
                <w:color w:val="auto"/>
                <w:spacing w:val="0"/>
                <w:position w:val="0"/>
                <w:sz w:val="21"/>
                <w:szCs w:val="21"/>
                <w:lang w:val="en-US" w:eastAsia="zh-CN"/>
              </w:rPr>
              <w:t>0.00012</w:t>
            </w:r>
            <w:r>
              <w:rPr>
                <w:rFonts w:hint="default" w:ascii="Times New Roman" w:hAnsi="Times New Roman" w:eastAsia="宋体" w:cs="Times New Roman"/>
                <w:color w:val="auto"/>
                <w:spacing w:val="0"/>
                <w:position w:val="0"/>
                <w:sz w:val="21"/>
                <w:szCs w:val="21"/>
                <w:lang w:val="en-US" w:eastAsia="zh-CN"/>
              </w:rPr>
              <w:t>t/a</w:t>
            </w:r>
          </w:p>
        </w:tc>
      </w:tr>
      <w:tr w14:paraId="16D09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8" w:type="dxa"/>
            <w:vMerge w:val="restart"/>
            <w:noWrap w:val="0"/>
            <w:vAlign w:val="center"/>
          </w:tcPr>
          <w:p w14:paraId="631FB5ED">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废水</w:t>
            </w:r>
          </w:p>
        </w:tc>
        <w:tc>
          <w:tcPr>
            <w:tcW w:w="1500" w:type="dxa"/>
            <w:noWrap w:val="0"/>
            <w:vAlign w:val="center"/>
          </w:tcPr>
          <w:p w14:paraId="4B327709">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ar-SA"/>
              </w:rPr>
            </w:pPr>
            <w:r>
              <w:rPr>
                <w:rFonts w:hint="default" w:ascii="Times New Roman" w:hAnsi="Times New Roman" w:eastAsia="宋体" w:cs="Times New Roman"/>
                <w:b w:val="0"/>
                <w:bCs w:val="0"/>
                <w:color w:val="auto"/>
                <w:spacing w:val="0"/>
                <w:position w:val="0"/>
                <w:sz w:val="21"/>
                <w:szCs w:val="21"/>
              </w:rPr>
              <w:t>COD</w:t>
            </w:r>
          </w:p>
        </w:tc>
        <w:tc>
          <w:tcPr>
            <w:tcW w:w="1744" w:type="dxa"/>
            <w:noWrap w:val="0"/>
            <w:vAlign w:val="center"/>
          </w:tcPr>
          <w:p w14:paraId="4AED2E8E">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0.88</w:t>
            </w:r>
            <w:r>
              <w:rPr>
                <w:rFonts w:hint="default" w:ascii="Times New Roman" w:hAnsi="Times New Roman" w:eastAsia="宋体" w:cs="Times New Roman"/>
                <w:color w:val="auto"/>
                <w:spacing w:val="0"/>
                <w:position w:val="0"/>
                <w:sz w:val="21"/>
                <w:szCs w:val="21"/>
                <w:lang w:val="en-US" w:eastAsia="zh-CN"/>
              </w:rPr>
              <w:t>t/a</w:t>
            </w:r>
          </w:p>
        </w:tc>
        <w:tc>
          <w:tcPr>
            <w:tcW w:w="1340" w:type="dxa"/>
            <w:noWrap w:val="0"/>
            <w:vAlign w:val="center"/>
          </w:tcPr>
          <w:p w14:paraId="2CEAA1C5">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rPr>
              <w:t>/</w:t>
            </w:r>
          </w:p>
        </w:tc>
        <w:tc>
          <w:tcPr>
            <w:tcW w:w="1885" w:type="dxa"/>
            <w:noWrap w:val="0"/>
            <w:vAlign w:val="center"/>
          </w:tcPr>
          <w:p w14:paraId="7719BF12">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rPr>
              <w:t>/</w:t>
            </w:r>
          </w:p>
        </w:tc>
        <w:tc>
          <w:tcPr>
            <w:tcW w:w="1708" w:type="dxa"/>
            <w:noWrap w:val="0"/>
            <w:vAlign w:val="center"/>
          </w:tcPr>
          <w:p w14:paraId="5AE013D6">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Times New Roman" w:hAnsi="Times New Roman" w:eastAsia="宋体" w:cs="Times New Roman"/>
                <w:color w:val="auto"/>
                <w:spacing w:val="0"/>
                <w:position w:val="0"/>
                <w:sz w:val="21"/>
                <w:szCs w:val="21"/>
                <w:lang w:val="en-US" w:eastAsia="zh-CN" w:bidi="zh-CN"/>
              </w:rPr>
            </w:pPr>
            <w:r>
              <w:rPr>
                <w:rFonts w:hint="eastAsia" w:ascii="Times New Roman" w:hAnsi="Times New Roman" w:eastAsia="宋体" w:cs="Times New Roman"/>
                <w:color w:val="auto"/>
                <w:spacing w:val="0"/>
                <w:position w:val="0"/>
                <w:sz w:val="21"/>
                <w:szCs w:val="21"/>
                <w:lang w:val="en-US" w:eastAsia="zh-CN"/>
              </w:rPr>
              <w:t>4.96</w:t>
            </w:r>
            <w:r>
              <w:rPr>
                <w:rFonts w:hint="default" w:ascii="Times New Roman" w:hAnsi="Times New Roman" w:eastAsia="宋体" w:cs="Times New Roman"/>
                <w:color w:val="auto"/>
                <w:spacing w:val="0"/>
                <w:position w:val="0"/>
                <w:sz w:val="21"/>
                <w:szCs w:val="21"/>
                <w:lang w:val="en-US" w:eastAsia="zh-CN"/>
              </w:rPr>
              <w:t>t/a</w:t>
            </w:r>
          </w:p>
        </w:tc>
        <w:tc>
          <w:tcPr>
            <w:tcW w:w="1964" w:type="dxa"/>
            <w:noWrap w:val="0"/>
            <w:vAlign w:val="center"/>
          </w:tcPr>
          <w:p w14:paraId="4EB59FBD">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rPr>
            </w:pPr>
            <w:r>
              <w:rPr>
                <w:rFonts w:hint="eastAsia" w:ascii="Times New Roman" w:hAnsi="Times New Roman" w:eastAsia="宋体" w:cs="Times New Roman"/>
                <w:color w:val="auto"/>
                <w:spacing w:val="0"/>
                <w:position w:val="0"/>
                <w:sz w:val="21"/>
                <w:szCs w:val="21"/>
                <w:lang w:val="en-US" w:eastAsia="zh-CN"/>
              </w:rPr>
              <w:t>0.88</w:t>
            </w:r>
            <w:r>
              <w:rPr>
                <w:rFonts w:hint="default" w:ascii="Times New Roman" w:hAnsi="Times New Roman" w:eastAsia="宋体" w:cs="Times New Roman"/>
                <w:color w:val="auto"/>
                <w:spacing w:val="0"/>
                <w:position w:val="0"/>
                <w:sz w:val="21"/>
                <w:szCs w:val="21"/>
                <w:lang w:val="en-US" w:eastAsia="zh-CN"/>
              </w:rPr>
              <w:t>t/a</w:t>
            </w:r>
          </w:p>
        </w:tc>
        <w:tc>
          <w:tcPr>
            <w:tcW w:w="1978" w:type="dxa"/>
            <w:noWrap w:val="0"/>
            <w:vAlign w:val="center"/>
          </w:tcPr>
          <w:p w14:paraId="51227507">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Times New Roman" w:hAnsi="Times New Roman"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4.96</w:t>
            </w:r>
            <w:r>
              <w:rPr>
                <w:rFonts w:hint="default" w:ascii="Times New Roman" w:hAnsi="Times New Roman" w:eastAsia="宋体" w:cs="Times New Roman"/>
                <w:color w:val="auto"/>
                <w:spacing w:val="0"/>
                <w:position w:val="0"/>
                <w:sz w:val="21"/>
                <w:szCs w:val="21"/>
                <w:lang w:val="en-US" w:eastAsia="zh-CN"/>
              </w:rPr>
              <w:t>t/a</w:t>
            </w:r>
          </w:p>
        </w:tc>
        <w:tc>
          <w:tcPr>
            <w:tcW w:w="1450" w:type="dxa"/>
            <w:noWrap w:val="0"/>
            <w:vAlign w:val="center"/>
          </w:tcPr>
          <w:p w14:paraId="602827D9">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w:t>
            </w:r>
            <w:r>
              <w:rPr>
                <w:rFonts w:hint="eastAsia" w:ascii="Times New Roman" w:hAnsi="Times New Roman" w:eastAsia="宋体" w:cs="Times New Roman"/>
                <w:color w:val="auto"/>
                <w:spacing w:val="0"/>
                <w:position w:val="0"/>
                <w:sz w:val="21"/>
                <w:szCs w:val="21"/>
                <w:lang w:val="en-US" w:eastAsia="zh-CN"/>
              </w:rPr>
              <w:t>4.08</w:t>
            </w:r>
            <w:r>
              <w:rPr>
                <w:rFonts w:hint="default" w:ascii="Times New Roman" w:hAnsi="Times New Roman" w:eastAsia="宋体" w:cs="Times New Roman"/>
                <w:color w:val="auto"/>
                <w:spacing w:val="0"/>
                <w:position w:val="0"/>
                <w:sz w:val="21"/>
                <w:szCs w:val="21"/>
                <w:lang w:val="en-US" w:eastAsia="zh-CN"/>
              </w:rPr>
              <w:t>t/a</w:t>
            </w:r>
          </w:p>
        </w:tc>
      </w:tr>
      <w:tr w14:paraId="0339C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8" w:type="dxa"/>
            <w:vMerge w:val="continue"/>
            <w:noWrap w:val="0"/>
            <w:vAlign w:val="center"/>
          </w:tcPr>
          <w:p w14:paraId="770E1F5A">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rPr>
            </w:pPr>
          </w:p>
        </w:tc>
        <w:tc>
          <w:tcPr>
            <w:tcW w:w="1500" w:type="dxa"/>
            <w:noWrap w:val="0"/>
            <w:vAlign w:val="center"/>
          </w:tcPr>
          <w:p w14:paraId="05913740">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ar-SA"/>
              </w:rPr>
            </w:pPr>
            <w:r>
              <w:rPr>
                <w:rFonts w:hint="default" w:ascii="Times New Roman" w:hAnsi="Times New Roman" w:eastAsia="宋体" w:cs="Times New Roman"/>
                <w:b w:val="0"/>
                <w:bCs w:val="0"/>
                <w:color w:val="auto"/>
                <w:spacing w:val="0"/>
                <w:position w:val="0"/>
                <w:sz w:val="21"/>
                <w:szCs w:val="21"/>
              </w:rPr>
              <w:t>BOD</w:t>
            </w:r>
            <w:r>
              <w:rPr>
                <w:rFonts w:hint="default" w:ascii="Times New Roman" w:hAnsi="Times New Roman" w:eastAsia="宋体" w:cs="Times New Roman"/>
                <w:b w:val="0"/>
                <w:bCs w:val="0"/>
                <w:color w:val="auto"/>
                <w:spacing w:val="0"/>
                <w:position w:val="0"/>
                <w:sz w:val="21"/>
                <w:szCs w:val="21"/>
                <w:vertAlign w:val="subscript"/>
              </w:rPr>
              <w:t>5</w:t>
            </w:r>
          </w:p>
        </w:tc>
        <w:tc>
          <w:tcPr>
            <w:tcW w:w="1744" w:type="dxa"/>
            <w:noWrap w:val="0"/>
            <w:vAlign w:val="center"/>
          </w:tcPr>
          <w:p w14:paraId="51502710">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0.35</w:t>
            </w:r>
            <w:r>
              <w:rPr>
                <w:rFonts w:hint="default" w:ascii="Times New Roman" w:hAnsi="Times New Roman" w:eastAsia="宋体" w:cs="Times New Roman"/>
                <w:color w:val="auto"/>
                <w:spacing w:val="0"/>
                <w:position w:val="0"/>
                <w:sz w:val="21"/>
                <w:szCs w:val="21"/>
                <w:lang w:val="en-US" w:eastAsia="zh-CN"/>
              </w:rPr>
              <w:t>t/a</w:t>
            </w:r>
          </w:p>
        </w:tc>
        <w:tc>
          <w:tcPr>
            <w:tcW w:w="1340" w:type="dxa"/>
            <w:noWrap w:val="0"/>
            <w:vAlign w:val="center"/>
          </w:tcPr>
          <w:p w14:paraId="0BD961F5">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rPr>
              <w:t>/</w:t>
            </w:r>
          </w:p>
        </w:tc>
        <w:tc>
          <w:tcPr>
            <w:tcW w:w="1885" w:type="dxa"/>
            <w:noWrap w:val="0"/>
            <w:vAlign w:val="center"/>
          </w:tcPr>
          <w:p w14:paraId="40C50DFB">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rPr>
              <w:t>/</w:t>
            </w:r>
          </w:p>
        </w:tc>
        <w:tc>
          <w:tcPr>
            <w:tcW w:w="1708" w:type="dxa"/>
            <w:noWrap w:val="0"/>
            <w:vAlign w:val="center"/>
          </w:tcPr>
          <w:p w14:paraId="3A530EC5">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Times New Roman" w:hAnsi="Times New Roman" w:eastAsia="宋体" w:cs="Times New Roman"/>
                <w:color w:val="auto"/>
                <w:spacing w:val="0"/>
                <w:position w:val="0"/>
                <w:sz w:val="21"/>
                <w:szCs w:val="21"/>
                <w:lang w:val="en-US" w:eastAsia="zh-CN" w:bidi="zh-CN"/>
              </w:rPr>
            </w:pPr>
            <w:r>
              <w:rPr>
                <w:rFonts w:hint="eastAsia" w:ascii="Times New Roman" w:hAnsi="Times New Roman" w:eastAsia="宋体" w:cs="Times New Roman"/>
                <w:color w:val="auto"/>
                <w:spacing w:val="0"/>
                <w:position w:val="0"/>
                <w:sz w:val="21"/>
                <w:szCs w:val="21"/>
                <w:lang w:val="en-US" w:eastAsia="zh-CN"/>
              </w:rPr>
              <w:t>1.99</w:t>
            </w:r>
            <w:r>
              <w:rPr>
                <w:rFonts w:hint="default" w:ascii="Times New Roman" w:hAnsi="Times New Roman" w:eastAsia="宋体" w:cs="Times New Roman"/>
                <w:color w:val="auto"/>
                <w:spacing w:val="0"/>
                <w:position w:val="0"/>
                <w:sz w:val="21"/>
                <w:szCs w:val="21"/>
                <w:lang w:val="en-US" w:eastAsia="zh-CN"/>
              </w:rPr>
              <w:t>t/a</w:t>
            </w:r>
          </w:p>
        </w:tc>
        <w:tc>
          <w:tcPr>
            <w:tcW w:w="1964" w:type="dxa"/>
            <w:noWrap w:val="0"/>
            <w:vAlign w:val="center"/>
          </w:tcPr>
          <w:p w14:paraId="5AE90DA5">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rPr>
            </w:pPr>
            <w:r>
              <w:rPr>
                <w:rFonts w:hint="eastAsia" w:ascii="Times New Roman" w:hAnsi="Times New Roman" w:eastAsia="宋体" w:cs="Times New Roman"/>
                <w:color w:val="auto"/>
                <w:spacing w:val="0"/>
                <w:position w:val="0"/>
                <w:sz w:val="21"/>
                <w:szCs w:val="21"/>
                <w:lang w:val="en-US" w:eastAsia="zh-CN"/>
              </w:rPr>
              <w:t>0.35</w:t>
            </w:r>
            <w:r>
              <w:rPr>
                <w:rFonts w:hint="default" w:ascii="Times New Roman" w:hAnsi="Times New Roman" w:eastAsia="宋体" w:cs="Times New Roman"/>
                <w:color w:val="auto"/>
                <w:spacing w:val="0"/>
                <w:position w:val="0"/>
                <w:sz w:val="21"/>
                <w:szCs w:val="21"/>
                <w:lang w:val="en-US" w:eastAsia="zh-CN"/>
              </w:rPr>
              <w:t>t/a</w:t>
            </w:r>
          </w:p>
        </w:tc>
        <w:tc>
          <w:tcPr>
            <w:tcW w:w="1978" w:type="dxa"/>
            <w:noWrap w:val="0"/>
            <w:vAlign w:val="center"/>
          </w:tcPr>
          <w:p w14:paraId="345D03C9">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Times New Roman" w:hAnsi="Times New Roman"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1.99</w:t>
            </w:r>
            <w:r>
              <w:rPr>
                <w:rFonts w:hint="default" w:ascii="Times New Roman" w:hAnsi="Times New Roman" w:eastAsia="宋体" w:cs="Times New Roman"/>
                <w:color w:val="auto"/>
                <w:spacing w:val="0"/>
                <w:position w:val="0"/>
                <w:sz w:val="21"/>
                <w:szCs w:val="21"/>
                <w:lang w:val="en-US" w:eastAsia="zh-CN"/>
              </w:rPr>
              <w:t>t/a</w:t>
            </w:r>
          </w:p>
        </w:tc>
        <w:tc>
          <w:tcPr>
            <w:tcW w:w="1450" w:type="dxa"/>
            <w:noWrap w:val="0"/>
            <w:vAlign w:val="center"/>
          </w:tcPr>
          <w:p w14:paraId="13D1C52A">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w:t>
            </w:r>
            <w:r>
              <w:rPr>
                <w:rFonts w:hint="eastAsia" w:ascii="Times New Roman" w:hAnsi="Times New Roman" w:eastAsia="宋体" w:cs="Times New Roman"/>
                <w:color w:val="auto"/>
                <w:spacing w:val="0"/>
                <w:position w:val="0"/>
                <w:sz w:val="21"/>
                <w:szCs w:val="21"/>
                <w:lang w:val="en-US" w:eastAsia="zh-CN"/>
              </w:rPr>
              <w:t>1.64</w:t>
            </w:r>
            <w:r>
              <w:rPr>
                <w:rFonts w:hint="default" w:ascii="Times New Roman" w:hAnsi="Times New Roman" w:eastAsia="宋体" w:cs="Times New Roman"/>
                <w:color w:val="auto"/>
                <w:spacing w:val="0"/>
                <w:position w:val="0"/>
                <w:sz w:val="21"/>
                <w:szCs w:val="21"/>
                <w:lang w:val="en-US" w:eastAsia="zh-CN"/>
              </w:rPr>
              <w:t>t/a</w:t>
            </w:r>
          </w:p>
        </w:tc>
      </w:tr>
      <w:tr w14:paraId="03FD4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8" w:type="dxa"/>
            <w:vMerge w:val="continue"/>
            <w:noWrap w:val="0"/>
            <w:vAlign w:val="center"/>
          </w:tcPr>
          <w:p w14:paraId="336A62C3">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rPr>
            </w:pPr>
          </w:p>
        </w:tc>
        <w:tc>
          <w:tcPr>
            <w:tcW w:w="1500" w:type="dxa"/>
            <w:noWrap w:val="0"/>
            <w:vAlign w:val="center"/>
          </w:tcPr>
          <w:p w14:paraId="723882DD">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ar-SA"/>
              </w:rPr>
            </w:pPr>
            <w:r>
              <w:rPr>
                <w:rFonts w:hint="default" w:ascii="Times New Roman" w:hAnsi="Times New Roman" w:eastAsia="宋体" w:cs="Times New Roman"/>
                <w:b w:val="0"/>
                <w:bCs w:val="0"/>
                <w:color w:val="auto"/>
                <w:spacing w:val="0"/>
                <w:position w:val="0"/>
                <w:sz w:val="21"/>
                <w:szCs w:val="21"/>
              </w:rPr>
              <w:t>NH</w:t>
            </w:r>
            <w:r>
              <w:rPr>
                <w:rFonts w:hint="default" w:ascii="Times New Roman" w:hAnsi="Times New Roman" w:eastAsia="宋体" w:cs="Times New Roman"/>
                <w:b w:val="0"/>
                <w:bCs w:val="0"/>
                <w:color w:val="auto"/>
                <w:spacing w:val="0"/>
                <w:position w:val="0"/>
                <w:sz w:val="21"/>
                <w:szCs w:val="21"/>
                <w:vertAlign w:val="subscript"/>
              </w:rPr>
              <w:t>3</w:t>
            </w:r>
            <w:r>
              <w:rPr>
                <w:rFonts w:hint="default" w:ascii="Times New Roman" w:hAnsi="Times New Roman" w:eastAsia="宋体" w:cs="Times New Roman"/>
                <w:b w:val="0"/>
                <w:bCs w:val="0"/>
                <w:color w:val="auto"/>
                <w:spacing w:val="0"/>
                <w:position w:val="0"/>
                <w:sz w:val="21"/>
                <w:szCs w:val="21"/>
              </w:rPr>
              <w:t>-N</w:t>
            </w:r>
          </w:p>
        </w:tc>
        <w:tc>
          <w:tcPr>
            <w:tcW w:w="1744" w:type="dxa"/>
            <w:noWrap w:val="0"/>
            <w:vAlign w:val="center"/>
          </w:tcPr>
          <w:p w14:paraId="2D6CBE4D">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0.38</w:t>
            </w:r>
            <w:r>
              <w:rPr>
                <w:rFonts w:hint="default" w:ascii="Times New Roman" w:hAnsi="Times New Roman" w:eastAsia="宋体" w:cs="Times New Roman"/>
                <w:color w:val="auto"/>
                <w:spacing w:val="0"/>
                <w:position w:val="0"/>
                <w:sz w:val="21"/>
                <w:szCs w:val="21"/>
                <w:lang w:val="en-US" w:eastAsia="zh-CN"/>
              </w:rPr>
              <w:t>t/a</w:t>
            </w:r>
          </w:p>
        </w:tc>
        <w:tc>
          <w:tcPr>
            <w:tcW w:w="1340" w:type="dxa"/>
            <w:noWrap w:val="0"/>
            <w:vAlign w:val="center"/>
          </w:tcPr>
          <w:p w14:paraId="0192DA41">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rPr>
              <w:t>/</w:t>
            </w:r>
          </w:p>
        </w:tc>
        <w:tc>
          <w:tcPr>
            <w:tcW w:w="1885" w:type="dxa"/>
            <w:noWrap w:val="0"/>
            <w:vAlign w:val="center"/>
          </w:tcPr>
          <w:p w14:paraId="2F8A36F5">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rPr>
              <w:t>/</w:t>
            </w:r>
          </w:p>
        </w:tc>
        <w:tc>
          <w:tcPr>
            <w:tcW w:w="1708" w:type="dxa"/>
            <w:noWrap w:val="0"/>
            <w:vAlign w:val="center"/>
          </w:tcPr>
          <w:p w14:paraId="22C322E7">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Times New Roman" w:hAnsi="Times New Roman" w:eastAsia="宋体" w:cs="Times New Roman"/>
                <w:color w:val="auto"/>
                <w:spacing w:val="0"/>
                <w:position w:val="0"/>
                <w:sz w:val="21"/>
                <w:szCs w:val="21"/>
                <w:lang w:val="en-US" w:eastAsia="zh-CN" w:bidi="zh-CN"/>
              </w:rPr>
            </w:pPr>
            <w:r>
              <w:rPr>
                <w:rFonts w:hint="eastAsia" w:ascii="Times New Roman" w:hAnsi="Times New Roman" w:eastAsia="宋体" w:cs="Times New Roman"/>
                <w:color w:val="auto"/>
                <w:spacing w:val="0"/>
                <w:position w:val="0"/>
                <w:sz w:val="21"/>
                <w:szCs w:val="21"/>
                <w:lang w:val="en-US" w:eastAsia="zh-CN"/>
              </w:rPr>
              <w:t>2.18</w:t>
            </w:r>
            <w:r>
              <w:rPr>
                <w:rFonts w:hint="default" w:ascii="Times New Roman" w:hAnsi="Times New Roman" w:eastAsia="宋体" w:cs="Times New Roman"/>
                <w:color w:val="auto"/>
                <w:spacing w:val="0"/>
                <w:position w:val="0"/>
                <w:sz w:val="21"/>
                <w:szCs w:val="21"/>
                <w:lang w:val="en-US" w:eastAsia="zh-CN"/>
              </w:rPr>
              <w:t>t/a</w:t>
            </w:r>
          </w:p>
        </w:tc>
        <w:tc>
          <w:tcPr>
            <w:tcW w:w="1964" w:type="dxa"/>
            <w:noWrap w:val="0"/>
            <w:vAlign w:val="center"/>
          </w:tcPr>
          <w:p w14:paraId="1ACC9BBA">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rPr>
            </w:pPr>
            <w:r>
              <w:rPr>
                <w:rFonts w:hint="eastAsia" w:ascii="Times New Roman" w:hAnsi="Times New Roman" w:eastAsia="宋体" w:cs="Times New Roman"/>
                <w:color w:val="auto"/>
                <w:spacing w:val="0"/>
                <w:position w:val="0"/>
                <w:sz w:val="21"/>
                <w:szCs w:val="21"/>
                <w:lang w:val="en-US" w:eastAsia="zh-CN"/>
              </w:rPr>
              <w:t>0.38</w:t>
            </w:r>
            <w:r>
              <w:rPr>
                <w:rFonts w:hint="default" w:ascii="Times New Roman" w:hAnsi="Times New Roman" w:eastAsia="宋体" w:cs="Times New Roman"/>
                <w:color w:val="auto"/>
                <w:spacing w:val="0"/>
                <w:position w:val="0"/>
                <w:sz w:val="21"/>
                <w:szCs w:val="21"/>
                <w:lang w:val="en-US" w:eastAsia="zh-CN"/>
              </w:rPr>
              <w:t>t/a</w:t>
            </w:r>
          </w:p>
        </w:tc>
        <w:tc>
          <w:tcPr>
            <w:tcW w:w="1978" w:type="dxa"/>
            <w:noWrap w:val="0"/>
            <w:vAlign w:val="center"/>
          </w:tcPr>
          <w:p w14:paraId="41C8BBAC">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Times New Roman" w:hAnsi="Times New Roman"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2.18</w:t>
            </w:r>
            <w:r>
              <w:rPr>
                <w:rFonts w:hint="default" w:ascii="Times New Roman" w:hAnsi="Times New Roman" w:eastAsia="宋体" w:cs="Times New Roman"/>
                <w:color w:val="auto"/>
                <w:spacing w:val="0"/>
                <w:position w:val="0"/>
                <w:sz w:val="21"/>
                <w:szCs w:val="21"/>
                <w:lang w:val="en-US" w:eastAsia="zh-CN"/>
              </w:rPr>
              <w:t>t/a</w:t>
            </w:r>
          </w:p>
        </w:tc>
        <w:tc>
          <w:tcPr>
            <w:tcW w:w="1450" w:type="dxa"/>
            <w:noWrap w:val="0"/>
            <w:vAlign w:val="center"/>
          </w:tcPr>
          <w:p w14:paraId="145C4766">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w:t>
            </w:r>
            <w:r>
              <w:rPr>
                <w:rFonts w:hint="eastAsia" w:ascii="Times New Roman" w:hAnsi="Times New Roman" w:eastAsia="宋体" w:cs="Times New Roman"/>
                <w:color w:val="auto"/>
                <w:spacing w:val="0"/>
                <w:position w:val="0"/>
                <w:sz w:val="21"/>
                <w:szCs w:val="21"/>
                <w:lang w:val="en-US" w:eastAsia="zh-CN"/>
              </w:rPr>
              <w:t>1.80</w:t>
            </w:r>
            <w:r>
              <w:rPr>
                <w:rFonts w:hint="default" w:ascii="Times New Roman" w:hAnsi="Times New Roman" w:eastAsia="宋体" w:cs="Times New Roman"/>
                <w:color w:val="auto"/>
                <w:spacing w:val="0"/>
                <w:position w:val="0"/>
                <w:sz w:val="21"/>
                <w:szCs w:val="21"/>
                <w:lang w:val="en-US" w:eastAsia="zh-CN"/>
              </w:rPr>
              <w:t>t/a</w:t>
            </w:r>
          </w:p>
        </w:tc>
      </w:tr>
      <w:tr w14:paraId="0D6D0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8" w:type="dxa"/>
            <w:vMerge w:val="continue"/>
            <w:noWrap w:val="0"/>
            <w:vAlign w:val="center"/>
          </w:tcPr>
          <w:p w14:paraId="369D0C88">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rPr>
            </w:pPr>
          </w:p>
        </w:tc>
        <w:tc>
          <w:tcPr>
            <w:tcW w:w="1500" w:type="dxa"/>
            <w:noWrap w:val="0"/>
            <w:vAlign w:val="center"/>
          </w:tcPr>
          <w:p w14:paraId="6A1D6E6B">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ar-SA"/>
              </w:rPr>
            </w:pPr>
            <w:r>
              <w:rPr>
                <w:rFonts w:hint="default" w:ascii="Times New Roman" w:hAnsi="Times New Roman" w:eastAsia="宋体" w:cs="Times New Roman"/>
                <w:b w:val="0"/>
                <w:bCs w:val="0"/>
                <w:color w:val="auto"/>
                <w:spacing w:val="0"/>
                <w:position w:val="0"/>
                <w:sz w:val="21"/>
                <w:szCs w:val="21"/>
              </w:rPr>
              <w:t>SS</w:t>
            </w:r>
          </w:p>
        </w:tc>
        <w:tc>
          <w:tcPr>
            <w:tcW w:w="1744" w:type="dxa"/>
            <w:noWrap w:val="0"/>
            <w:vAlign w:val="center"/>
          </w:tcPr>
          <w:p w14:paraId="653DCCD4">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0.03</w:t>
            </w:r>
            <w:r>
              <w:rPr>
                <w:rFonts w:hint="default" w:ascii="Times New Roman" w:hAnsi="Times New Roman" w:eastAsia="宋体" w:cs="Times New Roman"/>
                <w:color w:val="auto"/>
                <w:spacing w:val="0"/>
                <w:position w:val="0"/>
                <w:sz w:val="21"/>
                <w:szCs w:val="21"/>
                <w:lang w:val="en-US" w:eastAsia="zh-CN"/>
              </w:rPr>
              <w:t>t/a</w:t>
            </w:r>
          </w:p>
        </w:tc>
        <w:tc>
          <w:tcPr>
            <w:tcW w:w="1340" w:type="dxa"/>
            <w:noWrap w:val="0"/>
            <w:vAlign w:val="center"/>
          </w:tcPr>
          <w:p w14:paraId="4E6AC9F7">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rPr>
              <w:t>/</w:t>
            </w:r>
          </w:p>
        </w:tc>
        <w:tc>
          <w:tcPr>
            <w:tcW w:w="1885" w:type="dxa"/>
            <w:noWrap w:val="0"/>
            <w:vAlign w:val="center"/>
          </w:tcPr>
          <w:p w14:paraId="5FA432CD">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rPr>
              <w:t>/</w:t>
            </w:r>
          </w:p>
        </w:tc>
        <w:tc>
          <w:tcPr>
            <w:tcW w:w="1708" w:type="dxa"/>
            <w:noWrap w:val="0"/>
            <w:vAlign w:val="center"/>
          </w:tcPr>
          <w:p w14:paraId="27CE9C01">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Times New Roman" w:hAnsi="Times New Roman" w:eastAsia="宋体" w:cs="Times New Roman"/>
                <w:color w:val="auto"/>
                <w:spacing w:val="0"/>
                <w:position w:val="0"/>
                <w:sz w:val="21"/>
                <w:szCs w:val="21"/>
                <w:lang w:val="en-US" w:eastAsia="zh-CN" w:bidi="zh-CN"/>
              </w:rPr>
            </w:pPr>
            <w:r>
              <w:rPr>
                <w:rFonts w:hint="eastAsia" w:ascii="Times New Roman" w:hAnsi="Times New Roman" w:eastAsia="宋体" w:cs="Times New Roman"/>
                <w:color w:val="auto"/>
                <w:spacing w:val="0"/>
                <w:position w:val="0"/>
                <w:sz w:val="21"/>
                <w:szCs w:val="21"/>
                <w:lang w:val="en-US" w:eastAsia="zh-CN"/>
              </w:rPr>
              <w:t>0.16</w:t>
            </w:r>
            <w:r>
              <w:rPr>
                <w:rFonts w:hint="default" w:ascii="Times New Roman" w:hAnsi="Times New Roman" w:eastAsia="宋体" w:cs="Times New Roman"/>
                <w:color w:val="auto"/>
                <w:spacing w:val="0"/>
                <w:position w:val="0"/>
                <w:sz w:val="21"/>
                <w:szCs w:val="21"/>
                <w:lang w:val="en-US" w:eastAsia="zh-CN"/>
              </w:rPr>
              <w:t>t/a</w:t>
            </w:r>
          </w:p>
        </w:tc>
        <w:tc>
          <w:tcPr>
            <w:tcW w:w="1964" w:type="dxa"/>
            <w:noWrap w:val="0"/>
            <w:vAlign w:val="center"/>
          </w:tcPr>
          <w:p w14:paraId="64220130">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rPr>
            </w:pPr>
            <w:r>
              <w:rPr>
                <w:rFonts w:hint="eastAsia" w:ascii="Times New Roman" w:hAnsi="Times New Roman" w:eastAsia="宋体" w:cs="Times New Roman"/>
                <w:color w:val="auto"/>
                <w:spacing w:val="0"/>
                <w:position w:val="0"/>
                <w:sz w:val="21"/>
                <w:szCs w:val="21"/>
                <w:lang w:val="en-US" w:eastAsia="zh-CN"/>
              </w:rPr>
              <w:t>0.03</w:t>
            </w:r>
            <w:r>
              <w:rPr>
                <w:rFonts w:hint="default" w:ascii="Times New Roman" w:hAnsi="Times New Roman" w:eastAsia="宋体" w:cs="Times New Roman"/>
                <w:color w:val="auto"/>
                <w:spacing w:val="0"/>
                <w:position w:val="0"/>
                <w:sz w:val="21"/>
                <w:szCs w:val="21"/>
                <w:lang w:val="en-US" w:eastAsia="zh-CN"/>
              </w:rPr>
              <w:t>t/a</w:t>
            </w:r>
          </w:p>
        </w:tc>
        <w:tc>
          <w:tcPr>
            <w:tcW w:w="1978" w:type="dxa"/>
            <w:noWrap w:val="0"/>
            <w:vAlign w:val="center"/>
          </w:tcPr>
          <w:p w14:paraId="5F49F52F">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Times New Roman" w:hAnsi="Times New Roman"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0.16</w:t>
            </w:r>
            <w:r>
              <w:rPr>
                <w:rFonts w:hint="default" w:ascii="Times New Roman" w:hAnsi="Times New Roman" w:eastAsia="宋体" w:cs="Times New Roman"/>
                <w:color w:val="auto"/>
                <w:spacing w:val="0"/>
                <w:position w:val="0"/>
                <w:sz w:val="21"/>
                <w:szCs w:val="21"/>
                <w:lang w:val="en-US" w:eastAsia="zh-CN"/>
              </w:rPr>
              <w:t>t/a</w:t>
            </w:r>
          </w:p>
        </w:tc>
        <w:tc>
          <w:tcPr>
            <w:tcW w:w="1450" w:type="dxa"/>
            <w:noWrap w:val="0"/>
            <w:vAlign w:val="center"/>
          </w:tcPr>
          <w:p w14:paraId="0F5364C5">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w:t>
            </w:r>
            <w:r>
              <w:rPr>
                <w:rFonts w:hint="eastAsia" w:ascii="Times New Roman" w:hAnsi="Times New Roman" w:eastAsia="宋体" w:cs="Times New Roman"/>
                <w:color w:val="auto"/>
                <w:spacing w:val="0"/>
                <w:position w:val="0"/>
                <w:sz w:val="21"/>
                <w:szCs w:val="21"/>
                <w:lang w:val="en-US" w:eastAsia="zh-CN"/>
              </w:rPr>
              <w:t>0.13</w:t>
            </w:r>
            <w:r>
              <w:rPr>
                <w:rFonts w:hint="default" w:ascii="Times New Roman" w:hAnsi="Times New Roman" w:eastAsia="宋体" w:cs="Times New Roman"/>
                <w:color w:val="auto"/>
                <w:spacing w:val="0"/>
                <w:position w:val="0"/>
                <w:sz w:val="21"/>
                <w:szCs w:val="21"/>
                <w:lang w:val="en-US" w:eastAsia="zh-CN"/>
              </w:rPr>
              <w:t>t/a</w:t>
            </w:r>
          </w:p>
        </w:tc>
      </w:tr>
      <w:tr w14:paraId="0056C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8" w:type="dxa"/>
            <w:vMerge w:val="continue"/>
            <w:noWrap w:val="0"/>
            <w:vAlign w:val="center"/>
          </w:tcPr>
          <w:p w14:paraId="5B4D4464">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rPr>
            </w:pPr>
          </w:p>
        </w:tc>
        <w:tc>
          <w:tcPr>
            <w:tcW w:w="1500" w:type="dxa"/>
            <w:noWrap w:val="0"/>
            <w:vAlign w:val="center"/>
          </w:tcPr>
          <w:p w14:paraId="15DB3DA8">
            <w:pPr>
              <w:pStyle w:val="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bidi="ar-SA"/>
              </w:rPr>
            </w:pPr>
            <w:r>
              <w:rPr>
                <w:rFonts w:hint="default" w:ascii="Times New Roman" w:hAnsi="Times New Roman" w:eastAsia="宋体" w:cs="Times New Roman"/>
                <w:b w:val="0"/>
                <w:bCs w:val="0"/>
                <w:color w:val="auto"/>
                <w:spacing w:val="0"/>
                <w:position w:val="0"/>
                <w:sz w:val="21"/>
                <w:szCs w:val="21"/>
              </w:rPr>
              <w:t>动植物油</w:t>
            </w:r>
          </w:p>
        </w:tc>
        <w:tc>
          <w:tcPr>
            <w:tcW w:w="1744" w:type="dxa"/>
            <w:noWrap w:val="0"/>
            <w:vAlign w:val="center"/>
          </w:tcPr>
          <w:p w14:paraId="46E0E352">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0.001</w:t>
            </w:r>
            <w:r>
              <w:rPr>
                <w:rFonts w:hint="default" w:ascii="Times New Roman" w:hAnsi="Times New Roman" w:eastAsia="宋体" w:cs="Times New Roman"/>
                <w:color w:val="auto"/>
                <w:spacing w:val="0"/>
                <w:position w:val="0"/>
                <w:sz w:val="21"/>
                <w:szCs w:val="21"/>
                <w:lang w:val="en-US" w:eastAsia="zh-CN"/>
              </w:rPr>
              <w:t>t/a</w:t>
            </w:r>
          </w:p>
        </w:tc>
        <w:tc>
          <w:tcPr>
            <w:tcW w:w="1340" w:type="dxa"/>
            <w:noWrap w:val="0"/>
            <w:vAlign w:val="center"/>
          </w:tcPr>
          <w:p w14:paraId="70D05185">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rPr>
            </w:pPr>
            <w:r>
              <w:rPr>
                <w:rFonts w:hint="default" w:ascii="Times New Roman" w:hAnsi="Times New Roman" w:eastAsia="宋体" w:cs="Times New Roman"/>
                <w:color w:val="auto"/>
                <w:spacing w:val="0"/>
                <w:position w:val="0"/>
                <w:sz w:val="21"/>
                <w:szCs w:val="21"/>
                <w:lang w:val="en-US"/>
              </w:rPr>
              <w:t>/</w:t>
            </w:r>
          </w:p>
        </w:tc>
        <w:tc>
          <w:tcPr>
            <w:tcW w:w="1885" w:type="dxa"/>
            <w:noWrap w:val="0"/>
            <w:vAlign w:val="center"/>
          </w:tcPr>
          <w:p w14:paraId="1836DD83">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rPr>
            </w:pPr>
            <w:r>
              <w:rPr>
                <w:rFonts w:hint="default" w:ascii="Times New Roman" w:hAnsi="Times New Roman" w:eastAsia="宋体" w:cs="Times New Roman"/>
                <w:color w:val="auto"/>
                <w:spacing w:val="0"/>
                <w:position w:val="0"/>
                <w:sz w:val="21"/>
                <w:szCs w:val="21"/>
                <w:lang w:val="en-US"/>
              </w:rPr>
              <w:t>/</w:t>
            </w:r>
          </w:p>
        </w:tc>
        <w:tc>
          <w:tcPr>
            <w:tcW w:w="1708" w:type="dxa"/>
            <w:noWrap w:val="0"/>
            <w:vAlign w:val="center"/>
          </w:tcPr>
          <w:p w14:paraId="02B405D8">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Times New Roman" w:hAnsi="Times New Roman" w:eastAsia="宋体" w:cs="Times New Roman"/>
                <w:color w:val="auto"/>
                <w:spacing w:val="0"/>
                <w:position w:val="0"/>
                <w:sz w:val="21"/>
                <w:szCs w:val="21"/>
                <w:lang w:val="en-US" w:eastAsia="zh-CN" w:bidi="zh-CN"/>
              </w:rPr>
            </w:pPr>
            <w:r>
              <w:rPr>
                <w:rFonts w:hint="eastAsia" w:ascii="Times New Roman" w:hAnsi="Times New Roman" w:eastAsia="宋体" w:cs="Times New Roman"/>
                <w:color w:val="auto"/>
                <w:spacing w:val="0"/>
                <w:position w:val="0"/>
                <w:sz w:val="21"/>
                <w:szCs w:val="21"/>
                <w:lang w:val="en-US" w:eastAsia="zh-CN"/>
              </w:rPr>
              <w:t>0.01</w:t>
            </w:r>
            <w:r>
              <w:rPr>
                <w:rFonts w:hint="default" w:ascii="Times New Roman" w:hAnsi="Times New Roman" w:eastAsia="宋体" w:cs="Times New Roman"/>
                <w:color w:val="auto"/>
                <w:spacing w:val="0"/>
                <w:position w:val="0"/>
                <w:sz w:val="21"/>
                <w:szCs w:val="21"/>
                <w:lang w:val="en-US" w:eastAsia="zh-CN"/>
              </w:rPr>
              <w:t>t/a</w:t>
            </w:r>
          </w:p>
        </w:tc>
        <w:tc>
          <w:tcPr>
            <w:tcW w:w="1964" w:type="dxa"/>
            <w:noWrap w:val="0"/>
            <w:vAlign w:val="center"/>
          </w:tcPr>
          <w:p w14:paraId="561E6F08">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rPr>
            </w:pPr>
            <w:r>
              <w:rPr>
                <w:rFonts w:hint="eastAsia" w:ascii="Times New Roman" w:hAnsi="Times New Roman" w:eastAsia="宋体" w:cs="Times New Roman"/>
                <w:color w:val="auto"/>
                <w:spacing w:val="0"/>
                <w:position w:val="0"/>
                <w:sz w:val="21"/>
                <w:szCs w:val="21"/>
                <w:lang w:val="en-US" w:eastAsia="zh-CN"/>
              </w:rPr>
              <w:t>0.001</w:t>
            </w:r>
            <w:r>
              <w:rPr>
                <w:rFonts w:hint="default" w:ascii="Times New Roman" w:hAnsi="Times New Roman" w:eastAsia="宋体" w:cs="Times New Roman"/>
                <w:color w:val="auto"/>
                <w:spacing w:val="0"/>
                <w:position w:val="0"/>
                <w:sz w:val="21"/>
                <w:szCs w:val="21"/>
                <w:lang w:val="en-US" w:eastAsia="zh-CN"/>
              </w:rPr>
              <w:t>t/a</w:t>
            </w:r>
          </w:p>
        </w:tc>
        <w:tc>
          <w:tcPr>
            <w:tcW w:w="1978" w:type="dxa"/>
            <w:noWrap w:val="0"/>
            <w:vAlign w:val="center"/>
          </w:tcPr>
          <w:p w14:paraId="4DC742B2">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Times New Roman" w:hAnsi="Times New Roman" w:cs="Times New Roman"/>
                <w:color w:val="auto"/>
                <w:spacing w:val="0"/>
                <w:position w:val="0"/>
                <w:sz w:val="21"/>
                <w:szCs w:val="21"/>
                <w:lang w:val="en-US" w:eastAsia="zh-CN"/>
              </w:rPr>
            </w:pPr>
            <w:r>
              <w:rPr>
                <w:rFonts w:hint="eastAsia" w:ascii="Times New Roman" w:hAnsi="Times New Roman" w:eastAsia="宋体" w:cs="Times New Roman"/>
                <w:color w:val="auto"/>
                <w:spacing w:val="0"/>
                <w:position w:val="0"/>
                <w:sz w:val="21"/>
                <w:szCs w:val="21"/>
                <w:lang w:val="en-US" w:eastAsia="zh-CN"/>
              </w:rPr>
              <w:t>0.01</w:t>
            </w:r>
            <w:r>
              <w:rPr>
                <w:rFonts w:hint="default" w:ascii="Times New Roman" w:hAnsi="Times New Roman" w:eastAsia="宋体" w:cs="Times New Roman"/>
                <w:color w:val="auto"/>
                <w:spacing w:val="0"/>
                <w:position w:val="0"/>
                <w:sz w:val="21"/>
                <w:szCs w:val="21"/>
                <w:lang w:val="en-US" w:eastAsia="zh-CN"/>
              </w:rPr>
              <w:t>t/a</w:t>
            </w:r>
          </w:p>
        </w:tc>
        <w:tc>
          <w:tcPr>
            <w:tcW w:w="1450" w:type="dxa"/>
            <w:noWrap w:val="0"/>
            <w:vAlign w:val="center"/>
          </w:tcPr>
          <w:p w14:paraId="10632833">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w:t>
            </w:r>
            <w:r>
              <w:rPr>
                <w:rFonts w:hint="eastAsia" w:ascii="Times New Roman" w:hAnsi="Times New Roman" w:eastAsia="宋体" w:cs="Times New Roman"/>
                <w:color w:val="auto"/>
                <w:spacing w:val="0"/>
                <w:position w:val="0"/>
                <w:sz w:val="21"/>
                <w:szCs w:val="21"/>
                <w:lang w:val="en-US" w:eastAsia="zh-CN"/>
              </w:rPr>
              <w:t>0.009</w:t>
            </w:r>
            <w:r>
              <w:rPr>
                <w:rFonts w:hint="default" w:ascii="Times New Roman" w:hAnsi="Times New Roman" w:eastAsia="宋体" w:cs="Times New Roman"/>
                <w:color w:val="auto"/>
                <w:spacing w:val="0"/>
                <w:position w:val="0"/>
                <w:sz w:val="21"/>
                <w:szCs w:val="21"/>
                <w:lang w:val="en-US" w:eastAsia="zh-CN"/>
              </w:rPr>
              <w:t>t/a</w:t>
            </w:r>
          </w:p>
        </w:tc>
      </w:tr>
      <w:tr w14:paraId="0F25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8" w:type="dxa"/>
            <w:vMerge w:val="restart"/>
            <w:noWrap w:val="0"/>
            <w:vAlign w:val="center"/>
          </w:tcPr>
          <w:p w14:paraId="3F9C99F9">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rPr>
            </w:pPr>
            <w:r>
              <w:rPr>
                <w:rFonts w:hint="default" w:ascii="Times New Roman" w:hAnsi="Times New Roman" w:eastAsia="宋体" w:cs="Times New Roman"/>
                <w:color w:val="auto"/>
                <w:spacing w:val="0"/>
                <w:position w:val="0"/>
                <w:sz w:val="21"/>
                <w:szCs w:val="21"/>
                <w:lang w:val="en-US"/>
              </w:rPr>
              <w:t>固废</w:t>
            </w:r>
          </w:p>
        </w:tc>
        <w:tc>
          <w:tcPr>
            <w:tcW w:w="1500" w:type="dxa"/>
            <w:noWrap w:val="0"/>
            <w:vAlign w:val="center"/>
          </w:tcPr>
          <w:p w14:paraId="73E5F142">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rPr>
              <w:t>生活垃圾</w:t>
            </w:r>
          </w:p>
        </w:tc>
        <w:tc>
          <w:tcPr>
            <w:tcW w:w="1744" w:type="dxa"/>
            <w:noWrap w:val="0"/>
            <w:vAlign w:val="center"/>
          </w:tcPr>
          <w:p w14:paraId="6365851C">
            <w:pPr>
              <w:pStyle w:val="45"/>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eastAsia" w:ascii="Times New Roman" w:hAnsi="Times New Roman" w:cs="Times New Roman"/>
                <w:color w:val="auto"/>
                <w:spacing w:val="0"/>
                <w:position w:val="0"/>
                <w:sz w:val="21"/>
                <w:szCs w:val="21"/>
                <w:lang w:val="en-US" w:eastAsia="zh-CN"/>
              </w:rPr>
              <w:t>32.85</w:t>
            </w:r>
            <w:r>
              <w:rPr>
                <w:rFonts w:hint="default" w:ascii="Times New Roman" w:hAnsi="Times New Roman" w:eastAsia="宋体" w:cs="Times New Roman"/>
                <w:color w:val="auto"/>
                <w:spacing w:val="0"/>
                <w:position w:val="0"/>
                <w:sz w:val="21"/>
                <w:szCs w:val="21"/>
                <w:lang w:val="en-US" w:eastAsia="zh-CN"/>
              </w:rPr>
              <w:t>t/a</w:t>
            </w:r>
          </w:p>
        </w:tc>
        <w:tc>
          <w:tcPr>
            <w:tcW w:w="1340" w:type="dxa"/>
            <w:noWrap w:val="0"/>
            <w:vAlign w:val="center"/>
          </w:tcPr>
          <w:p w14:paraId="57BA4D7D">
            <w:pPr>
              <w:pStyle w:val="45"/>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rPr>
              <w:t>/</w:t>
            </w:r>
          </w:p>
        </w:tc>
        <w:tc>
          <w:tcPr>
            <w:tcW w:w="1885" w:type="dxa"/>
            <w:noWrap w:val="0"/>
            <w:vAlign w:val="center"/>
          </w:tcPr>
          <w:p w14:paraId="2F2F8295">
            <w:pPr>
              <w:pStyle w:val="45"/>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rPr>
              <w:t>/</w:t>
            </w:r>
          </w:p>
        </w:tc>
        <w:tc>
          <w:tcPr>
            <w:tcW w:w="1708" w:type="dxa"/>
            <w:noWrap w:val="0"/>
            <w:vAlign w:val="center"/>
          </w:tcPr>
          <w:p w14:paraId="1294538F">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eastAsia" w:ascii="Times New Roman" w:hAnsi="Times New Roman" w:cs="Times New Roman"/>
                <w:color w:val="auto"/>
                <w:spacing w:val="0"/>
                <w:position w:val="0"/>
                <w:sz w:val="21"/>
                <w:szCs w:val="21"/>
                <w:lang w:val="en-US" w:eastAsia="zh-CN"/>
              </w:rPr>
              <w:t>54.75</w:t>
            </w:r>
            <w:r>
              <w:rPr>
                <w:rFonts w:hint="default" w:ascii="Times New Roman" w:hAnsi="Times New Roman" w:eastAsia="宋体" w:cs="Times New Roman"/>
                <w:color w:val="auto"/>
                <w:spacing w:val="0"/>
                <w:position w:val="0"/>
                <w:sz w:val="21"/>
                <w:szCs w:val="21"/>
              </w:rPr>
              <w:t>t/a</w:t>
            </w:r>
          </w:p>
        </w:tc>
        <w:tc>
          <w:tcPr>
            <w:tcW w:w="1964" w:type="dxa"/>
            <w:noWrap w:val="0"/>
            <w:vAlign w:val="center"/>
          </w:tcPr>
          <w:p w14:paraId="38962278">
            <w:pPr>
              <w:pStyle w:val="45"/>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rPr>
              <w:t>/</w:t>
            </w:r>
          </w:p>
        </w:tc>
        <w:tc>
          <w:tcPr>
            <w:tcW w:w="1978" w:type="dxa"/>
            <w:noWrap w:val="0"/>
            <w:vAlign w:val="center"/>
          </w:tcPr>
          <w:p w14:paraId="4A497FE6">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eastAsia" w:ascii="Times New Roman" w:hAnsi="Times New Roman" w:cs="Times New Roman"/>
                <w:color w:val="auto"/>
                <w:spacing w:val="0"/>
                <w:position w:val="0"/>
                <w:sz w:val="21"/>
                <w:szCs w:val="21"/>
                <w:lang w:val="en-US" w:eastAsia="zh-CN"/>
              </w:rPr>
              <w:t>54.75</w:t>
            </w:r>
            <w:r>
              <w:rPr>
                <w:rFonts w:hint="default" w:ascii="Times New Roman" w:hAnsi="Times New Roman" w:eastAsia="宋体" w:cs="Times New Roman"/>
                <w:color w:val="auto"/>
                <w:spacing w:val="0"/>
                <w:position w:val="0"/>
                <w:sz w:val="21"/>
                <w:szCs w:val="21"/>
              </w:rPr>
              <w:t>t/a</w:t>
            </w:r>
          </w:p>
        </w:tc>
        <w:tc>
          <w:tcPr>
            <w:tcW w:w="1450" w:type="dxa"/>
            <w:noWrap w:val="0"/>
            <w:vAlign w:val="center"/>
          </w:tcPr>
          <w:p w14:paraId="5328001C">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rPr>
              <w:t>+</w:t>
            </w:r>
            <w:r>
              <w:rPr>
                <w:rFonts w:hint="eastAsia" w:ascii="Times New Roman" w:hAnsi="Times New Roman" w:eastAsia="宋体" w:cs="Times New Roman"/>
                <w:color w:val="auto"/>
                <w:spacing w:val="0"/>
                <w:position w:val="0"/>
                <w:sz w:val="21"/>
                <w:szCs w:val="21"/>
                <w:lang w:val="en-US" w:eastAsia="zh-CN"/>
              </w:rPr>
              <w:t>21.9</w:t>
            </w:r>
            <w:r>
              <w:rPr>
                <w:rFonts w:hint="default" w:ascii="Times New Roman" w:hAnsi="Times New Roman" w:eastAsia="宋体" w:cs="Times New Roman"/>
                <w:color w:val="auto"/>
                <w:spacing w:val="0"/>
                <w:position w:val="0"/>
                <w:sz w:val="21"/>
                <w:szCs w:val="21"/>
              </w:rPr>
              <w:t>t/a</w:t>
            </w:r>
          </w:p>
        </w:tc>
      </w:tr>
      <w:tr w14:paraId="4C1D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8" w:type="dxa"/>
            <w:vMerge w:val="continue"/>
            <w:noWrap w:val="0"/>
            <w:vAlign w:val="center"/>
          </w:tcPr>
          <w:p w14:paraId="13FF835C">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rPr>
            </w:pPr>
          </w:p>
        </w:tc>
        <w:tc>
          <w:tcPr>
            <w:tcW w:w="1500" w:type="dxa"/>
            <w:noWrap w:val="0"/>
            <w:vAlign w:val="center"/>
          </w:tcPr>
          <w:p w14:paraId="63733FDC">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医疗废物</w:t>
            </w:r>
          </w:p>
        </w:tc>
        <w:tc>
          <w:tcPr>
            <w:tcW w:w="1744" w:type="dxa"/>
            <w:noWrap w:val="0"/>
            <w:vAlign w:val="center"/>
          </w:tcPr>
          <w:p w14:paraId="3F21961E">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eastAsia" w:ascii="Times New Roman" w:hAnsi="Times New Roman" w:cs="Times New Roman"/>
                <w:color w:val="auto"/>
                <w:spacing w:val="0"/>
                <w:position w:val="0"/>
                <w:sz w:val="21"/>
                <w:szCs w:val="21"/>
                <w:lang w:val="en-US" w:eastAsia="zh-CN"/>
              </w:rPr>
              <w:t>24</w:t>
            </w:r>
            <w:r>
              <w:rPr>
                <w:rFonts w:hint="default" w:ascii="Times New Roman" w:hAnsi="Times New Roman" w:eastAsia="宋体" w:cs="Times New Roman"/>
                <w:color w:val="auto"/>
                <w:spacing w:val="0"/>
                <w:position w:val="0"/>
                <w:sz w:val="21"/>
                <w:szCs w:val="21"/>
                <w:lang w:val="en-US" w:eastAsia="zh-CN"/>
              </w:rPr>
              <w:t>t/a</w:t>
            </w:r>
          </w:p>
        </w:tc>
        <w:tc>
          <w:tcPr>
            <w:tcW w:w="1340" w:type="dxa"/>
            <w:noWrap w:val="0"/>
            <w:vAlign w:val="center"/>
          </w:tcPr>
          <w:p w14:paraId="03C866AB">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rPr>
              <w:t>/</w:t>
            </w:r>
          </w:p>
        </w:tc>
        <w:tc>
          <w:tcPr>
            <w:tcW w:w="1885" w:type="dxa"/>
            <w:noWrap w:val="0"/>
            <w:vAlign w:val="center"/>
          </w:tcPr>
          <w:p w14:paraId="43A9E55D">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rPr>
              <w:t>/</w:t>
            </w:r>
          </w:p>
        </w:tc>
        <w:tc>
          <w:tcPr>
            <w:tcW w:w="1708" w:type="dxa"/>
            <w:noWrap w:val="0"/>
            <w:vAlign w:val="center"/>
          </w:tcPr>
          <w:p w14:paraId="18C5BD46">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eastAsia" w:ascii="Times New Roman" w:hAnsi="Times New Roman" w:cs="Times New Roman"/>
                <w:color w:val="auto"/>
                <w:spacing w:val="0"/>
                <w:position w:val="0"/>
                <w:sz w:val="21"/>
                <w:szCs w:val="21"/>
                <w:lang w:val="en-US" w:eastAsia="zh-CN"/>
              </w:rPr>
              <w:t>40.15</w:t>
            </w:r>
            <w:r>
              <w:rPr>
                <w:rFonts w:hint="default" w:ascii="Times New Roman" w:hAnsi="Times New Roman" w:eastAsia="宋体" w:cs="Times New Roman"/>
                <w:color w:val="auto"/>
                <w:spacing w:val="0"/>
                <w:position w:val="0"/>
                <w:sz w:val="21"/>
                <w:szCs w:val="21"/>
              </w:rPr>
              <w:t>t/a</w:t>
            </w:r>
          </w:p>
        </w:tc>
        <w:tc>
          <w:tcPr>
            <w:tcW w:w="1964" w:type="dxa"/>
            <w:noWrap w:val="0"/>
            <w:vAlign w:val="center"/>
          </w:tcPr>
          <w:p w14:paraId="09D79D1F">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eastAsia" w:ascii="Times New Roman" w:hAnsi="Times New Roman" w:cs="Times New Roman"/>
                <w:color w:val="auto"/>
                <w:spacing w:val="0"/>
                <w:position w:val="0"/>
                <w:sz w:val="21"/>
                <w:szCs w:val="21"/>
                <w:lang w:val="en-US" w:eastAsia="zh-CN"/>
              </w:rPr>
              <w:t>/</w:t>
            </w:r>
          </w:p>
        </w:tc>
        <w:tc>
          <w:tcPr>
            <w:tcW w:w="1978" w:type="dxa"/>
            <w:noWrap w:val="0"/>
            <w:vAlign w:val="center"/>
          </w:tcPr>
          <w:p w14:paraId="558C259E">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eastAsia" w:ascii="Times New Roman" w:hAnsi="Times New Roman" w:cs="Times New Roman"/>
                <w:color w:val="auto"/>
                <w:spacing w:val="0"/>
                <w:position w:val="0"/>
                <w:sz w:val="21"/>
                <w:szCs w:val="21"/>
                <w:lang w:val="en-US" w:eastAsia="zh-CN"/>
              </w:rPr>
              <w:t>40.15</w:t>
            </w:r>
            <w:r>
              <w:rPr>
                <w:rFonts w:hint="default" w:ascii="Times New Roman" w:hAnsi="Times New Roman" w:eastAsia="宋体" w:cs="Times New Roman"/>
                <w:color w:val="auto"/>
                <w:spacing w:val="0"/>
                <w:position w:val="0"/>
                <w:sz w:val="21"/>
                <w:szCs w:val="21"/>
              </w:rPr>
              <w:t>t/a</w:t>
            </w:r>
          </w:p>
        </w:tc>
        <w:tc>
          <w:tcPr>
            <w:tcW w:w="1450" w:type="dxa"/>
            <w:noWrap w:val="0"/>
            <w:vAlign w:val="center"/>
          </w:tcPr>
          <w:p w14:paraId="124F2939">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rPr>
              <w:t>+</w:t>
            </w:r>
            <w:r>
              <w:rPr>
                <w:rFonts w:hint="eastAsia" w:ascii="Times New Roman" w:hAnsi="Times New Roman" w:cs="Times New Roman"/>
                <w:color w:val="auto"/>
                <w:spacing w:val="0"/>
                <w:position w:val="0"/>
                <w:sz w:val="21"/>
                <w:szCs w:val="21"/>
                <w:lang w:val="en-US" w:eastAsia="zh-CN"/>
              </w:rPr>
              <w:t>16.15</w:t>
            </w:r>
            <w:r>
              <w:rPr>
                <w:rFonts w:hint="default" w:ascii="Times New Roman" w:hAnsi="Times New Roman" w:eastAsia="宋体" w:cs="Times New Roman"/>
                <w:color w:val="auto"/>
                <w:spacing w:val="0"/>
                <w:position w:val="0"/>
                <w:sz w:val="21"/>
                <w:szCs w:val="21"/>
              </w:rPr>
              <w:t>t/a</w:t>
            </w:r>
          </w:p>
        </w:tc>
      </w:tr>
      <w:tr w14:paraId="62ED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8" w:type="dxa"/>
            <w:vMerge w:val="continue"/>
            <w:noWrap w:val="0"/>
            <w:vAlign w:val="center"/>
          </w:tcPr>
          <w:p w14:paraId="37BD51D8">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rPr>
            </w:pPr>
          </w:p>
        </w:tc>
        <w:tc>
          <w:tcPr>
            <w:tcW w:w="1500" w:type="dxa"/>
            <w:noWrap w:val="0"/>
            <w:vAlign w:val="center"/>
          </w:tcPr>
          <w:p w14:paraId="14AF5E1A">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栅渣</w:t>
            </w:r>
          </w:p>
        </w:tc>
        <w:tc>
          <w:tcPr>
            <w:tcW w:w="1744" w:type="dxa"/>
            <w:noWrap w:val="0"/>
            <w:vAlign w:val="center"/>
          </w:tcPr>
          <w:p w14:paraId="570DF1B0">
            <w:pPr>
              <w:pStyle w:val="45"/>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cs="Times New Roman"/>
                <w:color w:val="auto"/>
                <w:spacing w:val="0"/>
                <w:position w:val="0"/>
                <w:sz w:val="21"/>
                <w:szCs w:val="21"/>
                <w:lang w:val="en-US" w:eastAsia="zh-CN"/>
              </w:rPr>
              <w:t>/</w:t>
            </w:r>
          </w:p>
        </w:tc>
        <w:tc>
          <w:tcPr>
            <w:tcW w:w="1340" w:type="dxa"/>
            <w:noWrap w:val="0"/>
            <w:vAlign w:val="center"/>
          </w:tcPr>
          <w:p w14:paraId="5E0583C3">
            <w:pPr>
              <w:pStyle w:val="45"/>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rPr>
            </w:pPr>
            <w:r>
              <w:rPr>
                <w:rFonts w:hint="default" w:ascii="Times New Roman" w:hAnsi="Times New Roman" w:eastAsia="宋体" w:cs="Times New Roman"/>
                <w:color w:val="auto"/>
                <w:spacing w:val="0"/>
                <w:position w:val="0"/>
                <w:sz w:val="21"/>
                <w:szCs w:val="21"/>
                <w:lang w:val="en-US"/>
              </w:rPr>
              <w:t>/</w:t>
            </w:r>
          </w:p>
        </w:tc>
        <w:tc>
          <w:tcPr>
            <w:tcW w:w="1885" w:type="dxa"/>
            <w:noWrap w:val="0"/>
            <w:vAlign w:val="center"/>
          </w:tcPr>
          <w:p w14:paraId="771D3F61">
            <w:pPr>
              <w:pStyle w:val="45"/>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rPr>
            </w:pPr>
            <w:r>
              <w:rPr>
                <w:rFonts w:hint="default" w:ascii="Times New Roman" w:hAnsi="Times New Roman" w:eastAsia="宋体" w:cs="Times New Roman"/>
                <w:color w:val="auto"/>
                <w:spacing w:val="0"/>
                <w:position w:val="0"/>
                <w:sz w:val="21"/>
                <w:szCs w:val="21"/>
                <w:lang w:val="en-US"/>
              </w:rPr>
              <w:t>/</w:t>
            </w:r>
          </w:p>
        </w:tc>
        <w:tc>
          <w:tcPr>
            <w:tcW w:w="1708" w:type="dxa"/>
            <w:noWrap w:val="0"/>
            <w:vAlign w:val="center"/>
          </w:tcPr>
          <w:p w14:paraId="3BB54AE2">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rPr>
            </w:pPr>
            <w:r>
              <w:rPr>
                <w:rFonts w:hint="eastAsia" w:ascii="Times New Roman" w:hAnsi="Times New Roman" w:cs="Times New Roman"/>
                <w:color w:val="auto"/>
                <w:spacing w:val="0"/>
                <w:position w:val="0"/>
                <w:sz w:val="21"/>
                <w:szCs w:val="21"/>
                <w:lang w:val="en-US" w:eastAsia="zh-CN"/>
              </w:rPr>
              <w:t>0.4</w:t>
            </w:r>
            <w:r>
              <w:rPr>
                <w:rFonts w:hint="default" w:ascii="Times New Roman" w:hAnsi="Times New Roman" w:eastAsia="宋体" w:cs="Times New Roman"/>
                <w:color w:val="auto"/>
                <w:spacing w:val="0"/>
                <w:position w:val="0"/>
                <w:sz w:val="21"/>
                <w:szCs w:val="21"/>
                <w:lang w:val="en-US" w:eastAsia="zh-CN"/>
              </w:rPr>
              <w:t>t/a</w:t>
            </w:r>
          </w:p>
        </w:tc>
        <w:tc>
          <w:tcPr>
            <w:tcW w:w="1964" w:type="dxa"/>
            <w:noWrap w:val="0"/>
            <w:vAlign w:val="center"/>
          </w:tcPr>
          <w:p w14:paraId="07337326">
            <w:pPr>
              <w:pStyle w:val="45"/>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rPr>
            </w:pPr>
            <w:r>
              <w:rPr>
                <w:rFonts w:hint="eastAsia" w:ascii="Times New Roman" w:hAnsi="Times New Roman" w:cs="Times New Roman"/>
                <w:color w:val="auto"/>
                <w:spacing w:val="0"/>
                <w:position w:val="0"/>
                <w:sz w:val="21"/>
                <w:szCs w:val="21"/>
                <w:lang w:val="en-US" w:eastAsia="zh-CN"/>
              </w:rPr>
              <w:t>/</w:t>
            </w:r>
          </w:p>
        </w:tc>
        <w:tc>
          <w:tcPr>
            <w:tcW w:w="1978" w:type="dxa"/>
            <w:noWrap w:val="0"/>
            <w:vAlign w:val="center"/>
          </w:tcPr>
          <w:p w14:paraId="0D6CE4B0">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eastAsia" w:ascii="Times New Roman" w:hAnsi="Times New Roman" w:cs="Times New Roman"/>
                <w:color w:val="auto"/>
                <w:spacing w:val="0"/>
                <w:position w:val="0"/>
                <w:sz w:val="21"/>
                <w:szCs w:val="21"/>
                <w:lang w:val="en-US" w:eastAsia="zh-CN"/>
              </w:rPr>
              <w:t>0.4</w:t>
            </w:r>
            <w:r>
              <w:rPr>
                <w:rFonts w:hint="default" w:ascii="Times New Roman" w:hAnsi="Times New Roman" w:eastAsia="宋体" w:cs="Times New Roman"/>
                <w:color w:val="auto"/>
                <w:spacing w:val="0"/>
                <w:position w:val="0"/>
                <w:sz w:val="21"/>
                <w:szCs w:val="21"/>
                <w:lang w:val="en-US" w:eastAsia="zh-CN"/>
              </w:rPr>
              <w:t>t/a</w:t>
            </w:r>
          </w:p>
        </w:tc>
        <w:tc>
          <w:tcPr>
            <w:tcW w:w="1450" w:type="dxa"/>
            <w:noWrap w:val="0"/>
            <w:vAlign w:val="center"/>
          </w:tcPr>
          <w:p w14:paraId="5D66266E">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eastAsia" w:ascii="Times New Roman" w:hAnsi="Times New Roman" w:cs="Times New Roman"/>
                <w:color w:val="auto"/>
                <w:spacing w:val="0"/>
                <w:position w:val="0"/>
                <w:sz w:val="21"/>
                <w:szCs w:val="21"/>
                <w:lang w:val="en-US" w:eastAsia="zh-CN"/>
              </w:rPr>
              <w:t>+0.4</w:t>
            </w:r>
            <w:r>
              <w:rPr>
                <w:rFonts w:hint="default" w:ascii="Times New Roman" w:hAnsi="Times New Roman" w:eastAsia="宋体" w:cs="Times New Roman"/>
                <w:color w:val="auto"/>
                <w:spacing w:val="0"/>
                <w:position w:val="0"/>
                <w:sz w:val="21"/>
                <w:szCs w:val="21"/>
                <w:lang w:val="en-US" w:eastAsia="zh-CN"/>
              </w:rPr>
              <w:t>t/a</w:t>
            </w:r>
          </w:p>
        </w:tc>
      </w:tr>
      <w:tr w14:paraId="2DE6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8" w:type="dxa"/>
            <w:vMerge w:val="continue"/>
            <w:noWrap w:val="0"/>
            <w:vAlign w:val="center"/>
          </w:tcPr>
          <w:p w14:paraId="71DC4A3A">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rPr>
            </w:pPr>
          </w:p>
        </w:tc>
        <w:tc>
          <w:tcPr>
            <w:tcW w:w="1500" w:type="dxa"/>
            <w:noWrap w:val="0"/>
            <w:vAlign w:val="center"/>
          </w:tcPr>
          <w:p w14:paraId="239E798D">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化粪池和污水处理站污泥</w:t>
            </w:r>
          </w:p>
        </w:tc>
        <w:tc>
          <w:tcPr>
            <w:tcW w:w="1744" w:type="dxa"/>
            <w:noWrap w:val="0"/>
            <w:vAlign w:val="center"/>
          </w:tcPr>
          <w:p w14:paraId="74E2D895">
            <w:pPr>
              <w:pStyle w:val="45"/>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cs="Times New Roman"/>
                <w:color w:val="auto"/>
                <w:spacing w:val="0"/>
                <w:position w:val="0"/>
                <w:sz w:val="21"/>
                <w:szCs w:val="21"/>
                <w:lang w:val="en-US" w:eastAsia="zh-CN"/>
              </w:rPr>
            </w:pPr>
            <w:r>
              <w:rPr>
                <w:rFonts w:hint="eastAsia" w:ascii="Times New Roman" w:hAnsi="Times New Roman" w:cs="Times New Roman"/>
                <w:color w:val="auto"/>
                <w:spacing w:val="0"/>
                <w:position w:val="0"/>
                <w:sz w:val="21"/>
                <w:szCs w:val="21"/>
                <w:lang w:val="en-US" w:eastAsia="zh-CN"/>
              </w:rPr>
              <w:t>7.3</w:t>
            </w:r>
            <w:r>
              <w:rPr>
                <w:rFonts w:hint="default" w:ascii="Times New Roman" w:hAnsi="Times New Roman" w:eastAsia="宋体" w:cs="Times New Roman"/>
                <w:color w:val="auto"/>
                <w:spacing w:val="0"/>
                <w:position w:val="0"/>
                <w:sz w:val="21"/>
                <w:szCs w:val="21"/>
                <w:lang w:val="en-US" w:eastAsia="zh-CN"/>
              </w:rPr>
              <w:t>t/a</w:t>
            </w:r>
          </w:p>
        </w:tc>
        <w:tc>
          <w:tcPr>
            <w:tcW w:w="1340" w:type="dxa"/>
            <w:noWrap w:val="0"/>
            <w:vAlign w:val="center"/>
          </w:tcPr>
          <w:p w14:paraId="3B5F5E78">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rPr>
              <w:t>/</w:t>
            </w:r>
          </w:p>
        </w:tc>
        <w:tc>
          <w:tcPr>
            <w:tcW w:w="1885" w:type="dxa"/>
            <w:noWrap w:val="0"/>
            <w:vAlign w:val="center"/>
          </w:tcPr>
          <w:p w14:paraId="02CD8C9C">
            <w:pPr>
              <w:pStyle w:val="45"/>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bidi="zh-CN"/>
              </w:rPr>
            </w:pPr>
            <w:r>
              <w:rPr>
                <w:rFonts w:hint="default" w:ascii="Times New Roman" w:hAnsi="Times New Roman" w:eastAsia="宋体" w:cs="Times New Roman"/>
                <w:color w:val="auto"/>
                <w:spacing w:val="0"/>
                <w:position w:val="0"/>
                <w:sz w:val="21"/>
                <w:szCs w:val="21"/>
                <w:lang w:val="en-US"/>
              </w:rPr>
              <w:t>/</w:t>
            </w:r>
          </w:p>
        </w:tc>
        <w:tc>
          <w:tcPr>
            <w:tcW w:w="1708" w:type="dxa"/>
            <w:noWrap w:val="0"/>
            <w:vAlign w:val="center"/>
          </w:tcPr>
          <w:p w14:paraId="06151439">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cs="Times New Roman"/>
                <w:color w:val="auto"/>
                <w:spacing w:val="0"/>
                <w:position w:val="0"/>
                <w:sz w:val="21"/>
                <w:szCs w:val="21"/>
                <w:lang w:val="en-US" w:eastAsia="zh-CN"/>
              </w:rPr>
              <w:t>3.47</w:t>
            </w:r>
            <w:r>
              <w:rPr>
                <w:rFonts w:hint="default" w:ascii="Times New Roman" w:hAnsi="Times New Roman" w:eastAsia="宋体" w:cs="Times New Roman"/>
                <w:color w:val="auto"/>
                <w:spacing w:val="0"/>
                <w:position w:val="0"/>
                <w:sz w:val="21"/>
                <w:szCs w:val="21"/>
                <w:lang w:val="en-US" w:eastAsia="zh-CN"/>
              </w:rPr>
              <w:t>t/a</w:t>
            </w:r>
          </w:p>
        </w:tc>
        <w:tc>
          <w:tcPr>
            <w:tcW w:w="1964" w:type="dxa"/>
            <w:noWrap w:val="0"/>
            <w:vAlign w:val="center"/>
          </w:tcPr>
          <w:p w14:paraId="6E171974">
            <w:pPr>
              <w:pStyle w:val="45"/>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eastAsia="宋体" w:cs="Times New Roman"/>
                <w:color w:val="auto"/>
                <w:spacing w:val="0"/>
                <w:position w:val="0"/>
                <w:sz w:val="21"/>
                <w:szCs w:val="21"/>
                <w:lang w:val="en-US" w:eastAsia="zh-CN"/>
              </w:rPr>
            </w:pPr>
            <w:r>
              <w:rPr>
                <w:rFonts w:hint="eastAsia" w:ascii="Times New Roman" w:hAnsi="Times New Roman" w:cs="Times New Roman"/>
                <w:color w:val="auto"/>
                <w:spacing w:val="0"/>
                <w:position w:val="0"/>
                <w:sz w:val="21"/>
                <w:szCs w:val="21"/>
                <w:lang w:val="en-US" w:eastAsia="zh-CN"/>
              </w:rPr>
              <w:t>7.3</w:t>
            </w:r>
            <w:r>
              <w:rPr>
                <w:rFonts w:hint="default" w:ascii="Times New Roman" w:hAnsi="Times New Roman" w:eastAsia="宋体" w:cs="Times New Roman"/>
                <w:color w:val="auto"/>
                <w:spacing w:val="0"/>
                <w:position w:val="0"/>
                <w:sz w:val="21"/>
                <w:szCs w:val="21"/>
                <w:lang w:val="en-US" w:eastAsia="zh-CN"/>
              </w:rPr>
              <w:t>t/a</w:t>
            </w:r>
          </w:p>
        </w:tc>
        <w:tc>
          <w:tcPr>
            <w:tcW w:w="1978" w:type="dxa"/>
            <w:noWrap w:val="0"/>
            <w:vAlign w:val="center"/>
          </w:tcPr>
          <w:p w14:paraId="2F4319FE">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Times New Roman" w:hAnsi="Times New Roman" w:eastAsia="宋体" w:cs="Times New Roman"/>
                <w:color w:val="auto"/>
                <w:spacing w:val="0"/>
                <w:position w:val="0"/>
                <w:sz w:val="21"/>
                <w:szCs w:val="21"/>
                <w:lang w:val="en-US" w:eastAsia="zh-CN"/>
              </w:rPr>
            </w:pPr>
            <w:r>
              <w:rPr>
                <w:rFonts w:hint="eastAsia" w:ascii="Times New Roman" w:hAnsi="Times New Roman" w:cs="Times New Roman"/>
                <w:color w:val="auto"/>
                <w:spacing w:val="0"/>
                <w:position w:val="0"/>
                <w:sz w:val="21"/>
                <w:szCs w:val="21"/>
                <w:lang w:val="en-US" w:eastAsia="zh-CN"/>
              </w:rPr>
              <w:t>3.47</w:t>
            </w:r>
            <w:r>
              <w:rPr>
                <w:rFonts w:hint="default" w:ascii="Times New Roman" w:hAnsi="Times New Roman" w:eastAsia="宋体" w:cs="Times New Roman"/>
                <w:color w:val="auto"/>
                <w:spacing w:val="0"/>
                <w:position w:val="0"/>
                <w:sz w:val="21"/>
                <w:szCs w:val="21"/>
                <w:lang w:val="en-US" w:eastAsia="zh-CN"/>
              </w:rPr>
              <w:t>t/a</w:t>
            </w:r>
          </w:p>
        </w:tc>
        <w:tc>
          <w:tcPr>
            <w:tcW w:w="1450" w:type="dxa"/>
            <w:noWrap w:val="0"/>
            <w:vAlign w:val="center"/>
          </w:tcPr>
          <w:p w14:paraId="1EAF7BAB">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eastAsia" w:ascii="Times New Roman" w:hAnsi="Times New Roman" w:cs="Times New Roman"/>
                <w:color w:val="auto"/>
                <w:spacing w:val="0"/>
                <w:position w:val="0"/>
                <w:sz w:val="21"/>
                <w:szCs w:val="21"/>
                <w:lang w:val="en-US" w:eastAsia="zh-CN"/>
              </w:rPr>
              <w:t>-3.83</w:t>
            </w:r>
            <w:r>
              <w:rPr>
                <w:rFonts w:hint="default" w:ascii="Times New Roman" w:hAnsi="Times New Roman" w:eastAsia="宋体" w:cs="Times New Roman"/>
                <w:color w:val="auto"/>
                <w:spacing w:val="0"/>
                <w:position w:val="0"/>
                <w:sz w:val="21"/>
                <w:szCs w:val="21"/>
                <w:lang w:val="en-US" w:eastAsia="zh-CN"/>
              </w:rPr>
              <w:t>t/a</w:t>
            </w:r>
          </w:p>
        </w:tc>
      </w:tr>
    </w:tbl>
    <w:p w14:paraId="0FED3F75">
      <w:pPr>
        <w:pStyle w:val="10"/>
        <w:spacing w:before="66"/>
        <w:ind w:left="140"/>
        <w:rPr>
          <w:rFonts w:hint="eastAsia" w:ascii="仿宋" w:hAnsi="仿宋" w:eastAsia="仿宋"/>
          <w:color w:val="auto"/>
          <w:sz w:val="21"/>
          <w:szCs w:val="21"/>
          <w:lang w:val="en-US"/>
        </w:rPr>
      </w:pPr>
      <w:r>
        <w:rPr>
          <w:rFonts w:hint="eastAsia" w:ascii="仿宋" w:hAnsi="仿宋" w:eastAsia="仿宋"/>
          <w:color w:val="auto"/>
          <w:sz w:val="21"/>
          <w:szCs w:val="21"/>
        </w:rPr>
        <w:t>注</w:t>
      </w:r>
      <w:r>
        <w:rPr>
          <w:rFonts w:hint="eastAsia" w:ascii="仿宋" w:hAnsi="仿宋" w:eastAsia="仿宋"/>
          <w:color w:val="auto"/>
          <w:sz w:val="21"/>
          <w:szCs w:val="21"/>
          <w:lang w:val="en-US"/>
        </w:rPr>
        <w:t>：⑥</w:t>
      </w:r>
      <w:r>
        <w:rPr>
          <w:color w:val="auto"/>
          <w:sz w:val="21"/>
          <w:szCs w:val="21"/>
          <w:lang w:val="en-US"/>
        </w:rPr>
        <w:t>=</w:t>
      </w:r>
      <w:r>
        <w:rPr>
          <w:rFonts w:hint="eastAsia" w:ascii="仿宋" w:hAnsi="仿宋" w:eastAsia="仿宋"/>
          <w:color w:val="auto"/>
          <w:sz w:val="21"/>
          <w:szCs w:val="21"/>
          <w:lang w:val="en-US"/>
        </w:rPr>
        <w:t>①</w:t>
      </w:r>
      <w:r>
        <w:rPr>
          <w:color w:val="auto"/>
          <w:sz w:val="21"/>
          <w:szCs w:val="21"/>
          <w:lang w:val="en-US"/>
        </w:rPr>
        <w:t>+</w:t>
      </w:r>
      <w:r>
        <w:rPr>
          <w:rFonts w:hint="eastAsia" w:ascii="仿宋" w:hAnsi="仿宋" w:eastAsia="仿宋"/>
          <w:color w:val="auto"/>
          <w:sz w:val="21"/>
          <w:szCs w:val="21"/>
          <w:lang w:val="en-US"/>
        </w:rPr>
        <w:t>③</w:t>
      </w:r>
      <w:r>
        <w:rPr>
          <w:color w:val="auto"/>
          <w:sz w:val="21"/>
          <w:szCs w:val="21"/>
          <w:lang w:val="en-US"/>
        </w:rPr>
        <w:t>+</w:t>
      </w:r>
      <w:r>
        <w:rPr>
          <w:rFonts w:hint="eastAsia" w:ascii="仿宋" w:hAnsi="仿宋" w:eastAsia="仿宋"/>
          <w:color w:val="auto"/>
          <w:sz w:val="21"/>
          <w:szCs w:val="21"/>
          <w:lang w:val="en-US"/>
        </w:rPr>
        <w:t>④</w:t>
      </w:r>
      <w:r>
        <w:rPr>
          <w:color w:val="auto"/>
          <w:sz w:val="21"/>
          <w:szCs w:val="21"/>
          <w:lang w:val="en-US"/>
        </w:rPr>
        <w:t>-</w:t>
      </w:r>
      <w:r>
        <w:rPr>
          <w:rFonts w:hint="eastAsia" w:ascii="仿宋" w:hAnsi="仿宋" w:eastAsia="仿宋"/>
          <w:color w:val="auto"/>
          <w:sz w:val="21"/>
          <w:szCs w:val="21"/>
          <w:lang w:val="en-US"/>
        </w:rPr>
        <w:t>⑤；⑦</w:t>
      </w:r>
      <w:r>
        <w:rPr>
          <w:color w:val="auto"/>
          <w:sz w:val="21"/>
          <w:szCs w:val="21"/>
          <w:lang w:val="en-US"/>
        </w:rPr>
        <w:t>=</w:t>
      </w:r>
      <w:r>
        <w:rPr>
          <w:rFonts w:hint="eastAsia" w:ascii="仿宋" w:hAnsi="仿宋" w:eastAsia="仿宋"/>
          <w:color w:val="auto"/>
          <w:sz w:val="21"/>
          <w:szCs w:val="21"/>
          <w:lang w:val="en-US"/>
        </w:rPr>
        <w:t>⑥</w:t>
      </w:r>
      <w:r>
        <w:rPr>
          <w:color w:val="auto"/>
          <w:sz w:val="21"/>
          <w:szCs w:val="21"/>
          <w:lang w:val="en-US"/>
        </w:rPr>
        <w:t>-</w:t>
      </w:r>
      <w:r>
        <w:rPr>
          <w:rFonts w:hint="eastAsia" w:ascii="仿宋" w:hAnsi="仿宋" w:eastAsia="仿宋"/>
          <w:color w:val="auto"/>
          <w:sz w:val="21"/>
          <w:szCs w:val="21"/>
          <w:lang w:val="en-US"/>
        </w:rPr>
        <w:t>①</w:t>
      </w:r>
    </w:p>
    <w:p w14:paraId="2C5B988D">
      <w:pPr>
        <w:pStyle w:val="10"/>
        <w:spacing w:before="66"/>
        <w:ind w:left="140"/>
        <w:rPr>
          <w:rFonts w:hint="eastAsia" w:ascii="仿宋" w:hAnsi="仿宋" w:eastAsia="仿宋"/>
          <w:color w:val="auto"/>
          <w:sz w:val="21"/>
          <w:szCs w:val="21"/>
          <w:lang w:val="en-US"/>
        </w:rPr>
      </w:pPr>
    </w:p>
    <w:p w14:paraId="28A0D7C8">
      <w:pPr>
        <w:pStyle w:val="10"/>
        <w:spacing w:before="66"/>
        <w:ind w:left="140"/>
        <w:rPr>
          <w:rFonts w:hint="eastAsia" w:ascii="仿宋" w:hAnsi="仿宋" w:eastAsia="仿宋"/>
          <w:color w:val="auto"/>
          <w:sz w:val="21"/>
          <w:szCs w:val="21"/>
          <w:lang w:val="en-US"/>
        </w:rPr>
        <w:sectPr>
          <w:footerReference r:id="rId13" w:type="default"/>
          <w:footerReference r:id="rId14" w:type="even"/>
          <w:pgSz w:w="16840" w:h="11910" w:orient="landscape"/>
          <w:pgMar w:top="901" w:right="1440" w:bottom="879" w:left="1219" w:header="720" w:footer="1043" w:gutter="0"/>
          <w:pgBorders>
            <w:top w:val="none" w:sz="0" w:space="0"/>
            <w:left w:val="none" w:sz="0" w:space="0"/>
            <w:bottom w:val="none" w:sz="0" w:space="0"/>
            <w:right w:val="none" w:sz="0" w:space="0"/>
          </w:pgBorders>
          <w:pgNumType w:fmt="decimal"/>
          <w:cols w:space="720" w:num="1"/>
        </w:sectPr>
      </w:pPr>
    </w:p>
    <w:p w14:paraId="52F0FA6C">
      <w:pPr>
        <w:pStyle w:val="10"/>
        <w:spacing w:before="66"/>
        <w:ind w:left="140"/>
        <w:rPr>
          <w:rFonts w:hint="eastAsia" w:ascii="仿宋" w:hAnsi="仿宋" w:eastAsia="仿宋"/>
          <w:color w:val="auto"/>
          <w:sz w:val="21"/>
          <w:szCs w:val="21"/>
          <w:lang w:val="en-US"/>
        </w:rPr>
        <w:sectPr>
          <w:pgSz w:w="11910" w:h="16840"/>
          <w:pgMar w:top="1440" w:right="879" w:bottom="1219" w:left="901" w:header="720" w:footer="1043" w:gutter="0"/>
          <w:pgBorders>
            <w:top w:val="none" w:sz="0" w:space="0"/>
            <w:left w:val="none" w:sz="0" w:space="0"/>
            <w:bottom w:val="none" w:sz="0" w:space="0"/>
            <w:right w:val="none" w:sz="0" w:space="0"/>
          </w:pgBorders>
          <w:pgNumType w:fmt="decimal"/>
          <w:cols w:space="720" w:num="1"/>
        </w:sectPr>
      </w:pPr>
      <w:r>
        <w:rPr>
          <w:color w:val="auto"/>
          <w:sz w:val="28"/>
        </w:rPr>
        <mc:AlternateContent>
          <mc:Choice Requires="wps">
            <w:drawing>
              <wp:anchor distT="0" distB="0" distL="114300" distR="114300" simplePos="0" relativeHeight="251668480" behindDoc="0" locked="0" layoutInCell="1" allowOverlap="1">
                <wp:simplePos x="0" y="0"/>
                <wp:positionH relativeFrom="column">
                  <wp:posOffset>3982720</wp:posOffset>
                </wp:positionH>
                <wp:positionV relativeFrom="paragraph">
                  <wp:posOffset>5126990</wp:posOffset>
                </wp:positionV>
                <wp:extent cx="1413510" cy="423545"/>
                <wp:effectExtent l="0" t="0" r="0" b="0"/>
                <wp:wrapNone/>
                <wp:docPr id="16" name="文本框 14"/>
                <wp:cNvGraphicFramePr/>
                <a:graphic xmlns:a="http://schemas.openxmlformats.org/drawingml/2006/main">
                  <a:graphicData uri="http://schemas.microsoft.com/office/word/2010/wordprocessingShape">
                    <wps:wsp>
                      <wps:cNvSpPr txBox="1"/>
                      <wps:spPr>
                        <a:xfrm>
                          <a:off x="1402715" y="3267075"/>
                          <a:ext cx="1413510" cy="423545"/>
                        </a:xfrm>
                        <a:prstGeom prst="rect">
                          <a:avLst/>
                        </a:prstGeom>
                        <a:noFill/>
                        <a:ln w="6350">
                          <a:noFill/>
                        </a:ln>
                        <a:effectLst/>
                      </wps:spPr>
                      <wps:txbx>
                        <w:txbxContent>
                          <w:p w14:paraId="4861E5A8">
                            <w:r>
                              <w:rPr>
                                <w:b/>
                                <w:sz w:val="28"/>
                                <w:szCs w:val="28"/>
                              </w:rPr>
                              <w:t>项目</w:t>
                            </w:r>
                            <w:r>
                              <w:rPr>
                                <w:rFonts w:hint="eastAsia"/>
                                <w:b/>
                                <w:sz w:val="28"/>
                                <w:szCs w:val="28"/>
                                <w:lang w:eastAsia="zh-CN"/>
                              </w:rPr>
                              <w:t>北</w:t>
                            </w:r>
                            <w:r>
                              <w:rPr>
                                <w:b/>
                                <w:sz w:val="28"/>
                                <w:szCs w:val="28"/>
                              </w:rPr>
                              <w:t>侧现状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4" o:spid="_x0000_s1026" o:spt="202" type="#_x0000_t202" style="position:absolute;left:0pt;margin-left:313.6pt;margin-top:403.7pt;height:33.35pt;width:111.3pt;z-index:251668480;mso-width-relative:page;mso-height-relative:page;" filled="f" stroked="f" coordsize="21600,21600" o:gfxdata="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a52BcNwAAAALAQAA&#10;DwAAAAAAAAABACAAAAAiAAAAZHJzL2Rvd25yZXYueG1sUEsBAhQAFAAAAAgAh07iQENkPjJOAgAA&#10;ggQAAA4AAAAAAAAAAQAgAAAAKwEAAGRycy9lMm9Eb2MueG1sUEsFBgAAAAAGAAYAWQEAAOsFAAAA&#10;AA==&#10;">
                <v:fill on="f" focussize="0,0"/>
                <v:stroke on="f" weight="0.5pt"/>
                <v:imagedata o:title=""/>
                <o:lock v:ext="edit" aspectratio="f"/>
                <v:textbox>
                  <w:txbxContent>
                    <w:p w14:paraId="4861E5A8">
                      <w:r>
                        <w:rPr>
                          <w:b/>
                          <w:sz w:val="28"/>
                          <w:szCs w:val="28"/>
                        </w:rPr>
                        <w:t>项目</w:t>
                      </w:r>
                      <w:r>
                        <w:rPr>
                          <w:rFonts w:hint="eastAsia"/>
                          <w:b/>
                          <w:sz w:val="28"/>
                          <w:szCs w:val="28"/>
                          <w:lang w:eastAsia="zh-CN"/>
                        </w:rPr>
                        <w:t>北</w:t>
                      </w:r>
                      <w:r>
                        <w:rPr>
                          <w:b/>
                          <w:sz w:val="28"/>
                          <w:szCs w:val="28"/>
                        </w:rPr>
                        <w:t>侧现状</w:t>
                      </w:r>
                    </w:p>
                  </w:txbxContent>
                </v:textbox>
              </v:shape>
            </w:pict>
          </mc:Fallback>
        </mc:AlternateContent>
      </w:r>
      <w:r>
        <w:rPr>
          <w:color w:val="auto"/>
          <w:sz w:val="28"/>
        </w:rPr>
        <mc:AlternateContent>
          <mc:Choice Requires="wps">
            <w:drawing>
              <wp:anchor distT="0" distB="0" distL="114300" distR="114300" simplePos="0" relativeHeight="251670528" behindDoc="0" locked="0" layoutInCell="1" allowOverlap="1">
                <wp:simplePos x="0" y="0"/>
                <wp:positionH relativeFrom="column">
                  <wp:posOffset>4062730</wp:posOffset>
                </wp:positionH>
                <wp:positionV relativeFrom="paragraph">
                  <wp:posOffset>2335530</wp:posOffset>
                </wp:positionV>
                <wp:extent cx="1413510" cy="423545"/>
                <wp:effectExtent l="0" t="0" r="0" b="0"/>
                <wp:wrapNone/>
                <wp:docPr id="18" name="文本框 14"/>
                <wp:cNvGraphicFramePr/>
                <a:graphic xmlns:a="http://schemas.openxmlformats.org/drawingml/2006/main">
                  <a:graphicData uri="http://schemas.microsoft.com/office/word/2010/wordprocessingShape">
                    <wps:wsp>
                      <wps:cNvSpPr txBox="1"/>
                      <wps:spPr>
                        <a:xfrm>
                          <a:off x="1402715" y="3267075"/>
                          <a:ext cx="1413510" cy="423545"/>
                        </a:xfrm>
                        <a:prstGeom prst="rect">
                          <a:avLst/>
                        </a:prstGeom>
                        <a:noFill/>
                        <a:ln w="6350">
                          <a:noFill/>
                        </a:ln>
                        <a:effectLst/>
                      </wps:spPr>
                      <wps:txbx>
                        <w:txbxContent>
                          <w:p w14:paraId="44E33A57">
                            <w:r>
                              <w:rPr>
                                <w:b/>
                                <w:sz w:val="28"/>
                                <w:szCs w:val="28"/>
                              </w:rPr>
                              <w:t>项目</w:t>
                            </w:r>
                            <w:r>
                              <w:rPr>
                                <w:rFonts w:hint="eastAsia"/>
                                <w:b/>
                                <w:sz w:val="28"/>
                                <w:szCs w:val="28"/>
                                <w:lang w:eastAsia="zh-CN"/>
                              </w:rPr>
                              <w:t>西</w:t>
                            </w:r>
                            <w:r>
                              <w:rPr>
                                <w:b/>
                                <w:sz w:val="28"/>
                                <w:szCs w:val="28"/>
                              </w:rPr>
                              <w:t>侧现状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4" o:spid="_x0000_s1026" o:spt="202" type="#_x0000_t202" style="position:absolute;left:0pt;margin-left:319.9pt;margin-top:183.9pt;height:33.35pt;width:111.3pt;z-index:251670528;mso-width-relative:page;mso-height-relative:page;" filled="f" stroked="f" coordsize="21600,21600" o:gfxdata="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CTBI1PdAAAACwEA&#10;AA8AAAAAAAAAAQAgAAAAIgAAAGRycy9kb3ducmV2LnhtbFBLAQIUABQAAAAIAIdO4kBH2MP+TgIA&#10;AIIEAAAOAAAAAAAAAAEAIAAAACwBAABkcnMvZTJvRG9jLnhtbFBLBQYAAAAABgAGAFkBAADsBQAA&#10;AAA=&#10;">
                <v:fill on="f" focussize="0,0"/>
                <v:stroke on="f" weight="0.5pt"/>
                <v:imagedata o:title=""/>
                <o:lock v:ext="edit" aspectratio="f"/>
                <v:textbox>
                  <w:txbxContent>
                    <w:p w14:paraId="44E33A57">
                      <w:r>
                        <w:rPr>
                          <w:b/>
                          <w:sz w:val="28"/>
                          <w:szCs w:val="28"/>
                        </w:rPr>
                        <w:t>项目</w:t>
                      </w:r>
                      <w:r>
                        <w:rPr>
                          <w:rFonts w:hint="eastAsia"/>
                          <w:b/>
                          <w:sz w:val="28"/>
                          <w:szCs w:val="28"/>
                          <w:lang w:eastAsia="zh-CN"/>
                        </w:rPr>
                        <w:t>西</w:t>
                      </w:r>
                      <w:r>
                        <w:rPr>
                          <w:b/>
                          <w:sz w:val="28"/>
                          <w:szCs w:val="28"/>
                        </w:rPr>
                        <w:t>侧现状</w:t>
                      </w:r>
                    </w:p>
                  </w:txbxContent>
                </v:textbox>
              </v:shape>
            </w:pict>
          </mc:Fallback>
        </mc:AlternateContent>
      </w:r>
      <w:r>
        <w:rPr>
          <w:color w:val="auto"/>
          <w:sz w:val="28"/>
        </w:rPr>
        <mc:AlternateContent>
          <mc:Choice Requires="wps">
            <w:drawing>
              <wp:anchor distT="0" distB="0" distL="114300" distR="114300" simplePos="0" relativeHeight="251664384" behindDoc="0" locked="0" layoutInCell="1" allowOverlap="1">
                <wp:simplePos x="0" y="0"/>
                <wp:positionH relativeFrom="column">
                  <wp:posOffset>1031875</wp:posOffset>
                </wp:positionH>
                <wp:positionV relativeFrom="paragraph">
                  <wp:posOffset>2319020</wp:posOffset>
                </wp:positionV>
                <wp:extent cx="1413510" cy="423545"/>
                <wp:effectExtent l="0" t="0" r="0" b="0"/>
                <wp:wrapNone/>
                <wp:docPr id="14" name="文本框 14"/>
                <wp:cNvGraphicFramePr/>
                <a:graphic xmlns:a="http://schemas.openxmlformats.org/drawingml/2006/main">
                  <a:graphicData uri="http://schemas.microsoft.com/office/word/2010/wordprocessingShape">
                    <wps:wsp>
                      <wps:cNvSpPr txBox="1"/>
                      <wps:spPr>
                        <a:xfrm>
                          <a:off x="1402715" y="3267075"/>
                          <a:ext cx="1413510" cy="423545"/>
                        </a:xfrm>
                        <a:prstGeom prst="rect">
                          <a:avLst/>
                        </a:prstGeom>
                        <a:noFill/>
                        <a:ln w="6350">
                          <a:noFill/>
                        </a:ln>
                        <a:effectLst/>
                      </wps:spPr>
                      <wps:txbx>
                        <w:txbxContent>
                          <w:p w14:paraId="2589D80B">
                            <w:r>
                              <w:rPr>
                                <w:b/>
                                <w:sz w:val="28"/>
                                <w:szCs w:val="28"/>
                              </w:rPr>
                              <w:t>项目东侧现状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1.25pt;margin-top:182.6pt;height:33.35pt;width:111.3pt;z-index:251664384;mso-width-relative:page;mso-height-relative:page;" filled="f" stroked="f" coordsize="21600,21600" o:gfxdata="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EKWd+twAAAALAQAA&#10;DwAAAAAAAAABACAAAAAiAAAAZHJzL2Rvd25yZXYueG1sUEsBAhQAFAAAAAgAh07iQAI1R9JOAgAA&#10;ggQAAA4AAAAAAAAAAQAgAAAAKwEAAGRycy9lMm9Eb2MueG1sUEsFBgAAAAAGAAYAWQEAAOsFAAAA&#10;AA==&#10;">
                <v:fill on="f" focussize="0,0"/>
                <v:stroke on="f" weight="0.5pt"/>
                <v:imagedata o:title=""/>
                <o:lock v:ext="edit" aspectratio="f"/>
                <v:textbox>
                  <w:txbxContent>
                    <w:p w14:paraId="2589D80B">
                      <w:r>
                        <w:rPr>
                          <w:b/>
                          <w:sz w:val="28"/>
                          <w:szCs w:val="28"/>
                        </w:rPr>
                        <w:t>项目东侧现状</w:t>
                      </w:r>
                    </w:p>
                  </w:txbxContent>
                </v:textbox>
              </v:shape>
            </w:pict>
          </mc:Fallback>
        </mc:AlternateContent>
      </w:r>
      <w:r>
        <w:rPr>
          <w:color w:val="auto"/>
          <w:sz w:val="28"/>
        </w:rPr>
        <mc:AlternateContent>
          <mc:Choice Requires="wps">
            <w:drawing>
              <wp:anchor distT="0" distB="0" distL="114300" distR="114300" simplePos="0" relativeHeight="251669504" behindDoc="0" locked="0" layoutInCell="1" allowOverlap="1">
                <wp:simplePos x="0" y="0"/>
                <wp:positionH relativeFrom="column">
                  <wp:posOffset>964565</wp:posOffset>
                </wp:positionH>
                <wp:positionV relativeFrom="paragraph">
                  <wp:posOffset>5172075</wp:posOffset>
                </wp:positionV>
                <wp:extent cx="1413510" cy="423545"/>
                <wp:effectExtent l="0" t="0" r="0" b="0"/>
                <wp:wrapNone/>
                <wp:docPr id="17" name="文本框 14"/>
                <wp:cNvGraphicFramePr/>
                <a:graphic xmlns:a="http://schemas.openxmlformats.org/drawingml/2006/main">
                  <a:graphicData uri="http://schemas.microsoft.com/office/word/2010/wordprocessingShape">
                    <wps:wsp>
                      <wps:cNvSpPr txBox="1"/>
                      <wps:spPr>
                        <a:xfrm>
                          <a:off x="1402715" y="3267075"/>
                          <a:ext cx="1413510" cy="423545"/>
                        </a:xfrm>
                        <a:prstGeom prst="rect">
                          <a:avLst/>
                        </a:prstGeom>
                        <a:noFill/>
                        <a:ln w="6350">
                          <a:noFill/>
                        </a:ln>
                        <a:effectLst/>
                      </wps:spPr>
                      <wps:txbx>
                        <w:txbxContent>
                          <w:p w14:paraId="1DCC15A2">
                            <w:r>
                              <w:rPr>
                                <w:b/>
                                <w:sz w:val="28"/>
                                <w:szCs w:val="28"/>
                              </w:rPr>
                              <w:t>项目</w:t>
                            </w:r>
                            <w:r>
                              <w:rPr>
                                <w:rFonts w:hint="eastAsia"/>
                                <w:b/>
                                <w:sz w:val="28"/>
                                <w:szCs w:val="28"/>
                                <w:lang w:eastAsia="zh-CN"/>
                              </w:rPr>
                              <w:t>南</w:t>
                            </w:r>
                            <w:r>
                              <w:rPr>
                                <w:b/>
                                <w:sz w:val="28"/>
                                <w:szCs w:val="28"/>
                              </w:rPr>
                              <w:t>侧现状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4" o:spid="_x0000_s1026" o:spt="202" type="#_x0000_t202" style="position:absolute;left:0pt;margin-left:75.95pt;margin-top:407.25pt;height:33.35pt;width:111.3pt;z-index:251669504;mso-width-relative:page;mso-height-relative:page;" filled="f" stroked="f" coordsize="21600,21600" o:gfxdata="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Im/tJ2wAAAAsBAAAP&#10;AAAAAAAAAAEAIAAAACIAAABkcnMvZG93bnJldi54bWxQSwECFAAUAAAACACHTuJAw0+6r04CAACC&#10;BAAADgAAAAAAAAABACAAAAAqAQAAZHJzL2Uyb0RvYy54bWxQSwUGAAAAAAYABgBZAQAA6gUAAAAA&#10;">
                <v:fill on="f" focussize="0,0"/>
                <v:stroke on="f" weight="0.5pt"/>
                <v:imagedata o:title=""/>
                <o:lock v:ext="edit" aspectratio="f"/>
                <v:textbox>
                  <w:txbxContent>
                    <w:p w14:paraId="1DCC15A2">
                      <w:r>
                        <w:rPr>
                          <w:b/>
                          <w:sz w:val="28"/>
                          <w:szCs w:val="28"/>
                        </w:rPr>
                        <w:t>项目</w:t>
                      </w:r>
                      <w:r>
                        <w:rPr>
                          <w:rFonts w:hint="eastAsia"/>
                          <w:b/>
                          <w:sz w:val="28"/>
                          <w:szCs w:val="28"/>
                          <w:lang w:eastAsia="zh-CN"/>
                        </w:rPr>
                        <w:t>南</w:t>
                      </w:r>
                      <w:r>
                        <w:rPr>
                          <w:b/>
                          <w:sz w:val="28"/>
                          <w:szCs w:val="28"/>
                        </w:rPr>
                        <w:t>侧现状</w:t>
                      </w:r>
                    </w:p>
                  </w:txbxContent>
                </v:textbox>
              </v:shape>
            </w:pict>
          </mc:Fallback>
        </mc:AlternateContent>
      </w:r>
      <w:r>
        <w:rPr>
          <w:rFonts w:hint="eastAsia"/>
          <w:b/>
          <w:color w:val="auto"/>
          <w:sz w:val="28"/>
          <w:szCs w:val="28"/>
        </w:rPr>
        <w:drawing>
          <wp:anchor distT="0" distB="0" distL="114300" distR="114300" simplePos="0" relativeHeight="251667456" behindDoc="0" locked="0" layoutInCell="1" allowOverlap="1">
            <wp:simplePos x="0" y="0"/>
            <wp:positionH relativeFrom="column">
              <wp:posOffset>3446780</wp:posOffset>
            </wp:positionH>
            <wp:positionV relativeFrom="paragraph">
              <wp:posOffset>3001645</wp:posOffset>
            </wp:positionV>
            <wp:extent cx="2599055" cy="1948815"/>
            <wp:effectExtent l="9525" t="9525" r="20320" b="22860"/>
            <wp:wrapNone/>
            <wp:docPr id="12" name="图片 44" descr="C:/Users/Administrator/Desktop/环评资料/王彩艳/5、广厦医院/现场/北.jpg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4" descr="C:/Users/Administrator/Desktop/环评资料/王彩艳/5、广厦医院/现场/北.jpg北"/>
                    <pic:cNvPicPr>
                      <a:picLocks noChangeAspect="1"/>
                    </pic:cNvPicPr>
                  </pic:nvPicPr>
                  <pic:blipFill>
                    <a:blip r:embed="rId28"/>
                    <a:srcRect l="17" r="17"/>
                    <a:stretch>
                      <a:fillRect/>
                    </a:stretch>
                  </pic:blipFill>
                  <pic:spPr>
                    <a:xfrm>
                      <a:off x="0" y="0"/>
                      <a:ext cx="2599055" cy="1948815"/>
                    </a:xfrm>
                    <a:prstGeom prst="rect">
                      <a:avLst/>
                    </a:prstGeom>
                    <a:noFill/>
                    <a:ln w="9525" cap="flat" cmpd="sng">
                      <a:solidFill>
                        <a:srgbClr val="000000"/>
                      </a:solidFill>
                      <a:prstDash val="solid"/>
                      <a:miter/>
                      <a:headEnd type="none" w="med" len="med"/>
                      <a:tailEnd type="none" w="med" len="med"/>
                    </a:ln>
                  </pic:spPr>
                </pic:pic>
              </a:graphicData>
            </a:graphic>
          </wp:anchor>
        </w:drawing>
      </w:r>
      <w:r>
        <w:rPr>
          <w:rFonts w:hint="eastAsia"/>
          <w:b/>
          <w:color w:val="auto"/>
          <w:sz w:val="28"/>
          <w:szCs w:val="28"/>
        </w:rPr>
        <w:drawing>
          <wp:anchor distT="0" distB="0" distL="114300" distR="114300" simplePos="0" relativeHeight="251666432" behindDoc="0" locked="0" layoutInCell="1" allowOverlap="1">
            <wp:simplePos x="0" y="0"/>
            <wp:positionH relativeFrom="column">
              <wp:posOffset>381635</wp:posOffset>
            </wp:positionH>
            <wp:positionV relativeFrom="paragraph">
              <wp:posOffset>3018155</wp:posOffset>
            </wp:positionV>
            <wp:extent cx="2599055" cy="1948815"/>
            <wp:effectExtent l="9525" t="9525" r="20320" b="22860"/>
            <wp:wrapNone/>
            <wp:docPr id="11" name="图片 44" descr="C:/Users/Administrator/Desktop/环评资料/王彩艳/5、广厦医院/现场/南.jpg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4" descr="C:/Users/Administrator/Desktop/环评资料/王彩艳/5、广厦医院/现场/南.jpg南"/>
                    <pic:cNvPicPr>
                      <a:picLocks noChangeAspect="1"/>
                    </pic:cNvPicPr>
                  </pic:nvPicPr>
                  <pic:blipFill>
                    <a:blip r:embed="rId29"/>
                    <a:srcRect l="17" r="17"/>
                    <a:stretch>
                      <a:fillRect/>
                    </a:stretch>
                  </pic:blipFill>
                  <pic:spPr>
                    <a:xfrm>
                      <a:off x="0" y="0"/>
                      <a:ext cx="2599055" cy="1948815"/>
                    </a:xfrm>
                    <a:prstGeom prst="rect">
                      <a:avLst/>
                    </a:prstGeom>
                    <a:noFill/>
                    <a:ln w="9525" cap="flat" cmpd="sng">
                      <a:solidFill>
                        <a:srgbClr val="000000"/>
                      </a:solidFill>
                      <a:prstDash val="solid"/>
                      <a:miter/>
                      <a:headEnd type="none" w="med" len="med"/>
                      <a:tailEnd type="none" w="med" len="med"/>
                    </a:ln>
                  </pic:spPr>
                </pic:pic>
              </a:graphicData>
            </a:graphic>
          </wp:anchor>
        </w:drawing>
      </w:r>
      <w:r>
        <w:rPr>
          <w:rFonts w:hint="eastAsia"/>
          <w:b/>
          <w:color w:val="auto"/>
          <w:sz w:val="28"/>
          <w:szCs w:val="28"/>
        </w:rPr>
        <w:drawing>
          <wp:anchor distT="0" distB="0" distL="114300" distR="114300" simplePos="0" relativeHeight="251663360" behindDoc="0" locked="0" layoutInCell="1" allowOverlap="1">
            <wp:simplePos x="0" y="0"/>
            <wp:positionH relativeFrom="column">
              <wp:posOffset>390525</wp:posOffset>
            </wp:positionH>
            <wp:positionV relativeFrom="paragraph">
              <wp:posOffset>173355</wp:posOffset>
            </wp:positionV>
            <wp:extent cx="2599055" cy="1948815"/>
            <wp:effectExtent l="9525" t="9525" r="20320" b="22860"/>
            <wp:wrapNone/>
            <wp:docPr id="3" name="图片 44" descr="C:/Users/Administrator/Desktop/环评资料/王彩艳/5、广厦医院/现场/冬.jpg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4" descr="C:/Users/Administrator/Desktop/环评资料/王彩艳/5、广厦医院/现场/冬.jpg冬"/>
                    <pic:cNvPicPr>
                      <a:picLocks noChangeAspect="1"/>
                    </pic:cNvPicPr>
                  </pic:nvPicPr>
                  <pic:blipFill>
                    <a:blip r:embed="rId30"/>
                    <a:srcRect l="17" r="17"/>
                    <a:stretch>
                      <a:fillRect/>
                    </a:stretch>
                  </pic:blipFill>
                  <pic:spPr>
                    <a:xfrm>
                      <a:off x="0" y="0"/>
                      <a:ext cx="2599055" cy="1948815"/>
                    </a:xfrm>
                    <a:prstGeom prst="rect">
                      <a:avLst/>
                    </a:prstGeom>
                    <a:noFill/>
                    <a:ln w="9525" cap="flat" cmpd="sng">
                      <a:solidFill>
                        <a:srgbClr val="000000"/>
                      </a:solidFill>
                      <a:prstDash val="solid"/>
                      <a:miter/>
                      <a:headEnd type="none" w="med" len="med"/>
                      <a:tailEnd type="none" w="med" len="med"/>
                    </a:ln>
                  </pic:spPr>
                </pic:pic>
              </a:graphicData>
            </a:graphic>
          </wp:anchor>
        </w:drawing>
      </w:r>
      <w:r>
        <w:rPr>
          <w:rFonts w:hint="eastAsia"/>
          <w:b/>
          <w:color w:val="auto"/>
          <w:sz w:val="28"/>
          <w:szCs w:val="28"/>
        </w:rPr>
        <w:drawing>
          <wp:anchor distT="0" distB="0" distL="114300" distR="114300" simplePos="0" relativeHeight="251665408" behindDoc="0" locked="0" layoutInCell="1" allowOverlap="1">
            <wp:simplePos x="0" y="0"/>
            <wp:positionH relativeFrom="column">
              <wp:posOffset>3448685</wp:posOffset>
            </wp:positionH>
            <wp:positionV relativeFrom="paragraph">
              <wp:posOffset>177800</wp:posOffset>
            </wp:positionV>
            <wp:extent cx="2609215" cy="1956435"/>
            <wp:effectExtent l="9525" t="9525" r="10160" b="15240"/>
            <wp:wrapNone/>
            <wp:docPr id="4" name="图片 45" descr="C:/Users/Administrator/Desktop/环评资料/王彩艳/5、广厦医院/现场/西.jpg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5" descr="C:/Users/Administrator/Desktop/环评资料/王彩艳/5、广厦医院/现场/西.jpg西"/>
                    <pic:cNvPicPr>
                      <a:picLocks noChangeAspect="1"/>
                    </pic:cNvPicPr>
                  </pic:nvPicPr>
                  <pic:blipFill>
                    <a:blip r:embed="rId31"/>
                    <a:srcRect l="17" r="17"/>
                    <a:stretch>
                      <a:fillRect/>
                    </a:stretch>
                  </pic:blipFill>
                  <pic:spPr>
                    <a:xfrm>
                      <a:off x="0" y="0"/>
                      <a:ext cx="2609215" cy="1956435"/>
                    </a:xfrm>
                    <a:prstGeom prst="rect">
                      <a:avLst/>
                    </a:prstGeom>
                    <a:noFill/>
                    <a:ln w="9525" cap="flat" cmpd="sng">
                      <a:solidFill>
                        <a:srgbClr val="000000"/>
                      </a:solidFill>
                      <a:prstDash val="solid"/>
                      <a:miter/>
                      <a:headEnd type="none" w="med" len="med"/>
                      <a:tailEnd type="none" w="med" len="med"/>
                    </a:ln>
                  </pic:spPr>
                </pic:pic>
              </a:graphicData>
            </a:graphic>
          </wp:anchor>
        </w:drawing>
      </w:r>
    </w:p>
    <w:p w14:paraId="65BEEFDA">
      <w:pPr>
        <w:pStyle w:val="10"/>
        <w:spacing w:before="66"/>
        <w:ind w:left="140"/>
        <w:rPr>
          <w:rFonts w:hint="eastAsia" w:ascii="仿宋" w:hAnsi="仿宋" w:eastAsia="仿宋"/>
          <w:color w:val="auto"/>
          <w:sz w:val="21"/>
          <w:szCs w:val="21"/>
          <w:lang w:val="en-US"/>
        </w:rPr>
      </w:pPr>
    </w:p>
    <w:p w14:paraId="4F7DB0DC">
      <w:pPr>
        <w:pStyle w:val="10"/>
        <w:spacing w:before="66"/>
        <w:ind w:left="140"/>
        <w:rPr>
          <w:rFonts w:hint="eastAsia" w:ascii="仿宋" w:hAnsi="仿宋" w:eastAsia="仿宋"/>
          <w:color w:val="auto"/>
          <w:sz w:val="21"/>
          <w:szCs w:val="21"/>
          <w:lang w:val="en-US" w:eastAsia="zh-CN"/>
        </w:rPr>
      </w:pPr>
      <w:r>
        <w:rPr>
          <w:rFonts w:hint="eastAsia" w:ascii="Times New Roman" w:hAnsi="Times New Roman" w:eastAsia="宋体" w:cs="Times New Roman"/>
          <w:snapToGrid w:val="0"/>
          <w:color w:val="auto"/>
          <w:spacing w:val="-6"/>
          <w:kern w:val="21"/>
          <w:szCs w:val="21"/>
          <w:lang w:eastAsia="zh-CN"/>
        </w:rPr>
        <w:drawing>
          <wp:anchor distT="0" distB="0" distL="114300" distR="114300" simplePos="0" relativeHeight="251708416" behindDoc="0" locked="0" layoutInCell="1" allowOverlap="1">
            <wp:simplePos x="0" y="0"/>
            <wp:positionH relativeFrom="column">
              <wp:posOffset>8021955</wp:posOffset>
            </wp:positionH>
            <wp:positionV relativeFrom="paragraph">
              <wp:posOffset>157480</wp:posOffset>
            </wp:positionV>
            <wp:extent cx="972820" cy="874395"/>
            <wp:effectExtent l="9525" t="9525" r="27305" b="11430"/>
            <wp:wrapNone/>
            <wp:docPr id="176" name="图片 3" descr="东胜区风玫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3" descr="东胜区风玫瑰图"/>
                    <pic:cNvPicPr>
                      <a:picLocks noChangeAspect="1"/>
                    </pic:cNvPicPr>
                  </pic:nvPicPr>
                  <pic:blipFill>
                    <a:blip r:embed="rId32"/>
                    <a:stretch>
                      <a:fillRect/>
                    </a:stretch>
                  </pic:blipFill>
                  <pic:spPr>
                    <a:xfrm>
                      <a:off x="0" y="0"/>
                      <a:ext cx="972820" cy="874395"/>
                    </a:xfrm>
                    <a:prstGeom prst="rect">
                      <a:avLst/>
                    </a:prstGeom>
                    <a:noFill/>
                    <a:ln w="9525" cap="flat" cmpd="sng">
                      <a:solidFill>
                        <a:srgbClr val="000000"/>
                      </a:solidFill>
                      <a:prstDash val="solid"/>
                      <a:miter/>
                      <a:headEnd type="none" w="med" len="med"/>
                      <a:tailEnd type="none" w="med" len="med"/>
                    </a:ln>
                  </pic:spPr>
                </pic:pic>
              </a:graphicData>
            </a:graphic>
          </wp:anchor>
        </w:drawing>
      </w:r>
      <w:r>
        <w:rPr>
          <w:rFonts w:hint="eastAsia" w:ascii="仿宋" w:hAnsi="仿宋" w:eastAsia="仿宋"/>
          <w:color w:val="auto"/>
          <w:sz w:val="21"/>
          <w:szCs w:val="21"/>
          <w:lang w:val="en-US" w:eastAsia="zh-CN"/>
        </w:rPr>
        <w:drawing>
          <wp:anchor distT="0" distB="0" distL="114300" distR="114300" simplePos="0" relativeHeight="251671552" behindDoc="0" locked="0" layoutInCell="1" allowOverlap="1">
            <wp:simplePos x="0" y="0"/>
            <wp:positionH relativeFrom="column">
              <wp:posOffset>165100</wp:posOffset>
            </wp:positionH>
            <wp:positionV relativeFrom="paragraph">
              <wp:posOffset>41910</wp:posOffset>
            </wp:positionV>
            <wp:extent cx="8961120" cy="5196840"/>
            <wp:effectExtent l="0" t="0" r="11430" b="3810"/>
            <wp:wrapNone/>
            <wp:docPr id="19" name="图片 176" descr="310de899ee9127cb62c3d626943fb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76" descr="310de899ee9127cb62c3d626943fb62"/>
                    <pic:cNvPicPr>
                      <a:picLocks noChangeAspect="1"/>
                    </pic:cNvPicPr>
                  </pic:nvPicPr>
                  <pic:blipFill>
                    <a:blip r:embed="rId33"/>
                    <a:stretch>
                      <a:fillRect/>
                    </a:stretch>
                  </pic:blipFill>
                  <pic:spPr>
                    <a:xfrm>
                      <a:off x="0" y="0"/>
                      <a:ext cx="8961120" cy="5196840"/>
                    </a:xfrm>
                    <a:prstGeom prst="rect">
                      <a:avLst/>
                    </a:prstGeom>
                    <a:noFill/>
                    <a:ln>
                      <a:noFill/>
                    </a:ln>
                  </pic:spPr>
                </pic:pic>
              </a:graphicData>
            </a:graphic>
          </wp:anchor>
        </w:drawing>
      </w:r>
    </w:p>
    <w:p w14:paraId="046C4F6F">
      <w:pPr>
        <w:spacing w:before="62"/>
        <w:ind w:right="4070"/>
        <w:jc w:val="both"/>
        <w:rPr>
          <w:color w:val="auto"/>
          <w:sz w:val="28"/>
          <w:lang w:val="en-US"/>
        </w:rPr>
      </w:pPr>
    </w:p>
    <w:p w14:paraId="42975D43">
      <w:pPr>
        <w:spacing w:before="62"/>
        <w:ind w:right="4070"/>
        <w:jc w:val="both"/>
        <w:rPr>
          <w:color w:val="auto"/>
          <w:sz w:val="28"/>
          <w:lang w:val="en-US"/>
        </w:rPr>
      </w:pPr>
    </w:p>
    <w:p w14:paraId="7762D696">
      <w:pPr>
        <w:spacing w:before="62"/>
        <w:ind w:right="4070"/>
        <w:jc w:val="both"/>
        <w:rPr>
          <w:color w:val="auto"/>
          <w:sz w:val="28"/>
          <w:lang w:val="en-US"/>
        </w:rPr>
      </w:pPr>
    </w:p>
    <w:p w14:paraId="74660123">
      <w:pPr>
        <w:spacing w:before="62"/>
        <w:ind w:right="4070"/>
        <w:jc w:val="both"/>
        <w:rPr>
          <w:color w:val="auto"/>
          <w:sz w:val="28"/>
          <w:lang w:val="en-US"/>
        </w:rPr>
      </w:pPr>
    </w:p>
    <w:p w14:paraId="7913AD67">
      <w:pPr>
        <w:spacing w:before="62"/>
        <w:ind w:right="4070"/>
        <w:jc w:val="both"/>
        <w:rPr>
          <w:color w:val="auto"/>
          <w:sz w:val="28"/>
          <w:lang w:val="en-US"/>
        </w:rPr>
      </w:pPr>
    </w:p>
    <w:p w14:paraId="4A247A6C">
      <w:pPr>
        <w:spacing w:before="62"/>
        <w:ind w:right="4070"/>
        <w:jc w:val="both"/>
        <w:rPr>
          <w:color w:val="auto"/>
          <w:sz w:val="28"/>
          <w:lang w:val="en-US"/>
        </w:rPr>
      </w:pPr>
    </w:p>
    <w:p w14:paraId="0B7D04A1">
      <w:pPr>
        <w:spacing w:before="62"/>
        <w:ind w:right="4070"/>
        <w:jc w:val="both"/>
        <w:rPr>
          <w:color w:val="auto"/>
          <w:sz w:val="28"/>
          <w:lang w:val="en-US"/>
        </w:rPr>
      </w:pPr>
    </w:p>
    <w:p w14:paraId="3569E490">
      <w:pPr>
        <w:spacing w:before="62"/>
        <w:ind w:right="4070"/>
        <w:jc w:val="both"/>
        <w:rPr>
          <w:color w:val="auto"/>
          <w:sz w:val="28"/>
          <w:lang w:val="en-US"/>
        </w:rPr>
      </w:pPr>
    </w:p>
    <w:p w14:paraId="3AB96B95">
      <w:pPr>
        <w:spacing w:before="62"/>
        <w:ind w:right="4070"/>
        <w:jc w:val="both"/>
        <w:rPr>
          <w:color w:val="auto"/>
          <w:sz w:val="28"/>
          <w:lang w:val="en-US"/>
        </w:rPr>
      </w:pPr>
    </w:p>
    <w:p w14:paraId="5645253B">
      <w:pPr>
        <w:spacing w:before="62"/>
        <w:ind w:right="4070"/>
        <w:jc w:val="both"/>
        <w:rPr>
          <w:color w:val="auto"/>
          <w:sz w:val="28"/>
          <w:lang w:val="en-US"/>
        </w:rPr>
      </w:pPr>
    </w:p>
    <w:p w14:paraId="45045B2A">
      <w:pPr>
        <w:spacing w:before="62"/>
        <w:ind w:right="4070"/>
        <w:jc w:val="both"/>
        <w:rPr>
          <w:color w:val="auto"/>
          <w:sz w:val="28"/>
          <w:lang w:val="en-US"/>
        </w:rPr>
      </w:pPr>
    </w:p>
    <w:p w14:paraId="2992507D">
      <w:pPr>
        <w:spacing w:before="62"/>
        <w:ind w:right="4070"/>
        <w:jc w:val="both"/>
        <w:rPr>
          <w:color w:val="auto"/>
          <w:sz w:val="28"/>
          <w:lang w:val="en-US"/>
        </w:rPr>
      </w:pPr>
    </w:p>
    <w:p w14:paraId="18861819">
      <w:pPr>
        <w:spacing w:before="62"/>
        <w:ind w:right="4070"/>
        <w:jc w:val="both"/>
        <w:rPr>
          <w:color w:val="auto"/>
          <w:sz w:val="28"/>
          <w:lang w:val="en-US"/>
        </w:rPr>
      </w:pPr>
    </w:p>
    <w:p w14:paraId="5C6ADAFC">
      <w:pPr>
        <w:spacing w:before="62"/>
        <w:ind w:right="4070"/>
        <w:jc w:val="both"/>
        <w:rPr>
          <w:color w:val="auto"/>
          <w:sz w:val="28"/>
          <w:lang w:val="en-US"/>
        </w:rPr>
      </w:pPr>
    </w:p>
    <w:p w14:paraId="29500378">
      <w:pPr>
        <w:spacing w:before="62"/>
        <w:ind w:right="4070"/>
        <w:jc w:val="both"/>
        <w:rPr>
          <w:color w:val="auto"/>
          <w:sz w:val="28"/>
          <w:lang w:val="en-US"/>
        </w:rPr>
      </w:pPr>
    </w:p>
    <w:p w14:paraId="647B0C4C">
      <w:pPr>
        <w:spacing w:before="62"/>
        <w:ind w:right="4070"/>
        <w:jc w:val="both"/>
        <w:rPr>
          <w:color w:val="auto"/>
          <w:sz w:val="28"/>
          <w:lang w:val="en-US"/>
        </w:rPr>
      </w:pPr>
    </w:p>
    <w:p w14:paraId="045F8B68">
      <w:pPr>
        <w:spacing w:before="62"/>
        <w:ind w:right="4070"/>
        <w:jc w:val="both"/>
        <w:rPr>
          <w:color w:val="auto"/>
          <w:sz w:val="28"/>
          <w:lang w:val="en-US"/>
        </w:rPr>
      </w:pPr>
    </w:p>
    <w:p w14:paraId="44DC4AC7">
      <w:pPr>
        <w:spacing w:before="62"/>
        <w:ind w:right="4070"/>
        <w:jc w:val="both"/>
        <w:rPr>
          <w:color w:val="auto"/>
          <w:sz w:val="28"/>
          <w:lang w:val="en-US"/>
        </w:rPr>
      </w:pPr>
    </w:p>
    <w:p w14:paraId="4D145475">
      <w:pPr>
        <w:spacing w:before="62"/>
        <w:ind w:right="4070"/>
        <w:jc w:val="both"/>
        <w:rPr>
          <w:color w:val="auto"/>
          <w:sz w:val="28"/>
          <w:lang w:val="en-US"/>
        </w:rPr>
      </w:pPr>
      <w:r>
        <w:rPr>
          <w:b/>
          <w:color w:val="auto"/>
          <w:sz w:val="28"/>
          <w:szCs w:val="28"/>
        </w:rPr>
        <mc:AlternateContent>
          <mc:Choice Requires="wps">
            <w:drawing>
              <wp:anchor distT="0" distB="0" distL="114300" distR="114300" simplePos="0" relativeHeight="251672576" behindDoc="0" locked="0" layoutInCell="1" allowOverlap="1">
                <wp:simplePos x="0" y="0"/>
                <wp:positionH relativeFrom="column">
                  <wp:posOffset>3196590</wp:posOffset>
                </wp:positionH>
                <wp:positionV relativeFrom="paragraph">
                  <wp:posOffset>252730</wp:posOffset>
                </wp:positionV>
                <wp:extent cx="2580640" cy="487680"/>
                <wp:effectExtent l="0" t="0" r="0" b="0"/>
                <wp:wrapSquare wrapText="bothSides"/>
                <wp:docPr id="35" name="文本框 35"/>
                <wp:cNvGraphicFramePr/>
                <a:graphic xmlns:a="http://schemas.openxmlformats.org/drawingml/2006/main">
                  <a:graphicData uri="http://schemas.microsoft.com/office/word/2010/wordprocessingShape">
                    <wps:wsp>
                      <wps:cNvSpPr txBox="1"/>
                      <wps:spPr>
                        <a:xfrm>
                          <a:off x="4103370" y="6285865"/>
                          <a:ext cx="2580640" cy="487680"/>
                        </a:xfrm>
                        <a:prstGeom prst="rect">
                          <a:avLst/>
                        </a:prstGeom>
                        <a:noFill/>
                        <a:ln>
                          <a:noFill/>
                        </a:ln>
                        <a:effectLst/>
                      </wps:spPr>
                      <wps:txbx>
                        <w:txbxContent>
                          <w:p w14:paraId="0C49A445">
                            <w:pPr>
                              <w:jc w:val="center"/>
                              <w:rPr>
                                <w:rFonts w:ascii="宋体" w:hAnsi="宋体"/>
                                <w:b/>
                                <w:sz w:val="28"/>
                                <w:szCs w:val="28"/>
                              </w:rPr>
                            </w:pPr>
                            <w:r>
                              <w:rPr>
                                <w:rFonts w:hint="eastAsia" w:ascii="宋体" w:hAnsi="宋体"/>
                                <w:b/>
                                <w:sz w:val="28"/>
                                <w:szCs w:val="28"/>
                              </w:rPr>
                              <w:t>附图一  项目地理位置图</w:t>
                            </w:r>
                          </w:p>
                        </w:txbxContent>
                      </wps:txbx>
                      <wps:bodyPr vert="horz" wrap="square" anchor="t" anchorCtr="0" upright="1">
                        <a:spAutoFit/>
                      </wps:bodyPr>
                    </wps:wsp>
                  </a:graphicData>
                </a:graphic>
              </wp:anchor>
            </w:drawing>
          </mc:Choice>
          <mc:Fallback>
            <w:pict>
              <v:shape id="_x0000_s1026" o:spid="_x0000_s1026" o:spt="202" type="#_x0000_t202" style="position:absolute;left:0pt;margin-left:251.7pt;margin-top:19.9pt;height:38.4pt;width:203.2pt;mso-wrap-distance-bottom:0pt;mso-wrap-distance-left:9pt;mso-wrap-distance-right:9pt;mso-wrap-distance-top:0pt;z-index:251672576;mso-width-relative:page;mso-height-relative:page;" filled="f" stroked="f" coordsize="21600,21600" o:gfxdata="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4d1KB&#10;1gAAAAoBAAAPAAAAAAAAAAEAIAAAACIAAABkcnMvZG93bnJldi54bWxQSwECFAAUAAAACACHTuJA&#10;iGOYf+oBAAC3AwAADgAAAAAAAAABACAAAAAlAQAAZHJzL2Uyb0RvYy54bWxQSwUGAAAAAAYABgBZ&#10;AQAAgQUAAAAA&#10;">
                <v:fill on="f" focussize="0,0"/>
                <v:stroke on="f"/>
                <v:imagedata o:title=""/>
                <o:lock v:ext="edit" aspectratio="f"/>
                <v:textbox style="mso-fit-shape-to-text:t;">
                  <w:txbxContent>
                    <w:p w14:paraId="0C49A445">
                      <w:pPr>
                        <w:jc w:val="center"/>
                        <w:rPr>
                          <w:rFonts w:ascii="宋体" w:hAnsi="宋体"/>
                          <w:b/>
                          <w:sz w:val="28"/>
                          <w:szCs w:val="28"/>
                        </w:rPr>
                      </w:pPr>
                      <w:r>
                        <w:rPr>
                          <w:rFonts w:hint="eastAsia" w:ascii="宋体" w:hAnsi="宋体"/>
                          <w:b/>
                          <w:sz w:val="28"/>
                          <w:szCs w:val="28"/>
                        </w:rPr>
                        <w:t>附图一  项目地理位置图</w:t>
                      </w:r>
                    </w:p>
                  </w:txbxContent>
                </v:textbox>
                <w10:wrap type="square"/>
              </v:shape>
            </w:pict>
          </mc:Fallback>
        </mc:AlternateContent>
      </w:r>
    </w:p>
    <w:p w14:paraId="4461E5D8">
      <w:pPr>
        <w:spacing w:before="62"/>
        <w:ind w:right="4070"/>
        <w:jc w:val="both"/>
        <w:rPr>
          <w:color w:val="auto"/>
          <w:sz w:val="28"/>
          <w:lang w:val="en-US"/>
        </w:rPr>
      </w:pPr>
    </w:p>
    <w:p w14:paraId="21EDBB0E">
      <w:pPr>
        <w:spacing w:before="62"/>
        <w:ind w:right="4070"/>
        <w:jc w:val="both"/>
        <w:rPr>
          <w:color w:val="auto"/>
          <w:sz w:val="28"/>
          <w:lang w:val="en-US"/>
        </w:rPr>
      </w:pPr>
    </w:p>
    <w:p w14:paraId="6A8D9F02">
      <w:pPr>
        <w:spacing w:before="62"/>
        <w:ind w:right="4070"/>
        <w:jc w:val="both"/>
        <w:rPr>
          <w:color w:val="auto"/>
          <w:sz w:val="28"/>
          <w:lang w:val="en-US"/>
        </w:rPr>
      </w:pPr>
    </w:p>
    <w:p w14:paraId="1D572BD0">
      <w:pPr>
        <w:spacing w:before="62"/>
        <w:ind w:right="4070"/>
        <w:jc w:val="both"/>
        <w:rPr>
          <w:color w:val="auto"/>
          <w:sz w:val="28"/>
          <w:lang w:val="en-US"/>
        </w:rPr>
      </w:pPr>
      <w:r>
        <w:rPr>
          <w:rFonts w:hint="eastAsia" w:ascii="Times New Roman" w:hAnsi="Times New Roman" w:eastAsia="宋体" w:cs="Times New Roman"/>
          <w:snapToGrid w:val="0"/>
          <w:color w:val="auto"/>
          <w:spacing w:val="-6"/>
          <w:kern w:val="21"/>
          <w:szCs w:val="21"/>
          <w:lang w:eastAsia="zh-CN"/>
        </w:rPr>
        <w:drawing>
          <wp:anchor distT="0" distB="0" distL="114300" distR="114300" simplePos="0" relativeHeight="251707392" behindDoc="0" locked="0" layoutInCell="1" allowOverlap="1">
            <wp:simplePos x="0" y="0"/>
            <wp:positionH relativeFrom="column">
              <wp:posOffset>7976235</wp:posOffset>
            </wp:positionH>
            <wp:positionV relativeFrom="paragraph">
              <wp:posOffset>80010</wp:posOffset>
            </wp:positionV>
            <wp:extent cx="954405" cy="857885"/>
            <wp:effectExtent l="9525" t="9525" r="26670" b="27940"/>
            <wp:wrapNone/>
            <wp:docPr id="175" name="图片 2" descr="东胜区风玫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2" descr="东胜区风玫瑰图"/>
                    <pic:cNvPicPr>
                      <a:picLocks noChangeAspect="1"/>
                    </pic:cNvPicPr>
                  </pic:nvPicPr>
                  <pic:blipFill>
                    <a:blip r:embed="rId32"/>
                    <a:stretch>
                      <a:fillRect/>
                    </a:stretch>
                  </pic:blipFill>
                  <pic:spPr>
                    <a:xfrm>
                      <a:off x="0" y="0"/>
                      <a:ext cx="954405" cy="857885"/>
                    </a:xfrm>
                    <a:prstGeom prst="rect">
                      <a:avLst/>
                    </a:prstGeom>
                    <a:noFill/>
                    <a:ln w="9525" cap="flat" cmpd="sng">
                      <a:solidFill>
                        <a:srgbClr val="000000"/>
                      </a:solidFill>
                      <a:prstDash val="solid"/>
                      <a:miter/>
                      <a:headEnd type="none" w="med" len="med"/>
                      <a:tailEnd type="none" w="med" len="med"/>
                    </a:ln>
                  </pic:spPr>
                </pic:pic>
              </a:graphicData>
            </a:graphic>
          </wp:anchor>
        </w:drawing>
      </w:r>
      <w:r>
        <w:rPr>
          <w:color w:val="auto"/>
        </w:rPr>
        <w:drawing>
          <wp:anchor distT="0" distB="0" distL="114300" distR="114300" simplePos="0" relativeHeight="251706368" behindDoc="1" locked="0" layoutInCell="1" allowOverlap="1">
            <wp:simplePos x="0" y="0"/>
            <wp:positionH relativeFrom="column">
              <wp:posOffset>0</wp:posOffset>
            </wp:positionH>
            <wp:positionV relativeFrom="paragraph">
              <wp:posOffset>39370</wp:posOffset>
            </wp:positionV>
            <wp:extent cx="8996045" cy="5377180"/>
            <wp:effectExtent l="9525" t="9525" r="24130" b="23495"/>
            <wp:wrapNone/>
            <wp:docPr id="174"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38"/>
                    <pic:cNvPicPr>
                      <a:picLocks noChangeAspect="1"/>
                    </pic:cNvPicPr>
                  </pic:nvPicPr>
                  <pic:blipFill>
                    <a:blip r:embed="rId34"/>
                    <a:stretch>
                      <a:fillRect/>
                    </a:stretch>
                  </pic:blipFill>
                  <pic:spPr>
                    <a:xfrm>
                      <a:off x="0" y="0"/>
                      <a:ext cx="8996045" cy="5377180"/>
                    </a:xfrm>
                    <a:prstGeom prst="rect">
                      <a:avLst/>
                    </a:prstGeom>
                    <a:noFill/>
                    <a:ln>
                      <a:solidFill>
                        <a:schemeClr val="tx1"/>
                      </a:solidFill>
                    </a:ln>
                  </pic:spPr>
                </pic:pic>
              </a:graphicData>
            </a:graphic>
          </wp:anchor>
        </w:drawing>
      </w:r>
    </w:p>
    <w:p w14:paraId="591D4307">
      <w:pPr>
        <w:spacing w:before="62"/>
        <w:ind w:right="4070"/>
        <w:jc w:val="both"/>
        <w:rPr>
          <w:rFonts w:hint="eastAsia" w:eastAsia="宋体"/>
          <w:color w:val="auto"/>
          <w:sz w:val="28"/>
          <w:lang w:val="en-US" w:eastAsia="zh-CN"/>
        </w:rPr>
      </w:pPr>
    </w:p>
    <w:p w14:paraId="29F54083">
      <w:pPr>
        <w:spacing w:before="62"/>
        <w:ind w:right="4070"/>
        <w:jc w:val="both"/>
        <w:rPr>
          <w:color w:val="auto"/>
          <w:sz w:val="28"/>
          <w:lang w:val="en-US"/>
        </w:rPr>
      </w:pPr>
    </w:p>
    <w:p w14:paraId="26888362">
      <w:pPr>
        <w:spacing w:before="62"/>
        <w:ind w:right="4070"/>
        <w:jc w:val="both"/>
        <w:rPr>
          <w:color w:val="auto"/>
          <w:sz w:val="28"/>
          <w:lang w:val="en-US"/>
        </w:rPr>
      </w:pPr>
    </w:p>
    <w:p w14:paraId="703C250C">
      <w:pPr>
        <w:spacing w:before="62"/>
        <w:ind w:right="4070"/>
        <w:jc w:val="both"/>
        <w:rPr>
          <w:color w:val="auto"/>
          <w:sz w:val="28"/>
          <w:lang w:val="en-US"/>
        </w:rPr>
      </w:pPr>
    </w:p>
    <w:p w14:paraId="7998A19A">
      <w:pPr>
        <w:spacing w:before="62"/>
        <w:ind w:right="4070"/>
        <w:jc w:val="both"/>
        <w:rPr>
          <w:color w:val="auto"/>
          <w:sz w:val="28"/>
          <w:lang w:val="en-US"/>
        </w:rPr>
      </w:pPr>
    </w:p>
    <w:p w14:paraId="7B5F344E">
      <w:pPr>
        <w:spacing w:before="62"/>
        <w:ind w:right="4070"/>
        <w:jc w:val="both"/>
        <w:rPr>
          <w:color w:val="auto"/>
          <w:sz w:val="28"/>
          <w:lang w:val="en-US"/>
        </w:rPr>
      </w:pPr>
    </w:p>
    <w:p w14:paraId="1C89F57D">
      <w:pPr>
        <w:spacing w:before="62"/>
        <w:ind w:right="4070"/>
        <w:jc w:val="both"/>
        <w:rPr>
          <w:color w:val="auto"/>
          <w:sz w:val="28"/>
          <w:lang w:val="en-US"/>
        </w:rPr>
      </w:pPr>
    </w:p>
    <w:p w14:paraId="571E0E52">
      <w:pPr>
        <w:spacing w:before="62"/>
        <w:ind w:right="4070"/>
        <w:jc w:val="both"/>
        <w:rPr>
          <w:color w:val="auto"/>
          <w:sz w:val="28"/>
          <w:lang w:val="en-US"/>
        </w:rPr>
      </w:pPr>
    </w:p>
    <w:p w14:paraId="58783469">
      <w:pPr>
        <w:spacing w:before="62"/>
        <w:ind w:right="4070"/>
        <w:jc w:val="both"/>
        <w:rPr>
          <w:color w:val="auto"/>
          <w:sz w:val="28"/>
          <w:lang w:val="en-US"/>
        </w:rPr>
      </w:pPr>
    </w:p>
    <w:p w14:paraId="2D182144">
      <w:pPr>
        <w:spacing w:before="62"/>
        <w:ind w:right="4070"/>
        <w:jc w:val="both"/>
        <w:rPr>
          <w:color w:val="auto"/>
          <w:sz w:val="28"/>
          <w:lang w:val="en-US"/>
        </w:rPr>
        <w:sectPr>
          <w:pgSz w:w="16840" w:h="11910" w:orient="landscape"/>
          <w:pgMar w:top="901" w:right="1440" w:bottom="879" w:left="1219" w:header="720" w:footer="1043" w:gutter="0"/>
          <w:pgBorders>
            <w:top w:val="none" w:sz="0" w:space="0"/>
            <w:left w:val="none" w:sz="0" w:space="0"/>
            <w:bottom w:val="none" w:sz="0" w:space="0"/>
            <w:right w:val="none" w:sz="0" w:space="0"/>
          </w:pgBorders>
          <w:pgNumType w:fmt="decimal"/>
          <w:cols w:space="720" w:num="1"/>
        </w:sectPr>
      </w:pPr>
      <w:r>
        <w:rPr>
          <w:color w:val="auto"/>
        </w:rPr>
        <mc:AlternateContent>
          <mc:Choice Requires="wps">
            <w:drawing>
              <wp:anchor distT="0" distB="0" distL="114300" distR="114300" simplePos="0" relativeHeight="251674624" behindDoc="0" locked="0" layoutInCell="1" allowOverlap="1">
                <wp:simplePos x="0" y="0"/>
                <wp:positionH relativeFrom="column">
                  <wp:posOffset>1803400</wp:posOffset>
                </wp:positionH>
                <wp:positionV relativeFrom="paragraph">
                  <wp:posOffset>2809875</wp:posOffset>
                </wp:positionV>
                <wp:extent cx="5529580" cy="409575"/>
                <wp:effectExtent l="0" t="0" r="0" b="0"/>
                <wp:wrapNone/>
                <wp:docPr id="21" name="文本框 36"/>
                <wp:cNvGraphicFramePr/>
                <a:graphic xmlns:a="http://schemas.openxmlformats.org/drawingml/2006/main">
                  <a:graphicData uri="http://schemas.microsoft.com/office/word/2010/wordprocessingShape">
                    <wps:wsp>
                      <wps:cNvSpPr txBox="1"/>
                      <wps:spPr>
                        <a:xfrm>
                          <a:off x="2931160" y="6358255"/>
                          <a:ext cx="5529580" cy="409575"/>
                        </a:xfrm>
                        <a:prstGeom prst="rect">
                          <a:avLst/>
                        </a:prstGeom>
                        <a:noFill/>
                        <a:ln>
                          <a:noFill/>
                        </a:ln>
                        <a:effectLst/>
                      </wps:spPr>
                      <wps:txbx>
                        <w:txbxContent>
                          <w:p w14:paraId="267BDEB2">
                            <w:pPr>
                              <w:jc w:val="center"/>
                              <w:rPr>
                                <w:rFonts w:ascii="宋体" w:hAnsi="宋体"/>
                                <w:b/>
                                <w:sz w:val="28"/>
                                <w:szCs w:val="28"/>
                              </w:rPr>
                            </w:pPr>
                            <w:r>
                              <w:rPr>
                                <w:rFonts w:hint="eastAsia" w:ascii="宋体" w:hAnsi="宋体"/>
                                <w:b/>
                                <w:sz w:val="28"/>
                                <w:szCs w:val="28"/>
                              </w:rPr>
                              <w:t xml:space="preserve">附图二  </w:t>
                            </w:r>
                            <w:r>
                              <w:rPr>
                                <w:rFonts w:hint="eastAsia"/>
                                <w:b/>
                                <w:sz w:val="28"/>
                                <w:szCs w:val="28"/>
                                <w:lang w:val="en-US" w:eastAsia="zh-CN"/>
                              </w:rPr>
                              <w:t>保护范围</w:t>
                            </w:r>
                            <w:r>
                              <w:rPr>
                                <w:rFonts w:hint="eastAsia" w:ascii="宋体" w:hAnsi="宋体"/>
                                <w:b/>
                                <w:sz w:val="28"/>
                                <w:szCs w:val="28"/>
                              </w:rPr>
                              <w:t>图</w:t>
                            </w:r>
                          </w:p>
                        </w:txbxContent>
                      </wps:txbx>
                      <wps:bodyPr wrap="square" upright="1"/>
                    </wps:wsp>
                  </a:graphicData>
                </a:graphic>
              </wp:anchor>
            </w:drawing>
          </mc:Choice>
          <mc:Fallback>
            <w:pict>
              <v:shape id="文本框 36" o:spid="_x0000_s1026" o:spt="202" type="#_x0000_t202" style="position:absolute;left:0pt;margin-left:142pt;margin-top:221.25pt;height:32.25pt;width:435.4pt;z-index:251674624;mso-width-relative:page;mso-height-relative:page;" filled="f" stroked="f" coordsize="21600,21600" o:gfxdata="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&#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fOq/D9gAAAAMAQAADwAAAAAAAAABACAAAAAiAAAAZHJz&#10;L2Rvd25yZXYueG1sUEsBAhQAFAAAAAgAh07iQJcy0yDLAQAAeAMAAA4AAAAAAAAAAQAgAAAAJwEA&#10;AGRycy9lMm9Eb2MueG1sUEsFBgAAAAAGAAYAWQEAAGQFAAAAAA==&#10;">
                <v:fill on="f" focussize="0,0"/>
                <v:stroke on="f"/>
                <v:imagedata o:title=""/>
                <o:lock v:ext="edit" aspectratio="f"/>
                <v:textbox>
                  <w:txbxContent>
                    <w:p w14:paraId="267BDEB2">
                      <w:pPr>
                        <w:jc w:val="center"/>
                        <w:rPr>
                          <w:rFonts w:ascii="宋体" w:hAnsi="宋体"/>
                          <w:b/>
                          <w:sz w:val="28"/>
                          <w:szCs w:val="28"/>
                        </w:rPr>
                      </w:pPr>
                      <w:r>
                        <w:rPr>
                          <w:rFonts w:hint="eastAsia" w:ascii="宋体" w:hAnsi="宋体"/>
                          <w:b/>
                          <w:sz w:val="28"/>
                          <w:szCs w:val="28"/>
                        </w:rPr>
                        <w:t xml:space="preserve">附图二  </w:t>
                      </w:r>
                      <w:r>
                        <w:rPr>
                          <w:rFonts w:hint="eastAsia"/>
                          <w:b/>
                          <w:sz w:val="28"/>
                          <w:szCs w:val="28"/>
                          <w:lang w:val="en-US" w:eastAsia="zh-CN"/>
                        </w:rPr>
                        <w:t>保护范围</w:t>
                      </w:r>
                      <w:r>
                        <w:rPr>
                          <w:rFonts w:hint="eastAsia" w:ascii="宋体" w:hAnsi="宋体"/>
                          <w:b/>
                          <w:sz w:val="28"/>
                          <w:szCs w:val="28"/>
                        </w:rPr>
                        <w:t>图</w:t>
                      </w:r>
                    </w:p>
                  </w:txbxContent>
                </v:textbox>
              </v:shape>
            </w:pict>
          </mc:Fallback>
        </mc:AlternateContent>
      </w:r>
      <w:r>
        <w:rPr>
          <w:color w:val="auto"/>
          <w:sz w:val="22"/>
        </w:rPr>
        <mc:AlternateContent>
          <mc:Choice Requires="wps">
            <w:drawing>
              <wp:anchor distT="0" distB="0" distL="114300" distR="114300" simplePos="0" relativeHeight="251714560" behindDoc="0" locked="0" layoutInCell="1" allowOverlap="1">
                <wp:simplePos x="0" y="0"/>
                <wp:positionH relativeFrom="column">
                  <wp:posOffset>8584565</wp:posOffset>
                </wp:positionH>
                <wp:positionV relativeFrom="paragraph">
                  <wp:posOffset>2176145</wp:posOffset>
                </wp:positionV>
                <wp:extent cx="285750" cy="142875"/>
                <wp:effectExtent l="13970" t="13970" r="24130" b="14605"/>
                <wp:wrapNone/>
                <wp:docPr id="202" name="矩形 202"/>
                <wp:cNvGraphicFramePr/>
                <a:graphic xmlns:a="http://schemas.openxmlformats.org/drawingml/2006/main">
                  <a:graphicData uri="http://schemas.microsoft.com/office/word/2010/wordprocessingShape">
                    <wps:wsp>
                      <wps:cNvSpPr/>
                      <wps:spPr>
                        <a:xfrm>
                          <a:off x="0" y="0"/>
                          <a:ext cx="285750" cy="142875"/>
                        </a:xfrm>
                        <a:prstGeom prst="rect">
                          <a:avLst/>
                        </a:prstGeom>
                        <a:noFill/>
                        <a:ln w="2857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75.95pt;margin-top:171.35pt;height:11.25pt;width:22.5pt;z-index:251714560;v-text-anchor:middle;mso-width-relative:page;mso-height-relative:page;" filled="f" stroked="t" coordsize="21600,21600" o:gfxdata="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P&#10;LwlS2AAAAA0BAAAPAAAAAAAAAAEAIAAAACIAAABkcnMvZG93bnJldi54bWxQSwECFAAUAAAACACH&#10;TuJAtY5MYV0CAAC3BAAADgAAAAAAAAABACAAAAAnAQAAZHJzL2Uyb0RvYy54bWxQSwUGAAAAAAYA&#10;BgBZAQAA9gUAAAAA&#10;">
                <v:fill on="f" focussize="0,0"/>
                <v:stroke weight="2.25pt" color="#FFFF00 [2404]" joinstyle="round"/>
                <v:imagedata o:title=""/>
                <o:lock v:ext="edit" aspectratio="f"/>
              </v:rect>
            </w:pict>
          </mc:Fallback>
        </mc:AlternateContent>
      </w:r>
      <w:r>
        <w:rPr>
          <w:color w:val="auto"/>
          <w:sz w:val="22"/>
        </w:rPr>
        <mc:AlternateContent>
          <mc:Choice Requires="wps">
            <w:drawing>
              <wp:anchor distT="0" distB="0" distL="114300" distR="114300" simplePos="0" relativeHeight="251712512" behindDoc="0" locked="0" layoutInCell="1" allowOverlap="1">
                <wp:simplePos x="0" y="0"/>
                <wp:positionH relativeFrom="column">
                  <wp:posOffset>8584565</wp:posOffset>
                </wp:positionH>
                <wp:positionV relativeFrom="paragraph">
                  <wp:posOffset>1957070</wp:posOffset>
                </wp:positionV>
                <wp:extent cx="285750" cy="142875"/>
                <wp:effectExtent l="13970" t="13970" r="24130" b="14605"/>
                <wp:wrapNone/>
                <wp:docPr id="201" name="矩形 201"/>
                <wp:cNvGraphicFramePr/>
                <a:graphic xmlns:a="http://schemas.openxmlformats.org/drawingml/2006/main">
                  <a:graphicData uri="http://schemas.microsoft.com/office/word/2010/wordprocessingShape">
                    <wps:wsp>
                      <wps:cNvSpPr/>
                      <wps:spPr>
                        <a:xfrm>
                          <a:off x="9330055" y="5506720"/>
                          <a:ext cx="285750" cy="142875"/>
                        </a:xfrm>
                        <a:prstGeom prst="rect">
                          <a:avLst/>
                        </a:prstGeom>
                        <a:noFill/>
                        <a:ln w="2857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75.95pt;margin-top:154.1pt;height:11.25pt;width:22.5pt;z-index:251712512;v-text-anchor:middle;mso-width-relative:page;mso-height-relative:page;" filled="f" stroked="t" coordsize="21600,21600" o:gfxdata="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8QK9uNoAAAANAQAADwAAAAAAAAABACAAAAAiAAAAZHJzL2Rvd25yZXYueG1s&#10;UEsBAhQAFAAAAAgAh07iQNBMSxNoAgAAwwQAAA4AAAAAAAAAAQAgAAAAKQEAAGRycy9lMm9Eb2Mu&#10;eG1sUEsFBgAAAAAGAAYAWQEAAAMGAAAAAA==&#10;">
                <v:fill on="f" focussize="0,0"/>
                <v:stroke weight="2.25pt" color="#FF0000 [2404]" joinstyle="round"/>
                <v:imagedata o:title=""/>
                <o:lock v:ext="edit" aspectratio="f"/>
              </v:rect>
            </w:pict>
          </mc:Fallback>
        </mc:AlternateContent>
      </w:r>
      <w:r>
        <w:rPr>
          <w:color w:val="auto"/>
          <w:sz w:val="22"/>
        </w:rPr>
        <mc:AlternateContent>
          <mc:Choice Requires="wps">
            <w:drawing>
              <wp:anchor distT="0" distB="0" distL="114300" distR="114300" simplePos="0" relativeHeight="251711488" behindDoc="0" locked="0" layoutInCell="1" allowOverlap="1">
                <wp:simplePos x="0" y="0"/>
                <wp:positionH relativeFrom="column">
                  <wp:posOffset>7232015</wp:posOffset>
                </wp:positionH>
                <wp:positionV relativeFrom="paragraph">
                  <wp:posOffset>1614170</wp:posOffset>
                </wp:positionV>
                <wp:extent cx="1695450" cy="1057275"/>
                <wp:effectExtent l="4445" t="4445" r="14605" b="5080"/>
                <wp:wrapNone/>
                <wp:docPr id="200" name="文本框 200"/>
                <wp:cNvGraphicFramePr/>
                <a:graphic xmlns:a="http://schemas.openxmlformats.org/drawingml/2006/main">
                  <a:graphicData uri="http://schemas.microsoft.com/office/word/2010/wordprocessingShape">
                    <wps:wsp>
                      <wps:cNvSpPr txBox="1"/>
                      <wps:spPr>
                        <a:xfrm>
                          <a:off x="8082280" y="4639945"/>
                          <a:ext cx="1695450" cy="10572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954F1DE">
                            <w:pPr>
                              <w:keepNext w:val="0"/>
                              <w:keepLines w:val="0"/>
                              <w:pageBreakBefore w:val="0"/>
                              <w:widowControl w:val="0"/>
                              <w:kinsoku/>
                              <w:wordWrap/>
                              <w:overflowPunct/>
                              <w:topLinePunct w:val="0"/>
                              <w:bidi w:val="0"/>
                              <w:adjustRightInd/>
                              <w:snapToGrid/>
                              <w:spacing w:line="360" w:lineRule="exact"/>
                              <w:jc w:val="center"/>
                              <w:textAlignment w:val="auto"/>
                              <w:rPr>
                                <w:rFonts w:hint="eastAsia"/>
                                <w:sz w:val="24"/>
                                <w:szCs w:val="24"/>
                                <w:lang w:val="en-US" w:eastAsia="zh-CN"/>
                              </w:rPr>
                            </w:pPr>
                            <w:r>
                              <w:rPr>
                                <w:rFonts w:hint="eastAsia"/>
                                <w:sz w:val="24"/>
                                <w:szCs w:val="24"/>
                                <w:lang w:val="en-US" w:eastAsia="zh-CN"/>
                              </w:rPr>
                              <w:t>图例</w:t>
                            </w:r>
                          </w:p>
                          <w:p w14:paraId="3B936A3B">
                            <w:pPr>
                              <w:keepNext w:val="0"/>
                              <w:keepLines w:val="0"/>
                              <w:pageBreakBefore w:val="0"/>
                              <w:widowControl w:val="0"/>
                              <w:kinsoku/>
                              <w:wordWrap/>
                              <w:overflowPunct/>
                              <w:topLinePunct w:val="0"/>
                              <w:bidi w:val="0"/>
                              <w:adjustRightInd/>
                              <w:snapToGrid/>
                              <w:spacing w:line="360" w:lineRule="exact"/>
                              <w:textAlignment w:val="auto"/>
                              <w:rPr>
                                <w:rFonts w:hint="eastAsia"/>
                                <w:sz w:val="24"/>
                                <w:szCs w:val="24"/>
                                <w:lang w:val="en-US" w:eastAsia="zh-CN"/>
                              </w:rPr>
                            </w:pPr>
                            <w:r>
                              <w:rPr>
                                <w:rFonts w:hint="eastAsia"/>
                                <w:sz w:val="24"/>
                                <w:szCs w:val="24"/>
                                <w:lang w:val="en-US" w:eastAsia="zh-CN"/>
                              </w:rPr>
                              <w:t>项目范围</w:t>
                            </w:r>
                          </w:p>
                          <w:p w14:paraId="0BF58DB6">
                            <w:pPr>
                              <w:keepNext w:val="0"/>
                              <w:keepLines w:val="0"/>
                              <w:pageBreakBefore w:val="0"/>
                              <w:widowControl w:val="0"/>
                              <w:kinsoku/>
                              <w:wordWrap/>
                              <w:overflowPunct/>
                              <w:topLinePunct w:val="0"/>
                              <w:bidi w:val="0"/>
                              <w:adjustRightInd/>
                              <w:snapToGrid/>
                              <w:spacing w:line="360" w:lineRule="exact"/>
                              <w:textAlignment w:val="auto"/>
                              <w:rPr>
                                <w:rFonts w:hint="eastAsia"/>
                                <w:sz w:val="24"/>
                                <w:szCs w:val="24"/>
                                <w:lang w:val="en-US" w:eastAsia="zh-CN"/>
                              </w:rPr>
                            </w:pPr>
                            <w:r>
                              <w:rPr>
                                <w:rFonts w:hint="eastAsia"/>
                                <w:sz w:val="24"/>
                                <w:szCs w:val="24"/>
                                <w:lang w:val="en-US" w:eastAsia="zh-CN"/>
                              </w:rPr>
                              <w:t>声环境保护范围</w:t>
                            </w:r>
                          </w:p>
                          <w:p w14:paraId="79A04983">
                            <w:pPr>
                              <w:keepNext w:val="0"/>
                              <w:keepLines w:val="0"/>
                              <w:pageBreakBefore w:val="0"/>
                              <w:widowControl w:val="0"/>
                              <w:kinsoku/>
                              <w:wordWrap/>
                              <w:overflowPunct/>
                              <w:topLinePunct w:val="0"/>
                              <w:bidi w:val="0"/>
                              <w:adjustRightInd/>
                              <w:snapToGrid/>
                              <w:spacing w:line="360" w:lineRule="exact"/>
                              <w:textAlignment w:val="auto"/>
                              <w:rPr>
                                <w:rFonts w:hint="default"/>
                                <w:sz w:val="24"/>
                                <w:szCs w:val="24"/>
                                <w:lang w:val="en-US" w:eastAsia="zh-CN"/>
                              </w:rPr>
                            </w:pPr>
                            <w:r>
                              <w:rPr>
                                <w:rFonts w:hint="eastAsia"/>
                                <w:sz w:val="24"/>
                                <w:szCs w:val="24"/>
                                <w:lang w:val="en-US" w:eastAsia="zh-CN"/>
                              </w:rPr>
                              <w:t>大气保护范围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69.45pt;margin-top:127.1pt;height:83.25pt;width:133.5pt;z-index:251711488;mso-width-relative:page;mso-height-relative:page;" fillcolor="#FFFFFF [3201]" filled="t" stroked="t" coordsize="21600,21600" o:gfxdata="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qyzEdNkAAAANAQAADwAAAAAAAAABACAAAAAiAAAAZHJzL2Rvd25yZXYueG1sUEsB&#10;AhQAFAAAAAgAh07iQITtq3ZmAgAAyAQAAA4AAAAAAAAAAQAgAAAAKAEAAGRycy9lMm9Eb2MueG1s&#10;UEsFBgAAAAAGAAYAWQEAAAAGAAAAAA==&#10;">
                <v:fill on="t" focussize="0,0"/>
                <v:stroke weight="0.5pt" color="#000000 [3204]" joinstyle="round"/>
                <v:imagedata o:title=""/>
                <o:lock v:ext="edit" aspectratio="f"/>
                <v:textbox>
                  <w:txbxContent>
                    <w:p w14:paraId="1954F1DE">
                      <w:pPr>
                        <w:keepNext w:val="0"/>
                        <w:keepLines w:val="0"/>
                        <w:pageBreakBefore w:val="0"/>
                        <w:widowControl w:val="0"/>
                        <w:kinsoku/>
                        <w:wordWrap/>
                        <w:overflowPunct/>
                        <w:topLinePunct w:val="0"/>
                        <w:bidi w:val="0"/>
                        <w:adjustRightInd/>
                        <w:snapToGrid/>
                        <w:spacing w:line="360" w:lineRule="exact"/>
                        <w:jc w:val="center"/>
                        <w:textAlignment w:val="auto"/>
                        <w:rPr>
                          <w:rFonts w:hint="eastAsia"/>
                          <w:sz w:val="24"/>
                          <w:szCs w:val="24"/>
                          <w:lang w:val="en-US" w:eastAsia="zh-CN"/>
                        </w:rPr>
                      </w:pPr>
                      <w:r>
                        <w:rPr>
                          <w:rFonts w:hint="eastAsia"/>
                          <w:sz w:val="24"/>
                          <w:szCs w:val="24"/>
                          <w:lang w:val="en-US" w:eastAsia="zh-CN"/>
                        </w:rPr>
                        <w:t>图例</w:t>
                      </w:r>
                    </w:p>
                    <w:p w14:paraId="3B936A3B">
                      <w:pPr>
                        <w:keepNext w:val="0"/>
                        <w:keepLines w:val="0"/>
                        <w:pageBreakBefore w:val="0"/>
                        <w:widowControl w:val="0"/>
                        <w:kinsoku/>
                        <w:wordWrap/>
                        <w:overflowPunct/>
                        <w:topLinePunct w:val="0"/>
                        <w:bidi w:val="0"/>
                        <w:adjustRightInd/>
                        <w:snapToGrid/>
                        <w:spacing w:line="360" w:lineRule="exact"/>
                        <w:textAlignment w:val="auto"/>
                        <w:rPr>
                          <w:rFonts w:hint="eastAsia"/>
                          <w:sz w:val="24"/>
                          <w:szCs w:val="24"/>
                          <w:lang w:val="en-US" w:eastAsia="zh-CN"/>
                        </w:rPr>
                      </w:pPr>
                      <w:r>
                        <w:rPr>
                          <w:rFonts w:hint="eastAsia"/>
                          <w:sz w:val="24"/>
                          <w:szCs w:val="24"/>
                          <w:lang w:val="en-US" w:eastAsia="zh-CN"/>
                        </w:rPr>
                        <w:t>项目范围</w:t>
                      </w:r>
                    </w:p>
                    <w:p w14:paraId="0BF58DB6">
                      <w:pPr>
                        <w:keepNext w:val="0"/>
                        <w:keepLines w:val="0"/>
                        <w:pageBreakBefore w:val="0"/>
                        <w:widowControl w:val="0"/>
                        <w:kinsoku/>
                        <w:wordWrap/>
                        <w:overflowPunct/>
                        <w:topLinePunct w:val="0"/>
                        <w:bidi w:val="0"/>
                        <w:adjustRightInd/>
                        <w:snapToGrid/>
                        <w:spacing w:line="360" w:lineRule="exact"/>
                        <w:textAlignment w:val="auto"/>
                        <w:rPr>
                          <w:rFonts w:hint="eastAsia"/>
                          <w:sz w:val="24"/>
                          <w:szCs w:val="24"/>
                          <w:lang w:val="en-US" w:eastAsia="zh-CN"/>
                        </w:rPr>
                      </w:pPr>
                      <w:r>
                        <w:rPr>
                          <w:rFonts w:hint="eastAsia"/>
                          <w:sz w:val="24"/>
                          <w:szCs w:val="24"/>
                          <w:lang w:val="en-US" w:eastAsia="zh-CN"/>
                        </w:rPr>
                        <w:t>声环境保护范围</w:t>
                      </w:r>
                    </w:p>
                    <w:p w14:paraId="79A04983">
                      <w:pPr>
                        <w:keepNext w:val="0"/>
                        <w:keepLines w:val="0"/>
                        <w:pageBreakBefore w:val="0"/>
                        <w:widowControl w:val="0"/>
                        <w:kinsoku/>
                        <w:wordWrap/>
                        <w:overflowPunct/>
                        <w:topLinePunct w:val="0"/>
                        <w:bidi w:val="0"/>
                        <w:adjustRightInd/>
                        <w:snapToGrid/>
                        <w:spacing w:line="360" w:lineRule="exact"/>
                        <w:textAlignment w:val="auto"/>
                        <w:rPr>
                          <w:rFonts w:hint="default"/>
                          <w:sz w:val="24"/>
                          <w:szCs w:val="24"/>
                          <w:lang w:val="en-US" w:eastAsia="zh-CN"/>
                        </w:rPr>
                      </w:pPr>
                      <w:r>
                        <w:rPr>
                          <w:rFonts w:hint="eastAsia"/>
                          <w:sz w:val="24"/>
                          <w:szCs w:val="24"/>
                          <w:lang w:val="en-US" w:eastAsia="zh-CN"/>
                        </w:rPr>
                        <w:t>大气保护范围</w:t>
                      </w:r>
                    </w:p>
                  </w:txbxContent>
                </v:textbox>
              </v:shape>
            </w:pict>
          </mc:Fallback>
        </mc:AlternateContent>
      </w:r>
      <w:r>
        <w:rPr>
          <w:color w:val="auto"/>
          <w:sz w:val="22"/>
        </w:rPr>
        <mc:AlternateContent>
          <mc:Choice Requires="wps">
            <w:drawing>
              <wp:anchor distT="0" distB="0" distL="114300" distR="114300" simplePos="0" relativeHeight="251715584" behindDoc="0" locked="0" layoutInCell="1" allowOverlap="1">
                <wp:simplePos x="0" y="0"/>
                <wp:positionH relativeFrom="column">
                  <wp:posOffset>8584565</wp:posOffset>
                </wp:positionH>
                <wp:positionV relativeFrom="paragraph">
                  <wp:posOffset>2414270</wp:posOffset>
                </wp:positionV>
                <wp:extent cx="285750" cy="142875"/>
                <wp:effectExtent l="13970" t="13970" r="24130" b="14605"/>
                <wp:wrapNone/>
                <wp:docPr id="203" name="矩形 203"/>
                <wp:cNvGraphicFramePr/>
                <a:graphic xmlns:a="http://schemas.openxmlformats.org/drawingml/2006/main">
                  <a:graphicData uri="http://schemas.microsoft.com/office/word/2010/wordprocessingShape">
                    <wps:wsp>
                      <wps:cNvSpPr/>
                      <wps:spPr>
                        <a:xfrm>
                          <a:off x="0" y="0"/>
                          <a:ext cx="285750" cy="142875"/>
                        </a:xfrm>
                        <a:prstGeom prst="rect">
                          <a:avLst/>
                        </a:prstGeom>
                        <a:noFill/>
                        <a:ln w="28575">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75.95pt;margin-top:190.1pt;height:11.25pt;width:22.5pt;z-index:251715584;v-text-anchor:middle;mso-width-relative:page;mso-height-relative:page;" filled="f" stroked="t" coordsize="21600,21600" o:gfxdata="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wTGaRdoAAAANAQAADwAAAAAAAAABACAAAAAiAAAAZHJzL2Rvd25yZXYueG1sUEsBAhQAFAAAAAgA&#10;h07iQIqbGJlcAgAAtwQAAA4AAAAAAAAAAQAgAAAAKQEAAGRycy9lMm9Eb2MueG1sUEsFBgAAAAAG&#10;AAYAWQEAAPcFAAAAAA==&#10;">
                <v:fill on="f" focussize="0,0"/>
                <v:stroke weight="2.25pt" color="#00B050 [2404]" joinstyle="round"/>
                <v:imagedata o:title=""/>
                <o:lock v:ext="edit" aspectratio="f"/>
              </v:rect>
            </w:pict>
          </mc:Fallback>
        </mc:AlternateContent>
      </w:r>
      <w:r>
        <w:rPr>
          <w:color w:val="auto"/>
        </w:rPr>
        <mc:AlternateContent>
          <mc:Choice Requires="wps">
            <w:drawing>
              <wp:anchor distT="0" distB="0" distL="114300" distR="114300" simplePos="0" relativeHeight="251713536" behindDoc="0" locked="0" layoutInCell="1" allowOverlap="1">
                <wp:simplePos x="0" y="0"/>
                <wp:positionH relativeFrom="column">
                  <wp:posOffset>194945</wp:posOffset>
                </wp:positionH>
                <wp:positionV relativeFrom="paragraph">
                  <wp:posOffset>2055495</wp:posOffset>
                </wp:positionV>
                <wp:extent cx="332740" cy="302895"/>
                <wp:effectExtent l="0" t="0" r="0" b="0"/>
                <wp:wrapNone/>
                <wp:docPr id="199" name="矩形 199"/>
                <wp:cNvGraphicFramePr/>
                <a:graphic xmlns:a="http://schemas.openxmlformats.org/drawingml/2006/main">
                  <a:graphicData uri="http://schemas.microsoft.com/office/word/2010/wordprocessingShape">
                    <wps:wsp>
                      <wps:cNvSpPr/>
                      <wps:spPr>
                        <a:xfrm>
                          <a:off x="0" y="0"/>
                          <a:ext cx="332740" cy="302895"/>
                        </a:xfrm>
                        <a:prstGeom prst="rect">
                          <a:avLst/>
                        </a:prstGeom>
                        <a:noFill/>
                        <a:ln>
                          <a:noFill/>
                        </a:ln>
                      </wps:spPr>
                      <wps:txbx>
                        <w:txbxContent>
                          <w:p w14:paraId="648BC6D0">
                            <w:pPr>
                              <w:rPr>
                                <w:b/>
                                <w:color w:val="FFFF00"/>
                              </w:rPr>
                            </w:pPr>
                            <w:r>
                              <w:rPr>
                                <w:rFonts w:hint="eastAsia"/>
                                <w:b/>
                                <w:color w:val="FFFF00"/>
                              </w:rPr>
                              <w:t>0</w:t>
                            </w:r>
                          </w:p>
                        </w:txbxContent>
                      </wps:txbx>
                      <wps:bodyPr upright="1"/>
                    </wps:wsp>
                  </a:graphicData>
                </a:graphic>
              </wp:anchor>
            </w:drawing>
          </mc:Choice>
          <mc:Fallback>
            <w:pict>
              <v:rect id="_x0000_s1026" o:spid="_x0000_s1026" o:spt="1" style="position:absolute;left:0pt;margin-left:15.35pt;margin-top:161.85pt;height:23.85pt;width:26.2pt;z-index:251713536;mso-width-relative:page;mso-height-relative:page;" filled="f" stroked="f" coordsize="21600,21600" o:gfxdata="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Hgw++NkAAAAJAQAADwAA&#10;AAAAAAABACAAAAAiAAAAZHJzL2Rvd25yZXYueG1sUEsBAhQAFAAAAAgAh07iQL1fgu6jAQAARAMA&#10;AA4AAAAAAAAAAQAgAAAAKAEAAGRycy9lMm9Eb2MueG1sUEsFBgAAAAAGAAYAWQEAAD0FAAAAAA==&#10;">
                <v:fill on="f" focussize="0,0"/>
                <v:stroke on="f"/>
                <v:imagedata o:title=""/>
                <o:lock v:ext="edit" aspectratio="f"/>
                <v:textbox>
                  <w:txbxContent>
                    <w:p w14:paraId="648BC6D0">
                      <w:pPr>
                        <w:rPr>
                          <w:b/>
                          <w:color w:val="FFFF00"/>
                        </w:rPr>
                      </w:pPr>
                      <w:r>
                        <w:rPr>
                          <w:rFonts w:hint="eastAsia"/>
                          <w:b/>
                          <w:color w:val="FFFF00"/>
                        </w:rPr>
                        <w:t>0</w:t>
                      </w:r>
                    </w:p>
                  </w:txbxContent>
                </v:textbox>
              </v:rect>
            </w:pict>
          </mc:Fallback>
        </mc:AlternateContent>
      </w:r>
      <w:r>
        <w:rPr>
          <w:color w:val="auto"/>
        </w:rPr>
        <mc:AlternateContent>
          <mc:Choice Requires="wps">
            <w:drawing>
              <wp:anchor distT="0" distB="0" distL="114300" distR="114300" simplePos="0" relativeHeight="251710464" behindDoc="0" locked="0" layoutInCell="1" allowOverlap="1">
                <wp:simplePos x="0" y="0"/>
                <wp:positionH relativeFrom="column">
                  <wp:posOffset>870585</wp:posOffset>
                </wp:positionH>
                <wp:positionV relativeFrom="paragraph">
                  <wp:posOffset>2047240</wp:posOffset>
                </wp:positionV>
                <wp:extent cx="589915" cy="264795"/>
                <wp:effectExtent l="0" t="0" r="0" b="0"/>
                <wp:wrapNone/>
                <wp:docPr id="198" name="矩形 198"/>
                <wp:cNvGraphicFramePr/>
                <a:graphic xmlns:a="http://schemas.openxmlformats.org/drawingml/2006/main">
                  <a:graphicData uri="http://schemas.microsoft.com/office/word/2010/wordprocessingShape">
                    <wps:wsp>
                      <wps:cNvSpPr/>
                      <wps:spPr>
                        <a:xfrm>
                          <a:off x="0" y="0"/>
                          <a:ext cx="589915" cy="264795"/>
                        </a:xfrm>
                        <a:prstGeom prst="rect">
                          <a:avLst/>
                        </a:prstGeom>
                        <a:noFill/>
                        <a:ln>
                          <a:noFill/>
                        </a:ln>
                      </wps:spPr>
                      <wps:txbx>
                        <w:txbxContent>
                          <w:p w14:paraId="2D702881">
                            <w:pPr>
                              <w:rPr>
                                <w:b/>
                                <w:color w:val="FFFF00"/>
                              </w:rPr>
                            </w:pPr>
                            <w:r>
                              <w:rPr>
                                <w:rFonts w:hint="eastAsia"/>
                                <w:b/>
                                <w:color w:val="FFFF00"/>
                                <w:lang w:val="en-US" w:eastAsia="zh-CN"/>
                              </w:rPr>
                              <w:t>200</w:t>
                            </w:r>
                            <w:r>
                              <w:rPr>
                                <w:b/>
                                <w:color w:val="FFFF00"/>
                              </w:rPr>
                              <w:t>m</w:t>
                            </w:r>
                          </w:p>
                        </w:txbxContent>
                      </wps:txbx>
                      <wps:bodyPr upright="1"/>
                    </wps:wsp>
                  </a:graphicData>
                </a:graphic>
              </wp:anchor>
            </w:drawing>
          </mc:Choice>
          <mc:Fallback>
            <w:pict>
              <v:rect id="_x0000_s1026" o:spid="_x0000_s1026" o:spt="1" style="position:absolute;left:0pt;margin-left:68.55pt;margin-top:161.2pt;height:20.85pt;width:46.45pt;z-index:251710464;mso-width-relative:page;mso-height-relative:page;" filled="f" stroked="f" coordsize="21600,21600" o:gfxdata="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fM58vNsAAAALAQAA&#10;DwAAAAAAAAABACAAAAAiAAAAZHJzL2Rvd25yZXYueG1sUEsBAhQAFAAAAAgAh07iQEusm/KkAQAA&#10;RAMAAA4AAAAAAAAAAQAgAAAAKgEAAGRycy9lMm9Eb2MueG1sUEsFBgAAAAAGAAYAWQEAAEAFAAAA&#10;AA==&#10;">
                <v:fill on="f" focussize="0,0"/>
                <v:stroke on="f"/>
                <v:imagedata o:title=""/>
                <o:lock v:ext="edit" aspectratio="f"/>
                <v:textbox>
                  <w:txbxContent>
                    <w:p w14:paraId="2D702881">
                      <w:pPr>
                        <w:rPr>
                          <w:b/>
                          <w:color w:val="FFFF00"/>
                        </w:rPr>
                      </w:pPr>
                      <w:r>
                        <w:rPr>
                          <w:rFonts w:hint="eastAsia"/>
                          <w:b/>
                          <w:color w:val="FFFF00"/>
                          <w:lang w:val="en-US" w:eastAsia="zh-CN"/>
                        </w:rPr>
                        <w:t>200</w:t>
                      </w:r>
                      <w:r>
                        <w:rPr>
                          <w:b/>
                          <w:color w:val="FFFF00"/>
                        </w:rPr>
                        <w:t>m</w:t>
                      </w:r>
                    </w:p>
                  </w:txbxContent>
                </v:textbox>
              </v:rect>
            </w:pict>
          </mc:Fallback>
        </mc:AlternateContent>
      </w:r>
      <w:r>
        <w:rPr>
          <w:color w:val="auto"/>
        </w:rPr>
        <mc:AlternateContent>
          <mc:Choice Requires="wpg">
            <w:drawing>
              <wp:anchor distT="0" distB="0" distL="114300" distR="114300" simplePos="0" relativeHeight="251709440" behindDoc="0" locked="0" layoutInCell="1" allowOverlap="1">
                <wp:simplePos x="0" y="0"/>
                <wp:positionH relativeFrom="column">
                  <wp:posOffset>295275</wp:posOffset>
                </wp:positionH>
                <wp:positionV relativeFrom="paragraph">
                  <wp:posOffset>2305050</wp:posOffset>
                </wp:positionV>
                <wp:extent cx="758190" cy="127000"/>
                <wp:effectExtent l="6985" t="0" r="15875" b="25400"/>
                <wp:wrapNone/>
                <wp:docPr id="197" name="组合 197"/>
                <wp:cNvGraphicFramePr/>
                <a:graphic xmlns:a="http://schemas.openxmlformats.org/drawingml/2006/main">
                  <a:graphicData uri="http://schemas.microsoft.com/office/word/2010/wordprocessingGroup">
                    <wpg:wgp>
                      <wpg:cNvGrpSpPr/>
                      <wpg:grpSpPr>
                        <a:xfrm>
                          <a:off x="0" y="0"/>
                          <a:ext cx="758190" cy="127000"/>
                          <a:chOff x="1474" y="9972"/>
                          <a:chExt cx="2863" cy="181"/>
                        </a:xfrm>
                      </wpg:grpSpPr>
                      <wps:wsp>
                        <wps:cNvPr id="191" name="直接箭头连接符 191"/>
                        <wps:cNvCnPr/>
                        <wps:spPr>
                          <a:xfrm>
                            <a:off x="1474" y="10147"/>
                            <a:ext cx="2863" cy="0"/>
                          </a:xfrm>
                          <a:prstGeom prst="straightConnector1">
                            <a:avLst/>
                          </a:prstGeom>
                          <a:ln w="22225" cap="flat" cmpd="sng">
                            <a:solidFill>
                              <a:srgbClr val="FFFF00"/>
                            </a:solidFill>
                            <a:prstDash val="solid"/>
                            <a:headEnd type="none" w="med" len="med"/>
                            <a:tailEnd type="none" w="med" len="med"/>
                          </a:ln>
                        </wps:spPr>
                        <wps:bodyPr/>
                      </wps:wsp>
                      <wps:wsp>
                        <wps:cNvPr id="192" name="直接箭头连接符 192"/>
                        <wps:cNvCnPr/>
                        <wps:spPr>
                          <a:xfrm>
                            <a:off x="1490" y="9972"/>
                            <a:ext cx="0" cy="175"/>
                          </a:xfrm>
                          <a:prstGeom prst="straightConnector1">
                            <a:avLst/>
                          </a:prstGeom>
                          <a:ln w="22225" cap="flat" cmpd="sng">
                            <a:solidFill>
                              <a:srgbClr val="FFFF00"/>
                            </a:solidFill>
                            <a:prstDash val="solid"/>
                            <a:headEnd type="none" w="med" len="med"/>
                            <a:tailEnd type="none" w="med" len="med"/>
                          </a:ln>
                        </wps:spPr>
                        <wps:bodyPr/>
                      </wps:wsp>
                      <wps:wsp>
                        <wps:cNvPr id="193" name="直接箭头连接符 193"/>
                        <wps:cNvCnPr/>
                        <wps:spPr>
                          <a:xfrm>
                            <a:off x="2913" y="9972"/>
                            <a:ext cx="0" cy="175"/>
                          </a:xfrm>
                          <a:prstGeom prst="straightConnector1">
                            <a:avLst/>
                          </a:prstGeom>
                          <a:ln w="22225" cap="flat" cmpd="sng">
                            <a:solidFill>
                              <a:srgbClr val="FFFF00"/>
                            </a:solidFill>
                            <a:prstDash val="solid"/>
                            <a:headEnd type="none" w="med" len="med"/>
                            <a:tailEnd type="none" w="med" len="med"/>
                          </a:ln>
                        </wps:spPr>
                        <wps:bodyPr/>
                      </wps:wsp>
                      <wps:wsp>
                        <wps:cNvPr id="194" name="直接箭头连接符 194"/>
                        <wps:cNvCnPr/>
                        <wps:spPr>
                          <a:xfrm>
                            <a:off x="4321" y="9972"/>
                            <a:ext cx="0" cy="175"/>
                          </a:xfrm>
                          <a:prstGeom prst="straightConnector1">
                            <a:avLst/>
                          </a:prstGeom>
                          <a:ln w="22225" cap="flat" cmpd="sng">
                            <a:solidFill>
                              <a:srgbClr val="FFFF00"/>
                            </a:solidFill>
                            <a:prstDash val="solid"/>
                            <a:headEnd type="none" w="med" len="med"/>
                            <a:tailEnd type="none" w="med" len="med"/>
                          </a:ln>
                        </wps:spPr>
                        <wps:bodyPr/>
                      </wps:wsp>
                      <wps:wsp>
                        <wps:cNvPr id="195" name="直接箭头连接符 195"/>
                        <wps:cNvCnPr/>
                        <wps:spPr>
                          <a:xfrm>
                            <a:off x="2206" y="10021"/>
                            <a:ext cx="1" cy="132"/>
                          </a:xfrm>
                          <a:prstGeom prst="straightConnector1">
                            <a:avLst/>
                          </a:prstGeom>
                          <a:ln w="22225" cap="flat" cmpd="sng">
                            <a:solidFill>
                              <a:srgbClr val="FFFF00"/>
                            </a:solidFill>
                            <a:prstDash val="solid"/>
                            <a:headEnd type="none" w="med" len="med"/>
                            <a:tailEnd type="none" w="med" len="med"/>
                          </a:ln>
                        </wps:spPr>
                        <wps:bodyPr/>
                      </wps:wsp>
                      <wps:wsp>
                        <wps:cNvPr id="196" name="直接箭头连接符 196"/>
                        <wps:cNvCnPr/>
                        <wps:spPr>
                          <a:xfrm>
                            <a:off x="3628" y="10021"/>
                            <a:ext cx="1" cy="132"/>
                          </a:xfrm>
                          <a:prstGeom prst="straightConnector1">
                            <a:avLst/>
                          </a:prstGeom>
                          <a:ln w="22225" cap="flat" cmpd="sng">
                            <a:solidFill>
                              <a:srgbClr val="FFFF00"/>
                            </a:solidFill>
                            <a:prstDash val="solid"/>
                            <a:headEnd type="none" w="med" len="med"/>
                            <a:tailEnd type="none" w="med" len="med"/>
                          </a:ln>
                        </wps:spPr>
                        <wps:bodyPr/>
                      </wps:wsp>
                    </wpg:wgp>
                  </a:graphicData>
                </a:graphic>
              </wp:anchor>
            </w:drawing>
          </mc:Choice>
          <mc:Fallback>
            <w:pict>
              <v:group id="_x0000_s1026" o:spid="_x0000_s1026" o:spt="203" style="position:absolute;left:0pt;margin-left:23.25pt;margin-top:181.5pt;height:10pt;width:59.7pt;z-index:251709440;mso-width-relative:page;mso-height-relative:page;" coordorigin="1474,9972" coordsize="2863,181" o:gfxdata="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">
                <o:lock v:ext="edit" aspectratio="f"/>
                <v:shape id="_x0000_s1026" o:spid="_x0000_s1026" o:spt="32" type="#_x0000_t32" style="position:absolute;left:1474;top:10147;height:0;width:2863;" filled="f" stroked="t" coordsize="21600,21600" o:gfxdata="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icAivQAA&#10;ANwAAAAPAAAAAAAAAAEAIAAAACIAAABkcnMvZG93bnJldi54bWxQSwECFAAUAAAACACHTuJAMy8F&#10;njsAAAA5AAAAEAAAAAAAAAABACAAAAAMAQAAZHJzL3NoYXBleG1sLnhtbFBLBQYAAAAABgAGAFsB&#10;AAC2AwAAAAA=&#10;">
                  <v:fill on="f" focussize="0,0"/>
                  <v:stroke weight="1.75pt" color="#FFFF00" joinstyle="round"/>
                  <v:imagedata o:title=""/>
                  <o:lock v:ext="edit" aspectratio="f"/>
                </v:shape>
                <v:shape id="_x0000_s1026" o:spid="_x0000_s1026" o:spt="32" type="#_x0000_t32" style="position:absolute;left:1490;top:9972;height:175;width:0;" filled="f" stroked="t" coordsize="21600,21600" o:gfxdata="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W15VvQAA&#10;ANwAAAAPAAAAAAAAAAEAIAAAACIAAABkcnMvZG93bnJldi54bWxQSwECFAAUAAAACACHTuJAMy8F&#10;njsAAAA5AAAAEAAAAAAAAAABACAAAAAMAQAAZHJzL3NoYXBleG1sLnhtbFBLBQYAAAAABgAGAFsB&#10;AAC2AwAAAAA=&#10;">
                  <v:fill on="f" focussize="0,0"/>
                  <v:stroke weight="1.75pt" color="#FFFF00" joinstyle="round"/>
                  <v:imagedata o:title=""/>
                  <o:lock v:ext="edit" aspectratio="f"/>
                </v:shape>
                <v:shape id="_x0000_s1026" o:spid="_x0000_s1026" o:spt="32" type="#_x0000_t32" style="position:absolute;left:2913;top:9972;height:175;width:0;" filled="f" stroked="t" coordsize="21600,21600" o:gfxdata="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F/vOvQAA&#10;ANwAAAAPAAAAAAAAAAEAIAAAACIAAABkcnMvZG93bnJldi54bWxQSwECFAAUAAAACACHTuJAMy8F&#10;njsAAAA5AAAAEAAAAAAAAAABACAAAAAMAQAAZHJzL3NoYXBleG1sLnhtbFBLBQYAAAAABgAGAFsB&#10;AAC2AwAAAAA=&#10;">
                  <v:fill on="f" focussize="0,0"/>
                  <v:stroke weight="1.75pt" color="#FFFF00" joinstyle="round"/>
                  <v:imagedata o:title=""/>
                  <o:lock v:ext="edit" aspectratio="f"/>
                </v:shape>
                <v:shape id="_x0000_s1026" o:spid="_x0000_s1026" o:spt="32" type="#_x0000_t32" style="position:absolute;left:4321;top:9972;height:175;width:0;" filled="f" stroked="t" coordsize="21600,21600" o:gfxdata="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mO6vQAA&#10;ANwAAAAPAAAAAAAAAAEAIAAAACIAAABkcnMvZG93bnJldi54bWxQSwECFAAUAAAACACHTuJAMy8F&#10;njsAAAA5AAAAEAAAAAAAAAABACAAAAAMAQAAZHJzL3NoYXBleG1sLnhtbFBLBQYAAAAABgAGAFsB&#10;AAC2AwAAAAA=&#10;">
                  <v:fill on="f" focussize="0,0"/>
                  <v:stroke weight="1.75pt" color="#FFFF00" joinstyle="round"/>
                  <v:imagedata o:title=""/>
                  <o:lock v:ext="edit" aspectratio="f"/>
                </v:shape>
                <v:shape id="_x0000_s1026" o:spid="_x0000_s1026" o:spt="32" type="#_x0000_t32" style="position:absolute;left:2206;top:10021;height:132;width:1;" filled="f" stroked="t" coordsize="21600,21600" o:gfxdata="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ssYhvQAA&#10;ANwAAAAPAAAAAAAAAAEAIAAAACIAAABkcnMvZG93bnJldi54bWxQSwECFAAUAAAACACHTuJAMy8F&#10;njsAAAA5AAAAEAAAAAAAAAABACAAAAAMAQAAZHJzL3NoYXBleG1sLnhtbFBLBQYAAAAABgAGAFsB&#10;AAC2AwAAAAA=&#10;">
                  <v:fill on="f" focussize="0,0"/>
                  <v:stroke weight="1.75pt" color="#FFFF00" joinstyle="round"/>
                  <v:imagedata o:title=""/>
                  <o:lock v:ext="edit" aspectratio="f"/>
                </v:shape>
                <v:shape id="_x0000_s1026" o:spid="_x0000_s1026" o:spt="32" type="#_x0000_t32" style="position:absolute;left:3628;top:10021;height:132;width:1;" filled="f" stroked="t" coordsize="21600,21600" o:gfxdata="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YFhWvQAA&#10;ANwAAAAPAAAAAAAAAAEAIAAAACIAAABkcnMvZG93bnJldi54bWxQSwECFAAUAAAACACHTuJAMy8F&#10;njsAAAA5AAAAEAAAAAAAAAABACAAAAAMAQAAZHJzL3NoYXBleG1sLnhtbFBLBQYAAAAABgAGAFsB&#10;AAC2AwAAAAA=&#10;">
                  <v:fill on="f" focussize="0,0"/>
                  <v:stroke weight="1.75pt" color="#FFFF00" joinstyle="round"/>
                  <v:imagedata o:title=""/>
                  <o:lock v:ext="edit" aspectratio="f"/>
                </v:shape>
              </v:group>
            </w:pict>
          </mc:Fallback>
        </mc:AlternateContent>
      </w:r>
      <w:r>
        <w:rPr>
          <w:color w:val="auto"/>
        </w:rPr>
        <mc:AlternateContent>
          <mc:Choice Requires="wps">
            <w:drawing>
              <wp:anchor distT="0" distB="0" distL="114300" distR="114300" simplePos="0" relativeHeight="251673600" behindDoc="0" locked="0" layoutInCell="1" allowOverlap="1">
                <wp:simplePos x="0" y="0"/>
                <wp:positionH relativeFrom="column">
                  <wp:posOffset>1971040</wp:posOffset>
                </wp:positionH>
                <wp:positionV relativeFrom="paragraph">
                  <wp:posOffset>-5705475</wp:posOffset>
                </wp:positionV>
                <wp:extent cx="5529580" cy="553085"/>
                <wp:effectExtent l="0" t="0" r="0" b="0"/>
                <wp:wrapNone/>
                <wp:docPr id="36" name="文本框 36"/>
                <wp:cNvGraphicFramePr/>
                <a:graphic xmlns:a="http://schemas.openxmlformats.org/drawingml/2006/main">
                  <a:graphicData uri="http://schemas.microsoft.com/office/word/2010/wordprocessingShape">
                    <wps:wsp>
                      <wps:cNvSpPr txBox="1"/>
                      <wps:spPr>
                        <a:xfrm>
                          <a:off x="2931160" y="6358255"/>
                          <a:ext cx="5529580" cy="553085"/>
                        </a:xfrm>
                        <a:prstGeom prst="rect">
                          <a:avLst/>
                        </a:prstGeom>
                        <a:noFill/>
                        <a:ln>
                          <a:noFill/>
                        </a:ln>
                        <a:effectLst/>
                      </wps:spPr>
                      <wps:txbx>
                        <w:txbxContent>
                          <w:p w14:paraId="5AD34207">
                            <w:pPr>
                              <w:jc w:val="center"/>
                              <w:rPr>
                                <w:rFonts w:ascii="宋体" w:hAnsi="宋体"/>
                                <w:b/>
                                <w:sz w:val="28"/>
                                <w:szCs w:val="28"/>
                              </w:rPr>
                            </w:pPr>
                            <w:r>
                              <w:rPr>
                                <w:rFonts w:hint="eastAsia" w:ascii="宋体" w:hAnsi="宋体"/>
                                <w:b/>
                                <w:sz w:val="28"/>
                                <w:szCs w:val="28"/>
                              </w:rPr>
                              <w:t xml:space="preserve">附图二  </w:t>
                            </w:r>
                            <w:r>
                              <w:rPr>
                                <w:rFonts w:hint="eastAsia" w:ascii="宋体" w:hAnsi="宋体"/>
                                <w:b/>
                                <w:sz w:val="28"/>
                                <w:szCs w:val="28"/>
                                <w:lang w:eastAsia="zh-CN"/>
                              </w:rPr>
                              <w:t>周边</w:t>
                            </w:r>
                            <w:r>
                              <w:rPr>
                                <w:rFonts w:hint="eastAsia" w:ascii="宋体" w:hAnsi="宋体"/>
                                <w:b/>
                                <w:sz w:val="28"/>
                                <w:szCs w:val="28"/>
                              </w:rPr>
                              <w:t>关系图</w:t>
                            </w:r>
                          </w:p>
                        </w:txbxContent>
                      </wps:txbx>
                      <wps:bodyPr wrap="square" upright="1"/>
                    </wps:wsp>
                  </a:graphicData>
                </a:graphic>
              </wp:anchor>
            </w:drawing>
          </mc:Choice>
          <mc:Fallback>
            <w:pict>
              <v:shape id="_x0000_s1026" o:spid="_x0000_s1026" o:spt="202" type="#_x0000_t202" style="position:absolute;left:0pt;margin-left:155.2pt;margin-top:-449.25pt;height:43.55pt;width:435.4pt;z-index:251673600;mso-width-relative:page;mso-height-relative:page;" filled="f" stroked="f" coordsize="21600,21600" o:gfxdata="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u/wlY2QAAAA4BAAAPAAAAAAAAAAEAIAAAACIAAABkcnMv&#10;ZG93bnJldi54bWxQSwECFAAUAAAACACHTuJAzzOoH8kBAAB4AwAADgAAAAAAAAABACAAAAAoAQAA&#10;ZHJzL2Uyb0RvYy54bWxQSwUGAAAAAAYABgBZAQAAYwUAAAAA&#10;">
                <v:fill on="f" focussize="0,0"/>
                <v:stroke on="f"/>
                <v:imagedata o:title=""/>
                <o:lock v:ext="edit" aspectratio="f"/>
                <v:textbox>
                  <w:txbxContent>
                    <w:p w14:paraId="5AD34207">
                      <w:pPr>
                        <w:jc w:val="center"/>
                        <w:rPr>
                          <w:rFonts w:ascii="宋体" w:hAnsi="宋体"/>
                          <w:b/>
                          <w:sz w:val="28"/>
                          <w:szCs w:val="28"/>
                        </w:rPr>
                      </w:pPr>
                      <w:r>
                        <w:rPr>
                          <w:rFonts w:hint="eastAsia" w:ascii="宋体" w:hAnsi="宋体"/>
                          <w:b/>
                          <w:sz w:val="28"/>
                          <w:szCs w:val="28"/>
                        </w:rPr>
                        <w:t xml:space="preserve">附图二  </w:t>
                      </w:r>
                      <w:r>
                        <w:rPr>
                          <w:rFonts w:hint="eastAsia" w:ascii="宋体" w:hAnsi="宋体"/>
                          <w:b/>
                          <w:sz w:val="28"/>
                          <w:szCs w:val="28"/>
                          <w:lang w:eastAsia="zh-CN"/>
                        </w:rPr>
                        <w:t>周边</w:t>
                      </w:r>
                      <w:r>
                        <w:rPr>
                          <w:rFonts w:hint="eastAsia" w:ascii="宋体" w:hAnsi="宋体"/>
                          <w:b/>
                          <w:sz w:val="28"/>
                          <w:szCs w:val="28"/>
                        </w:rPr>
                        <w:t>关系图</w:t>
                      </w:r>
                    </w:p>
                  </w:txbxContent>
                </v:textbox>
              </v:shape>
            </w:pict>
          </mc:Fallback>
        </mc:AlternateContent>
      </w:r>
    </w:p>
    <w:p w14:paraId="23F8355D">
      <w:pPr>
        <w:spacing w:before="62"/>
        <w:ind w:right="4070"/>
        <w:jc w:val="both"/>
        <w:rPr>
          <w:color w:val="auto"/>
          <w:sz w:val="28"/>
          <w:lang w:val="en-US"/>
        </w:rPr>
        <w:sectPr>
          <w:pgSz w:w="11910" w:h="16840"/>
          <w:pgMar w:top="1440" w:right="879" w:bottom="1219" w:left="901" w:header="720" w:footer="1043" w:gutter="0"/>
          <w:pgBorders>
            <w:top w:val="none" w:sz="0" w:space="0"/>
            <w:left w:val="none" w:sz="0" w:space="0"/>
            <w:bottom w:val="none" w:sz="0" w:space="0"/>
            <w:right w:val="none" w:sz="0" w:space="0"/>
          </w:pgBorders>
          <w:pgNumType w:fmt="decimal"/>
          <w:cols w:space="720" w:num="1"/>
        </w:sectPr>
      </w:pPr>
      <w:r>
        <w:rPr>
          <w:color w:val="auto"/>
          <w:sz w:val="28"/>
        </w:rPr>
        <mc:AlternateContent>
          <mc:Choice Requires="wps">
            <w:drawing>
              <wp:anchor distT="0" distB="0" distL="114300" distR="114300" simplePos="0" relativeHeight="251705344" behindDoc="0" locked="0" layoutInCell="1" allowOverlap="1">
                <wp:simplePos x="0" y="0"/>
                <wp:positionH relativeFrom="column">
                  <wp:posOffset>5243830</wp:posOffset>
                </wp:positionH>
                <wp:positionV relativeFrom="paragraph">
                  <wp:posOffset>2265045</wp:posOffset>
                </wp:positionV>
                <wp:extent cx="583565" cy="753110"/>
                <wp:effectExtent l="0" t="0" r="6985" b="8890"/>
                <wp:wrapNone/>
                <wp:docPr id="173" name="文本框 193"/>
                <wp:cNvGraphicFramePr/>
                <a:graphic xmlns:a="http://schemas.openxmlformats.org/drawingml/2006/main">
                  <a:graphicData uri="http://schemas.microsoft.com/office/word/2010/wordprocessingShape">
                    <wps:wsp>
                      <wps:cNvSpPr txBox="1"/>
                      <wps:spPr>
                        <a:xfrm>
                          <a:off x="0" y="0"/>
                          <a:ext cx="583565" cy="753110"/>
                        </a:xfrm>
                        <a:prstGeom prst="rect">
                          <a:avLst/>
                        </a:prstGeom>
                        <a:solidFill>
                          <a:srgbClr val="FFFFFF"/>
                        </a:solidFill>
                        <a:ln>
                          <a:noFill/>
                        </a:ln>
                      </wps:spPr>
                      <wps:txbx>
                        <w:txbxContent>
                          <w:p w14:paraId="7B297580">
                            <w:pPr>
                              <w:jc w:val="center"/>
                              <w:rPr>
                                <w:rFonts w:hint="eastAsia" w:eastAsia="宋体"/>
                                <w:color w:val="FF0000"/>
                                <w:lang w:eastAsia="zh-CN"/>
                              </w:rPr>
                            </w:pPr>
                            <w:r>
                              <w:rPr>
                                <w:rFonts w:hint="eastAsia"/>
                                <w:color w:val="FF0000"/>
                                <w:lang w:val="en-US" w:eastAsia="zh-CN"/>
                              </w:rPr>
                              <w:t>新</w:t>
                            </w:r>
                            <w:r>
                              <w:rPr>
                                <w:rFonts w:hint="eastAsia"/>
                                <w:color w:val="FF0000"/>
                                <w:lang w:eastAsia="zh-CN"/>
                              </w:rPr>
                              <w:t>污水处理站</w:t>
                            </w:r>
                          </w:p>
                        </w:txbxContent>
                      </wps:txbx>
                      <wps:bodyPr wrap="square" upright="1"/>
                    </wps:wsp>
                  </a:graphicData>
                </a:graphic>
              </wp:anchor>
            </w:drawing>
          </mc:Choice>
          <mc:Fallback>
            <w:pict>
              <v:shape id="文本框 193" o:spid="_x0000_s1026" o:spt="202" type="#_x0000_t202" style="position:absolute;left:0pt;margin-left:412.9pt;margin-top:178.35pt;height:59.3pt;width:45.95pt;z-index:251705344;mso-width-relative:page;mso-height-relative:page;" fillcolor="#FFFFFF" filled="t" stroked="f" coordsize="21600,21600" o:gfxdata="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JNz4pLaAAAACwEAAA8AAAAAAAAAAQAgAAAA&#10;IgAAAGRycy9kb3ducmV2LnhtbFBLAQIUABQAAAAIAIdO4kC9ILPl0AEAAIgDAAAOAAAAAAAAAAEA&#10;IAAAACkBAABkcnMvZTJvRG9jLnhtbFBLBQYAAAAABgAGAFkBAABrBQAAAAA=&#10;">
                <v:fill on="t" focussize="0,0"/>
                <v:stroke on="f"/>
                <v:imagedata o:title=""/>
                <o:lock v:ext="edit" aspectratio="f"/>
                <v:textbox>
                  <w:txbxContent>
                    <w:p w14:paraId="7B297580">
                      <w:pPr>
                        <w:jc w:val="center"/>
                        <w:rPr>
                          <w:rFonts w:hint="eastAsia" w:eastAsia="宋体"/>
                          <w:color w:val="FF0000"/>
                          <w:lang w:eastAsia="zh-CN"/>
                        </w:rPr>
                      </w:pPr>
                      <w:r>
                        <w:rPr>
                          <w:rFonts w:hint="eastAsia"/>
                          <w:color w:val="FF0000"/>
                          <w:lang w:val="en-US" w:eastAsia="zh-CN"/>
                        </w:rPr>
                        <w:t>新</w:t>
                      </w:r>
                      <w:r>
                        <w:rPr>
                          <w:rFonts w:hint="eastAsia"/>
                          <w:color w:val="FF0000"/>
                          <w:lang w:eastAsia="zh-CN"/>
                        </w:rPr>
                        <w:t>污水处理站</w:t>
                      </w:r>
                    </w:p>
                  </w:txbxContent>
                </v:textbox>
              </v:shape>
            </w:pict>
          </mc:Fallback>
        </mc:AlternateContent>
      </w:r>
      <w:r>
        <w:rPr>
          <w:color w:val="auto"/>
        </w:rPr>
        <mc:AlternateContent>
          <mc:Choice Requires="wps">
            <w:drawing>
              <wp:anchor distT="0" distB="0" distL="114300" distR="114300" simplePos="0" relativeHeight="251692032" behindDoc="0" locked="0" layoutInCell="1" allowOverlap="1">
                <wp:simplePos x="0" y="0"/>
                <wp:positionH relativeFrom="column">
                  <wp:posOffset>1195705</wp:posOffset>
                </wp:positionH>
                <wp:positionV relativeFrom="paragraph">
                  <wp:posOffset>8688705</wp:posOffset>
                </wp:positionV>
                <wp:extent cx="4148455" cy="364490"/>
                <wp:effectExtent l="0" t="0" r="0" b="0"/>
                <wp:wrapNone/>
                <wp:docPr id="50" name="文本框 50"/>
                <wp:cNvGraphicFramePr/>
                <a:graphic xmlns:a="http://schemas.openxmlformats.org/drawingml/2006/main">
                  <a:graphicData uri="http://schemas.microsoft.com/office/word/2010/wordprocessingShape">
                    <wps:wsp>
                      <wps:cNvSpPr txBox="1"/>
                      <wps:spPr>
                        <a:xfrm>
                          <a:off x="3621405" y="6316980"/>
                          <a:ext cx="4148455" cy="364490"/>
                        </a:xfrm>
                        <a:prstGeom prst="rect">
                          <a:avLst/>
                        </a:prstGeom>
                        <a:noFill/>
                        <a:ln>
                          <a:noFill/>
                        </a:ln>
                        <a:effectLst/>
                      </wps:spPr>
                      <wps:txbx>
                        <w:txbxContent>
                          <w:p w14:paraId="5ECD5489">
                            <w:pPr>
                              <w:pStyle w:val="4"/>
                              <w:jc w:val="center"/>
                              <w:rPr>
                                <w:sz w:val="24"/>
                                <w:szCs w:val="24"/>
                              </w:rPr>
                            </w:pPr>
                            <w:r>
                              <w:rPr>
                                <w:rFonts w:hint="eastAsia" w:ascii="宋体" w:hAnsi="宋体"/>
                                <w:b/>
                                <w:sz w:val="28"/>
                                <w:szCs w:val="28"/>
                              </w:rPr>
                              <w:t>附图</w:t>
                            </w:r>
                            <w:r>
                              <w:rPr>
                                <w:rFonts w:hint="eastAsia" w:ascii="宋体" w:hAnsi="宋体"/>
                                <w:b/>
                                <w:sz w:val="28"/>
                                <w:szCs w:val="28"/>
                                <w:lang w:val="en-US" w:eastAsia="zh-CN"/>
                              </w:rPr>
                              <w:t>三</w:t>
                            </w:r>
                            <w:r>
                              <w:rPr>
                                <w:rFonts w:hint="eastAsia" w:ascii="宋体" w:hAnsi="宋体"/>
                                <w:b/>
                                <w:sz w:val="28"/>
                                <w:szCs w:val="28"/>
                              </w:rPr>
                              <w:t xml:space="preserve">  </w:t>
                            </w:r>
                            <w:r>
                              <w:rPr>
                                <w:rFonts w:hint="eastAsia" w:ascii="宋体" w:hAnsi="宋体"/>
                                <w:b/>
                                <w:sz w:val="28"/>
                                <w:szCs w:val="28"/>
                                <w:lang w:eastAsia="zh-CN"/>
                              </w:rPr>
                              <w:t>平面布置图</w:t>
                            </w:r>
                          </w:p>
                        </w:txbxContent>
                      </wps:txbx>
                      <wps:bodyPr vert="horz" wrap="square" anchor="t" anchorCtr="0" upright="1"/>
                    </wps:wsp>
                  </a:graphicData>
                </a:graphic>
              </wp:anchor>
            </w:drawing>
          </mc:Choice>
          <mc:Fallback>
            <w:pict>
              <v:shape id="_x0000_s1026" o:spid="_x0000_s1026" o:spt="202" type="#_x0000_t202" style="position:absolute;left:0pt;margin-left:94.15pt;margin-top:684.15pt;height:28.7pt;width:326.65pt;z-index:251692032;mso-width-relative:page;mso-height-relative:page;" filled="f" stroked="f" coordsize="21600,21600" o:gfxdata="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YtLq92QAAAA0BAAAP&#10;AAAAAAAAAAEAIAAAACIAAABkcnMvZG93bnJldi54bWxQSwECFAAUAAAACACHTuJA/f0egt4BAACd&#10;AwAADgAAAAAAAAABACAAAAAoAQAAZHJzL2Uyb0RvYy54bWxQSwUGAAAAAAYABgBZAQAAeAUAAAAA&#10;">
                <v:fill on="f" focussize="0,0"/>
                <v:stroke on="f"/>
                <v:imagedata o:title=""/>
                <o:lock v:ext="edit" aspectratio="f"/>
                <v:textbox>
                  <w:txbxContent>
                    <w:p w14:paraId="5ECD5489">
                      <w:pPr>
                        <w:pStyle w:val="4"/>
                        <w:jc w:val="center"/>
                        <w:rPr>
                          <w:sz w:val="24"/>
                          <w:szCs w:val="24"/>
                        </w:rPr>
                      </w:pPr>
                      <w:r>
                        <w:rPr>
                          <w:rFonts w:hint="eastAsia" w:ascii="宋体" w:hAnsi="宋体"/>
                          <w:b/>
                          <w:sz w:val="28"/>
                          <w:szCs w:val="28"/>
                        </w:rPr>
                        <w:t>附图</w:t>
                      </w:r>
                      <w:r>
                        <w:rPr>
                          <w:rFonts w:hint="eastAsia" w:ascii="宋体" w:hAnsi="宋体"/>
                          <w:b/>
                          <w:sz w:val="28"/>
                          <w:szCs w:val="28"/>
                          <w:lang w:val="en-US" w:eastAsia="zh-CN"/>
                        </w:rPr>
                        <w:t>三</w:t>
                      </w:r>
                      <w:r>
                        <w:rPr>
                          <w:rFonts w:hint="eastAsia" w:ascii="宋体" w:hAnsi="宋体"/>
                          <w:b/>
                          <w:sz w:val="28"/>
                          <w:szCs w:val="28"/>
                        </w:rPr>
                        <w:t xml:space="preserve">  </w:t>
                      </w:r>
                      <w:r>
                        <w:rPr>
                          <w:rFonts w:hint="eastAsia" w:ascii="宋体" w:hAnsi="宋体"/>
                          <w:b/>
                          <w:sz w:val="28"/>
                          <w:szCs w:val="28"/>
                          <w:lang w:eastAsia="zh-CN"/>
                        </w:rPr>
                        <w:t>平面布置图</w:t>
                      </w:r>
                    </w:p>
                  </w:txbxContent>
                </v:textbox>
              </v:shape>
            </w:pict>
          </mc:Fallback>
        </mc:AlternateContent>
      </w:r>
      <w:r>
        <w:rPr>
          <w:rFonts w:hint="eastAsia" w:ascii="Times New Roman" w:hAnsi="Times New Roman" w:eastAsia="宋体" w:cs="Times New Roman"/>
          <w:snapToGrid w:val="0"/>
          <w:color w:val="auto"/>
          <w:spacing w:val="-6"/>
          <w:kern w:val="21"/>
          <w:szCs w:val="21"/>
          <w:lang w:eastAsia="zh-CN"/>
        </w:rPr>
        <w:drawing>
          <wp:anchor distT="0" distB="0" distL="114300" distR="114300" simplePos="0" relativeHeight="251716608" behindDoc="0" locked="0" layoutInCell="1" allowOverlap="1">
            <wp:simplePos x="0" y="0"/>
            <wp:positionH relativeFrom="column">
              <wp:posOffset>260350</wp:posOffset>
            </wp:positionH>
            <wp:positionV relativeFrom="paragraph">
              <wp:posOffset>432435</wp:posOffset>
            </wp:positionV>
            <wp:extent cx="954405" cy="857885"/>
            <wp:effectExtent l="9525" t="9525" r="26670" b="27940"/>
            <wp:wrapNone/>
            <wp:docPr id="204" name="图片 2" descr="东胜区风玫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 descr="东胜区风玫瑰图"/>
                    <pic:cNvPicPr>
                      <a:picLocks noChangeAspect="1"/>
                    </pic:cNvPicPr>
                  </pic:nvPicPr>
                  <pic:blipFill>
                    <a:blip r:embed="rId32"/>
                    <a:stretch>
                      <a:fillRect/>
                    </a:stretch>
                  </pic:blipFill>
                  <pic:spPr>
                    <a:xfrm>
                      <a:off x="0" y="0"/>
                      <a:ext cx="954405" cy="857885"/>
                    </a:xfrm>
                    <a:prstGeom prst="rect">
                      <a:avLst/>
                    </a:prstGeom>
                    <a:noFill/>
                    <a:ln w="9525" cap="flat" cmpd="sng">
                      <a:solidFill>
                        <a:srgbClr val="000000"/>
                      </a:solidFill>
                      <a:prstDash val="solid"/>
                      <a:miter/>
                      <a:headEnd type="none" w="med" len="med"/>
                      <a:tailEnd type="none" w="med" len="med"/>
                    </a:ln>
                  </pic:spPr>
                </pic:pic>
              </a:graphicData>
            </a:graphic>
          </wp:anchor>
        </w:drawing>
      </w:r>
      <w:r>
        <w:rPr>
          <w:color w:val="auto"/>
          <w:sz w:val="28"/>
        </w:rPr>
        <mc:AlternateContent>
          <mc:Choice Requires="wps">
            <w:drawing>
              <wp:anchor distT="0" distB="0" distL="114300" distR="114300" simplePos="0" relativeHeight="251685888" behindDoc="0" locked="0" layoutInCell="1" allowOverlap="1">
                <wp:simplePos x="0" y="0"/>
                <wp:positionH relativeFrom="column">
                  <wp:posOffset>4519930</wp:posOffset>
                </wp:positionH>
                <wp:positionV relativeFrom="paragraph">
                  <wp:posOffset>2305685</wp:posOffset>
                </wp:positionV>
                <wp:extent cx="583565" cy="684530"/>
                <wp:effectExtent l="0" t="0" r="6985" b="1270"/>
                <wp:wrapNone/>
                <wp:docPr id="32" name="文本框 193"/>
                <wp:cNvGraphicFramePr/>
                <a:graphic xmlns:a="http://schemas.openxmlformats.org/drawingml/2006/main">
                  <a:graphicData uri="http://schemas.microsoft.com/office/word/2010/wordprocessingShape">
                    <wps:wsp>
                      <wps:cNvSpPr txBox="1"/>
                      <wps:spPr>
                        <a:xfrm>
                          <a:off x="0" y="0"/>
                          <a:ext cx="583565" cy="684530"/>
                        </a:xfrm>
                        <a:prstGeom prst="rect">
                          <a:avLst/>
                        </a:prstGeom>
                        <a:solidFill>
                          <a:srgbClr val="FFFFFF"/>
                        </a:solidFill>
                        <a:ln>
                          <a:noFill/>
                        </a:ln>
                      </wps:spPr>
                      <wps:txbx>
                        <w:txbxContent>
                          <w:p w14:paraId="056E0F17">
                            <w:pPr>
                              <w:jc w:val="center"/>
                              <w:rPr>
                                <w:rFonts w:hint="eastAsia" w:eastAsia="宋体"/>
                                <w:color w:val="FF0000"/>
                                <w:lang w:eastAsia="zh-CN"/>
                              </w:rPr>
                            </w:pPr>
                            <w:r>
                              <w:rPr>
                                <w:rFonts w:hint="eastAsia"/>
                                <w:color w:val="FF0000"/>
                                <w:lang w:val="en-US" w:eastAsia="zh-CN"/>
                              </w:rPr>
                              <w:t>原</w:t>
                            </w:r>
                            <w:r>
                              <w:rPr>
                                <w:rFonts w:hint="eastAsia"/>
                                <w:color w:val="FF0000"/>
                                <w:lang w:eastAsia="zh-CN"/>
                              </w:rPr>
                              <w:t>污水处理站</w:t>
                            </w:r>
                          </w:p>
                        </w:txbxContent>
                      </wps:txbx>
                      <wps:bodyPr wrap="square" upright="1"/>
                    </wps:wsp>
                  </a:graphicData>
                </a:graphic>
              </wp:anchor>
            </w:drawing>
          </mc:Choice>
          <mc:Fallback>
            <w:pict>
              <v:shape id="文本框 193" o:spid="_x0000_s1026" o:spt="202" type="#_x0000_t202" style="position:absolute;left:0pt;margin-left:355.9pt;margin-top:181.55pt;height:53.9pt;width:45.95pt;z-index:251685888;mso-width-relative:page;mso-height-relative:page;" fillcolor="#FFFFFF" filled="t" stroked="f" coordsize="21600,21600" o:gfxdata="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2AT+T2QAAAAsBAAAPAAAAAAAAAAEAIAAAACIA&#10;AABkcnMvZG93bnJldi54bWxQSwECFAAUAAAACACHTuJABc8wg88BAACHAwAADgAAAAAAAAABACAA&#10;AAAoAQAAZHJzL2Uyb0RvYy54bWxQSwUGAAAAAAYABgBZAQAAaQUAAAAA&#10;">
                <v:fill on="t" focussize="0,0"/>
                <v:stroke on="f"/>
                <v:imagedata o:title=""/>
                <o:lock v:ext="edit" aspectratio="f"/>
                <v:textbox>
                  <w:txbxContent>
                    <w:p w14:paraId="056E0F17">
                      <w:pPr>
                        <w:jc w:val="center"/>
                        <w:rPr>
                          <w:rFonts w:hint="eastAsia" w:eastAsia="宋体"/>
                          <w:color w:val="FF0000"/>
                          <w:lang w:eastAsia="zh-CN"/>
                        </w:rPr>
                      </w:pPr>
                      <w:r>
                        <w:rPr>
                          <w:rFonts w:hint="eastAsia"/>
                          <w:color w:val="FF0000"/>
                          <w:lang w:val="en-US" w:eastAsia="zh-CN"/>
                        </w:rPr>
                        <w:t>原</w:t>
                      </w:r>
                      <w:r>
                        <w:rPr>
                          <w:rFonts w:hint="eastAsia"/>
                          <w:color w:val="FF0000"/>
                          <w:lang w:eastAsia="zh-CN"/>
                        </w:rPr>
                        <w:t>污水处理站</w:t>
                      </w:r>
                    </w:p>
                  </w:txbxContent>
                </v:textbox>
              </v:shape>
            </w:pict>
          </mc:Fallback>
        </mc:AlternateContent>
      </w:r>
      <w:r>
        <w:rPr>
          <w:color w:val="auto"/>
          <w:sz w:val="28"/>
        </w:rPr>
        <mc:AlternateContent>
          <mc:Choice Requires="wps">
            <w:drawing>
              <wp:anchor distT="0" distB="0" distL="114300" distR="114300" simplePos="0" relativeHeight="251704320" behindDoc="0" locked="0" layoutInCell="1" allowOverlap="1">
                <wp:simplePos x="0" y="0"/>
                <wp:positionH relativeFrom="column">
                  <wp:posOffset>5165725</wp:posOffset>
                </wp:positionH>
                <wp:positionV relativeFrom="paragraph">
                  <wp:posOffset>2174240</wp:posOffset>
                </wp:positionV>
                <wp:extent cx="773430" cy="937260"/>
                <wp:effectExtent l="4445" t="4445" r="22225" b="10795"/>
                <wp:wrapNone/>
                <wp:docPr id="172" name="矩形 188"/>
                <wp:cNvGraphicFramePr/>
                <a:graphic xmlns:a="http://schemas.openxmlformats.org/drawingml/2006/main">
                  <a:graphicData uri="http://schemas.microsoft.com/office/word/2010/wordprocessingShape">
                    <wps:wsp>
                      <wps:cNvSpPr/>
                      <wps:spPr>
                        <a:xfrm>
                          <a:off x="0" y="0"/>
                          <a:ext cx="773430" cy="937260"/>
                        </a:xfrm>
                        <a:prstGeom prst="rect">
                          <a:avLst/>
                        </a:prstGeom>
                        <a:no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8" o:spid="_x0000_s1026" o:spt="1" style="position:absolute;left:0pt;margin-left:406.75pt;margin-top:171.2pt;height:73.8pt;width:60.9pt;z-index:251704320;mso-width-relative:page;mso-height-relative:page;" filled="f" stroked="t" coordsize="21600,21600" o:gfxdata="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0zbI92gAAAAsBAAAP&#10;AAAAAAAAAAEAIAAAACIAAABkcnMvZG93bnJldi54bWxQSwECFAAUAAAACACHTuJASS67ZxYCAAAr&#10;BAAADgAAAAAAAAABACAAAAApAQAAZHJzL2Uyb0RvYy54bWxQSwUGAAAAAAYABgBZAQAAsQUAAAAA&#10;">
                <v:fill on="f" focussize="0,0"/>
                <v:stroke color="#000000" joinstyle="miter"/>
                <v:imagedata o:title=""/>
                <o:lock v:ext="edit" aspectratio="f"/>
              </v:rect>
            </w:pict>
          </mc:Fallback>
        </mc:AlternateContent>
      </w:r>
      <w:r>
        <w:rPr>
          <w:color w:val="auto"/>
          <w:sz w:val="28"/>
        </w:rPr>
        <mc:AlternateContent>
          <mc:Choice Requires="wps">
            <w:drawing>
              <wp:anchor distT="0" distB="0" distL="114300" distR="114300" simplePos="0" relativeHeight="251691008" behindDoc="0" locked="0" layoutInCell="1" allowOverlap="1">
                <wp:simplePos x="0" y="0"/>
                <wp:positionH relativeFrom="column">
                  <wp:posOffset>3021965</wp:posOffset>
                </wp:positionH>
                <wp:positionV relativeFrom="paragraph">
                  <wp:posOffset>7637780</wp:posOffset>
                </wp:positionV>
                <wp:extent cx="876935" cy="274320"/>
                <wp:effectExtent l="0" t="0" r="18415" b="11430"/>
                <wp:wrapNone/>
                <wp:docPr id="39" name="文本框 199"/>
                <wp:cNvGraphicFramePr/>
                <a:graphic xmlns:a="http://schemas.openxmlformats.org/drawingml/2006/main">
                  <a:graphicData uri="http://schemas.microsoft.com/office/word/2010/wordprocessingShape">
                    <wps:wsp>
                      <wps:cNvSpPr txBox="1"/>
                      <wps:spPr>
                        <a:xfrm>
                          <a:off x="0" y="0"/>
                          <a:ext cx="876935" cy="274320"/>
                        </a:xfrm>
                        <a:prstGeom prst="rect">
                          <a:avLst/>
                        </a:prstGeom>
                        <a:solidFill>
                          <a:srgbClr val="FFFFFF"/>
                        </a:solidFill>
                        <a:ln>
                          <a:noFill/>
                        </a:ln>
                      </wps:spPr>
                      <wps:txbx>
                        <w:txbxContent>
                          <w:p w14:paraId="4CF2A673">
                            <w:pPr>
                              <w:jc w:val="center"/>
                              <w:rPr>
                                <w:rFonts w:hint="eastAsia" w:eastAsia="宋体"/>
                                <w:lang w:eastAsia="zh-CN"/>
                              </w:rPr>
                            </w:pPr>
                            <w:r>
                              <w:rPr>
                                <w:rFonts w:hint="eastAsia"/>
                                <w:lang w:val="en-US" w:eastAsia="zh-CN"/>
                              </w:rPr>
                              <w:t>道</w:t>
                            </w:r>
                            <w:r>
                              <w:rPr>
                                <w:rFonts w:hint="eastAsia"/>
                                <w:lang w:eastAsia="zh-CN"/>
                              </w:rPr>
                              <w:t>路</w:t>
                            </w:r>
                          </w:p>
                        </w:txbxContent>
                      </wps:txbx>
                      <wps:bodyPr vert="horz" wrap="square" anchor="t" anchorCtr="0" upright="1"/>
                    </wps:wsp>
                  </a:graphicData>
                </a:graphic>
              </wp:anchor>
            </w:drawing>
          </mc:Choice>
          <mc:Fallback>
            <w:pict>
              <v:shape id="文本框 199" o:spid="_x0000_s1026" o:spt="202" type="#_x0000_t202" style="position:absolute;left:0pt;margin-left:237.95pt;margin-top:601.4pt;height:21.6pt;width:69.05pt;z-index:251691008;mso-width-relative:page;mso-height-relative:page;" fillcolor="#FFFFFF" filled="t" stroked="f" coordsize="21600,21600" o:gfxdata="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xVFwa9kAAAAN&#10;AQAADwAAAAAAAAABACAAAAAiAAAAZHJzL2Rvd25yZXYueG1sUEsBAhQAFAAAAAgAh07iQJY8pXLi&#10;AQAArAMAAA4AAAAAAAAAAQAgAAAAKAEAAGRycy9lMm9Eb2MueG1sUEsFBgAAAAAGAAYAWQEAAHwF&#10;AAAAAA==&#10;">
                <v:fill on="t" focussize="0,0"/>
                <v:stroke on="f"/>
                <v:imagedata o:title=""/>
                <o:lock v:ext="edit" aspectratio="f"/>
                <v:textbox>
                  <w:txbxContent>
                    <w:p w14:paraId="4CF2A673">
                      <w:pPr>
                        <w:jc w:val="center"/>
                        <w:rPr>
                          <w:rFonts w:hint="eastAsia" w:eastAsia="宋体"/>
                          <w:lang w:eastAsia="zh-CN"/>
                        </w:rPr>
                      </w:pPr>
                      <w:r>
                        <w:rPr>
                          <w:rFonts w:hint="eastAsia"/>
                          <w:lang w:val="en-US" w:eastAsia="zh-CN"/>
                        </w:rPr>
                        <w:t>道</w:t>
                      </w:r>
                      <w:r>
                        <w:rPr>
                          <w:rFonts w:hint="eastAsia"/>
                          <w:lang w:eastAsia="zh-CN"/>
                        </w:rPr>
                        <w:t>路</w:t>
                      </w:r>
                    </w:p>
                  </w:txbxContent>
                </v:textbox>
              </v:shape>
            </w:pict>
          </mc:Fallback>
        </mc:AlternateContent>
      </w:r>
      <w:r>
        <w:rPr>
          <w:color w:val="auto"/>
          <w:sz w:val="28"/>
        </w:rPr>
        <mc:AlternateContent>
          <mc:Choice Requires="wps">
            <w:drawing>
              <wp:anchor distT="0" distB="0" distL="114300" distR="114300" simplePos="0" relativeHeight="251689984" behindDoc="0" locked="0" layoutInCell="1" allowOverlap="1">
                <wp:simplePos x="0" y="0"/>
                <wp:positionH relativeFrom="column">
                  <wp:posOffset>408940</wp:posOffset>
                </wp:positionH>
                <wp:positionV relativeFrom="paragraph">
                  <wp:posOffset>7503160</wp:posOffset>
                </wp:positionV>
                <wp:extent cx="5806440" cy="1165860"/>
                <wp:effectExtent l="635" t="4445" r="3175" b="10795"/>
                <wp:wrapNone/>
                <wp:docPr id="38" name="直线 198"/>
                <wp:cNvGraphicFramePr/>
                <a:graphic xmlns:a="http://schemas.openxmlformats.org/drawingml/2006/main">
                  <a:graphicData uri="http://schemas.microsoft.com/office/word/2010/wordprocessingShape">
                    <wps:wsp>
                      <wps:cNvCnPr/>
                      <wps:spPr>
                        <a:xfrm flipV="1">
                          <a:off x="0" y="0"/>
                          <a:ext cx="5806440" cy="11658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98" o:spid="_x0000_s1026" o:spt="20" style="position:absolute;left:0pt;flip:y;margin-left:32.2pt;margin-top:590.8pt;height:91.8pt;width:457.2pt;z-index:251689984;mso-width-relative:page;mso-height-relative:page;" filled="f" stroked="t" coordsize="21600,21600" o:gfxdata="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9f1x72QAAAAwBAAAPAAAAAAAAAAEAIAAAACIAAABkcnMvZG93bnJldi54&#10;bWxQSwECFAAUAAAACACHTuJAeHYpcfkBAADuAwAADgAAAAAAAAABACAAAAAoAQAAZHJzL2Uyb0Rv&#10;Yy54bWxQSwUGAAAAAAYABgBZAQAAkwUAAAAA&#10;">
                <v:fill on="f" focussize="0,0"/>
                <v:stroke color="#000000" joinstyle="round"/>
                <v:imagedata o:title=""/>
                <o:lock v:ext="edit" aspectratio="f"/>
              </v:line>
            </w:pict>
          </mc:Fallback>
        </mc:AlternateContent>
      </w:r>
      <w:r>
        <w:rPr>
          <w:color w:val="auto"/>
          <w:sz w:val="28"/>
        </w:rPr>
        <mc:AlternateContent>
          <mc:Choice Requires="wps">
            <w:drawing>
              <wp:anchor distT="0" distB="0" distL="114300" distR="114300" simplePos="0" relativeHeight="251688960" behindDoc="0" locked="0" layoutInCell="1" allowOverlap="1">
                <wp:simplePos x="0" y="0"/>
                <wp:positionH relativeFrom="column">
                  <wp:posOffset>188595</wp:posOffset>
                </wp:positionH>
                <wp:positionV relativeFrom="paragraph">
                  <wp:posOffset>6962140</wp:posOffset>
                </wp:positionV>
                <wp:extent cx="6034405" cy="1211580"/>
                <wp:effectExtent l="635" t="4445" r="3810" b="22225"/>
                <wp:wrapNone/>
                <wp:docPr id="37" name="直线 197"/>
                <wp:cNvGraphicFramePr/>
                <a:graphic xmlns:a="http://schemas.openxmlformats.org/drawingml/2006/main">
                  <a:graphicData uri="http://schemas.microsoft.com/office/word/2010/wordprocessingShape">
                    <wps:wsp>
                      <wps:cNvCnPr/>
                      <wps:spPr>
                        <a:xfrm flipV="1">
                          <a:off x="0" y="0"/>
                          <a:ext cx="6034405" cy="12115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97" o:spid="_x0000_s1026" o:spt="20" style="position:absolute;left:0pt;flip:y;margin-left:14.85pt;margin-top:548.2pt;height:95.4pt;width:475.15pt;z-index:251688960;mso-width-relative:page;mso-height-relative:page;" filled="f" stroked="t" coordsize="21600,21600" o:gfxdata="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AEBY0zYAAAADAEAAA8AAAAAAAAAAQAgAAAAIgAAAGRycy9kb3ducmV2Lnht&#10;bFBLAQIUABQAAAAIAIdO4kBTHwNM+QEAAO4DAAAOAAAAAAAAAAEAIAAAACcBAABkcnMvZTJvRG9j&#10;LnhtbFBLBQYAAAAABgAGAFkBAACSBQAAAAA=&#10;">
                <v:fill on="f" focussize="0,0"/>
                <v:stroke color="#000000" joinstyle="round"/>
                <v:imagedata o:title=""/>
                <o:lock v:ext="edit" aspectratio="f"/>
              </v:line>
            </w:pict>
          </mc:Fallback>
        </mc:AlternateContent>
      </w:r>
      <w:r>
        <w:rPr>
          <w:color w:val="auto"/>
          <w:sz w:val="28"/>
        </w:rPr>
        <mc:AlternateContent>
          <mc:Choice Requires="wps">
            <w:drawing>
              <wp:anchor distT="0" distB="0" distL="114300" distR="114300" simplePos="0" relativeHeight="251687936" behindDoc="0" locked="0" layoutInCell="1" allowOverlap="1">
                <wp:simplePos x="0" y="0"/>
                <wp:positionH relativeFrom="column">
                  <wp:posOffset>4638040</wp:posOffset>
                </wp:positionH>
                <wp:positionV relativeFrom="paragraph">
                  <wp:posOffset>4353560</wp:posOffset>
                </wp:positionV>
                <wp:extent cx="1211580" cy="274320"/>
                <wp:effectExtent l="0" t="0" r="7620" b="11430"/>
                <wp:wrapNone/>
                <wp:docPr id="34" name="文本框 196"/>
                <wp:cNvGraphicFramePr/>
                <a:graphic xmlns:a="http://schemas.openxmlformats.org/drawingml/2006/main">
                  <a:graphicData uri="http://schemas.microsoft.com/office/word/2010/wordprocessingShape">
                    <wps:wsp>
                      <wps:cNvSpPr txBox="1"/>
                      <wps:spPr>
                        <a:xfrm>
                          <a:off x="0" y="0"/>
                          <a:ext cx="1211580" cy="274320"/>
                        </a:xfrm>
                        <a:prstGeom prst="rect">
                          <a:avLst/>
                        </a:prstGeom>
                        <a:solidFill>
                          <a:srgbClr val="FFFFFF"/>
                        </a:solidFill>
                        <a:ln>
                          <a:noFill/>
                        </a:ln>
                      </wps:spPr>
                      <wps:txbx>
                        <w:txbxContent>
                          <w:p w14:paraId="08A672BE">
                            <w:pPr>
                              <w:jc w:val="center"/>
                              <w:rPr>
                                <w:rFonts w:hint="eastAsia" w:eastAsia="宋体"/>
                                <w:lang w:eastAsia="zh-CN"/>
                              </w:rPr>
                            </w:pPr>
                            <w:r>
                              <w:rPr>
                                <w:rFonts w:hint="eastAsia"/>
                                <w:lang w:eastAsia="zh-CN"/>
                              </w:rPr>
                              <w:t>广厦医院体检科</w:t>
                            </w:r>
                          </w:p>
                        </w:txbxContent>
                      </wps:txbx>
                      <wps:bodyPr wrap="square" upright="1"/>
                    </wps:wsp>
                  </a:graphicData>
                </a:graphic>
              </wp:anchor>
            </w:drawing>
          </mc:Choice>
          <mc:Fallback>
            <w:pict>
              <v:shape id="文本框 196" o:spid="_x0000_s1026" o:spt="202" type="#_x0000_t202" style="position:absolute;left:0pt;margin-left:365.2pt;margin-top:342.8pt;height:21.6pt;width:95.4pt;z-index:251687936;mso-width-relative:page;mso-height-relative:page;" fillcolor="#FFFFFF" filled="t" stroked="f" coordsize="21600,21600" o:gfxdata="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mUk4R2QAAAAsBAAAPAAAAAAAAAAEAIAAAACIA&#10;AABkcnMvZG93bnJldi54bWxQSwECFAAUAAAACACHTuJAxR1KP88BAACIAwAADgAAAAAAAAABACAA&#10;AAAoAQAAZHJzL2Uyb0RvYy54bWxQSwUGAAAAAAYABgBZAQAAaQUAAAAA&#10;">
                <v:fill on="t" focussize="0,0"/>
                <v:stroke on="f"/>
                <v:imagedata o:title=""/>
                <o:lock v:ext="edit" aspectratio="f"/>
                <v:textbox>
                  <w:txbxContent>
                    <w:p w14:paraId="08A672BE">
                      <w:pPr>
                        <w:jc w:val="center"/>
                        <w:rPr>
                          <w:rFonts w:hint="eastAsia" w:eastAsia="宋体"/>
                          <w:lang w:eastAsia="zh-CN"/>
                        </w:rPr>
                      </w:pPr>
                      <w:r>
                        <w:rPr>
                          <w:rFonts w:hint="eastAsia"/>
                          <w:lang w:eastAsia="zh-CN"/>
                        </w:rPr>
                        <w:t>广厦医院体检科</w:t>
                      </w:r>
                    </w:p>
                  </w:txbxContent>
                </v:textbox>
              </v:shape>
            </w:pict>
          </mc:Fallback>
        </mc:AlternateContent>
      </w:r>
      <w:r>
        <w:rPr>
          <w:color w:val="auto"/>
          <w:sz w:val="28"/>
        </w:rPr>
        <mc:AlternateContent>
          <mc:Choice Requires="wps">
            <w:drawing>
              <wp:anchor distT="0" distB="0" distL="114300" distR="114300" simplePos="0" relativeHeight="251684864" behindDoc="0" locked="0" layoutInCell="1" allowOverlap="1">
                <wp:simplePos x="0" y="0"/>
                <wp:positionH relativeFrom="column">
                  <wp:posOffset>5140325</wp:posOffset>
                </wp:positionH>
                <wp:positionV relativeFrom="paragraph">
                  <wp:posOffset>673100</wp:posOffset>
                </wp:positionV>
                <wp:extent cx="647700" cy="334645"/>
                <wp:effectExtent l="0" t="0" r="0" b="8255"/>
                <wp:wrapNone/>
                <wp:docPr id="31" name="文本框 192"/>
                <wp:cNvGraphicFramePr/>
                <a:graphic xmlns:a="http://schemas.openxmlformats.org/drawingml/2006/main">
                  <a:graphicData uri="http://schemas.microsoft.com/office/word/2010/wordprocessingShape">
                    <wps:wsp>
                      <wps:cNvSpPr txBox="1"/>
                      <wps:spPr>
                        <a:xfrm>
                          <a:off x="0" y="0"/>
                          <a:ext cx="647700" cy="334645"/>
                        </a:xfrm>
                        <a:prstGeom prst="rect">
                          <a:avLst/>
                        </a:prstGeom>
                        <a:solidFill>
                          <a:srgbClr val="FFFFFF"/>
                        </a:solidFill>
                        <a:ln>
                          <a:noFill/>
                        </a:ln>
                      </wps:spPr>
                      <wps:txbx>
                        <w:txbxContent>
                          <w:p w14:paraId="446E1088">
                            <w:pPr>
                              <w:jc w:val="center"/>
                              <w:rPr>
                                <w:rFonts w:hint="eastAsia" w:eastAsia="宋体"/>
                                <w:color w:val="FF0000"/>
                                <w:sz w:val="16"/>
                                <w:szCs w:val="16"/>
                                <w:lang w:eastAsia="zh-CN"/>
                              </w:rPr>
                            </w:pPr>
                            <w:r>
                              <w:rPr>
                                <w:rFonts w:hint="eastAsia"/>
                                <w:color w:val="FF0000"/>
                                <w:sz w:val="16"/>
                                <w:szCs w:val="16"/>
                                <w:lang w:eastAsia="zh-CN"/>
                              </w:rPr>
                              <w:t>医疗废物暂存库</w:t>
                            </w:r>
                          </w:p>
                        </w:txbxContent>
                      </wps:txbx>
                      <wps:bodyPr vert="horz" wrap="square" anchor="t" anchorCtr="0" upright="1"/>
                    </wps:wsp>
                  </a:graphicData>
                </a:graphic>
              </wp:anchor>
            </w:drawing>
          </mc:Choice>
          <mc:Fallback>
            <w:pict>
              <v:shape id="文本框 192" o:spid="_x0000_s1026" o:spt="202" type="#_x0000_t202" style="position:absolute;left:0pt;margin-left:404.75pt;margin-top:53pt;height:26.35pt;width:51pt;z-index:251684864;mso-width-relative:page;mso-height-relative:page;" fillcolor="#FFFFFF" filled="t" stroked="f" coordsize="21600,21600" o:gfxdata="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dSmYF1gAAAAsBAAAP&#10;AAAAAAAAAAEAIAAAACIAAABkcnMvZG93bnJldi54bWxQSwECFAAUAAAACACHTuJALNesw+EBAACs&#10;AwAADgAAAAAAAAABACAAAAAlAQAAZHJzL2Uyb0RvYy54bWxQSwUGAAAAAAYABgBZAQAAeAUAAAAA&#10;">
                <v:fill on="t" focussize="0,0"/>
                <v:stroke on="f"/>
                <v:imagedata o:title=""/>
                <o:lock v:ext="edit" aspectratio="f"/>
                <v:textbox>
                  <w:txbxContent>
                    <w:p w14:paraId="446E1088">
                      <w:pPr>
                        <w:jc w:val="center"/>
                        <w:rPr>
                          <w:rFonts w:hint="eastAsia" w:eastAsia="宋体"/>
                          <w:color w:val="FF0000"/>
                          <w:sz w:val="16"/>
                          <w:szCs w:val="16"/>
                          <w:lang w:eastAsia="zh-CN"/>
                        </w:rPr>
                      </w:pPr>
                      <w:r>
                        <w:rPr>
                          <w:rFonts w:hint="eastAsia"/>
                          <w:color w:val="FF0000"/>
                          <w:sz w:val="16"/>
                          <w:szCs w:val="16"/>
                          <w:lang w:eastAsia="zh-CN"/>
                        </w:rPr>
                        <w:t>医疗废物暂存库</w:t>
                      </w:r>
                    </w:p>
                  </w:txbxContent>
                </v:textbox>
              </v:shape>
            </w:pict>
          </mc:Fallback>
        </mc:AlternateContent>
      </w:r>
      <w:r>
        <w:rPr>
          <w:color w:val="auto"/>
          <w:sz w:val="28"/>
        </w:rPr>
        <mc:AlternateContent>
          <mc:Choice Requires="wps">
            <w:drawing>
              <wp:anchor distT="0" distB="0" distL="114300" distR="114300" simplePos="0" relativeHeight="251679744" behindDoc="0" locked="0" layoutInCell="1" allowOverlap="1">
                <wp:simplePos x="0" y="0"/>
                <wp:positionH relativeFrom="column">
                  <wp:posOffset>5125720</wp:posOffset>
                </wp:positionH>
                <wp:positionV relativeFrom="paragraph">
                  <wp:posOffset>650240</wp:posOffset>
                </wp:positionV>
                <wp:extent cx="685165" cy="382270"/>
                <wp:effectExtent l="4445" t="4445" r="15240" b="13335"/>
                <wp:wrapNone/>
                <wp:docPr id="26" name="矩形 187"/>
                <wp:cNvGraphicFramePr/>
                <a:graphic xmlns:a="http://schemas.openxmlformats.org/drawingml/2006/main">
                  <a:graphicData uri="http://schemas.microsoft.com/office/word/2010/wordprocessingShape">
                    <wps:wsp>
                      <wps:cNvSpPr/>
                      <wps:spPr>
                        <a:xfrm>
                          <a:off x="0" y="0"/>
                          <a:ext cx="685165" cy="382270"/>
                        </a:xfrm>
                        <a:prstGeom prst="rect">
                          <a:avLst/>
                        </a:prstGeom>
                        <a:solidFill>
                          <a:srgbClr val="FFFFFF"/>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7" o:spid="_x0000_s1026" o:spt="1" style="position:absolute;left:0pt;margin-left:403.6pt;margin-top:51.2pt;height:30.1pt;width:53.95pt;z-index:251679744;mso-width-relative:page;mso-height-relative:page;" fillcolor="#FFFFFF" filled="t" stroked="t" coordsize="21600,21600" o:gfxdata="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q4F+nYAAAA&#10;CwEAAA8AAAAAAAAAAQAgAAAAIgAAAGRycy9kb3ducmV2LnhtbFBLAQIUABQAAAAIAIdO4kAfStt8&#10;HQIAAFMEAAAOAAAAAAAAAAEAIAAAACcBAABkcnMvZTJvRG9jLnhtbFBLBQYAAAAABgAGAFkBAAC2&#10;BQAAAAA=&#10;">
                <v:fill on="t" focussize="0,0"/>
                <v:stroke color="#000000" joinstyle="miter"/>
                <v:imagedata o:title=""/>
                <o:lock v:ext="edit" aspectratio="f"/>
              </v:rect>
            </w:pict>
          </mc:Fallback>
        </mc:AlternateContent>
      </w:r>
      <w:r>
        <w:rPr>
          <w:color w:val="auto"/>
          <w:sz w:val="28"/>
        </w:rPr>
        <mc:AlternateContent>
          <mc:Choice Requires="wps">
            <w:drawing>
              <wp:anchor distT="0" distB="0" distL="114300" distR="114300" simplePos="0" relativeHeight="251686912" behindDoc="0" locked="0" layoutInCell="1" allowOverlap="1">
                <wp:simplePos x="0" y="0"/>
                <wp:positionH relativeFrom="column">
                  <wp:posOffset>5125720</wp:posOffset>
                </wp:positionH>
                <wp:positionV relativeFrom="paragraph">
                  <wp:posOffset>1031240</wp:posOffset>
                </wp:positionV>
                <wp:extent cx="684530" cy="382270"/>
                <wp:effectExtent l="4445" t="4445" r="15875" b="13335"/>
                <wp:wrapNone/>
                <wp:docPr id="33" name="矩形 195"/>
                <wp:cNvGraphicFramePr/>
                <a:graphic xmlns:a="http://schemas.openxmlformats.org/drawingml/2006/main">
                  <a:graphicData uri="http://schemas.microsoft.com/office/word/2010/wordprocessingShape">
                    <wps:wsp>
                      <wps:cNvSpPr/>
                      <wps:spPr>
                        <a:xfrm>
                          <a:off x="0" y="0"/>
                          <a:ext cx="684530" cy="382270"/>
                        </a:xfrm>
                        <a:prstGeom prst="rect">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rect id="矩形 195" o:spid="_x0000_s1026" o:spt="1" style="position:absolute;left:0pt;margin-left:403.6pt;margin-top:81.2pt;height:30.1pt;width:53.9pt;z-index:251686912;mso-width-relative:page;mso-height-relative:page;" fillcolor="#FFFFFF" filled="t" stroked="t" coordsize="21600,21600" o:gfxdata="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b02S/2AAAAAsBAAAPAAAAAAAAAAEAIAAAACIA&#10;AABkcnMvZG93bnJldi54bWxQSwECFAAUAAAACACHTuJABP4LKwkCAAAuBAAADgAAAAAAAAABACAA&#10;AAAnAQAAZHJzL2Uyb0RvYy54bWxQSwUGAAAAAAYABgBZAQAAogUAAAAA&#10;">
                <v:fill on="t" focussize="0,0"/>
                <v:stroke color="#000000" joinstyle="miter"/>
                <v:imagedata o:title=""/>
                <o:lock v:ext="edit" aspectratio="f"/>
              </v:rect>
            </w:pict>
          </mc:Fallback>
        </mc:AlternateContent>
      </w:r>
      <w:r>
        <w:rPr>
          <w:color w:val="auto"/>
          <w:sz w:val="28"/>
        </w:rPr>
        <mc:AlternateContent>
          <mc:Choice Requires="wps">
            <w:drawing>
              <wp:anchor distT="0" distB="0" distL="114300" distR="114300" simplePos="0" relativeHeight="251680768" behindDoc="0" locked="0" layoutInCell="1" allowOverlap="1">
                <wp:simplePos x="0" y="0"/>
                <wp:positionH relativeFrom="column">
                  <wp:posOffset>4394200</wp:posOffset>
                </wp:positionH>
                <wp:positionV relativeFrom="paragraph">
                  <wp:posOffset>2174240</wp:posOffset>
                </wp:positionV>
                <wp:extent cx="773430" cy="937260"/>
                <wp:effectExtent l="4445" t="4445" r="22225" b="10795"/>
                <wp:wrapNone/>
                <wp:docPr id="27" name="矩形 188"/>
                <wp:cNvGraphicFramePr/>
                <a:graphic xmlns:a="http://schemas.openxmlformats.org/drawingml/2006/main">
                  <a:graphicData uri="http://schemas.microsoft.com/office/word/2010/wordprocessingShape">
                    <wps:wsp>
                      <wps:cNvSpPr/>
                      <wps:spPr>
                        <a:xfrm>
                          <a:off x="0" y="0"/>
                          <a:ext cx="773430" cy="937260"/>
                        </a:xfrm>
                        <a:prstGeom prst="rect">
                          <a:avLst/>
                        </a:prstGeom>
                        <a:solidFill>
                          <a:srgbClr val="FFFFFF"/>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8" o:spid="_x0000_s1026" o:spt="1" style="position:absolute;left:0pt;margin-left:346pt;margin-top:171.2pt;height:73.8pt;width:60.9pt;z-index:251680768;mso-width-relative:page;mso-height-relative:page;" fillcolor="#FFFFFF" filled="t" stroked="t" coordsize="21600,21600" o:gfxdata="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sYJNmdkA&#10;AAALAQAADwAAAAAAAAABACAAAAAiAAAAZHJzL2Rvd25yZXYueG1sUEsBAhQAFAAAAAgAh07iQLfG&#10;x5YeAgAAUwQAAA4AAAAAAAAAAQAgAAAAKAEAAGRycy9lMm9Eb2MueG1sUEsFBgAAAAAGAAYAWQEA&#10;ALgFAAAAAA==&#10;">
                <v:fill on="t" focussize="0,0"/>
                <v:stroke color="#000000" joinstyle="miter"/>
                <v:imagedata o:title=""/>
                <o:lock v:ext="edit" aspectratio="f"/>
              </v:rect>
            </w:pict>
          </mc:Fallback>
        </mc:AlternateContent>
      </w:r>
      <w:r>
        <w:rPr>
          <w:color w:val="auto"/>
          <w:sz w:val="28"/>
        </w:rPr>
        <mc:AlternateContent>
          <mc:Choice Requires="wps">
            <w:drawing>
              <wp:anchor distT="0" distB="0" distL="114300" distR="114300" simplePos="0" relativeHeight="251683840" behindDoc="0" locked="0" layoutInCell="1" allowOverlap="1">
                <wp:simplePos x="0" y="0"/>
                <wp:positionH relativeFrom="column">
                  <wp:posOffset>1559560</wp:posOffset>
                </wp:positionH>
                <wp:positionV relativeFrom="paragraph">
                  <wp:posOffset>4110355</wp:posOffset>
                </wp:positionV>
                <wp:extent cx="624840" cy="1949450"/>
                <wp:effectExtent l="0" t="0" r="3810" b="12700"/>
                <wp:wrapNone/>
                <wp:docPr id="30" name="文本框 191"/>
                <wp:cNvGraphicFramePr/>
                <a:graphic xmlns:a="http://schemas.openxmlformats.org/drawingml/2006/main">
                  <a:graphicData uri="http://schemas.microsoft.com/office/word/2010/wordprocessingShape">
                    <wps:wsp>
                      <wps:cNvSpPr txBox="1"/>
                      <wps:spPr>
                        <a:xfrm>
                          <a:off x="0" y="0"/>
                          <a:ext cx="624840" cy="1949450"/>
                        </a:xfrm>
                        <a:prstGeom prst="rect">
                          <a:avLst/>
                        </a:prstGeom>
                        <a:solidFill>
                          <a:srgbClr val="FFFFFF"/>
                        </a:solidFill>
                        <a:ln>
                          <a:noFill/>
                        </a:ln>
                      </wps:spPr>
                      <wps:txbx>
                        <w:txbxContent>
                          <w:p w14:paraId="53471FF5">
                            <w:pPr>
                              <w:jc w:val="center"/>
                              <w:rPr>
                                <w:rFonts w:hint="eastAsia" w:eastAsia="宋体"/>
                                <w:lang w:eastAsia="zh-CN"/>
                              </w:rPr>
                            </w:pPr>
                          </w:p>
                          <w:p w14:paraId="1A6C3807">
                            <w:pPr>
                              <w:jc w:val="center"/>
                              <w:rPr>
                                <w:rFonts w:hint="eastAsia" w:eastAsia="宋体"/>
                                <w:lang w:eastAsia="zh-CN"/>
                              </w:rPr>
                            </w:pPr>
                            <w:r>
                              <w:rPr>
                                <w:rFonts w:hint="eastAsia" w:eastAsia="宋体"/>
                                <w:lang w:eastAsia="zh-CN"/>
                              </w:rPr>
                              <w:t>门</w:t>
                            </w:r>
                          </w:p>
                          <w:p w14:paraId="3DBEE1AA">
                            <w:pPr>
                              <w:jc w:val="center"/>
                              <w:rPr>
                                <w:rFonts w:hint="eastAsia" w:eastAsia="宋体"/>
                                <w:lang w:eastAsia="zh-CN"/>
                              </w:rPr>
                            </w:pPr>
                          </w:p>
                          <w:p w14:paraId="28891996">
                            <w:pPr>
                              <w:jc w:val="center"/>
                              <w:rPr>
                                <w:rFonts w:hint="eastAsia" w:eastAsia="宋体"/>
                                <w:lang w:eastAsia="zh-CN"/>
                              </w:rPr>
                            </w:pPr>
                          </w:p>
                          <w:p w14:paraId="51FEB165">
                            <w:pPr>
                              <w:jc w:val="center"/>
                              <w:rPr>
                                <w:rFonts w:hint="eastAsia" w:eastAsia="宋体"/>
                                <w:lang w:eastAsia="zh-CN"/>
                              </w:rPr>
                            </w:pPr>
                          </w:p>
                          <w:p w14:paraId="4FB47C5C">
                            <w:pPr>
                              <w:jc w:val="center"/>
                              <w:rPr>
                                <w:rFonts w:hint="eastAsia" w:eastAsia="宋体"/>
                                <w:lang w:eastAsia="zh-CN"/>
                              </w:rPr>
                            </w:pPr>
                            <w:r>
                              <w:rPr>
                                <w:rFonts w:hint="eastAsia" w:eastAsia="宋体"/>
                                <w:lang w:eastAsia="zh-CN"/>
                              </w:rPr>
                              <w:t>诊</w:t>
                            </w:r>
                          </w:p>
                          <w:p w14:paraId="7B31ABDF">
                            <w:pPr>
                              <w:jc w:val="center"/>
                              <w:rPr>
                                <w:rFonts w:hint="eastAsia" w:eastAsia="宋体"/>
                                <w:lang w:eastAsia="zh-CN"/>
                              </w:rPr>
                            </w:pPr>
                          </w:p>
                          <w:p w14:paraId="1D49AA10">
                            <w:pPr>
                              <w:jc w:val="center"/>
                              <w:rPr>
                                <w:rFonts w:hint="eastAsia" w:eastAsia="宋体"/>
                                <w:lang w:eastAsia="zh-CN"/>
                              </w:rPr>
                            </w:pPr>
                          </w:p>
                          <w:p w14:paraId="7A468B20">
                            <w:pPr>
                              <w:jc w:val="center"/>
                              <w:rPr>
                                <w:rFonts w:hint="eastAsia" w:eastAsia="宋体"/>
                                <w:lang w:eastAsia="zh-CN"/>
                              </w:rPr>
                            </w:pPr>
                          </w:p>
                          <w:p w14:paraId="5AA9F591">
                            <w:pPr>
                              <w:jc w:val="center"/>
                              <w:rPr>
                                <w:rFonts w:hint="eastAsia" w:eastAsia="宋体"/>
                                <w:lang w:eastAsia="zh-CN"/>
                              </w:rPr>
                            </w:pPr>
                            <w:r>
                              <w:rPr>
                                <w:rFonts w:hint="eastAsia" w:eastAsia="宋体"/>
                                <w:lang w:eastAsia="zh-CN"/>
                              </w:rPr>
                              <w:t>楼</w:t>
                            </w:r>
                          </w:p>
                        </w:txbxContent>
                      </wps:txbx>
                      <wps:bodyPr vert="horz" wrap="square" anchor="t" anchorCtr="0" upright="1"/>
                    </wps:wsp>
                  </a:graphicData>
                </a:graphic>
              </wp:anchor>
            </w:drawing>
          </mc:Choice>
          <mc:Fallback>
            <w:pict>
              <v:shape id="文本框 191" o:spid="_x0000_s1026" o:spt="202" type="#_x0000_t202" style="position:absolute;left:0pt;margin-left:122.8pt;margin-top:323.65pt;height:153.5pt;width:49.2pt;z-index:251683840;mso-width-relative:page;mso-height-relative:page;" fillcolor="#FFFFFF" filled="t" stroked="f" coordsize="21600,21600" o:gfxdata="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LlZ5k/ZAAAA&#10;CwEAAA8AAAAAAAAAAQAgAAAAIgAAAGRycy9kb3ducmV2LnhtbFBLAQIUABQAAAAIAIdO4kCTV1T/&#10;4wEAAK0DAAAOAAAAAAAAAAEAIAAAACgBAABkcnMvZTJvRG9jLnhtbFBLBQYAAAAABgAGAFkBAAB9&#10;BQAAAAA=&#10;">
                <v:fill on="t" focussize="0,0"/>
                <v:stroke on="f"/>
                <v:imagedata o:title=""/>
                <o:lock v:ext="edit" aspectratio="f"/>
                <v:textbox>
                  <w:txbxContent>
                    <w:p w14:paraId="53471FF5">
                      <w:pPr>
                        <w:jc w:val="center"/>
                        <w:rPr>
                          <w:rFonts w:hint="eastAsia" w:eastAsia="宋体"/>
                          <w:lang w:eastAsia="zh-CN"/>
                        </w:rPr>
                      </w:pPr>
                    </w:p>
                    <w:p w14:paraId="1A6C3807">
                      <w:pPr>
                        <w:jc w:val="center"/>
                        <w:rPr>
                          <w:rFonts w:hint="eastAsia" w:eastAsia="宋体"/>
                          <w:lang w:eastAsia="zh-CN"/>
                        </w:rPr>
                      </w:pPr>
                      <w:r>
                        <w:rPr>
                          <w:rFonts w:hint="eastAsia" w:eastAsia="宋体"/>
                          <w:lang w:eastAsia="zh-CN"/>
                        </w:rPr>
                        <w:t>门</w:t>
                      </w:r>
                    </w:p>
                    <w:p w14:paraId="3DBEE1AA">
                      <w:pPr>
                        <w:jc w:val="center"/>
                        <w:rPr>
                          <w:rFonts w:hint="eastAsia" w:eastAsia="宋体"/>
                          <w:lang w:eastAsia="zh-CN"/>
                        </w:rPr>
                      </w:pPr>
                    </w:p>
                    <w:p w14:paraId="28891996">
                      <w:pPr>
                        <w:jc w:val="center"/>
                        <w:rPr>
                          <w:rFonts w:hint="eastAsia" w:eastAsia="宋体"/>
                          <w:lang w:eastAsia="zh-CN"/>
                        </w:rPr>
                      </w:pPr>
                    </w:p>
                    <w:p w14:paraId="51FEB165">
                      <w:pPr>
                        <w:jc w:val="center"/>
                        <w:rPr>
                          <w:rFonts w:hint="eastAsia" w:eastAsia="宋体"/>
                          <w:lang w:eastAsia="zh-CN"/>
                        </w:rPr>
                      </w:pPr>
                    </w:p>
                    <w:p w14:paraId="4FB47C5C">
                      <w:pPr>
                        <w:jc w:val="center"/>
                        <w:rPr>
                          <w:rFonts w:hint="eastAsia" w:eastAsia="宋体"/>
                          <w:lang w:eastAsia="zh-CN"/>
                        </w:rPr>
                      </w:pPr>
                      <w:r>
                        <w:rPr>
                          <w:rFonts w:hint="eastAsia" w:eastAsia="宋体"/>
                          <w:lang w:eastAsia="zh-CN"/>
                        </w:rPr>
                        <w:t>诊</w:t>
                      </w:r>
                    </w:p>
                    <w:p w14:paraId="7B31ABDF">
                      <w:pPr>
                        <w:jc w:val="center"/>
                        <w:rPr>
                          <w:rFonts w:hint="eastAsia" w:eastAsia="宋体"/>
                          <w:lang w:eastAsia="zh-CN"/>
                        </w:rPr>
                      </w:pPr>
                    </w:p>
                    <w:p w14:paraId="1D49AA10">
                      <w:pPr>
                        <w:jc w:val="center"/>
                        <w:rPr>
                          <w:rFonts w:hint="eastAsia" w:eastAsia="宋体"/>
                          <w:lang w:eastAsia="zh-CN"/>
                        </w:rPr>
                      </w:pPr>
                    </w:p>
                    <w:p w14:paraId="7A468B20">
                      <w:pPr>
                        <w:jc w:val="center"/>
                        <w:rPr>
                          <w:rFonts w:hint="eastAsia" w:eastAsia="宋体"/>
                          <w:lang w:eastAsia="zh-CN"/>
                        </w:rPr>
                      </w:pPr>
                    </w:p>
                    <w:p w14:paraId="5AA9F591">
                      <w:pPr>
                        <w:jc w:val="center"/>
                        <w:rPr>
                          <w:rFonts w:hint="eastAsia" w:eastAsia="宋体"/>
                          <w:lang w:eastAsia="zh-CN"/>
                        </w:rPr>
                      </w:pPr>
                      <w:r>
                        <w:rPr>
                          <w:rFonts w:hint="eastAsia" w:eastAsia="宋体"/>
                          <w:lang w:eastAsia="zh-CN"/>
                        </w:rPr>
                        <w:t>楼</w:t>
                      </w:r>
                    </w:p>
                  </w:txbxContent>
                </v:textbox>
              </v:shape>
            </w:pict>
          </mc:Fallback>
        </mc:AlternateContent>
      </w:r>
      <w:r>
        <w:rPr>
          <w:color w:val="auto"/>
          <w:sz w:val="28"/>
        </w:rPr>
        <mc:AlternateContent>
          <mc:Choice Requires="wps">
            <w:drawing>
              <wp:anchor distT="0" distB="0" distL="114300" distR="114300" simplePos="0" relativeHeight="251682816" behindDoc="0" locked="0" layoutInCell="1" allowOverlap="1">
                <wp:simplePos x="0" y="0"/>
                <wp:positionH relativeFrom="column">
                  <wp:posOffset>1529080</wp:posOffset>
                </wp:positionH>
                <wp:positionV relativeFrom="paragraph">
                  <wp:posOffset>2014220</wp:posOffset>
                </wp:positionV>
                <wp:extent cx="1211580" cy="274320"/>
                <wp:effectExtent l="0" t="0" r="7620" b="11430"/>
                <wp:wrapNone/>
                <wp:docPr id="29" name="文本框 190"/>
                <wp:cNvGraphicFramePr/>
                <a:graphic xmlns:a="http://schemas.openxmlformats.org/drawingml/2006/main">
                  <a:graphicData uri="http://schemas.microsoft.com/office/word/2010/wordprocessingShape">
                    <wps:wsp>
                      <wps:cNvSpPr txBox="1"/>
                      <wps:spPr>
                        <a:xfrm>
                          <a:off x="0" y="0"/>
                          <a:ext cx="1211580" cy="274320"/>
                        </a:xfrm>
                        <a:prstGeom prst="rect">
                          <a:avLst/>
                        </a:prstGeom>
                        <a:solidFill>
                          <a:srgbClr val="FFFFFF"/>
                        </a:solidFill>
                        <a:ln>
                          <a:noFill/>
                        </a:ln>
                      </wps:spPr>
                      <wps:txbx>
                        <w:txbxContent>
                          <w:p w14:paraId="3575917B">
                            <w:pPr>
                              <w:jc w:val="center"/>
                              <w:rPr>
                                <w:rFonts w:hint="eastAsia" w:eastAsia="宋体"/>
                                <w:lang w:eastAsia="zh-CN"/>
                              </w:rPr>
                            </w:pPr>
                            <w:r>
                              <w:rPr>
                                <w:rFonts w:hint="eastAsia"/>
                                <w:lang w:eastAsia="zh-CN"/>
                              </w:rPr>
                              <w:t>综合楼</w:t>
                            </w:r>
                          </w:p>
                        </w:txbxContent>
                      </wps:txbx>
                      <wps:bodyPr vert="horz" wrap="square" anchor="t" anchorCtr="0" upright="1"/>
                    </wps:wsp>
                  </a:graphicData>
                </a:graphic>
              </wp:anchor>
            </w:drawing>
          </mc:Choice>
          <mc:Fallback>
            <w:pict>
              <v:shape id="文本框 190" o:spid="_x0000_s1026" o:spt="202" type="#_x0000_t202" style="position:absolute;left:0pt;margin-left:120.4pt;margin-top:158.6pt;height:21.6pt;width:95.4pt;z-index:251682816;mso-width-relative:page;mso-height-relative:page;" fillcolor="#FFFFFF" filled="t" stroked="f" coordsize="21600,21600" o:gfxdata="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NpgX39kAAAAL&#10;AQAADwAAAAAAAAABACAAAAAiAAAAZHJzL2Rvd25yZXYueG1sUEsBAhQAFAAAAAgAh07iQOTNRqTi&#10;AQAArQMAAA4AAAAAAAAAAQAgAAAAKAEAAGRycy9lMm9Eb2MueG1sUEsFBgAAAAAGAAYAWQEAAHwF&#10;AAAAAA==&#10;">
                <v:fill on="t" focussize="0,0"/>
                <v:stroke on="f"/>
                <v:imagedata o:title=""/>
                <o:lock v:ext="edit" aspectratio="f"/>
                <v:textbox>
                  <w:txbxContent>
                    <w:p w14:paraId="3575917B">
                      <w:pPr>
                        <w:jc w:val="center"/>
                        <w:rPr>
                          <w:rFonts w:hint="eastAsia" w:eastAsia="宋体"/>
                          <w:lang w:eastAsia="zh-CN"/>
                        </w:rPr>
                      </w:pPr>
                      <w:r>
                        <w:rPr>
                          <w:rFonts w:hint="eastAsia"/>
                          <w:lang w:eastAsia="zh-CN"/>
                        </w:rPr>
                        <w:t>综合楼</w:t>
                      </w:r>
                    </w:p>
                  </w:txbxContent>
                </v:textbox>
              </v:shape>
            </w:pict>
          </mc:Fallback>
        </mc:AlternateContent>
      </w:r>
      <w:r>
        <w:rPr>
          <w:color w:val="auto"/>
          <w:sz w:val="28"/>
        </w:rPr>
        <mc:AlternateContent>
          <mc:Choice Requires="wps">
            <w:drawing>
              <wp:anchor distT="0" distB="0" distL="114300" distR="114300" simplePos="0" relativeHeight="251662336" behindDoc="0" locked="0" layoutInCell="1" allowOverlap="1">
                <wp:simplePos x="0" y="0"/>
                <wp:positionH relativeFrom="column">
                  <wp:posOffset>172720</wp:posOffset>
                </wp:positionH>
                <wp:positionV relativeFrom="paragraph">
                  <wp:posOffset>351155</wp:posOffset>
                </wp:positionV>
                <wp:extent cx="6042660" cy="8313420"/>
                <wp:effectExtent l="4445" t="5080" r="10795" b="6350"/>
                <wp:wrapNone/>
                <wp:docPr id="2" name="矩形 182"/>
                <wp:cNvGraphicFramePr/>
                <a:graphic xmlns:a="http://schemas.openxmlformats.org/drawingml/2006/main">
                  <a:graphicData uri="http://schemas.microsoft.com/office/word/2010/wordprocessingShape">
                    <wps:wsp>
                      <wps:cNvSpPr/>
                      <wps:spPr>
                        <a:xfrm>
                          <a:off x="0" y="0"/>
                          <a:ext cx="6042660" cy="8313420"/>
                        </a:xfrm>
                        <a:prstGeom prst="rect">
                          <a:avLst/>
                        </a:prstGeom>
                        <a:solidFill>
                          <a:srgbClr val="FFFFFF"/>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2" o:spid="_x0000_s1026" o:spt="1" style="position:absolute;left:0pt;margin-left:13.6pt;margin-top:27.65pt;height:654.6pt;width:475.8pt;z-index:251662336;mso-width-relative:page;mso-height-relative:page;" fillcolor="#FFFFFF" filled="t" stroked="t" coordsize="21600,21600" o:gfxdata="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GoOaN/Z&#10;AAAACgEAAA8AAAAAAAAAAQAgAAAAIgAAAGRycy9kb3ducmV2LnhtbFBLAQIUABQAAAAIAIdO4kAM&#10;wgSzHwIAAFQEAAAOAAAAAAAAAAEAIAAAACgBAABkcnMvZTJvRG9jLnhtbFBLBQYAAAAABgAGAFkB&#10;AAC5BQAAAAA=&#10;">
                <v:fill on="t" focussize="0,0"/>
                <v:stroke color="#000000" joinstyle="miter"/>
                <v:imagedata o:title=""/>
                <o:lock v:ext="edit" aspectratio="f"/>
              </v:rect>
            </w:pict>
          </mc:Fallback>
        </mc:AlternateContent>
      </w:r>
      <w:r>
        <w:rPr>
          <w:color w:val="auto"/>
          <w:sz w:val="28"/>
        </w:rPr>
        <mc:AlternateContent>
          <mc:Choice Requires="wps">
            <w:drawing>
              <wp:anchor distT="0" distB="0" distL="114300" distR="114300" simplePos="0" relativeHeight="251681792" behindDoc="0" locked="0" layoutInCell="1" allowOverlap="1">
                <wp:simplePos x="0" y="0"/>
                <wp:positionH relativeFrom="column">
                  <wp:posOffset>4302760</wp:posOffset>
                </wp:positionH>
                <wp:positionV relativeFrom="paragraph">
                  <wp:posOffset>3314700</wp:posOffset>
                </wp:positionV>
                <wp:extent cx="1859280" cy="3093720"/>
                <wp:effectExtent l="4445" t="4445" r="22225" b="6985"/>
                <wp:wrapNone/>
                <wp:docPr id="28" name="矩形 189"/>
                <wp:cNvGraphicFramePr/>
                <a:graphic xmlns:a="http://schemas.openxmlformats.org/drawingml/2006/main">
                  <a:graphicData uri="http://schemas.microsoft.com/office/word/2010/wordprocessingShape">
                    <wps:wsp>
                      <wps:cNvSpPr/>
                      <wps:spPr>
                        <a:xfrm>
                          <a:off x="0" y="0"/>
                          <a:ext cx="1859280" cy="3093720"/>
                        </a:xfrm>
                        <a:prstGeom prst="rect">
                          <a:avLst/>
                        </a:prstGeom>
                        <a:solidFill>
                          <a:srgbClr val="FFFFFF"/>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9" o:spid="_x0000_s1026" o:spt="1" style="position:absolute;left:0pt;margin-left:338.8pt;margin-top:261pt;height:243.6pt;width:146.4pt;z-index:251681792;mso-width-relative:page;mso-height-relative:page;" fillcolor="#FFFFFF" filled="t" stroked="t" coordsize="21600,21600" o:gfxdata="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KQ/mjfZ&#10;AAAADAEAAA8AAAAAAAAAAQAgAAAAIgAAAGRycy9kb3ducmV2LnhtbFBLAQIUABQAAAAIAIdO4kBs&#10;3ddGHwIAAFUEAAAOAAAAAAAAAAEAIAAAACgBAABkcnMvZTJvRG9jLnhtbFBLBQYAAAAABgAGAFkB&#10;AAC5BQAAAAA=&#10;">
                <v:fill on="t" focussize="0,0"/>
                <v:stroke color="#000000" joinstyle="miter"/>
                <v:imagedata o:title=""/>
                <o:lock v:ext="edit" aspectratio="f"/>
              </v:rect>
            </w:pict>
          </mc:Fallback>
        </mc:AlternateContent>
      </w:r>
      <w:r>
        <w:rPr>
          <w:color w:val="auto"/>
          <w:sz w:val="28"/>
        </w:rPr>
        <mc:AlternateContent>
          <mc:Choice Requires="wps">
            <w:drawing>
              <wp:anchor distT="0" distB="0" distL="114300" distR="114300" simplePos="0" relativeHeight="251677696" behindDoc="0" locked="0" layoutInCell="1" allowOverlap="1">
                <wp:simplePos x="0" y="0"/>
                <wp:positionH relativeFrom="column">
                  <wp:posOffset>835025</wp:posOffset>
                </wp:positionH>
                <wp:positionV relativeFrom="paragraph">
                  <wp:posOffset>1840230</wp:posOffset>
                </wp:positionV>
                <wp:extent cx="2614295" cy="579755"/>
                <wp:effectExtent l="4445" t="4445" r="10160" b="6350"/>
                <wp:wrapNone/>
                <wp:docPr id="24" name="自选图形 186"/>
                <wp:cNvGraphicFramePr/>
                <a:graphic xmlns:a="http://schemas.openxmlformats.org/drawingml/2006/main">
                  <a:graphicData uri="http://schemas.microsoft.com/office/word/2010/wordprocessingShape">
                    <wps:wsp>
                      <wps:cNvSpPr/>
                      <wps:spPr>
                        <a:xfrm>
                          <a:off x="0" y="0"/>
                          <a:ext cx="2614295" cy="579755"/>
                        </a:xfrm>
                        <a:prstGeom prst="parallelogram">
                          <a:avLst>
                            <a:gd name="adj" fmla="val 0"/>
                          </a:avLst>
                        </a:prstGeom>
                        <a:solidFill>
                          <a:srgbClr val="FFFFFF"/>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shape id="自选图形 186" o:spid="_x0000_s1026" o:spt="7" type="#_x0000_t7" style="position:absolute;left:0pt;margin-left:65.75pt;margin-top:144.9pt;height:45.65pt;width:205.85pt;z-index:251677696;mso-width-relative:page;mso-height-relative:page;" fillcolor="#FFFFFF" filled="t" stroked="t" coordsize="21600,21600" o:gfxdata="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693pmNgAAAALAQAADwAAAAAAAAABACAAAAAiAAAA&#10;ZHJzL2Rvd25yZXYueG1sUEsBAhQAFAAAAAgAh07iQGcsCs1AAgAAiwQAAA4AAAAAAAAAAQAgAAAA&#10;JwEAAGRycy9lMm9Eb2MueG1sUEsFBgAAAAAGAAYAWQEAANkFAAAAAA==&#10;" adj="0">
                <v:fill on="t" focussize="0,0"/>
                <v:stroke color="#000000" joinstyle="miter"/>
                <v:imagedata o:title=""/>
                <o:lock v:ext="edit" aspectratio="f"/>
              </v:shape>
            </w:pict>
          </mc:Fallback>
        </mc:AlternateContent>
      </w:r>
      <w:r>
        <w:rPr>
          <w:color w:val="auto"/>
          <w:sz w:val="28"/>
        </w:rPr>
        <mc:AlternateContent>
          <mc:Choice Requires="wps">
            <w:drawing>
              <wp:anchor distT="0" distB="0" distL="114300" distR="114300" simplePos="0" relativeHeight="251675648" behindDoc="0" locked="0" layoutInCell="1" allowOverlap="1">
                <wp:simplePos x="0" y="0"/>
                <wp:positionH relativeFrom="column">
                  <wp:posOffset>342900</wp:posOffset>
                </wp:positionH>
                <wp:positionV relativeFrom="paragraph">
                  <wp:posOffset>4622165</wp:posOffset>
                </wp:positionV>
                <wp:extent cx="2918460" cy="1067435"/>
                <wp:effectExtent l="5080" t="5080" r="13335" b="10160"/>
                <wp:wrapNone/>
                <wp:docPr id="22" name="自选图形 184"/>
                <wp:cNvGraphicFramePr/>
                <a:graphic xmlns:a="http://schemas.openxmlformats.org/drawingml/2006/main">
                  <a:graphicData uri="http://schemas.microsoft.com/office/word/2010/wordprocessingShape">
                    <wps:wsp>
                      <wps:cNvSpPr/>
                      <wps:spPr>
                        <a:xfrm rot="-5400000">
                          <a:off x="0" y="0"/>
                          <a:ext cx="2918460" cy="1067435"/>
                        </a:xfrm>
                        <a:prstGeom prst="parallelogram">
                          <a:avLst>
                            <a:gd name="adj" fmla="val 0"/>
                          </a:avLst>
                        </a:prstGeom>
                        <a:solidFill>
                          <a:srgbClr val="FFFFFF"/>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shape id="自选图形 184" o:spid="_x0000_s1026" o:spt="7" type="#_x0000_t7" style="position:absolute;left:0pt;margin-left:27pt;margin-top:363.95pt;height:84.05pt;width:229.8pt;rotation:-5898240f;z-index:251675648;mso-width-relative:page;mso-height-relative:page;" fillcolor="#FFFFFF" filled="t" stroked="t" coordsize="21600,21600" o:gfxdata="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AVeqB2wAAAAoBAAAP&#10;AAAAAAAAAAEAIAAAACIAAABkcnMvZG93bnJldi54bWxQSwECFAAUAAAACACHTuJAkr0pok4CAACb&#10;BAAADgAAAAAAAAABACAAAAAqAQAAZHJzL2Uyb0RvYy54bWxQSwUGAAAAAAYABgBZAQAA6gUAAAAA&#10;" adj="0">
                <v:fill on="t" focussize="0,0"/>
                <v:stroke color="#000000" joinstyle="miter"/>
                <v:imagedata o:title=""/>
                <o:lock v:ext="edit" aspectratio="f"/>
              </v:shape>
            </w:pict>
          </mc:Fallback>
        </mc:AlternateContent>
      </w:r>
      <w:r>
        <w:rPr>
          <w:color w:val="auto"/>
          <w:sz w:val="28"/>
        </w:rPr>
        <mc:AlternateContent>
          <mc:Choice Requires="wps">
            <w:drawing>
              <wp:anchor distT="0" distB="0" distL="114300" distR="114300" simplePos="0" relativeHeight="251678720" behindDoc="0" locked="0" layoutInCell="1" allowOverlap="1">
                <wp:simplePos x="0" y="0"/>
                <wp:positionH relativeFrom="column">
                  <wp:posOffset>835025</wp:posOffset>
                </wp:positionH>
                <wp:positionV relativeFrom="paragraph">
                  <wp:posOffset>2632710</wp:posOffset>
                </wp:positionV>
                <wp:extent cx="2614295" cy="1067435"/>
                <wp:effectExtent l="4445" t="4445" r="10160" b="13970"/>
                <wp:wrapNone/>
                <wp:docPr id="25" name="自选图形 185"/>
                <wp:cNvGraphicFramePr/>
                <a:graphic xmlns:a="http://schemas.openxmlformats.org/drawingml/2006/main">
                  <a:graphicData uri="http://schemas.microsoft.com/office/word/2010/wordprocessingShape">
                    <wps:wsp>
                      <wps:cNvSpPr/>
                      <wps:spPr>
                        <a:xfrm>
                          <a:off x="0" y="0"/>
                          <a:ext cx="2614295" cy="1067435"/>
                        </a:xfrm>
                        <a:prstGeom prst="parallelogram">
                          <a:avLst>
                            <a:gd name="adj" fmla="val 0"/>
                          </a:avLst>
                        </a:prstGeom>
                        <a:solidFill>
                          <a:srgbClr val="FFFFFF"/>
                        </a:solidFill>
                        <a:ln w="9525" cap="flat" cmpd="sng">
                          <a:solidFill>
                            <a:srgbClr val="000000"/>
                          </a:solidFill>
                          <a:prstDash val="solid"/>
                          <a:miter/>
                          <a:headEnd type="none" w="med" len="med"/>
                          <a:tailEnd type="none" w="med" len="med"/>
                        </a:ln>
                      </wps:spPr>
                      <wps:txbx>
                        <w:txbxContent>
                          <w:p w14:paraId="43354DE2">
                            <w:pPr>
                              <w:ind w:firstLine="660" w:firstLineChars="300"/>
                              <w:rPr>
                                <w:rFonts w:hint="eastAsia"/>
                                <w:lang w:eastAsia="zh-CN"/>
                              </w:rPr>
                            </w:pPr>
                          </w:p>
                          <w:p w14:paraId="1F09DD7F">
                            <w:pPr>
                              <w:ind w:firstLine="660" w:firstLineChars="300"/>
                              <w:rPr>
                                <w:rFonts w:hint="eastAsia"/>
                                <w:lang w:eastAsia="zh-CN"/>
                              </w:rPr>
                            </w:pPr>
                          </w:p>
                          <w:p w14:paraId="0A724734">
                            <w:pPr>
                              <w:ind w:firstLine="660" w:firstLineChars="300"/>
                              <w:rPr>
                                <w:rFonts w:hint="eastAsia" w:eastAsia="宋体"/>
                                <w:lang w:eastAsia="zh-CN"/>
                              </w:rPr>
                            </w:pPr>
                            <w:r>
                              <w:rPr>
                                <w:rFonts w:hint="eastAsia"/>
                                <w:lang w:eastAsia="zh-CN"/>
                              </w:rPr>
                              <w:t>门诊楼（北）</w:t>
                            </w:r>
                          </w:p>
                        </w:txbxContent>
                      </wps:txbx>
                      <wps:bodyPr vert="horz" wrap="square" anchor="t" anchorCtr="0" upright="1"/>
                    </wps:wsp>
                  </a:graphicData>
                </a:graphic>
              </wp:anchor>
            </w:drawing>
          </mc:Choice>
          <mc:Fallback>
            <w:pict>
              <v:shape id="自选图形 185" o:spid="_x0000_s1026" o:spt="7" type="#_x0000_t7" style="position:absolute;left:0pt;margin-left:65.75pt;margin-top:207.3pt;height:84.05pt;width:205.85pt;z-index:251678720;mso-width-relative:page;mso-height-relative:page;" fillcolor="#FFFFFF" filled="t" stroked="t" coordsize="21600,21600" o:gfxdata="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B1XvT1wAAAAsBAAAPAAAAAAAAAAEA&#10;IAAAACIAAABkcnMvZG93bnJldi54bWxQSwECFAAUAAAACACHTuJAvsAoL0kCAACXBAAADgAAAAAA&#10;AAABACAAAAAmAQAAZHJzL2Uyb0RvYy54bWxQSwUGAAAAAAYABgBZAQAA4QUAAAAA&#10;" adj="0">
                <v:fill on="t" focussize="0,0"/>
                <v:stroke color="#000000" joinstyle="miter"/>
                <v:imagedata o:title=""/>
                <o:lock v:ext="edit" aspectratio="f"/>
                <v:textbox>
                  <w:txbxContent>
                    <w:p w14:paraId="43354DE2">
                      <w:pPr>
                        <w:ind w:firstLine="660" w:firstLineChars="300"/>
                        <w:rPr>
                          <w:rFonts w:hint="eastAsia"/>
                          <w:lang w:eastAsia="zh-CN"/>
                        </w:rPr>
                      </w:pPr>
                    </w:p>
                    <w:p w14:paraId="1F09DD7F">
                      <w:pPr>
                        <w:ind w:firstLine="660" w:firstLineChars="300"/>
                        <w:rPr>
                          <w:rFonts w:hint="eastAsia"/>
                          <w:lang w:eastAsia="zh-CN"/>
                        </w:rPr>
                      </w:pPr>
                    </w:p>
                    <w:p w14:paraId="0A724734">
                      <w:pPr>
                        <w:ind w:firstLine="660" w:firstLineChars="300"/>
                        <w:rPr>
                          <w:rFonts w:hint="eastAsia" w:eastAsia="宋体"/>
                          <w:lang w:eastAsia="zh-CN"/>
                        </w:rPr>
                      </w:pPr>
                      <w:r>
                        <w:rPr>
                          <w:rFonts w:hint="eastAsia"/>
                          <w:lang w:eastAsia="zh-CN"/>
                        </w:rPr>
                        <w:t>门诊楼（北）</w:t>
                      </w:r>
                    </w:p>
                  </w:txbxContent>
                </v:textbox>
              </v:shape>
            </w:pict>
          </mc:Fallback>
        </mc:AlternateContent>
      </w:r>
      <w:r>
        <w:rPr>
          <w:color w:val="auto"/>
          <w:sz w:val="28"/>
        </w:rPr>
        <mc:AlternateContent>
          <mc:Choice Requires="wps">
            <w:drawing>
              <wp:anchor distT="0" distB="0" distL="114300" distR="114300" simplePos="0" relativeHeight="251676672" behindDoc="0" locked="0" layoutInCell="1" allowOverlap="1">
                <wp:simplePos x="0" y="0"/>
                <wp:positionH relativeFrom="column">
                  <wp:posOffset>895985</wp:posOffset>
                </wp:positionH>
                <wp:positionV relativeFrom="paragraph">
                  <wp:posOffset>6389370</wp:posOffset>
                </wp:positionV>
                <wp:extent cx="2614295" cy="1067435"/>
                <wp:effectExtent l="99695" t="325755" r="105410" b="340360"/>
                <wp:wrapNone/>
                <wp:docPr id="23" name="自选图形 183"/>
                <wp:cNvGraphicFramePr/>
                <a:graphic xmlns:a="http://schemas.openxmlformats.org/drawingml/2006/main">
                  <a:graphicData uri="http://schemas.microsoft.com/office/word/2010/wordprocessingShape">
                    <wps:wsp>
                      <wps:cNvSpPr/>
                      <wps:spPr>
                        <a:xfrm rot="-900000">
                          <a:off x="0" y="0"/>
                          <a:ext cx="2614295" cy="1067435"/>
                        </a:xfrm>
                        <a:prstGeom prst="parallelogram">
                          <a:avLst>
                            <a:gd name="adj" fmla="val 0"/>
                          </a:avLst>
                        </a:prstGeom>
                        <a:solidFill>
                          <a:srgbClr val="FFFFFF"/>
                        </a:solidFill>
                        <a:ln w="9525" cap="flat" cmpd="sng">
                          <a:solidFill>
                            <a:srgbClr val="000000"/>
                          </a:solidFill>
                          <a:prstDash val="solid"/>
                          <a:miter/>
                          <a:headEnd type="none" w="med" len="med"/>
                          <a:tailEnd type="none" w="med" len="med"/>
                        </a:ln>
                      </wps:spPr>
                      <wps:txbx>
                        <w:txbxContent>
                          <w:p w14:paraId="26B61A5E"/>
                          <w:p w14:paraId="68A8DF16">
                            <w:pPr>
                              <w:pStyle w:val="4"/>
                            </w:pPr>
                          </w:p>
                          <w:p w14:paraId="5C0B8E88">
                            <w:pPr>
                              <w:pStyle w:val="5"/>
                              <w:rPr>
                                <w:rFonts w:hint="eastAsia" w:eastAsia="宋体"/>
                                <w:lang w:eastAsia="zh-CN"/>
                              </w:rPr>
                            </w:pPr>
                            <w:r>
                              <w:rPr>
                                <w:rFonts w:hint="eastAsia"/>
                                <w:lang w:eastAsia="zh-CN"/>
                              </w:rPr>
                              <w:t>门诊楼（南）</w:t>
                            </w:r>
                          </w:p>
                        </w:txbxContent>
                      </wps:txbx>
                      <wps:bodyPr vert="horz" wrap="square" anchor="t" anchorCtr="0" upright="1"/>
                    </wps:wsp>
                  </a:graphicData>
                </a:graphic>
              </wp:anchor>
            </w:drawing>
          </mc:Choice>
          <mc:Fallback>
            <w:pict>
              <v:shape id="自选图形 183" o:spid="_x0000_s1026" o:spt="7" type="#_x0000_t7" style="position:absolute;left:0pt;margin-left:70.55pt;margin-top:503.1pt;height:84.05pt;width:205.85pt;rotation:-983040f;z-index:251676672;mso-width-relative:page;mso-height-relative:page;" fillcolor="#FFFFFF" filled="t" stroked="t" coordsize="21600,21600" o:gfxdata="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JtpIY3YAAAADQEA&#10;AA8AAAAAAAAAAQAgAAAAIgAAAGRycy9kb3ducmV2LnhtbFBLAQIUABQAAAAIAIdO4kDwfQ90UwIA&#10;AKUEAAAOAAAAAAAAAAEAIAAAACcBAABkcnMvZTJvRG9jLnhtbFBLBQYAAAAABgAGAFkBAADsBQAA&#10;AAA=&#10;" adj="0">
                <v:fill on="t" focussize="0,0"/>
                <v:stroke color="#000000" joinstyle="miter"/>
                <v:imagedata o:title=""/>
                <o:lock v:ext="edit" aspectratio="f"/>
                <v:textbox>
                  <w:txbxContent>
                    <w:p w14:paraId="26B61A5E"/>
                    <w:p w14:paraId="68A8DF16">
                      <w:pPr>
                        <w:pStyle w:val="4"/>
                      </w:pPr>
                    </w:p>
                    <w:p w14:paraId="5C0B8E88">
                      <w:pPr>
                        <w:pStyle w:val="5"/>
                        <w:rPr>
                          <w:rFonts w:hint="eastAsia" w:eastAsia="宋体"/>
                          <w:lang w:eastAsia="zh-CN"/>
                        </w:rPr>
                      </w:pPr>
                      <w:r>
                        <w:rPr>
                          <w:rFonts w:hint="eastAsia"/>
                          <w:lang w:eastAsia="zh-CN"/>
                        </w:rPr>
                        <w:t>门诊楼（南）</w:t>
                      </w:r>
                    </w:p>
                  </w:txbxContent>
                </v:textbox>
              </v:shape>
            </w:pict>
          </mc:Fallback>
        </mc:AlternateContent>
      </w:r>
    </w:p>
    <w:p w14:paraId="3DD0913E">
      <w:pPr>
        <w:spacing w:before="62"/>
        <w:ind w:right="4070"/>
        <w:jc w:val="both"/>
        <w:rPr>
          <w:rFonts w:hint="eastAsia" w:eastAsia="宋体"/>
          <w:color w:val="auto"/>
          <w:sz w:val="28"/>
          <w:lang w:val="en-US" w:eastAsia="zh-CN"/>
        </w:rPr>
      </w:pPr>
    </w:p>
    <w:p w14:paraId="7058464D">
      <w:pPr>
        <w:spacing w:before="62"/>
        <w:ind w:right="4070"/>
        <w:jc w:val="both"/>
        <w:rPr>
          <w:color w:val="auto"/>
          <w:sz w:val="28"/>
          <w:lang w:val="en-US"/>
        </w:rPr>
      </w:pPr>
      <w:r>
        <w:rPr>
          <w:rFonts w:hint="eastAsia" w:ascii="Times New Roman" w:hAnsi="Times New Roman" w:eastAsia="宋体" w:cs="Times New Roman"/>
          <w:snapToGrid w:val="0"/>
          <w:color w:val="auto"/>
          <w:spacing w:val="-6"/>
          <w:kern w:val="21"/>
          <w:szCs w:val="21"/>
          <w:lang w:eastAsia="zh-CN"/>
        </w:rPr>
        <w:drawing>
          <wp:anchor distT="0" distB="0" distL="114300" distR="114300" simplePos="0" relativeHeight="251718656" behindDoc="0" locked="0" layoutInCell="1" allowOverlap="1">
            <wp:simplePos x="0" y="0"/>
            <wp:positionH relativeFrom="column">
              <wp:posOffset>7678420</wp:posOffset>
            </wp:positionH>
            <wp:positionV relativeFrom="paragraph">
              <wp:posOffset>242570</wp:posOffset>
            </wp:positionV>
            <wp:extent cx="954405" cy="857885"/>
            <wp:effectExtent l="9525" t="9525" r="26670" b="27940"/>
            <wp:wrapNone/>
            <wp:docPr id="207" name="图片 2" descr="东胜区风玫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 descr="东胜区风玫瑰图"/>
                    <pic:cNvPicPr>
                      <a:picLocks noChangeAspect="1"/>
                    </pic:cNvPicPr>
                  </pic:nvPicPr>
                  <pic:blipFill>
                    <a:blip r:embed="rId32"/>
                    <a:stretch>
                      <a:fillRect/>
                    </a:stretch>
                  </pic:blipFill>
                  <pic:spPr>
                    <a:xfrm>
                      <a:off x="0" y="0"/>
                      <a:ext cx="954405" cy="857885"/>
                    </a:xfrm>
                    <a:prstGeom prst="rect">
                      <a:avLst/>
                    </a:prstGeom>
                    <a:noFill/>
                    <a:ln w="9525" cap="flat" cmpd="sng">
                      <a:solidFill>
                        <a:srgbClr val="000000"/>
                      </a:solidFill>
                      <a:prstDash val="solid"/>
                      <a:miter/>
                      <a:headEnd type="none" w="med" len="med"/>
                      <a:tailEnd type="none" w="med" len="med"/>
                    </a:ln>
                  </pic:spPr>
                </pic:pic>
              </a:graphicData>
            </a:graphic>
          </wp:anchor>
        </w:drawing>
      </w:r>
      <w:r>
        <w:rPr>
          <w:color w:val="auto"/>
        </w:rPr>
        <w:drawing>
          <wp:anchor distT="0" distB="0" distL="114300" distR="114300" simplePos="0" relativeHeight="251717632" behindDoc="1" locked="0" layoutInCell="1" allowOverlap="1">
            <wp:simplePos x="0" y="0"/>
            <wp:positionH relativeFrom="column">
              <wp:posOffset>404495</wp:posOffset>
            </wp:positionH>
            <wp:positionV relativeFrom="paragraph">
              <wp:posOffset>114300</wp:posOffset>
            </wp:positionV>
            <wp:extent cx="8315325" cy="5114925"/>
            <wp:effectExtent l="9525" t="9525" r="19050" b="19050"/>
            <wp:wrapNone/>
            <wp:docPr id="20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40"/>
                    <pic:cNvPicPr>
                      <a:picLocks noChangeAspect="1"/>
                    </pic:cNvPicPr>
                  </pic:nvPicPr>
                  <pic:blipFill>
                    <a:blip r:embed="rId35"/>
                    <a:stretch>
                      <a:fillRect/>
                    </a:stretch>
                  </pic:blipFill>
                  <pic:spPr>
                    <a:xfrm>
                      <a:off x="0" y="0"/>
                      <a:ext cx="8315325" cy="5114925"/>
                    </a:xfrm>
                    <a:prstGeom prst="rect">
                      <a:avLst/>
                    </a:prstGeom>
                    <a:noFill/>
                    <a:ln>
                      <a:solidFill>
                        <a:schemeClr val="tx1"/>
                      </a:solidFill>
                    </a:ln>
                  </pic:spPr>
                </pic:pic>
              </a:graphicData>
            </a:graphic>
          </wp:anchor>
        </w:drawing>
      </w:r>
    </w:p>
    <w:p w14:paraId="69618CDD">
      <w:pPr>
        <w:spacing w:before="62"/>
        <w:ind w:right="4070"/>
        <w:jc w:val="both"/>
        <w:rPr>
          <w:color w:val="auto"/>
          <w:sz w:val="28"/>
          <w:lang w:val="en-US"/>
        </w:rPr>
      </w:pPr>
    </w:p>
    <w:p w14:paraId="2D7E7B3A">
      <w:pPr>
        <w:spacing w:before="62"/>
        <w:ind w:right="4070"/>
        <w:jc w:val="both"/>
        <w:rPr>
          <w:color w:val="auto"/>
          <w:sz w:val="28"/>
          <w:lang w:val="en-US"/>
        </w:rPr>
      </w:pPr>
    </w:p>
    <w:p w14:paraId="38E8CAD7">
      <w:pPr>
        <w:spacing w:before="62"/>
        <w:ind w:right="4070"/>
        <w:jc w:val="both"/>
        <w:rPr>
          <w:color w:val="auto"/>
          <w:sz w:val="28"/>
          <w:lang w:val="en-US"/>
        </w:rPr>
      </w:pPr>
    </w:p>
    <w:p w14:paraId="24E49E49">
      <w:pPr>
        <w:spacing w:before="62"/>
        <w:ind w:right="4070"/>
        <w:jc w:val="both"/>
        <w:rPr>
          <w:color w:val="auto"/>
          <w:sz w:val="28"/>
          <w:lang w:val="en-US"/>
        </w:rPr>
      </w:pPr>
      <w:r>
        <w:rPr>
          <w:color w:val="auto"/>
          <w:sz w:val="22"/>
        </w:rPr>
        <mc:AlternateContent>
          <mc:Choice Requires="wps">
            <w:drawing>
              <wp:anchor distT="0" distB="0" distL="114300" distR="114300" simplePos="0" relativeHeight="251725824" behindDoc="0" locked="0" layoutInCell="1" allowOverlap="1">
                <wp:simplePos x="0" y="0"/>
                <wp:positionH relativeFrom="column">
                  <wp:posOffset>4565650</wp:posOffset>
                </wp:positionH>
                <wp:positionV relativeFrom="paragraph">
                  <wp:posOffset>258445</wp:posOffset>
                </wp:positionV>
                <wp:extent cx="213995" cy="178435"/>
                <wp:effectExtent l="12700" t="12700" r="20955" b="18415"/>
                <wp:wrapNone/>
                <wp:docPr id="220" name="等腰三角形 220"/>
                <wp:cNvGraphicFramePr/>
                <a:graphic xmlns:a="http://schemas.openxmlformats.org/drawingml/2006/main">
                  <a:graphicData uri="http://schemas.microsoft.com/office/word/2010/wordprocessingShape">
                    <wps:wsp>
                      <wps:cNvSpPr/>
                      <wps:spPr>
                        <a:xfrm>
                          <a:off x="0" y="0"/>
                          <a:ext cx="213995" cy="178435"/>
                        </a:xfrm>
                        <a:prstGeom prst="triangle">
                          <a:avLst/>
                        </a:prstGeom>
                        <a:solidFill>
                          <a:srgbClr val="FFFF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59.5pt;margin-top:20.35pt;height:14.05pt;width:16.85pt;z-index:251725824;v-text-anchor:middle;mso-width-relative:page;mso-height-relative:page;" fillcolor="#FFFF00" filled="t" stroked="t" coordsize="21600,21600" o:gfxdata="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BrBkztgAAAAJAQAADwAAAAAAAAABACAAAAAi&#10;AAAAZHJzL2Rvd25yZXYueG1sUEsBAhQAFAAAAAgAh07iQIogMrB8AgAA7QQAAA4AAAAAAAAAAQAg&#10;AAAAJwEAAGRycy9lMm9Eb2MueG1sUEsFBgAAAAAGAAYAWQEAABUGAAAAAA==&#10;" adj="10800">
                <v:fill on="t" focussize="0,0"/>
                <v:stroke weight="2pt" color="#000000 [3213]" joinstyle="round"/>
                <v:imagedata o:title=""/>
                <o:lock v:ext="edit" aspectratio="f"/>
              </v:shape>
            </w:pict>
          </mc:Fallback>
        </mc:AlternateContent>
      </w:r>
    </w:p>
    <w:p w14:paraId="3FA5F131">
      <w:pPr>
        <w:spacing w:before="62"/>
        <w:ind w:right="4070"/>
        <w:jc w:val="both"/>
        <w:rPr>
          <w:color w:val="auto"/>
          <w:sz w:val="28"/>
          <w:lang w:val="en-US"/>
        </w:rPr>
      </w:pPr>
      <w:r>
        <w:rPr>
          <w:color w:val="auto"/>
          <w:sz w:val="22"/>
        </w:rPr>
        <mc:AlternateContent>
          <mc:Choice Requires="wps">
            <w:drawing>
              <wp:anchor distT="0" distB="0" distL="114300" distR="114300" simplePos="0" relativeHeight="251730944" behindDoc="0" locked="0" layoutInCell="1" allowOverlap="1">
                <wp:simplePos x="0" y="0"/>
                <wp:positionH relativeFrom="column">
                  <wp:posOffset>4886325</wp:posOffset>
                </wp:positionH>
                <wp:positionV relativeFrom="paragraph">
                  <wp:posOffset>179070</wp:posOffset>
                </wp:positionV>
                <wp:extent cx="213995" cy="178435"/>
                <wp:effectExtent l="12700" t="12700" r="20955" b="18415"/>
                <wp:wrapNone/>
                <wp:docPr id="225" name="等腰三角形 225"/>
                <wp:cNvGraphicFramePr/>
                <a:graphic xmlns:a="http://schemas.openxmlformats.org/drawingml/2006/main">
                  <a:graphicData uri="http://schemas.microsoft.com/office/word/2010/wordprocessingShape">
                    <wps:wsp>
                      <wps:cNvSpPr/>
                      <wps:spPr>
                        <a:xfrm>
                          <a:off x="0" y="0"/>
                          <a:ext cx="213995" cy="178435"/>
                        </a:xfrm>
                        <a:prstGeom prst="triangle">
                          <a:avLst/>
                        </a:prstGeom>
                        <a:solidFill>
                          <a:srgbClr val="FFFF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84.75pt;margin-top:14.1pt;height:14.05pt;width:16.85pt;z-index:251730944;v-text-anchor:middle;mso-width-relative:page;mso-height-relative:page;" fillcolor="#FFFF00" filled="t" stroked="t" coordsize="21600,21600" o:gfxdata="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m1/jfdgAAAAJAQAADwAAAAAAAAABACAAAAAi&#10;AAAAZHJzL2Rvd25yZXYueG1sUEsBAhQAFAAAAAgAh07iQCiaRd98AgAA7QQAAA4AAAAAAAAAAQAg&#10;AAAAJwEAAGRycy9lMm9Eb2MueG1sUEsFBgAAAAAGAAYAWQEAABUGAAAAAA==&#10;" adj="10800">
                <v:fill on="t" focussize="0,0"/>
                <v:stroke weight="2pt" color="#000000 [3213]" joinstyle="round"/>
                <v:imagedata o:title=""/>
                <o:lock v:ext="edit" aspectratio="f"/>
              </v:shape>
            </w:pict>
          </mc:Fallback>
        </mc:AlternateContent>
      </w:r>
    </w:p>
    <w:p w14:paraId="43D5FEB1">
      <w:pPr>
        <w:spacing w:before="62"/>
        <w:ind w:right="4070"/>
        <w:jc w:val="both"/>
        <w:rPr>
          <w:color w:val="auto"/>
          <w:sz w:val="28"/>
          <w:lang w:val="en-US"/>
        </w:rPr>
      </w:pPr>
    </w:p>
    <w:p w14:paraId="264129C3">
      <w:pPr>
        <w:spacing w:before="62"/>
        <w:ind w:right="4070"/>
        <w:jc w:val="both"/>
        <w:rPr>
          <w:color w:val="auto"/>
          <w:sz w:val="28"/>
          <w:lang w:val="en-US"/>
        </w:rPr>
      </w:pPr>
    </w:p>
    <w:p w14:paraId="6773A139">
      <w:pPr>
        <w:spacing w:before="62"/>
        <w:ind w:right="4070"/>
        <w:jc w:val="both"/>
        <w:rPr>
          <w:color w:val="auto"/>
          <w:sz w:val="28"/>
          <w:lang w:val="en-US"/>
        </w:rPr>
      </w:pPr>
      <w:r>
        <w:rPr>
          <w:color w:val="auto"/>
          <w:sz w:val="22"/>
        </w:rPr>
        <mc:AlternateContent>
          <mc:Choice Requires="wps">
            <w:drawing>
              <wp:anchor distT="0" distB="0" distL="114300" distR="114300" simplePos="0" relativeHeight="251729920" behindDoc="0" locked="0" layoutInCell="1" allowOverlap="1">
                <wp:simplePos x="0" y="0"/>
                <wp:positionH relativeFrom="column">
                  <wp:posOffset>3994150</wp:posOffset>
                </wp:positionH>
                <wp:positionV relativeFrom="paragraph">
                  <wp:posOffset>269240</wp:posOffset>
                </wp:positionV>
                <wp:extent cx="213995" cy="178435"/>
                <wp:effectExtent l="12700" t="12700" r="20955" b="18415"/>
                <wp:wrapNone/>
                <wp:docPr id="224" name="等腰三角形 224"/>
                <wp:cNvGraphicFramePr/>
                <a:graphic xmlns:a="http://schemas.openxmlformats.org/drawingml/2006/main">
                  <a:graphicData uri="http://schemas.microsoft.com/office/word/2010/wordprocessingShape">
                    <wps:wsp>
                      <wps:cNvSpPr/>
                      <wps:spPr>
                        <a:xfrm>
                          <a:off x="0" y="0"/>
                          <a:ext cx="213995" cy="178435"/>
                        </a:xfrm>
                        <a:prstGeom prst="triangle">
                          <a:avLst/>
                        </a:prstGeom>
                        <a:solidFill>
                          <a:srgbClr val="FFFF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14.5pt;margin-top:21.2pt;height:14.05pt;width:16.85pt;z-index:251729920;v-text-anchor:middle;mso-width-relative:page;mso-height-relative:page;" fillcolor="#FFFF00" filled="t" stroked="t" coordsize="21600,21600" o:gfxdata="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IAl0NdgAAAAJAQAADwAAAAAAAAABACAAAAAi&#10;AAAAZHJzL2Rvd25yZXYueG1sUEsBAhQAFAAAAAgAh07iQKJCocN8AgAA7QQAAA4AAAAAAAAAAQAg&#10;AAAAJwEAAGRycy9lMm9Eb2MueG1sUEsFBgAAAAAGAAYAWQEAABUGAAAAAA==&#10;" adj="10800">
                <v:fill on="t" focussize="0,0"/>
                <v:stroke weight="2pt" color="#000000 [3213]" joinstyle="round"/>
                <v:imagedata o:title=""/>
                <o:lock v:ext="edit" aspectratio="f"/>
              </v:shape>
            </w:pict>
          </mc:Fallback>
        </mc:AlternateContent>
      </w:r>
    </w:p>
    <w:p w14:paraId="2839C366">
      <w:pPr>
        <w:spacing w:before="62"/>
        <w:ind w:right="4070"/>
        <w:jc w:val="both"/>
        <w:rPr>
          <w:color w:val="auto"/>
          <w:sz w:val="28"/>
          <w:lang w:val="en-US"/>
        </w:rPr>
      </w:pPr>
      <w:r>
        <w:rPr>
          <w:color w:val="auto"/>
          <w:sz w:val="22"/>
        </w:rPr>
        <mc:AlternateContent>
          <mc:Choice Requires="wps">
            <w:drawing>
              <wp:anchor distT="0" distB="0" distL="114300" distR="114300" simplePos="0" relativeHeight="251726848" behindDoc="0" locked="0" layoutInCell="1" allowOverlap="1">
                <wp:simplePos x="0" y="0"/>
                <wp:positionH relativeFrom="column">
                  <wp:posOffset>5725795</wp:posOffset>
                </wp:positionH>
                <wp:positionV relativeFrom="paragraph">
                  <wp:posOffset>215900</wp:posOffset>
                </wp:positionV>
                <wp:extent cx="213995" cy="178435"/>
                <wp:effectExtent l="12700" t="12700" r="20955" b="18415"/>
                <wp:wrapNone/>
                <wp:docPr id="221" name="等腰三角形 221"/>
                <wp:cNvGraphicFramePr/>
                <a:graphic xmlns:a="http://schemas.openxmlformats.org/drawingml/2006/main">
                  <a:graphicData uri="http://schemas.microsoft.com/office/word/2010/wordprocessingShape">
                    <wps:wsp>
                      <wps:cNvSpPr/>
                      <wps:spPr>
                        <a:xfrm>
                          <a:off x="0" y="0"/>
                          <a:ext cx="213995" cy="178435"/>
                        </a:xfrm>
                        <a:prstGeom prst="triangle">
                          <a:avLst/>
                        </a:prstGeom>
                        <a:solidFill>
                          <a:srgbClr val="FFFF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450.85pt;margin-top:17pt;height:14.05pt;width:16.85pt;z-index:251726848;v-text-anchor:middle;mso-width-relative:page;mso-height-relative:page;" fillcolor="#FFFF00" filled="t" stroked="t" coordsize="21600,21600" o:gfxdata="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IhW+xDZAAAACQEAAA8AAAAAAAAAAQAgAAAA&#10;IgAAAGRycy9kb3ducmV2LnhtbFBLAQIUABQAAAAIAIdO4kAA+NasfAIAAO0EAAAOAAAAAAAAAAEA&#10;IAAAACgBAABkcnMvZTJvRG9jLnhtbFBLBQYAAAAABgAGAFkBAAAWBgAAAAA=&#10;" adj="10800">
                <v:fill on="t" focussize="0,0"/>
                <v:stroke weight="2pt" color="#000000 [3213]" joinstyle="round"/>
                <v:imagedata o:title=""/>
                <o:lock v:ext="edit" aspectratio="f"/>
              </v:shape>
            </w:pict>
          </mc:Fallback>
        </mc:AlternateContent>
      </w:r>
    </w:p>
    <w:p w14:paraId="5628E73F">
      <w:pPr>
        <w:spacing w:before="62"/>
        <w:ind w:right="4070"/>
        <w:jc w:val="both"/>
        <w:rPr>
          <w:color w:val="auto"/>
          <w:sz w:val="28"/>
          <w:lang w:val="en-US"/>
        </w:rPr>
      </w:pPr>
      <w:r>
        <w:rPr>
          <w:color w:val="auto"/>
        </w:rPr>
        <mc:AlternateContent>
          <mc:Choice Requires="wps">
            <w:drawing>
              <wp:anchor distT="0" distB="0" distL="114300" distR="114300" simplePos="0" relativeHeight="251694080" behindDoc="0" locked="0" layoutInCell="1" allowOverlap="1">
                <wp:simplePos x="0" y="0"/>
                <wp:positionH relativeFrom="column">
                  <wp:posOffset>2707005</wp:posOffset>
                </wp:positionH>
                <wp:positionV relativeFrom="paragraph">
                  <wp:posOffset>5175885</wp:posOffset>
                </wp:positionV>
                <wp:extent cx="4148455" cy="482600"/>
                <wp:effectExtent l="0" t="0" r="0" b="0"/>
                <wp:wrapNone/>
                <wp:docPr id="42" name="文本框 50"/>
                <wp:cNvGraphicFramePr/>
                <a:graphic xmlns:a="http://schemas.openxmlformats.org/drawingml/2006/main">
                  <a:graphicData uri="http://schemas.microsoft.com/office/word/2010/wordprocessingShape">
                    <wps:wsp>
                      <wps:cNvSpPr txBox="1"/>
                      <wps:spPr>
                        <a:xfrm>
                          <a:off x="3621405" y="6316980"/>
                          <a:ext cx="4148455" cy="482600"/>
                        </a:xfrm>
                        <a:prstGeom prst="rect">
                          <a:avLst/>
                        </a:prstGeom>
                        <a:noFill/>
                        <a:ln>
                          <a:noFill/>
                        </a:ln>
                        <a:effectLst/>
                      </wps:spPr>
                      <wps:txbx>
                        <w:txbxContent>
                          <w:p w14:paraId="33DABE83">
                            <w:pPr>
                              <w:jc w:val="center"/>
                              <w:rPr>
                                <w:rFonts w:ascii="宋体" w:hAnsi="宋体"/>
                                <w:b/>
                                <w:sz w:val="28"/>
                                <w:szCs w:val="28"/>
                              </w:rPr>
                            </w:pPr>
                            <w:r>
                              <w:rPr>
                                <w:rFonts w:hint="eastAsia" w:ascii="宋体" w:hAnsi="宋体"/>
                                <w:b/>
                                <w:sz w:val="28"/>
                                <w:szCs w:val="28"/>
                              </w:rPr>
                              <w:t>附图</w:t>
                            </w:r>
                            <w:r>
                              <w:rPr>
                                <w:rFonts w:hint="eastAsia" w:ascii="宋体" w:hAnsi="宋体"/>
                                <w:b/>
                                <w:sz w:val="28"/>
                                <w:szCs w:val="28"/>
                                <w:lang w:val="en-US" w:eastAsia="zh-CN"/>
                              </w:rPr>
                              <w:t>四</w:t>
                            </w:r>
                            <w:r>
                              <w:rPr>
                                <w:rFonts w:hint="eastAsia" w:ascii="宋体" w:hAnsi="宋体"/>
                                <w:b/>
                                <w:sz w:val="28"/>
                                <w:szCs w:val="28"/>
                              </w:rPr>
                              <w:t xml:space="preserve">  </w:t>
                            </w:r>
                            <w:r>
                              <w:rPr>
                                <w:rFonts w:hint="eastAsia" w:ascii="宋体" w:hAnsi="宋体"/>
                                <w:b/>
                                <w:sz w:val="28"/>
                                <w:szCs w:val="28"/>
                                <w:lang w:eastAsia="zh-CN"/>
                              </w:rPr>
                              <w:t xml:space="preserve"> 项目监测布点图</w:t>
                            </w:r>
                          </w:p>
                        </w:txbxContent>
                      </wps:txbx>
                      <wps:bodyPr vert="horz" wrap="square" anchor="t" anchorCtr="0" upright="1"/>
                    </wps:wsp>
                  </a:graphicData>
                </a:graphic>
              </wp:anchor>
            </w:drawing>
          </mc:Choice>
          <mc:Fallback>
            <w:pict>
              <v:shape id="文本框 50" o:spid="_x0000_s1026" o:spt="202" type="#_x0000_t202" style="position:absolute;left:0pt;margin-left:213.15pt;margin-top:407.55pt;height:38pt;width:326.65pt;z-index:251694080;mso-width-relative:page;mso-height-relative:page;" filled="f" stroked="f" coordsize="21600,21600" o:gfxdata="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5Hnp19kAAAAMAQAADwAA&#10;AAAAAAABACAAAAAiAAAAZHJzL2Rvd25yZXYueG1sUEsBAhQAFAAAAAgAh07iQANp8Y/cAQAAnQMA&#10;AA4AAAAAAAAAAQAgAAAAKAEAAGRycy9lMm9Eb2MueG1sUEsFBgAAAAAGAAYAWQEAAHYFAAAAAA==&#10;">
                <v:fill on="f" focussize="0,0"/>
                <v:stroke on="f"/>
                <v:imagedata o:title=""/>
                <o:lock v:ext="edit" aspectratio="f"/>
                <v:textbox>
                  <w:txbxContent>
                    <w:p w14:paraId="33DABE83">
                      <w:pPr>
                        <w:jc w:val="center"/>
                        <w:rPr>
                          <w:rFonts w:ascii="宋体" w:hAnsi="宋体"/>
                          <w:b/>
                          <w:sz w:val="28"/>
                          <w:szCs w:val="28"/>
                        </w:rPr>
                      </w:pPr>
                      <w:r>
                        <w:rPr>
                          <w:rFonts w:hint="eastAsia" w:ascii="宋体" w:hAnsi="宋体"/>
                          <w:b/>
                          <w:sz w:val="28"/>
                          <w:szCs w:val="28"/>
                        </w:rPr>
                        <w:t>附图</w:t>
                      </w:r>
                      <w:r>
                        <w:rPr>
                          <w:rFonts w:hint="eastAsia" w:ascii="宋体" w:hAnsi="宋体"/>
                          <w:b/>
                          <w:sz w:val="28"/>
                          <w:szCs w:val="28"/>
                          <w:lang w:val="en-US" w:eastAsia="zh-CN"/>
                        </w:rPr>
                        <w:t>四</w:t>
                      </w:r>
                      <w:r>
                        <w:rPr>
                          <w:rFonts w:hint="eastAsia" w:ascii="宋体" w:hAnsi="宋体"/>
                          <w:b/>
                          <w:sz w:val="28"/>
                          <w:szCs w:val="28"/>
                        </w:rPr>
                        <w:t xml:space="preserve">  </w:t>
                      </w:r>
                      <w:r>
                        <w:rPr>
                          <w:rFonts w:hint="eastAsia" w:ascii="宋体" w:hAnsi="宋体"/>
                          <w:b/>
                          <w:sz w:val="28"/>
                          <w:szCs w:val="28"/>
                          <w:lang w:eastAsia="zh-CN"/>
                        </w:rPr>
                        <w:t xml:space="preserve"> 项目监测布点图</w:t>
                      </w:r>
                    </w:p>
                  </w:txbxContent>
                </v:textbox>
              </v:shape>
            </w:pict>
          </mc:Fallback>
        </mc:AlternateContent>
      </w:r>
    </w:p>
    <w:p w14:paraId="64F45966">
      <w:pPr>
        <w:spacing w:before="62"/>
        <w:ind w:right="4070"/>
        <w:jc w:val="both"/>
        <w:rPr>
          <w:color w:val="auto"/>
          <w:sz w:val="28"/>
          <w:lang w:val="en-US"/>
        </w:rPr>
      </w:pPr>
      <w:r>
        <w:rPr>
          <w:color w:val="auto"/>
          <w:sz w:val="22"/>
        </w:rPr>
        <mc:AlternateContent>
          <mc:Choice Requires="wps">
            <w:drawing>
              <wp:anchor distT="0" distB="0" distL="114300" distR="114300" simplePos="0" relativeHeight="251728896" behindDoc="0" locked="0" layoutInCell="1" allowOverlap="1">
                <wp:simplePos x="0" y="0"/>
                <wp:positionH relativeFrom="column">
                  <wp:posOffset>3803650</wp:posOffset>
                </wp:positionH>
                <wp:positionV relativeFrom="paragraph">
                  <wp:posOffset>83185</wp:posOffset>
                </wp:positionV>
                <wp:extent cx="213995" cy="178435"/>
                <wp:effectExtent l="12700" t="12700" r="20955" b="18415"/>
                <wp:wrapNone/>
                <wp:docPr id="223" name="等腰三角形 223"/>
                <wp:cNvGraphicFramePr/>
                <a:graphic xmlns:a="http://schemas.openxmlformats.org/drawingml/2006/main">
                  <a:graphicData uri="http://schemas.microsoft.com/office/word/2010/wordprocessingShape">
                    <wps:wsp>
                      <wps:cNvSpPr/>
                      <wps:spPr>
                        <a:xfrm>
                          <a:off x="0" y="0"/>
                          <a:ext cx="213995" cy="178435"/>
                        </a:xfrm>
                        <a:prstGeom prst="triangle">
                          <a:avLst/>
                        </a:prstGeom>
                        <a:solidFill>
                          <a:srgbClr val="FFFF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299.5pt;margin-top:6.55pt;height:14.05pt;width:16.85pt;z-index:251728896;v-text-anchor:middle;mso-width-relative:page;mso-height-relative:page;" fillcolor="#FFFF00" filled="t" stroked="t" coordsize="21600,21600" o:gfxdata="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j3rN3dgAAAAJAQAADwAAAAAAAAABACAAAAAi&#10;AAAAZHJzL2Rvd25yZXYueG1sUEsBAhQAFAAAAAgAh07iQBRJH5V8AgAA7QQAAA4AAAAAAAAAAQAg&#10;AAAAJwEAAGRycy9lMm9Eb2MueG1sUEsFBgAAAAAGAAYAWQEAABUGAAAAAA==&#10;" adj="10800">
                <v:fill on="t" focussize="0,0"/>
                <v:stroke weight="2pt" color="#000000 [3213]" joinstyle="round"/>
                <v:imagedata o:title=""/>
                <o:lock v:ext="edit" aspectratio="f"/>
              </v:shape>
            </w:pict>
          </mc:Fallback>
        </mc:AlternateContent>
      </w:r>
    </w:p>
    <w:p w14:paraId="232B8F8D">
      <w:pPr>
        <w:spacing w:before="62"/>
        <w:ind w:right="4070"/>
        <w:jc w:val="both"/>
        <w:rPr>
          <w:color w:val="auto"/>
          <w:sz w:val="28"/>
          <w:lang w:val="en-US"/>
        </w:rPr>
      </w:pPr>
    </w:p>
    <w:p w14:paraId="5D58CF13">
      <w:pPr>
        <w:spacing w:before="62"/>
        <w:ind w:right="4070"/>
        <w:jc w:val="both"/>
        <w:rPr>
          <w:color w:val="auto"/>
          <w:sz w:val="28"/>
          <w:lang w:val="en-US"/>
        </w:rPr>
      </w:pPr>
      <w:r>
        <w:rPr>
          <w:color w:val="auto"/>
          <w:sz w:val="22"/>
        </w:rPr>
        <mc:AlternateContent>
          <mc:Choice Requires="wps">
            <w:drawing>
              <wp:anchor distT="0" distB="0" distL="114300" distR="114300" simplePos="0" relativeHeight="251727872" behindDoc="0" locked="0" layoutInCell="1" allowOverlap="1">
                <wp:simplePos x="0" y="0"/>
                <wp:positionH relativeFrom="column">
                  <wp:posOffset>4791075</wp:posOffset>
                </wp:positionH>
                <wp:positionV relativeFrom="paragraph">
                  <wp:posOffset>261620</wp:posOffset>
                </wp:positionV>
                <wp:extent cx="213995" cy="178435"/>
                <wp:effectExtent l="12700" t="12700" r="20955" b="18415"/>
                <wp:wrapNone/>
                <wp:docPr id="222" name="等腰三角形 222"/>
                <wp:cNvGraphicFramePr/>
                <a:graphic xmlns:a="http://schemas.openxmlformats.org/drawingml/2006/main">
                  <a:graphicData uri="http://schemas.microsoft.com/office/word/2010/wordprocessingShape">
                    <wps:wsp>
                      <wps:cNvSpPr/>
                      <wps:spPr>
                        <a:xfrm>
                          <a:off x="0" y="0"/>
                          <a:ext cx="213995" cy="178435"/>
                        </a:xfrm>
                        <a:prstGeom prst="triangle">
                          <a:avLst/>
                        </a:prstGeom>
                        <a:solidFill>
                          <a:srgbClr val="FFFF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77.25pt;margin-top:20.6pt;height:14.05pt;width:16.85pt;z-index:251727872;v-text-anchor:middle;mso-width-relative:page;mso-height-relative:page;" fillcolor="#FFFF00" filled="t" stroked="t" coordsize="21600,21600" o:gfxdata="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A/0/E3YAAAACQEAAA8AAAAAAAAAAQAgAAAA&#10;IgAAAGRycy9kb3ducmV2LnhtbFBLAQIUABQAAAAIAIdO4kCekfuJfQIAAO0EAAAOAAAAAAAAAAEA&#10;IAAAACcBAABkcnMvZTJvRG9jLnhtbFBLBQYAAAAABgAGAFkBAAAWBgAAAAA=&#10;" adj="10800">
                <v:fill on="t" focussize="0,0"/>
                <v:stroke weight="2pt" color="#000000 [3213]" joinstyle="round"/>
                <v:imagedata o:title=""/>
                <o:lock v:ext="edit" aspectratio="f"/>
              </v:shape>
            </w:pict>
          </mc:Fallback>
        </mc:AlternateContent>
      </w:r>
    </w:p>
    <w:p w14:paraId="26B670E3">
      <w:pPr>
        <w:spacing w:before="62"/>
        <w:ind w:right="4070"/>
        <w:jc w:val="both"/>
        <w:rPr>
          <w:color w:val="auto"/>
          <w:sz w:val="28"/>
          <w:lang w:val="en-US"/>
        </w:rPr>
      </w:pPr>
    </w:p>
    <w:p w14:paraId="6A5D7F35">
      <w:pPr>
        <w:spacing w:before="62"/>
        <w:ind w:right="4070"/>
        <w:jc w:val="both"/>
        <w:rPr>
          <w:color w:val="auto"/>
          <w:sz w:val="28"/>
          <w:lang w:val="en-US"/>
        </w:rPr>
      </w:pPr>
      <w:r>
        <w:rPr>
          <w:color w:val="auto"/>
          <w:sz w:val="28"/>
        </w:rPr>
        <mc:AlternateContent>
          <mc:Choice Requires="wps">
            <w:drawing>
              <wp:anchor distT="0" distB="0" distL="114300" distR="114300" simplePos="0" relativeHeight="251722752" behindDoc="0" locked="0" layoutInCell="1" allowOverlap="1">
                <wp:simplePos x="0" y="0"/>
                <wp:positionH relativeFrom="column">
                  <wp:posOffset>6909435</wp:posOffset>
                </wp:positionH>
                <wp:positionV relativeFrom="paragraph">
                  <wp:posOffset>248920</wp:posOffset>
                </wp:positionV>
                <wp:extent cx="1737360" cy="870585"/>
                <wp:effectExtent l="4445" t="4445" r="10795" b="20320"/>
                <wp:wrapNone/>
                <wp:docPr id="217" name="文本框 217"/>
                <wp:cNvGraphicFramePr/>
                <a:graphic xmlns:a="http://schemas.openxmlformats.org/drawingml/2006/main">
                  <a:graphicData uri="http://schemas.microsoft.com/office/word/2010/wordprocessingShape">
                    <wps:wsp>
                      <wps:cNvSpPr txBox="1"/>
                      <wps:spPr>
                        <a:xfrm>
                          <a:off x="8040370" y="4677410"/>
                          <a:ext cx="1737360" cy="8705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B43B3B1">
                            <w:pPr>
                              <w:keepNext w:val="0"/>
                              <w:keepLines w:val="0"/>
                              <w:pageBreakBefore w:val="0"/>
                              <w:widowControl w:val="0"/>
                              <w:kinsoku/>
                              <w:wordWrap/>
                              <w:overflowPunct/>
                              <w:topLinePunct w:val="0"/>
                              <w:bidi w:val="0"/>
                              <w:adjustRightInd/>
                              <w:snapToGrid/>
                              <w:spacing w:line="360" w:lineRule="exact"/>
                              <w:jc w:val="center"/>
                              <w:textAlignment w:val="auto"/>
                              <w:rPr>
                                <w:rFonts w:hint="eastAsia"/>
                                <w:sz w:val="24"/>
                                <w:szCs w:val="24"/>
                                <w:lang w:val="en-US" w:eastAsia="zh-CN"/>
                              </w:rPr>
                            </w:pPr>
                            <w:r>
                              <w:rPr>
                                <w:rFonts w:hint="eastAsia"/>
                                <w:sz w:val="24"/>
                                <w:szCs w:val="24"/>
                                <w:lang w:val="en-US" w:eastAsia="zh-CN"/>
                              </w:rPr>
                              <w:t>图例</w:t>
                            </w:r>
                          </w:p>
                          <w:p w14:paraId="309026A1">
                            <w:pPr>
                              <w:keepNext w:val="0"/>
                              <w:keepLines w:val="0"/>
                              <w:pageBreakBefore w:val="0"/>
                              <w:widowControl w:val="0"/>
                              <w:kinsoku/>
                              <w:wordWrap/>
                              <w:overflowPunct/>
                              <w:topLinePunct w:val="0"/>
                              <w:bidi w:val="0"/>
                              <w:adjustRightInd/>
                              <w:snapToGrid/>
                              <w:spacing w:line="360" w:lineRule="exact"/>
                              <w:textAlignment w:val="auto"/>
                              <w:rPr>
                                <w:rFonts w:hint="eastAsia"/>
                                <w:sz w:val="24"/>
                                <w:szCs w:val="24"/>
                                <w:lang w:val="en-US" w:eastAsia="zh-CN"/>
                              </w:rPr>
                            </w:pPr>
                            <w:r>
                              <w:rPr>
                                <w:rFonts w:hint="eastAsia"/>
                                <w:sz w:val="24"/>
                                <w:szCs w:val="24"/>
                                <w:lang w:val="en-US" w:eastAsia="zh-CN"/>
                              </w:rPr>
                              <w:t>项目范围</w:t>
                            </w:r>
                          </w:p>
                          <w:p w14:paraId="51E8217C">
                            <w:pPr>
                              <w:keepNext w:val="0"/>
                              <w:keepLines w:val="0"/>
                              <w:pageBreakBefore w:val="0"/>
                              <w:widowControl w:val="0"/>
                              <w:kinsoku/>
                              <w:wordWrap/>
                              <w:overflowPunct/>
                              <w:topLinePunct w:val="0"/>
                              <w:bidi w:val="0"/>
                              <w:adjustRightInd/>
                              <w:snapToGrid/>
                              <w:spacing w:line="360" w:lineRule="exact"/>
                              <w:textAlignment w:val="auto"/>
                              <w:rPr>
                                <w:rFonts w:hint="default"/>
                                <w:sz w:val="24"/>
                                <w:szCs w:val="24"/>
                                <w:lang w:val="en-US" w:eastAsia="zh-CN"/>
                              </w:rPr>
                            </w:pPr>
                            <w:r>
                              <w:rPr>
                                <w:rFonts w:hint="eastAsia"/>
                                <w:sz w:val="24"/>
                                <w:szCs w:val="24"/>
                                <w:lang w:val="en-US" w:eastAsia="zh-CN"/>
                              </w:rPr>
                              <w:t>噪声现状检测点位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4.05pt;margin-top:19.6pt;height:68.55pt;width:136.8pt;z-index:251722752;mso-width-relative:page;mso-height-relative:page;" fillcolor="#FFFFFF [3201]" filled="t" stroked="t" coordsize="21600,21600" o:gfxdata="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zQFc09cAAAAMAQAADwAAAAAAAAABACAAAAAiAAAAZHJzL2Rvd25yZXYueG1sUEsBAhQA&#10;FAAAAAgAh07iQB0GVGplAgAAxwQAAA4AAAAAAAAAAQAgAAAAJgEAAGRycy9lMm9Eb2MueG1sUEsF&#10;BgAAAAAGAAYAWQEAAP0FAAAAAA==&#10;">
                <v:fill on="t" focussize="0,0"/>
                <v:stroke weight="0.5pt" color="#000000 [3204]" joinstyle="round"/>
                <v:imagedata o:title=""/>
                <o:lock v:ext="edit" aspectratio="f"/>
                <v:textbox>
                  <w:txbxContent>
                    <w:p w14:paraId="2B43B3B1">
                      <w:pPr>
                        <w:keepNext w:val="0"/>
                        <w:keepLines w:val="0"/>
                        <w:pageBreakBefore w:val="0"/>
                        <w:widowControl w:val="0"/>
                        <w:kinsoku/>
                        <w:wordWrap/>
                        <w:overflowPunct/>
                        <w:topLinePunct w:val="0"/>
                        <w:bidi w:val="0"/>
                        <w:adjustRightInd/>
                        <w:snapToGrid/>
                        <w:spacing w:line="360" w:lineRule="exact"/>
                        <w:jc w:val="center"/>
                        <w:textAlignment w:val="auto"/>
                        <w:rPr>
                          <w:rFonts w:hint="eastAsia"/>
                          <w:sz w:val="24"/>
                          <w:szCs w:val="24"/>
                          <w:lang w:val="en-US" w:eastAsia="zh-CN"/>
                        </w:rPr>
                      </w:pPr>
                      <w:r>
                        <w:rPr>
                          <w:rFonts w:hint="eastAsia"/>
                          <w:sz w:val="24"/>
                          <w:szCs w:val="24"/>
                          <w:lang w:val="en-US" w:eastAsia="zh-CN"/>
                        </w:rPr>
                        <w:t>图例</w:t>
                      </w:r>
                    </w:p>
                    <w:p w14:paraId="309026A1">
                      <w:pPr>
                        <w:keepNext w:val="0"/>
                        <w:keepLines w:val="0"/>
                        <w:pageBreakBefore w:val="0"/>
                        <w:widowControl w:val="0"/>
                        <w:kinsoku/>
                        <w:wordWrap/>
                        <w:overflowPunct/>
                        <w:topLinePunct w:val="0"/>
                        <w:bidi w:val="0"/>
                        <w:adjustRightInd/>
                        <w:snapToGrid/>
                        <w:spacing w:line="360" w:lineRule="exact"/>
                        <w:textAlignment w:val="auto"/>
                        <w:rPr>
                          <w:rFonts w:hint="eastAsia"/>
                          <w:sz w:val="24"/>
                          <w:szCs w:val="24"/>
                          <w:lang w:val="en-US" w:eastAsia="zh-CN"/>
                        </w:rPr>
                      </w:pPr>
                      <w:r>
                        <w:rPr>
                          <w:rFonts w:hint="eastAsia"/>
                          <w:sz w:val="24"/>
                          <w:szCs w:val="24"/>
                          <w:lang w:val="en-US" w:eastAsia="zh-CN"/>
                        </w:rPr>
                        <w:t>项目范围</w:t>
                      </w:r>
                    </w:p>
                    <w:p w14:paraId="51E8217C">
                      <w:pPr>
                        <w:keepNext w:val="0"/>
                        <w:keepLines w:val="0"/>
                        <w:pageBreakBefore w:val="0"/>
                        <w:widowControl w:val="0"/>
                        <w:kinsoku/>
                        <w:wordWrap/>
                        <w:overflowPunct/>
                        <w:topLinePunct w:val="0"/>
                        <w:bidi w:val="0"/>
                        <w:adjustRightInd/>
                        <w:snapToGrid/>
                        <w:spacing w:line="360" w:lineRule="exact"/>
                        <w:textAlignment w:val="auto"/>
                        <w:rPr>
                          <w:rFonts w:hint="default"/>
                          <w:sz w:val="24"/>
                          <w:szCs w:val="24"/>
                          <w:lang w:val="en-US" w:eastAsia="zh-CN"/>
                        </w:rPr>
                      </w:pPr>
                      <w:r>
                        <w:rPr>
                          <w:rFonts w:hint="eastAsia"/>
                          <w:sz w:val="24"/>
                          <w:szCs w:val="24"/>
                          <w:lang w:val="en-US" w:eastAsia="zh-CN"/>
                        </w:rPr>
                        <w:t>噪声现状检测点位</w:t>
                      </w:r>
                    </w:p>
                  </w:txbxContent>
                </v:textbox>
              </v:shape>
            </w:pict>
          </mc:Fallback>
        </mc:AlternateContent>
      </w:r>
    </w:p>
    <w:p w14:paraId="0D8482B4">
      <w:pPr>
        <w:spacing w:before="62"/>
        <w:ind w:right="4070"/>
        <w:jc w:val="both"/>
        <w:rPr>
          <w:color w:val="auto"/>
          <w:sz w:val="28"/>
          <w:lang w:val="en-US"/>
        </w:rPr>
      </w:pPr>
    </w:p>
    <w:p w14:paraId="709BE425">
      <w:pPr>
        <w:spacing w:before="62"/>
        <w:ind w:right="4070"/>
        <w:jc w:val="both"/>
        <w:rPr>
          <w:color w:val="auto"/>
          <w:sz w:val="28"/>
          <w:lang w:val="en-US"/>
        </w:rPr>
      </w:pPr>
      <w:r>
        <w:rPr>
          <w:color w:val="auto"/>
          <w:sz w:val="22"/>
        </w:rPr>
        <mc:AlternateContent>
          <mc:Choice Requires="wps">
            <w:drawing>
              <wp:anchor distT="0" distB="0" distL="114300" distR="114300" simplePos="0" relativeHeight="251723776" behindDoc="0" locked="0" layoutInCell="1" allowOverlap="1">
                <wp:simplePos x="0" y="0"/>
                <wp:positionH relativeFrom="column">
                  <wp:posOffset>8325485</wp:posOffset>
                </wp:positionH>
                <wp:positionV relativeFrom="paragraph">
                  <wp:posOffset>34925</wp:posOffset>
                </wp:positionV>
                <wp:extent cx="285750" cy="142875"/>
                <wp:effectExtent l="13970" t="13970" r="24130" b="14605"/>
                <wp:wrapNone/>
                <wp:docPr id="218" name="矩形 218"/>
                <wp:cNvGraphicFramePr/>
                <a:graphic xmlns:a="http://schemas.openxmlformats.org/drawingml/2006/main">
                  <a:graphicData uri="http://schemas.microsoft.com/office/word/2010/wordprocessingShape">
                    <wps:wsp>
                      <wps:cNvSpPr/>
                      <wps:spPr>
                        <a:xfrm>
                          <a:off x="0" y="0"/>
                          <a:ext cx="285750" cy="142875"/>
                        </a:xfrm>
                        <a:prstGeom prst="rect">
                          <a:avLst/>
                        </a:prstGeom>
                        <a:noFill/>
                        <a:ln w="2857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55.55pt;margin-top:2.75pt;height:11.25pt;width:22.5pt;z-index:251723776;v-text-anchor:middle;mso-width-relative:page;mso-height-relative:page;" filled="f" stroked="t" coordsize="21600,21600" o:gfxdata="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KBH3&#10;+dgAAAAKAQAADwAAAAAAAAABACAAAAAiAAAAZHJzL2Rvd25yZXYueG1sUEsBAhQAFAAAAAgAh07i&#10;QICgjEBbAgAAtwQAAA4AAAAAAAAAAQAgAAAAJwEAAGRycy9lMm9Eb2MueG1sUEsFBgAAAAAGAAYA&#10;WQEAAPQFAAAAAA==&#10;">
                <v:fill on="f" focussize="0,0"/>
                <v:stroke weight="2.25pt" color="#FF0000 [2404]" joinstyle="round"/>
                <v:imagedata o:title=""/>
                <o:lock v:ext="edit" aspectratio="f"/>
              </v:rect>
            </w:pict>
          </mc:Fallback>
        </mc:AlternateContent>
      </w:r>
      <w:r>
        <w:rPr>
          <w:color w:val="auto"/>
          <w:sz w:val="22"/>
        </w:rPr>
        <mc:AlternateContent>
          <mc:Choice Requires="wps">
            <w:drawing>
              <wp:anchor distT="0" distB="0" distL="114300" distR="114300" simplePos="0" relativeHeight="251724800" behindDoc="0" locked="0" layoutInCell="1" allowOverlap="1">
                <wp:simplePos x="0" y="0"/>
                <wp:positionH relativeFrom="column">
                  <wp:posOffset>8361680</wp:posOffset>
                </wp:positionH>
                <wp:positionV relativeFrom="paragraph">
                  <wp:posOffset>233045</wp:posOffset>
                </wp:positionV>
                <wp:extent cx="213995" cy="178435"/>
                <wp:effectExtent l="12700" t="12700" r="20955" b="18415"/>
                <wp:wrapNone/>
                <wp:docPr id="219" name="等腰三角形 219"/>
                <wp:cNvGraphicFramePr/>
                <a:graphic xmlns:a="http://schemas.openxmlformats.org/drawingml/2006/main">
                  <a:graphicData uri="http://schemas.microsoft.com/office/word/2010/wordprocessingShape">
                    <wps:wsp>
                      <wps:cNvSpPr/>
                      <wps:spPr>
                        <a:xfrm>
                          <a:off x="9159875" y="5735320"/>
                          <a:ext cx="213995" cy="178435"/>
                        </a:xfrm>
                        <a:prstGeom prst="triangle">
                          <a:avLst/>
                        </a:prstGeom>
                        <a:solidFill>
                          <a:srgbClr val="FFFF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658.4pt;margin-top:18.35pt;height:14.05pt;width:16.85pt;z-index:251724800;v-text-anchor:middle;mso-width-relative:page;mso-height-relative:page;" fillcolor="#FFFF00" filled="t" stroked="t" coordsize="21600,21600" o:gfxdata="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AHs42i2QAAAAsBAAAP&#10;AAAAAAAAAAEAIAAAACIAAABkcnMvZG93bnJldi54bWxQSwECFAAUAAAACACHTuJAETaAoYkCAAD5&#10;BAAADgAAAAAAAAABACAAAAAoAQAAZHJzL2Uyb0RvYy54bWxQSwUGAAAAAAYABgBZAQAAIwYAAAAA&#10;" adj="10800">
                <v:fill on="t" focussize="0,0"/>
                <v:stroke weight="2pt" color="#000000 [3213]" joinstyle="round"/>
                <v:imagedata o:title=""/>
                <o:lock v:ext="edit" aspectratio="f"/>
              </v:shape>
            </w:pict>
          </mc:Fallback>
        </mc:AlternateContent>
      </w:r>
      <w:r>
        <w:rPr>
          <w:color w:val="auto"/>
        </w:rPr>
        <mc:AlternateContent>
          <mc:Choice Requires="wps">
            <w:drawing>
              <wp:anchor distT="0" distB="0" distL="114300" distR="114300" simplePos="0" relativeHeight="251721728" behindDoc="0" locked="0" layoutInCell="1" allowOverlap="1">
                <wp:simplePos x="0" y="0"/>
                <wp:positionH relativeFrom="column">
                  <wp:posOffset>515620</wp:posOffset>
                </wp:positionH>
                <wp:positionV relativeFrom="paragraph">
                  <wp:posOffset>173990</wp:posOffset>
                </wp:positionV>
                <wp:extent cx="309245" cy="302895"/>
                <wp:effectExtent l="0" t="0" r="0" b="0"/>
                <wp:wrapNone/>
                <wp:docPr id="216" name="矩形 216"/>
                <wp:cNvGraphicFramePr/>
                <a:graphic xmlns:a="http://schemas.openxmlformats.org/drawingml/2006/main">
                  <a:graphicData uri="http://schemas.microsoft.com/office/word/2010/wordprocessingShape">
                    <wps:wsp>
                      <wps:cNvSpPr/>
                      <wps:spPr>
                        <a:xfrm>
                          <a:off x="0" y="0"/>
                          <a:ext cx="309245" cy="302895"/>
                        </a:xfrm>
                        <a:prstGeom prst="rect">
                          <a:avLst/>
                        </a:prstGeom>
                        <a:noFill/>
                        <a:ln>
                          <a:noFill/>
                        </a:ln>
                      </wps:spPr>
                      <wps:txbx>
                        <w:txbxContent>
                          <w:p w14:paraId="132A4C18">
                            <w:pPr>
                              <w:rPr>
                                <w:b/>
                                <w:color w:val="FFFF00"/>
                              </w:rPr>
                            </w:pPr>
                            <w:r>
                              <w:rPr>
                                <w:rFonts w:hint="eastAsia"/>
                                <w:b/>
                                <w:color w:val="FFFF00"/>
                              </w:rPr>
                              <w:t>0</w:t>
                            </w:r>
                          </w:p>
                        </w:txbxContent>
                      </wps:txbx>
                      <wps:bodyPr upright="1"/>
                    </wps:wsp>
                  </a:graphicData>
                </a:graphic>
              </wp:anchor>
            </w:drawing>
          </mc:Choice>
          <mc:Fallback>
            <w:pict>
              <v:rect id="_x0000_s1026" o:spid="_x0000_s1026" o:spt="1" style="position:absolute;left:0pt;margin-left:40.6pt;margin-top:13.7pt;height:23.85pt;width:24.35pt;z-index:251721728;mso-width-relative:page;mso-height-relative:page;" filled="f" stroked="f" coordsize="21600,21600" o:gfxdata="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KNEpmtkAAAAIAQAADwAA&#10;AAAAAAABACAAAAAiAAAAZHJzL2Rvd25yZXYueG1sUEsBAhQAFAAAAAgAh07iQMkVmUWjAQAARAMA&#10;AA4AAAAAAAAAAQAgAAAAKAEAAGRycy9lMm9Eb2MueG1sUEsFBgAAAAAGAAYAWQEAAD0FAAAAAA==&#10;">
                <v:fill on="f" focussize="0,0"/>
                <v:stroke on="f"/>
                <v:imagedata o:title=""/>
                <o:lock v:ext="edit" aspectratio="f"/>
                <v:textbox>
                  <w:txbxContent>
                    <w:p w14:paraId="132A4C18">
                      <w:pPr>
                        <w:rPr>
                          <w:b/>
                          <w:color w:val="FFFF00"/>
                        </w:rPr>
                      </w:pPr>
                      <w:r>
                        <w:rPr>
                          <w:rFonts w:hint="eastAsia"/>
                          <w:b/>
                          <w:color w:val="FFFF00"/>
                        </w:rPr>
                        <w:t>0</w:t>
                      </w:r>
                    </w:p>
                  </w:txbxContent>
                </v:textbox>
              </v:rect>
            </w:pict>
          </mc:Fallback>
        </mc:AlternateContent>
      </w:r>
      <w:r>
        <w:rPr>
          <w:color w:val="auto"/>
        </w:rPr>
        <mc:AlternateContent>
          <mc:Choice Requires="wps">
            <w:drawing>
              <wp:anchor distT="0" distB="0" distL="114300" distR="114300" simplePos="0" relativeHeight="251720704" behindDoc="0" locked="0" layoutInCell="1" allowOverlap="1">
                <wp:simplePos x="0" y="0"/>
                <wp:positionH relativeFrom="column">
                  <wp:posOffset>1192530</wp:posOffset>
                </wp:positionH>
                <wp:positionV relativeFrom="paragraph">
                  <wp:posOffset>106045</wp:posOffset>
                </wp:positionV>
                <wp:extent cx="542290" cy="264795"/>
                <wp:effectExtent l="0" t="0" r="0" b="0"/>
                <wp:wrapNone/>
                <wp:docPr id="215" name="矩形 215"/>
                <wp:cNvGraphicFramePr/>
                <a:graphic xmlns:a="http://schemas.openxmlformats.org/drawingml/2006/main">
                  <a:graphicData uri="http://schemas.microsoft.com/office/word/2010/wordprocessingShape">
                    <wps:wsp>
                      <wps:cNvSpPr/>
                      <wps:spPr>
                        <a:xfrm>
                          <a:off x="0" y="0"/>
                          <a:ext cx="542290" cy="264795"/>
                        </a:xfrm>
                        <a:prstGeom prst="rect">
                          <a:avLst/>
                        </a:prstGeom>
                        <a:noFill/>
                        <a:ln>
                          <a:noFill/>
                        </a:ln>
                      </wps:spPr>
                      <wps:txbx>
                        <w:txbxContent>
                          <w:p w14:paraId="36A2CDD8">
                            <w:pPr>
                              <w:rPr>
                                <w:b/>
                                <w:color w:val="FFFF00"/>
                              </w:rPr>
                            </w:pPr>
                            <w:r>
                              <w:rPr>
                                <w:rFonts w:hint="eastAsia"/>
                                <w:b/>
                                <w:color w:val="FFFF00"/>
                                <w:lang w:val="en-US" w:eastAsia="zh-CN"/>
                              </w:rPr>
                              <w:t>50</w:t>
                            </w:r>
                            <w:r>
                              <w:rPr>
                                <w:b/>
                                <w:color w:val="FFFF00"/>
                              </w:rPr>
                              <w:t>m</w:t>
                            </w:r>
                          </w:p>
                        </w:txbxContent>
                      </wps:txbx>
                      <wps:bodyPr upright="1"/>
                    </wps:wsp>
                  </a:graphicData>
                </a:graphic>
              </wp:anchor>
            </w:drawing>
          </mc:Choice>
          <mc:Fallback>
            <w:pict>
              <v:rect id="_x0000_s1026" o:spid="_x0000_s1026" o:spt="1" style="position:absolute;left:0pt;margin-left:93.9pt;margin-top:8.35pt;height:20.85pt;width:42.7pt;z-index:251720704;mso-width-relative:page;mso-height-relative:page;" filled="f" stroked="f" coordsize="21600,21600" o:gfxdata="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Ki5GI/aAAAACQEAAA8A&#10;AAAAAAAAAQAgAAAAIgAAAGRycy9kb3ducmV2LnhtbFBLAQIUABQAAAAIAIdO4kCuSAtcowEAAEQD&#10;AAAOAAAAAAAAAAEAIAAAACkBAABkcnMvZTJvRG9jLnhtbFBLBQYAAAAABgAGAFkBAAA+BQAAAAA=&#10;">
                <v:fill on="f" focussize="0,0"/>
                <v:stroke on="f"/>
                <v:imagedata o:title=""/>
                <o:lock v:ext="edit" aspectratio="f"/>
                <v:textbox>
                  <w:txbxContent>
                    <w:p w14:paraId="36A2CDD8">
                      <w:pPr>
                        <w:rPr>
                          <w:b/>
                          <w:color w:val="FFFF00"/>
                        </w:rPr>
                      </w:pPr>
                      <w:r>
                        <w:rPr>
                          <w:rFonts w:hint="eastAsia"/>
                          <w:b/>
                          <w:color w:val="FFFF00"/>
                          <w:lang w:val="en-US" w:eastAsia="zh-CN"/>
                        </w:rPr>
                        <w:t>50</w:t>
                      </w:r>
                      <w:r>
                        <w:rPr>
                          <w:b/>
                          <w:color w:val="FFFF00"/>
                        </w:rPr>
                        <w:t>m</w:t>
                      </w:r>
                    </w:p>
                  </w:txbxContent>
                </v:textbox>
              </v:rect>
            </w:pict>
          </mc:Fallback>
        </mc:AlternateContent>
      </w:r>
    </w:p>
    <w:p w14:paraId="2CF05F4E">
      <w:pPr>
        <w:spacing w:before="62"/>
        <w:ind w:right="4070"/>
        <w:jc w:val="both"/>
        <w:rPr>
          <w:color w:val="auto"/>
          <w:sz w:val="28"/>
          <w:lang w:val="en-US"/>
        </w:rPr>
      </w:pPr>
      <w:r>
        <w:rPr>
          <w:color w:val="auto"/>
        </w:rPr>
        <mc:AlternateContent>
          <mc:Choice Requires="wpg">
            <w:drawing>
              <wp:anchor distT="0" distB="0" distL="114300" distR="114300" simplePos="0" relativeHeight="251719680" behindDoc="0" locked="0" layoutInCell="1" allowOverlap="1">
                <wp:simplePos x="0" y="0"/>
                <wp:positionH relativeFrom="column">
                  <wp:posOffset>652145</wp:posOffset>
                </wp:positionH>
                <wp:positionV relativeFrom="paragraph">
                  <wp:posOffset>106045</wp:posOffset>
                </wp:positionV>
                <wp:extent cx="758190" cy="127000"/>
                <wp:effectExtent l="6985" t="0" r="15875" b="25400"/>
                <wp:wrapNone/>
                <wp:docPr id="208" name="组合 208"/>
                <wp:cNvGraphicFramePr/>
                <a:graphic xmlns:a="http://schemas.openxmlformats.org/drawingml/2006/main">
                  <a:graphicData uri="http://schemas.microsoft.com/office/word/2010/wordprocessingGroup">
                    <wpg:wgp>
                      <wpg:cNvGrpSpPr/>
                      <wpg:grpSpPr>
                        <a:xfrm>
                          <a:off x="0" y="0"/>
                          <a:ext cx="758190" cy="127000"/>
                          <a:chOff x="1474" y="9972"/>
                          <a:chExt cx="2863" cy="181"/>
                        </a:xfrm>
                      </wpg:grpSpPr>
                      <wps:wsp>
                        <wps:cNvPr id="209" name="直接箭头连接符 191"/>
                        <wps:cNvCnPr/>
                        <wps:spPr>
                          <a:xfrm>
                            <a:off x="1474" y="10147"/>
                            <a:ext cx="2863" cy="0"/>
                          </a:xfrm>
                          <a:prstGeom prst="straightConnector1">
                            <a:avLst/>
                          </a:prstGeom>
                          <a:ln w="22225" cap="flat" cmpd="sng">
                            <a:solidFill>
                              <a:srgbClr val="FFFF00"/>
                            </a:solidFill>
                            <a:prstDash val="solid"/>
                            <a:headEnd type="none" w="med" len="med"/>
                            <a:tailEnd type="none" w="med" len="med"/>
                          </a:ln>
                        </wps:spPr>
                        <wps:bodyPr/>
                      </wps:wsp>
                      <wps:wsp>
                        <wps:cNvPr id="210" name="直接箭头连接符 192"/>
                        <wps:cNvCnPr/>
                        <wps:spPr>
                          <a:xfrm>
                            <a:off x="1490" y="9972"/>
                            <a:ext cx="0" cy="175"/>
                          </a:xfrm>
                          <a:prstGeom prst="straightConnector1">
                            <a:avLst/>
                          </a:prstGeom>
                          <a:ln w="22225" cap="flat" cmpd="sng">
                            <a:solidFill>
                              <a:srgbClr val="FFFF00"/>
                            </a:solidFill>
                            <a:prstDash val="solid"/>
                            <a:headEnd type="none" w="med" len="med"/>
                            <a:tailEnd type="none" w="med" len="med"/>
                          </a:ln>
                        </wps:spPr>
                        <wps:bodyPr/>
                      </wps:wsp>
                      <wps:wsp>
                        <wps:cNvPr id="211" name="直接箭头连接符 193"/>
                        <wps:cNvCnPr/>
                        <wps:spPr>
                          <a:xfrm>
                            <a:off x="2913" y="9972"/>
                            <a:ext cx="0" cy="175"/>
                          </a:xfrm>
                          <a:prstGeom prst="straightConnector1">
                            <a:avLst/>
                          </a:prstGeom>
                          <a:ln w="22225" cap="flat" cmpd="sng">
                            <a:solidFill>
                              <a:srgbClr val="FFFF00"/>
                            </a:solidFill>
                            <a:prstDash val="solid"/>
                            <a:headEnd type="none" w="med" len="med"/>
                            <a:tailEnd type="none" w="med" len="med"/>
                          </a:ln>
                        </wps:spPr>
                        <wps:bodyPr/>
                      </wps:wsp>
                      <wps:wsp>
                        <wps:cNvPr id="212" name="直接箭头连接符 194"/>
                        <wps:cNvCnPr/>
                        <wps:spPr>
                          <a:xfrm>
                            <a:off x="4321" y="9972"/>
                            <a:ext cx="0" cy="175"/>
                          </a:xfrm>
                          <a:prstGeom prst="straightConnector1">
                            <a:avLst/>
                          </a:prstGeom>
                          <a:ln w="22225" cap="flat" cmpd="sng">
                            <a:solidFill>
                              <a:srgbClr val="FFFF00"/>
                            </a:solidFill>
                            <a:prstDash val="solid"/>
                            <a:headEnd type="none" w="med" len="med"/>
                            <a:tailEnd type="none" w="med" len="med"/>
                          </a:ln>
                        </wps:spPr>
                        <wps:bodyPr/>
                      </wps:wsp>
                      <wps:wsp>
                        <wps:cNvPr id="213" name="直接箭头连接符 195"/>
                        <wps:cNvCnPr/>
                        <wps:spPr>
                          <a:xfrm>
                            <a:off x="2206" y="10021"/>
                            <a:ext cx="1" cy="132"/>
                          </a:xfrm>
                          <a:prstGeom prst="straightConnector1">
                            <a:avLst/>
                          </a:prstGeom>
                          <a:ln w="22225" cap="flat" cmpd="sng">
                            <a:solidFill>
                              <a:srgbClr val="FFFF00"/>
                            </a:solidFill>
                            <a:prstDash val="solid"/>
                            <a:headEnd type="none" w="med" len="med"/>
                            <a:tailEnd type="none" w="med" len="med"/>
                          </a:ln>
                        </wps:spPr>
                        <wps:bodyPr/>
                      </wps:wsp>
                      <wps:wsp>
                        <wps:cNvPr id="214" name="直接箭头连接符 196"/>
                        <wps:cNvCnPr/>
                        <wps:spPr>
                          <a:xfrm>
                            <a:off x="3628" y="10021"/>
                            <a:ext cx="1" cy="132"/>
                          </a:xfrm>
                          <a:prstGeom prst="straightConnector1">
                            <a:avLst/>
                          </a:prstGeom>
                          <a:ln w="22225" cap="flat" cmpd="sng">
                            <a:solidFill>
                              <a:srgbClr val="FFFF00"/>
                            </a:solidFill>
                            <a:prstDash val="solid"/>
                            <a:headEnd type="none" w="med" len="med"/>
                            <a:tailEnd type="none" w="med" len="med"/>
                          </a:ln>
                        </wps:spPr>
                        <wps:bodyPr/>
                      </wps:wsp>
                    </wpg:wgp>
                  </a:graphicData>
                </a:graphic>
              </wp:anchor>
            </w:drawing>
          </mc:Choice>
          <mc:Fallback>
            <w:pict>
              <v:group id="_x0000_s1026" o:spid="_x0000_s1026" o:spt="203" style="position:absolute;left:0pt;margin-left:51.35pt;margin-top:8.35pt;height:10pt;width:59.7pt;z-index:251719680;mso-width-relative:page;mso-height-relative:page;" coordorigin="1474,9972" coordsize="2863,181" o:gfxdata="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">
                <o:lock v:ext="edit" aspectratio="f"/>
                <v:shape id="直接箭头连接符 191" o:spid="_x0000_s1026" o:spt="32" type="#_x0000_t32" style="position:absolute;left:1474;top:10147;height:0;width:2863;" filled="f" stroked="t" coordsize="21600,21600" o:gfxdata="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rQON+/&#10;AAAA3AAAAA8AAAAAAAAAAQAgAAAAIgAAAGRycy9kb3ducmV2LnhtbFBLAQIUABQAAAAIAIdO4kAz&#10;LwWeOwAAADkAAAAQAAAAAAAAAAEAIAAAAA4BAABkcnMvc2hhcGV4bWwueG1sUEsFBgAAAAAGAAYA&#10;WwEAALgDAAAAAA==&#10;">
                  <v:fill on="f" focussize="0,0"/>
                  <v:stroke weight="1.75pt" color="#FFFF00" joinstyle="round"/>
                  <v:imagedata o:title=""/>
                  <o:lock v:ext="edit" aspectratio="f"/>
                </v:shape>
                <v:shape id="直接箭头连接符 192" o:spid="_x0000_s1026" o:spt="32" type="#_x0000_t32" style="position:absolute;left:1490;top:9972;height:175;width:0;" filled="f" stroked="t" coordsize="21600,21600" o:gfxdata="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MwefvQAA&#10;ANwAAAAPAAAAAAAAAAEAIAAAACIAAABkcnMvZG93bnJldi54bWxQSwECFAAUAAAACACHTuJAMy8F&#10;njsAAAA5AAAAEAAAAAAAAAABACAAAAAMAQAAZHJzL3NoYXBleG1sLnhtbFBLBQYAAAAABgAGAFsB&#10;AAC2AwAAAAA=&#10;">
                  <v:fill on="f" focussize="0,0"/>
                  <v:stroke weight="1.75pt" color="#FFFF00" joinstyle="round"/>
                  <v:imagedata o:title=""/>
                  <o:lock v:ext="edit" aspectratio="f"/>
                </v:shape>
                <v:shape id="直接箭头连接符 193" o:spid="_x0000_s1026" o:spt="32" type="#_x0000_t32" style="position:absolute;left:2913;top:9972;height:175;width:0;" filled="f" stroked="t" coordsize="21600,21600" o:gfxdata="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F/ogS/&#10;AAAA3AAAAA8AAAAAAAAAAQAgAAAAIgAAAGRycy9kb3ducmV2LnhtbFBLAQIUABQAAAAIAIdO4kAz&#10;LwWeOwAAADkAAAAQAAAAAAAAAAEAIAAAAA4BAABkcnMvc2hhcGV4bWwueG1sUEsFBgAAAAAGAAYA&#10;WwEAALgDAAAAAA==&#10;">
                  <v:fill on="f" focussize="0,0"/>
                  <v:stroke weight="1.75pt" color="#FFFF00" joinstyle="round"/>
                  <v:imagedata o:title=""/>
                  <o:lock v:ext="edit" aspectratio="f"/>
                </v:shape>
                <v:shape id="直接箭头连接符 194" o:spid="_x0000_s1026" o:spt="32" type="#_x0000_t32" style="position:absolute;left:4321;top:9972;height:175;width:0;" filled="f" stroked="t" coordsize="21600,21600" o:gfxdata="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GtPHO/&#10;AAAA3AAAAA8AAAAAAAAAAQAgAAAAIgAAAGRycy9kb3ducmV2LnhtbFBLAQIUABQAAAAIAIdO4kAz&#10;LwWeOwAAADkAAAAQAAAAAAAAAAEAIAAAAA4BAABkcnMvc2hhcGV4bWwueG1sUEsFBgAAAAAGAAYA&#10;WwEAALgDAAAAAA==&#10;">
                  <v:fill on="f" focussize="0,0"/>
                  <v:stroke weight="1.75pt" color="#FFFF00" joinstyle="round"/>
                  <v:imagedata o:title=""/>
                  <o:lock v:ext="edit" aspectratio="f"/>
                </v:shape>
                <v:shape id="直接箭头连接符 195" o:spid="_x0000_s1026" o:spt="32" type="#_x0000_t32" style="position:absolute;left:2206;top:10021;height:132;width:1;" filled="f" stroked="t" coordsize="21600,21600" o:gfxdata="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4Zno&#10;wAAAANwAAAAPAAAAAAAAAAEAIAAAACIAAABkcnMvZG93bnJldi54bWxQSwECFAAUAAAACACHTuJA&#10;My8FnjsAAAA5AAAAEAAAAAAAAAABACAAAAAPAQAAZHJzL3NoYXBleG1sLnhtbFBLBQYAAAAABgAG&#10;AFsBAAC5AwAAAAA=&#10;">
                  <v:fill on="f" focussize="0,0"/>
                  <v:stroke weight="1.75pt" color="#FFFF00" joinstyle="round"/>
                  <v:imagedata o:title=""/>
                  <o:lock v:ext="edit" aspectratio="f"/>
                </v:shape>
                <v:shape id="直接箭头连接符 196" o:spid="_x0000_s1026" o:spt="32" type="#_x0000_t32" style="position:absolute;left:3628;top:10021;height:132;width:1;" filled="f" stroked="t" coordsize="21600,21600" o:gfxdata="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xCAGc&#10;wAAAANwAAAAPAAAAAAAAAAEAIAAAACIAAABkcnMvZG93bnJldi54bWxQSwECFAAUAAAACACHTuJA&#10;My8FnjsAAAA5AAAAEAAAAAAAAAABACAAAAAPAQAAZHJzL3NoYXBleG1sLnhtbFBLBQYAAAAABgAG&#10;AFsBAAC5AwAAAAA=&#10;">
                  <v:fill on="f" focussize="0,0"/>
                  <v:stroke weight="1.75pt" color="#FFFF00" joinstyle="round"/>
                  <v:imagedata o:title=""/>
                  <o:lock v:ext="edit" aspectratio="f"/>
                </v:shape>
              </v:group>
            </w:pict>
          </mc:Fallback>
        </mc:AlternateContent>
      </w:r>
    </w:p>
    <w:p w14:paraId="3641F5F0">
      <w:pPr>
        <w:spacing w:before="62"/>
        <w:ind w:right="4070"/>
        <w:jc w:val="both"/>
        <w:rPr>
          <w:color w:val="auto"/>
          <w:sz w:val="28"/>
          <w:lang w:val="en-US"/>
        </w:rPr>
      </w:pPr>
      <w:r>
        <w:rPr>
          <w:color w:val="auto"/>
        </w:rPr>
        <mc:AlternateContent>
          <mc:Choice Requires="wps">
            <w:drawing>
              <wp:anchor distT="0" distB="0" distL="114300" distR="114300" simplePos="0" relativeHeight="251695104" behindDoc="0" locked="0" layoutInCell="1" allowOverlap="1">
                <wp:simplePos x="0" y="0"/>
                <wp:positionH relativeFrom="column">
                  <wp:posOffset>2577465</wp:posOffset>
                </wp:positionH>
                <wp:positionV relativeFrom="paragraph">
                  <wp:posOffset>236220</wp:posOffset>
                </wp:positionV>
                <wp:extent cx="4148455" cy="482600"/>
                <wp:effectExtent l="0" t="0" r="0" b="0"/>
                <wp:wrapNone/>
                <wp:docPr id="43" name="文本框 50"/>
                <wp:cNvGraphicFramePr/>
                <a:graphic xmlns:a="http://schemas.openxmlformats.org/drawingml/2006/main">
                  <a:graphicData uri="http://schemas.microsoft.com/office/word/2010/wordprocessingShape">
                    <wps:wsp>
                      <wps:cNvSpPr txBox="1"/>
                      <wps:spPr>
                        <a:xfrm>
                          <a:off x="3621405" y="6316980"/>
                          <a:ext cx="4148455" cy="482600"/>
                        </a:xfrm>
                        <a:prstGeom prst="rect">
                          <a:avLst/>
                        </a:prstGeom>
                        <a:noFill/>
                        <a:ln>
                          <a:noFill/>
                        </a:ln>
                        <a:effectLst/>
                      </wps:spPr>
                      <wps:txbx>
                        <w:txbxContent>
                          <w:p w14:paraId="63DF18AD">
                            <w:pPr>
                              <w:jc w:val="center"/>
                              <w:rPr>
                                <w:rFonts w:ascii="宋体" w:hAnsi="宋体"/>
                                <w:b/>
                                <w:sz w:val="28"/>
                                <w:szCs w:val="28"/>
                              </w:rPr>
                            </w:pPr>
                            <w:r>
                              <w:rPr>
                                <w:rFonts w:hint="eastAsia" w:ascii="宋体" w:hAnsi="宋体"/>
                                <w:b/>
                                <w:sz w:val="28"/>
                                <w:szCs w:val="28"/>
                              </w:rPr>
                              <w:t>附图</w:t>
                            </w:r>
                            <w:r>
                              <w:rPr>
                                <w:rFonts w:hint="eastAsia" w:ascii="宋体" w:hAnsi="宋体"/>
                                <w:b/>
                                <w:sz w:val="28"/>
                                <w:szCs w:val="28"/>
                                <w:lang w:val="en-US" w:eastAsia="zh-CN"/>
                              </w:rPr>
                              <w:t>四</w:t>
                            </w:r>
                            <w:r>
                              <w:rPr>
                                <w:rFonts w:hint="eastAsia" w:ascii="宋体" w:hAnsi="宋体"/>
                                <w:b/>
                                <w:sz w:val="28"/>
                                <w:szCs w:val="28"/>
                              </w:rPr>
                              <w:t xml:space="preserve">  </w:t>
                            </w:r>
                            <w:r>
                              <w:rPr>
                                <w:rFonts w:hint="eastAsia" w:ascii="宋体" w:hAnsi="宋体"/>
                                <w:b/>
                                <w:sz w:val="28"/>
                                <w:szCs w:val="28"/>
                                <w:lang w:eastAsia="zh-CN"/>
                              </w:rPr>
                              <w:t xml:space="preserve"> 项目监测布点图</w:t>
                            </w:r>
                          </w:p>
                        </w:txbxContent>
                      </wps:txbx>
                      <wps:bodyPr vert="horz" wrap="square" anchor="t" anchorCtr="0" upright="1"/>
                    </wps:wsp>
                  </a:graphicData>
                </a:graphic>
              </wp:anchor>
            </w:drawing>
          </mc:Choice>
          <mc:Fallback>
            <w:pict>
              <v:shape id="文本框 50" o:spid="_x0000_s1026" o:spt="202" type="#_x0000_t202" style="position:absolute;left:0pt;margin-left:202.95pt;margin-top:18.6pt;height:38pt;width:326.65pt;z-index:251695104;mso-width-relative:page;mso-height-relative:page;" filled="f" stroked="f" coordsize="21600,21600" o:gfxdata="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ntOIe1wAAAAsBAAAPAAAA&#10;AAAAAAEAIAAAACIAAABkcnMvZG93bnJldi54bWxQSwECFAAUAAAACACHTuJAyCE5It0BAACdAwAA&#10;DgAAAAAAAAABACAAAAAmAQAAZHJzL2Uyb0RvYy54bWxQSwUGAAAAAAYABgBZAQAAdQUAAAAA&#10;">
                <v:fill on="f" focussize="0,0"/>
                <v:stroke on="f"/>
                <v:imagedata o:title=""/>
                <o:lock v:ext="edit" aspectratio="f"/>
                <v:textbox>
                  <w:txbxContent>
                    <w:p w14:paraId="63DF18AD">
                      <w:pPr>
                        <w:jc w:val="center"/>
                        <w:rPr>
                          <w:rFonts w:ascii="宋体" w:hAnsi="宋体"/>
                          <w:b/>
                          <w:sz w:val="28"/>
                          <w:szCs w:val="28"/>
                        </w:rPr>
                      </w:pPr>
                      <w:r>
                        <w:rPr>
                          <w:rFonts w:hint="eastAsia" w:ascii="宋体" w:hAnsi="宋体"/>
                          <w:b/>
                          <w:sz w:val="28"/>
                          <w:szCs w:val="28"/>
                        </w:rPr>
                        <w:t>附图</w:t>
                      </w:r>
                      <w:r>
                        <w:rPr>
                          <w:rFonts w:hint="eastAsia" w:ascii="宋体" w:hAnsi="宋体"/>
                          <w:b/>
                          <w:sz w:val="28"/>
                          <w:szCs w:val="28"/>
                          <w:lang w:val="en-US" w:eastAsia="zh-CN"/>
                        </w:rPr>
                        <w:t>四</w:t>
                      </w:r>
                      <w:r>
                        <w:rPr>
                          <w:rFonts w:hint="eastAsia" w:ascii="宋体" w:hAnsi="宋体"/>
                          <w:b/>
                          <w:sz w:val="28"/>
                          <w:szCs w:val="28"/>
                        </w:rPr>
                        <w:t xml:space="preserve">  </w:t>
                      </w:r>
                      <w:r>
                        <w:rPr>
                          <w:rFonts w:hint="eastAsia" w:ascii="宋体" w:hAnsi="宋体"/>
                          <w:b/>
                          <w:sz w:val="28"/>
                          <w:szCs w:val="28"/>
                          <w:lang w:eastAsia="zh-CN"/>
                        </w:rPr>
                        <w:t xml:space="preserve"> 项目监测布点图</w:t>
                      </w:r>
                    </w:p>
                  </w:txbxContent>
                </v:textbox>
              </v:shape>
            </w:pict>
          </mc:Fallback>
        </mc:AlternateContent>
      </w:r>
    </w:p>
    <w:p w14:paraId="42A7EBDC">
      <w:pPr>
        <w:spacing w:before="62"/>
        <w:ind w:right="4070"/>
        <w:jc w:val="both"/>
        <w:rPr>
          <w:color w:val="auto"/>
          <w:sz w:val="28"/>
          <w:lang w:val="en-US"/>
        </w:rPr>
      </w:pPr>
    </w:p>
    <w:p w14:paraId="5C4FDEA5">
      <w:pPr>
        <w:spacing w:before="62"/>
        <w:ind w:right="4070"/>
        <w:jc w:val="both"/>
        <w:rPr>
          <w:color w:val="auto"/>
          <w:sz w:val="28"/>
          <w:lang w:val="en-US"/>
        </w:rPr>
        <w:sectPr>
          <w:pgSz w:w="16840" w:h="11910" w:orient="landscape"/>
          <w:pgMar w:top="901" w:right="1440" w:bottom="879" w:left="1219" w:header="720" w:footer="1043" w:gutter="0"/>
          <w:pgBorders>
            <w:top w:val="none" w:sz="0" w:space="0"/>
            <w:left w:val="none" w:sz="0" w:space="0"/>
            <w:bottom w:val="none" w:sz="0" w:space="0"/>
            <w:right w:val="none" w:sz="0" w:space="0"/>
          </w:pgBorders>
          <w:pgNumType w:fmt="decimal"/>
          <w:cols w:space="720" w:num="1"/>
        </w:sectPr>
      </w:pPr>
      <w:r>
        <w:rPr>
          <w:color w:val="auto"/>
        </w:rPr>
        <mc:AlternateContent>
          <mc:Choice Requires="wps">
            <w:drawing>
              <wp:anchor distT="0" distB="0" distL="114300" distR="114300" simplePos="0" relativeHeight="251693056" behindDoc="0" locked="0" layoutInCell="1" allowOverlap="1">
                <wp:simplePos x="0" y="0"/>
                <wp:positionH relativeFrom="column">
                  <wp:posOffset>2707005</wp:posOffset>
                </wp:positionH>
                <wp:positionV relativeFrom="paragraph">
                  <wp:posOffset>5175885</wp:posOffset>
                </wp:positionV>
                <wp:extent cx="4148455" cy="482600"/>
                <wp:effectExtent l="0" t="0" r="0" b="0"/>
                <wp:wrapNone/>
                <wp:docPr id="41" name="文本框 50"/>
                <wp:cNvGraphicFramePr/>
                <a:graphic xmlns:a="http://schemas.openxmlformats.org/drawingml/2006/main">
                  <a:graphicData uri="http://schemas.microsoft.com/office/word/2010/wordprocessingShape">
                    <wps:wsp>
                      <wps:cNvSpPr txBox="1"/>
                      <wps:spPr>
                        <a:xfrm>
                          <a:off x="3621405" y="6316980"/>
                          <a:ext cx="4148455" cy="482600"/>
                        </a:xfrm>
                        <a:prstGeom prst="rect">
                          <a:avLst/>
                        </a:prstGeom>
                        <a:noFill/>
                        <a:ln>
                          <a:noFill/>
                        </a:ln>
                        <a:effectLst/>
                      </wps:spPr>
                      <wps:txbx>
                        <w:txbxContent>
                          <w:p w14:paraId="3DB93751">
                            <w:pPr>
                              <w:jc w:val="center"/>
                              <w:rPr>
                                <w:rFonts w:ascii="宋体" w:hAnsi="宋体"/>
                                <w:b/>
                                <w:sz w:val="28"/>
                                <w:szCs w:val="28"/>
                              </w:rPr>
                            </w:pPr>
                            <w:r>
                              <w:rPr>
                                <w:rFonts w:hint="eastAsia" w:ascii="宋体" w:hAnsi="宋体"/>
                                <w:b/>
                                <w:sz w:val="28"/>
                                <w:szCs w:val="28"/>
                              </w:rPr>
                              <w:t>附图</w:t>
                            </w:r>
                            <w:r>
                              <w:rPr>
                                <w:rFonts w:hint="eastAsia" w:ascii="宋体" w:hAnsi="宋体"/>
                                <w:b/>
                                <w:sz w:val="28"/>
                                <w:szCs w:val="28"/>
                                <w:lang w:val="en-US" w:eastAsia="zh-CN"/>
                              </w:rPr>
                              <w:t>四</w:t>
                            </w:r>
                            <w:r>
                              <w:rPr>
                                <w:rFonts w:hint="eastAsia" w:ascii="宋体" w:hAnsi="宋体"/>
                                <w:b/>
                                <w:sz w:val="28"/>
                                <w:szCs w:val="28"/>
                              </w:rPr>
                              <w:t xml:space="preserve">  </w:t>
                            </w:r>
                            <w:r>
                              <w:rPr>
                                <w:rFonts w:hint="eastAsia" w:ascii="宋体" w:hAnsi="宋体"/>
                                <w:b/>
                                <w:sz w:val="28"/>
                                <w:szCs w:val="28"/>
                                <w:lang w:eastAsia="zh-CN"/>
                              </w:rPr>
                              <w:t xml:space="preserve"> 项目监测布点图</w:t>
                            </w:r>
                          </w:p>
                        </w:txbxContent>
                      </wps:txbx>
                      <wps:bodyPr vert="horz" wrap="square" anchor="t" anchorCtr="0" upright="1"/>
                    </wps:wsp>
                  </a:graphicData>
                </a:graphic>
              </wp:anchor>
            </w:drawing>
          </mc:Choice>
          <mc:Fallback>
            <w:pict>
              <v:shape id="文本框 50" o:spid="_x0000_s1026" o:spt="202" type="#_x0000_t202" style="position:absolute;left:0pt;margin-left:213.15pt;margin-top:407.55pt;height:38pt;width:326.65pt;z-index:251693056;mso-width-relative:page;mso-height-relative:page;" filled="f" stroked="f" coordsize="21600,21600" o:gfxdata="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OR56dfZAAAADAEAAA8A&#10;AAAAAAAAAQAgAAAAIgAAAGRycy9kb3ducmV2LnhtbFBLAQIUABQAAAAIAIdO4kAfttii3QEAAJ0D&#10;AAAOAAAAAAAAAAEAIAAAACgBAABkcnMvZTJvRG9jLnhtbFBLBQYAAAAABgAGAFkBAAB3BQAAAAA=&#10;">
                <v:fill on="f" focussize="0,0"/>
                <v:stroke on="f"/>
                <v:imagedata o:title=""/>
                <o:lock v:ext="edit" aspectratio="f"/>
                <v:textbox>
                  <w:txbxContent>
                    <w:p w14:paraId="3DB93751">
                      <w:pPr>
                        <w:jc w:val="center"/>
                        <w:rPr>
                          <w:rFonts w:ascii="宋体" w:hAnsi="宋体"/>
                          <w:b/>
                          <w:sz w:val="28"/>
                          <w:szCs w:val="28"/>
                        </w:rPr>
                      </w:pPr>
                      <w:r>
                        <w:rPr>
                          <w:rFonts w:hint="eastAsia" w:ascii="宋体" w:hAnsi="宋体"/>
                          <w:b/>
                          <w:sz w:val="28"/>
                          <w:szCs w:val="28"/>
                        </w:rPr>
                        <w:t>附图</w:t>
                      </w:r>
                      <w:r>
                        <w:rPr>
                          <w:rFonts w:hint="eastAsia" w:ascii="宋体" w:hAnsi="宋体"/>
                          <w:b/>
                          <w:sz w:val="28"/>
                          <w:szCs w:val="28"/>
                          <w:lang w:val="en-US" w:eastAsia="zh-CN"/>
                        </w:rPr>
                        <w:t>四</w:t>
                      </w:r>
                      <w:r>
                        <w:rPr>
                          <w:rFonts w:hint="eastAsia" w:ascii="宋体" w:hAnsi="宋体"/>
                          <w:b/>
                          <w:sz w:val="28"/>
                          <w:szCs w:val="28"/>
                        </w:rPr>
                        <w:t xml:space="preserve">  </w:t>
                      </w:r>
                      <w:r>
                        <w:rPr>
                          <w:rFonts w:hint="eastAsia" w:ascii="宋体" w:hAnsi="宋体"/>
                          <w:b/>
                          <w:sz w:val="28"/>
                          <w:szCs w:val="28"/>
                          <w:lang w:eastAsia="zh-CN"/>
                        </w:rPr>
                        <w:t xml:space="preserve"> 项目监测布点图</w:t>
                      </w:r>
                    </w:p>
                  </w:txbxContent>
                </v:textbox>
              </v:shape>
            </w:pict>
          </mc:Fallback>
        </mc:AlternateContent>
      </w:r>
    </w:p>
    <w:p w14:paraId="60EEBA74">
      <w:pPr>
        <w:jc w:val="left"/>
        <w:rPr>
          <w:rFonts w:hint="default" w:ascii="Times New Roman" w:hAnsi="Times New Roman" w:eastAsia="宋体" w:cs="Times New Roman"/>
          <w:b/>
          <w:color w:val="auto"/>
          <w:sz w:val="44"/>
          <w:szCs w:val="44"/>
        </w:rPr>
      </w:pPr>
      <w:r>
        <w:rPr>
          <w:rFonts w:hint="default" w:ascii="Times New Roman" w:hAnsi="Times New Roman" w:cs="Times New Roman"/>
          <w:color w:val="auto"/>
          <w:sz w:val="28"/>
          <w:lang w:val="en-US" w:eastAsia="zh-CN"/>
        </w:rPr>
        <w:t>附件1：</w:t>
      </w:r>
    </w:p>
    <w:p w14:paraId="30727D09">
      <w:pPr>
        <w:spacing w:before="62"/>
        <w:ind w:right="4070"/>
        <w:jc w:val="both"/>
        <w:rPr>
          <w:rFonts w:hint="eastAsia"/>
          <w:color w:val="auto"/>
          <w:sz w:val="28"/>
          <w:lang w:val="en-US" w:eastAsia="zh-CN"/>
        </w:rPr>
      </w:pPr>
    </w:p>
    <w:p w14:paraId="62C3E0D1">
      <w:pPr>
        <w:spacing w:before="62"/>
        <w:ind w:right="4070"/>
        <w:jc w:val="both"/>
        <w:rPr>
          <w:rFonts w:hint="eastAsia" w:eastAsia="宋体"/>
          <w:color w:val="auto"/>
          <w:lang w:val="en-US" w:eastAsia="zh-CN"/>
        </w:rPr>
        <w:sectPr>
          <w:pgSz w:w="11910" w:h="16840"/>
          <w:pgMar w:top="1701" w:right="1531" w:bottom="1701" w:left="1531" w:header="720" w:footer="1531" w:gutter="0"/>
          <w:pgBorders>
            <w:top w:val="none" w:sz="0" w:space="0"/>
            <w:left w:val="none" w:sz="0" w:space="0"/>
            <w:bottom w:val="none" w:sz="0" w:space="0"/>
            <w:right w:val="none" w:sz="0" w:space="0"/>
          </w:pgBorders>
          <w:pgNumType w:fmt="decimal"/>
          <w:cols w:space="720" w:num="1"/>
        </w:sectPr>
      </w:pPr>
      <w:r>
        <w:drawing>
          <wp:inline distT="0" distB="0" distL="114300" distR="114300">
            <wp:extent cx="5412105" cy="7426960"/>
            <wp:effectExtent l="0" t="0" r="17145" b="2540"/>
            <wp:docPr id="7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6"/>
                    <pic:cNvPicPr>
                      <a:picLocks noChangeAspect="1"/>
                    </pic:cNvPicPr>
                  </pic:nvPicPr>
                  <pic:blipFill>
                    <a:blip r:embed="rId36"/>
                    <a:stretch>
                      <a:fillRect/>
                    </a:stretch>
                  </pic:blipFill>
                  <pic:spPr>
                    <a:xfrm>
                      <a:off x="0" y="0"/>
                      <a:ext cx="5412105" cy="7426960"/>
                    </a:xfrm>
                    <a:prstGeom prst="rect">
                      <a:avLst/>
                    </a:prstGeom>
                    <a:noFill/>
                    <a:ln>
                      <a:noFill/>
                    </a:ln>
                  </pic:spPr>
                </pic:pic>
              </a:graphicData>
            </a:graphic>
          </wp:inline>
        </w:drawing>
      </w:r>
    </w:p>
    <w:p w14:paraId="58BF6AB8">
      <w:pPr>
        <w:spacing w:before="62"/>
        <w:ind w:right="4070"/>
        <w:jc w:val="left"/>
        <w:rPr>
          <w:rFonts w:hint="default" w:ascii="Times New Roman" w:hAnsi="Times New Roman" w:cs="Times New Roman"/>
          <w:color w:val="auto"/>
          <w:lang w:val="en-US" w:eastAsia="zh-CN"/>
        </w:rPr>
      </w:pPr>
      <w:r>
        <w:rPr>
          <w:rFonts w:hint="default" w:ascii="Times New Roman" w:hAnsi="Times New Roman" w:eastAsia="宋体" w:cs="Times New Roman"/>
          <w:color w:val="auto"/>
          <w:sz w:val="28"/>
          <w:lang w:val="en-US" w:eastAsia="zh-CN"/>
        </w:rPr>
        <w:t>附件</w:t>
      </w:r>
      <w:r>
        <w:rPr>
          <w:rFonts w:hint="default" w:ascii="Times New Roman" w:hAnsi="Times New Roman" w:cs="Times New Roman"/>
          <w:color w:val="auto"/>
          <w:sz w:val="28"/>
          <w:lang w:val="en-US" w:eastAsia="zh-CN"/>
        </w:rPr>
        <w:t>2：</w:t>
      </w:r>
    </w:p>
    <w:p w14:paraId="6F3F152A">
      <w:pPr>
        <w:ind w:right="0"/>
        <w:jc w:val="center"/>
        <w:rPr>
          <w:rFonts w:hint="eastAsia"/>
          <w:color w:val="auto"/>
          <w:lang w:val="en-US" w:eastAsia="zh-CN"/>
        </w:rPr>
        <w:sectPr>
          <w:pgSz w:w="16840" w:h="11910" w:orient="landscape"/>
          <w:pgMar w:top="1531" w:right="1701" w:bottom="1531" w:left="1701" w:header="720" w:footer="1361" w:gutter="0"/>
          <w:pgBorders>
            <w:top w:val="none" w:sz="0" w:space="0"/>
            <w:left w:val="none" w:sz="0" w:space="0"/>
            <w:bottom w:val="none" w:sz="0" w:space="0"/>
            <w:right w:val="none" w:sz="0" w:space="0"/>
          </w:pgBorders>
          <w:pgNumType w:fmt="decimal"/>
          <w:cols w:space="720" w:num="1"/>
        </w:sectPr>
      </w:pPr>
      <w:r>
        <w:rPr>
          <w:rFonts w:hint="eastAsia"/>
          <w:color w:val="auto"/>
          <w:lang w:val="en-US" w:eastAsia="zh-CN"/>
        </w:rPr>
        <w:drawing>
          <wp:inline distT="0" distB="0" distL="114300" distR="114300">
            <wp:extent cx="7004685" cy="5094605"/>
            <wp:effectExtent l="0" t="0" r="5715" b="10795"/>
            <wp:docPr id="228" name="图片 228" descr="微信图片_20250923114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descr="微信图片_20250923114143"/>
                    <pic:cNvPicPr>
                      <a:picLocks noChangeAspect="1"/>
                    </pic:cNvPicPr>
                  </pic:nvPicPr>
                  <pic:blipFill>
                    <a:blip r:embed="rId37"/>
                    <a:stretch>
                      <a:fillRect/>
                    </a:stretch>
                  </pic:blipFill>
                  <pic:spPr>
                    <a:xfrm>
                      <a:off x="0" y="0"/>
                      <a:ext cx="7004685" cy="5094605"/>
                    </a:xfrm>
                    <a:prstGeom prst="rect">
                      <a:avLst/>
                    </a:prstGeom>
                  </pic:spPr>
                </pic:pic>
              </a:graphicData>
            </a:graphic>
          </wp:inline>
        </w:drawing>
      </w:r>
    </w:p>
    <w:p w14:paraId="03558C41">
      <w:pPr>
        <w:spacing w:before="62"/>
        <w:ind w:right="4070"/>
        <w:jc w:val="left"/>
        <w:rPr>
          <w:rFonts w:hint="default" w:ascii="Times New Roman" w:hAnsi="Times New Roman" w:eastAsia="宋体" w:cs="Times New Roman"/>
          <w:color w:val="auto"/>
          <w:sz w:val="28"/>
          <w:lang w:val="en-US" w:eastAsia="zh-CN"/>
        </w:rPr>
      </w:pPr>
      <w:r>
        <w:rPr>
          <w:rFonts w:hint="default" w:ascii="Times New Roman" w:hAnsi="Times New Roman" w:eastAsia="宋体" w:cs="Times New Roman"/>
          <w:color w:val="auto"/>
          <w:sz w:val="28"/>
          <w:lang w:val="en-US" w:eastAsia="zh-CN"/>
        </w:rPr>
        <w:t>附件</w:t>
      </w:r>
      <w:r>
        <w:rPr>
          <w:rFonts w:hint="default" w:ascii="Times New Roman" w:hAnsi="Times New Roman" w:cs="Times New Roman"/>
          <w:color w:val="auto"/>
          <w:sz w:val="28"/>
          <w:lang w:val="en-US" w:eastAsia="zh-CN"/>
        </w:rPr>
        <w:t>3：</w:t>
      </w:r>
    </w:p>
    <w:p w14:paraId="22AFC027">
      <w:pPr>
        <w:spacing w:before="62"/>
        <w:ind w:right="4070"/>
        <w:jc w:val="left"/>
        <w:rPr>
          <w:color w:val="auto"/>
        </w:rPr>
        <w:sectPr>
          <w:pgSz w:w="11910" w:h="16840"/>
          <w:pgMar w:top="1701" w:right="1531" w:bottom="1701" w:left="1531" w:header="720" w:footer="1531" w:gutter="0"/>
          <w:pgBorders>
            <w:top w:val="none" w:sz="0" w:space="0"/>
            <w:left w:val="none" w:sz="0" w:space="0"/>
            <w:bottom w:val="none" w:sz="0" w:space="0"/>
            <w:right w:val="none" w:sz="0" w:space="0"/>
          </w:pgBorders>
          <w:pgNumType w:fmt="decimal"/>
          <w:cols w:space="720" w:num="1"/>
        </w:sectPr>
      </w:pPr>
      <w:r>
        <w:rPr>
          <w:color w:val="auto"/>
        </w:rPr>
        <w:drawing>
          <wp:inline distT="0" distB="0" distL="114300" distR="114300">
            <wp:extent cx="5617210" cy="7943215"/>
            <wp:effectExtent l="0" t="0" r="2540" b="635"/>
            <wp:docPr id="229" name="图片 229" descr="微信图片_20250923114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descr="微信图片_20250923114140"/>
                    <pic:cNvPicPr>
                      <a:picLocks noChangeAspect="1"/>
                    </pic:cNvPicPr>
                  </pic:nvPicPr>
                  <pic:blipFill>
                    <a:blip r:embed="rId38"/>
                    <a:stretch>
                      <a:fillRect/>
                    </a:stretch>
                  </pic:blipFill>
                  <pic:spPr>
                    <a:xfrm>
                      <a:off x="0" y="0"/>
                      <a:ext cx="5617210" cy="7943215"/>
                    </a:xfrm>
                    <a:prstGeom prst="rect">
                      <a:avLst/>
                    </a:prstGeom>
                  </pic:spPr>
                </pic:pic>
              </a:graphicData>
            </a:graphic>
          </wp:inline>
        </w:drawing>
      </w:r>
    </w:p>
    <w:p w14:paraId="25E9A317">
      <w:pPr>
        <w:spacing w:before="62"/>
        <w:ind w:right="4070"/>
        <w:jc w:val="left"/>
        <w:rPr>
          <w:rFonts w:hint="default" w:ascii="Times New Roman" w:hAnsi="Times New Roman" w:cs="Times New Roman"/>
          <w:color w:val="auto"/>
          <w:sz w:val="28"/>
          <w:lang w:val="en-US" w:eastAsia="zh-CN"/>
        </w:rPr>
      </w:pPr>
      <w:r>
        <w:rPr>
          <w:rFonts w:hint="default" w:ascii="Times New Roman" w:hAnsi="Times New Roman" w:eastAsia="宋体" w:cs="Times New Roman"/>
          <w:color w:val="auto"/>
          <w:sz w:val="28"/>
          <w:lang w:val="en-US" w:eastAsia="zh-CN"/>
        </w:rPr>
        <w:t>附件</w:t>
      </w:r>
      <w:r>
        <w:rPr>
          <w:rFonts w:hint="eastAsia" w:ascii="Times New Roman" w:hAnsi="Times New Roman" w:cs="Times New Roman"/>
          <w:color w:val="auto"/>
          <w:sz w:val="28"/>
          <w:lang w:val="en-US" w:eastAsia="zh-CN"/>
        </w:rPr>
        <w:t>4</w:t>
      </w:r>
      <w:r>
        <w:rPr>
          <w:rFonts w:hint="default" w:ascii="Times New Roman" w:hAnsi="Times New Roman" w:cs="Times New Roman"/>
          <w:color w:val="auto"/>
          <w:sz w:val="28"/>
          <w:lang w:val="en-US" w:eastAsia="zh-CN"/>
        </w:rPr>
        <w:t>：</w:t>
      </w:r>
    </w:p>
    <w:p w14:paraId="725C9107">
      <w:pPr>
        <w:spacing w:before="62"/>
        <w:ind w:right="4070"/>
        <w:jc w:val="left"/>
        <w:rPr>
          <w:rFonts w:hint="default" w:ascii="Times New Roman" w:hAnsi="Times New Roman" w:cs="Times New Roman"/>
          <w:color w:val="auto"/>
          <w:sz w:val="28"/>
          <w:lang w:val="en-US" w:eastAsia="zh-CN"/>
        </w:rPr>
      </w:pPr>
    </w:p>
    <w:p w14:paraId="774A1230">
      <w:pPr>
        <w:ind w:right="0"/>
        <w:jc w:val="center"/>
        <w:rPr>
          <w:rFonts w:hint="eastAsia" w:eastAsia="宋体"/>
          <w:color w:val="auto"/>
          <w:lang w:eastAsia="zh-CN"/>
        </w:rPr>
        <w:sectPr>
          <w:pgSz w:w="16840" w:h="11910" w:orient="landscape"/>
          <w:pgMar w:top="1531" w:right="1701" w:bottom="1531" w:left="1701" w:header="720" w:footer="1304" w:gutter="0"/>
          <w:pgBorders>
            <w:top w:val="none" w:sz="0" w:space="0"/>
            <w:left w:val="none" w:sz="0" w:space="0"/>
            <w:bottom w:val="none" w:sz="0" w:space="0"/>
            <w:right w:val="none" w:sz="0" w:space="0"/>
          </w:pgBorders>
          <w:pgNumType w:fmt="decimal"/>
          <w:cols w:space="720" w:num="1"/>
        </w:sectPr>
      </w:pPr>
      <w:r>
        <w:rPr>
          <w:rFonts w:hint="eastAsia" w:eastAsia="宋体"/>
          <w:color w:val="auto"/>
          <w:lang w:eastAsia="zh-CN"/>
        </w:rPr>
        <w:drawing>
          <wp:inline distT="0" distB="0" distL="114300" distR="114300">
            <wp:extent cx="4489450" cy="6487160"/>
            <wp:effectExtent l="0" t="0" r="8890" b="6350"/>
            <wp:docPr id="230" name="图片 230" descr="微信图片_20250923114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30" descr="微信图片_20250923114638"/>
                    <pic:cNvPicPr>
                      <a:picLocks noChangeAspect="1"/>
                    </pic:cNvPicPr>
                  </pic:nvPicPr>
                  <pic:blipFill>
                    <a:blip r:embed="rId39"/>
                    <a:srcRect t="14723" b="19581"/>
                    <a:stretch>
                      <a:fillRect/>
                    </a:stretch>
                  </pic:blipFill>
                  <pic:spPr>
                    <a:xfrm rot="16200000">
                      <a:off x="0" y="0"/>
                      <a:ext cx="4489450" cy="6487160"/>
                    </a:xfrm>
                    <a:prstGeom prst="rect">
                      <a:avLst/>
                    </a:prstGeom>
                  </pic:spPr>
                </pic:pic>
              </a:graphicData>
            </a:graphic>
          </wp:inline>
        </w:drawing>
      </w:r>
    </w:p>
    <w:p w14:paraId="3D77B286">
      <w:pPr>
        <w:ind w:right="0"/>
        <w:jc w:val="left"/>
        <w:rPr>
          <w:rFonts w:hint="eastAsia" w:eastAsia="宋体"/>
          <w:color w:val="auto"/>
          <w:lang w:eastAsia="zh-CN"/>
        </w:rPr>
      </w:pPr>
      <w:r>
        <w:rPr>
          <w:rFonts w:hint="default" w:ascii="Times New Roman" w:hAnsi="Times New Roman" w:eastAsia="宋体" w:cs="Times New Roman"/>
          <w:color w:val="auto"/>
          <w:sz w:val="28"/>
          <w:lang w:val="en-US" w:eastAsia="zh-CN"/>
        </w:rPr>
        <w:t>附件</w:t>
      </w:r>
      <w:r>
        <w:rPr>
          <w:rFonts w:hint="eastAsia" w:ascii="Times New Roman" w:hAnsi="Times New Roman" w:cs="Times New Roman"/>
          <w:color w:val="auto"/>
          <w:sz w:val="28"/>
          <w:lang w:val="en-US" w:eastAsia="zh-CN"/>
        </w:rPr>
        <w:t>5</w:t>
      </w:r>
      <w:r>
        <w:rPr>
          <w:rFonts w:hint="default" w:ascii="Times New Roman" w:hAnsi="Times New Roman" w:cs="Times New Roman"/>
          <w:color w:val="auto"/>
          <w:sz w:val="28"/>
          <w:lang w:val="en-US" w:eastAsia="zh-CN"/>
        </w:rPr>
        <w:t>：</w:t>
      </w:r>
      <w:r>
        <w:rPr>
          <w:rFonts w:hint="eastAsia" w:eastAsia="宋体"/>
          <w:color w:val="auto"/>
          <w:lang w:eastAsia="zh-CN"/>
        </w:rPr>
        <w:drawing>
          <wp:inline distT="0" distB="0" distL="114300" distR="114300">
            <wp:extent cx="5614035" cy="7842250"/>
            <wp:effectExtent l="0" t="0" r="5715" b="6350"/>
            <wp:docPr id="231" name="图片 231" descr="应急预案备案表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descr="应急预案备案表 (2)"/>
                    <pic:cNvPicPr>
                      <a:picLocks noChangeAspect="1"/>
                    </pic:cNvPicPr>
                  </pic:nvPicPr>
                  <pic:blipFill>
                    <a:blip r:embed="rId40"/>
                    <a:stretch>
                      <a:fillRect/>
                    </a:stretch>
                  </pic:blipFill>
                  <pic:spPr>
                    <a:xfrm>
                      <a:off x="0" y="0"/>
                      <a:ext cx="5614035" cy="7842250"/>
                    </a:xfrm>
                    <a:prstGeom prst="rect">
                      <a:avLst/>
                    </a:prstGeom>
                  </pic:spPr>
                </pic:pic>
              </a:graphicData>
            </a:graphic>
          </wp:inline>
        </w:drawing>
      </w:r>
      <w:r>
        <w:rPr>
          <w:rFonts w:hint="eastAsia" w:eastAsia="宋体"/>
          <w:color w:val="auto"/>
          <w:lang w:eastAsia="zh-CN"/>
        </w:rPr>
        <w:drawing>
          <wp:inline distT="0" distB="0" distL="114300" distR="114300">
            <wp:extent cx="5615940" cy="8248015"/>
            <wp:effectExtent l="0" t="0" r="3810" b="635"/>
            <wp:docPr id="232" name="图片 232" descr="应急预案备案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232" descr="应急预案备案表"/>
                    <pic:cNvPicPr>
                      <a:picLocks noChangeAspect="1"/>
                    </pic:cNvPicPr>
                  </pic:nvPicPr>
                  <pic:blipFill>
                    <a:blip r:embed="rId41"/>
                    <a:stretch>
                      <a:fillRect/>
                    </a:stretch>
                  </pic:blipFill>
                  <pic:spPr>
                    <a:xfrm>
                      <a:off x="0" y="0"/>
                      <a:ext cx="5615940" cy="8248015"/>
                    </a:xfrm>
                    <a:prstGeom prst="rect">
                      <a:avLst/>
                    </a:prstGeom>
                  </pic:spPr>
                </pic:pic>
              </a:graphicData>
            </a:graphic>
          </wp:inline>
        </w:drawing>
      </w:r>
    </w:p>
    <w:p w14:paraId="567CB17C">
      <w:pPr>
        <w:keepNext w:val="0"/>
        <w:keepLines w:val="0"/>
        <w:pageBreakBefore/>
        <w:widowControl w:val="0"/>
        <w:kinsoku/>
        <w:wordWrap/>
        <w:overflowPunct/>
        <w:topLinePunct w:val="0"/>
        <w:autoSpaceDE w:val="0"/>
        <w:autoSpaceDN w:val="0"/>
        <w:bidi w:val="0"/>
        <w:adjustRightInd/>
        <w:snapToGrid/>
        <w:ind w:right="0"/>
        <w:jc w:val="left"/>
        <w:textAlignment w:val="auto"/>
        <w:rPr>
          <w:color w:val="auto"/>
        </w:rPr>
      </w:pPr>
      <w:r>
        <w:rPr>
          <w:rFonts w:hint="default" w:ascii="Times New Roman" w:hAnsi="Times New Roman" w:eastAsia="宋体" w:cs="Times New Roman"/>
          <w:color w:val="auto"/>
          <w:sz w:val="28"/>
          <w:lang w:val="en-US" w:eastAsia="zh-CN"/>
        </w:rPr>
        <w:t>附件</w:t>
      </w:r>
      <w:r>
        <w:rPr>
          <w:rFonts w:hint="eastAsia" w:ascii="Times New Roman" w:hAnsi="Times New Roman" w:cs="Times New Roman"/>
          <w:color w:val="auto"/>
          <w:sz w:val="28"/>
          <w:lang w:val="en-US" w:eastAsia="zh-CN"/>
        </w:rPr>
        <w:t>6</w:t>
      </w:r>
      <w:r>
        <w:rPr>
          <w:rFonts w:hint="default" w:ascii="Times New Roman" w:hAnsi="Times New Roman" w:cs="Times New Roman"/>
          <w:color w:val="auto"/>
          <w:sz w:val="28"/>
          <w:lang w:val="en-US" w:eastAsia="zh-CN"/>
        </w:rPr>
        <w:t>：</w:t>
      </w:r>
      <w:r>
        <w:rPr>
          <w:color w:val="auto"/>
        </w:rPr>
        <w:drawing>
          <wp:inline distT="0" distB="0" distL="114300" distR="114300">
            <wp:extent cx="5599430" cy="7959090"/>
            <wp:effectExtent l="0" t="0" r="1270" b="3810"/>
            <wp:docPr id="233" name="图片 233" descr="医院证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233" descr="医院证明"/>
                    <pic:cNvPicPr>
                      <a:picLocks noChangeAspect="1"/>
                    </pic:cNvPicPr>
                  </pic:nvPicPr>
                  <pic:blipFill>
                    <a:blip r:embed="rId42"/>
                    <a:stretch>
                      <a:fillRect/>
                    </a:stretch>
                  </pic:blipFill>
                  <pic:spPr>
                    <a:xfrm>
                      <a:off x="0" y="0"/>
                      <a:ext cx="5599430" cy="7959090"/>
                    </a:xfrm>
                    <a:prstGeom prst="rect">
                      <a:avLst/>
                    </a:prstGeom>
                  </pic:spPr>
                </pic:pic>
              </a:graphicData>
            </a:graphic>
          </wp:inline>
        </w:drawing>
      </w:r>
    </w:p>
    <w:p w14:paraId="3D745290">
      <w:pPr>
        <w:keepNext w:val="0"/>
        <w:keepLines w:val="0"/>
        <w:pageBreakBefore/>
        <w:widowControl w:val="0"/>
        <w:kinsoku/>
        <w:wordWrap/>
        <w:overflowPunct/>
        <w:topLinePunct w:val="0"/>
        <w:autoSpaceDE w:val="0"/>
        <w:autoSpaceDN w:val="0"/>
        <w:bidi w:val="0"/>
        <w:adjustRightInd/>
        <w:snapToGrid/>
        <w:ind w:right="0"/>
        <w:jc w:val="left"/>
        <w:textAlignment w:val="auto"/>
        <w:rPr>
          <w:rFonts w:hint="default"/>
          <w:color w:val="auto"/>
          <w:sz w:val="28"/>
          <w:lang w:val="en-US" w:eastAsia="zh-CN"/>
        </w:rPr>
        <w:sectPr>
          <w:pgSz w:w="11910" w:h="16840"/>
          <w:pgMar w:top="1701" w:right="1531" w:bottom="1701" w:left="1531" w:header="720" w:footer="1474" w:gutter="0"/>
          <w:pgBorders>
            <w:top w:val="none" w:sz="0" w:space="0"/>
            <w:left w:val="none" w:sz="0" w:space="0"/>
            <w:bottom w:val="none" w:sz="0" w:space="0"/>
            <w:right w:val="none" w:sz="0" w:space="0"/>
          </w:pgBorders>
          <w:pgNumType w:fmt="decimal"/>
          <w:cols w:space="720" w:num="1"/>
        </w:sectPr>
      </w:pPr>
      <w:r>
        <w:rPr>
          <w:rFonts w:hint="default" w:ascii="Times New Roman" w:hAnsi="Times New Roman" w:eastAsia="宋体" w:cs="Times New Roman"/>
          <w:color w:val="auto"/>
          <w:sz w:val="28"/>
          <w:lang w:val="en-US" w:eastAsia="zh-CN"/>
        </w:rPr>
        <w:t>附件</w:t>
      </w:r>
      <w:r>
        <w:rPr>
          <w:rFonts w:hint="eastAsia" w:ascii="Times New Roman" w:hAnsi="Times New Roman" w:cs="Times New Roman"/>
          <w:color w:val="auto"/>
          <w:sz w:val="28"/>
          <w:lang w:val="en-US" w:eastAsia="zh-CN"/>
        </w:rPr>
        <w:t>7</w:t>
      </w:r>
      <w:r>
        <w:rPr>
          <w:rFonts w:hint="default" w:ascii="Times New Roman" w:hAnsi="Times New Roman" w:cs="Times New Roman"/>
          <w:color w:val="auto"/>
          <w:sz w:val="28"/>
          <w:lang w:val="en-US" w:eastAsia="zh-CN"/>
        </w:rPr>
        <w:t>：</w:t>
      </w:r>
      <w:r>
        <w:rPr>
          <w:color w:val="auto"/>
        </w:rPr>
        <w:drawing>
          <wp:inline distT="0" distB="0" distL="114300" distR="114300">
            <wp:extent cx="5598795" cy="7987665"/>
            <wp:effectExtent l="0" t="0" r="1905" b="13335"/>
            <wp:docPr id="226"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41"/>
                    <pic:cNvPicPr>
                      <a:picLocks noChangeAspect="1"/>
                    </pic:cNvPicPr>
                  </pic:nvPicPr>
                  <pic:blipFill>
                    <a:blip r:embed="rId43"/>
                    <a:stretch>
                      <a:fillRect/>
                    </a:stretch>
                  </pic:blipFill>
                  <pic:spPr>
                    <a:xfrm>
                      <a:off x="0" y="0"/>
                      <a:ext cx="5598795" cy="7987665"/>
                    </a:xfrm>
                    <a:prstGeom prst="rect">
                      <a:avLst/>
                    </a:prstGeom>
                    <a:noFill/>
                    <a:ln>
                      <a:noFill/>
                    </a:ln>
                  </pic:spPr>
                </pic:pic>
              </a:graphicData>
            </a:graphic>
          </wp:inline>
        </w:drawing>
      </w:r>
      <w:r>
        <w:rPr>
          <w:color w:val="auto"/>
        </w:rPr>
        <w:drawing>
          <wp:inline distT="0" distB="0" distL="114300" distR="114300">
            <wp:extent cx="5598795" cy="7987665"/>
            <wp:effectExtent l="0" t="0" r="1905" b="13335"/>
            <wp:docPr id="22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42"/>
                    <pic:cNvPicPr>
                      <a:picLocks noChangeAspect="1"/>
                    </pic:cNvPicPr>
                  </pic:nvPicPr>
                  <pic:blipFill>
                    <a:blip r:embed="rId44"/>
                    <a:stretch>
                      <a:fillRect/>
                    </a:stretch>
                  </pic:blipFill>
                  <pic:spPr>
                    <a:xfrm>
                      <a:off x="0" y="0"/>
                      <a:ext cx="5598795" cy="7987665"/>
                    </a:xfrm>
                    <a:prstGeom prst="rect">
                      <a:avLst/>
                    </a:prstGeom>
                    <a:noFill/>
                    <a:ln>
                      <a:noFill/>
                    </a:ln>
                  </pic:spPr>
                </pic:pic>
              </a:graphicData>
            </a:graphic>
          </wp:inline>
        </w:drawing>
      </w:r>
      <w:r>
        <w:rPr>
          <w:rFonts w:hint="eastAsia" w:eastAsia="宋体"/>
          <w:color w:val="auto"/>
          <w:sz w:val="28"/>
          <w:lang w:val="en-US" w:eastAsia="zh-CN"/>
        </w:rPr>
        <w:drawing>
          <wp:inline distT="0" distB="0" distL="114300" distR="114300">
            <wp:extent cx="5487035" cy="7821930"/>
            <wp:effectExtent l="0" t="0" r="18415" b="7620"/>
            <wp:docPr id="64" name="图片 235" descr="环评报告(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35" descr="环评报告(1)_00"/>
                    <pic:cNvPicPr>
                      <a:picLocks noChangeAspect="1"/>
                    </pic:cNvPicPr>
                  </pic:nvPicPr>
                  <pic:blipFill>
                    <a:blip r:embed="rId45"/>
                    <a:stretch>
                      <a:fillRect/>
                    </a:stretch>
                  </pic:blipFill>
                  <pic:spPr>
                    <a:xfrm>
                      <a:off x="0" y="0"/>
                      <a:ext cx="5487035" cy="7821930"/>
                    </a:xfrm>
                    <a:prstGeom prst="rect">
                      <a:avLst/>
                    </a:prstGeom>
                    <a:noFill/>
                    <a:ln>
                      <a:noFill/>
                    </a:ln>
                  </pic:spPr>
                </pic:pic>
              </a:graphicData>
            </a:graphic>
          </wp:inline>
        </w:drawing>
      </w:r>
    </w:p>
    <w:p w14:paraId="7A1DE11C">
      <w:pPr>
        <w:spacing w:before="62"/>
        <w:ind w:right="4070"/>
        <w:jc w:val="both"/>
        <w:rPr>
          <w:rFonts w:hint="default" w:eastAsia="宋体"/>
          <w:color w:val="auto"/>
          <w:sz w:val="28"/>
          <w:lang w:val="en-US" w:eastAsia="zh-CN"/>
        </w:rPr>
      </w:pPr>
    </w:p>
    <w:p w14:paraId="16885164">
      <w:pPr>
        <w:spacing w:before="62"/>
        <w:ind w:right="4070"/>
        <w:jc w:val="both"/>
        <w:rPr>
          <w:rFonts w:hint="eastAsia" w:eastAsia="宋体"/>
          <w:color w:val="auto"/>
          <w:sz w:val="28"/>
          <w:lang w:val="en-US" w:eastAsia="zh-CN"/>
        </w:rPr>
      </w:pPr>
      <w:r>
        <w:rPr>
          <w:rFonts w:hint="eastAsia" w:eastAsia="宋体"/>
          <w:color w:val="auto"/>
          <w:sz w:val="28"/>
          <w:lang w:val="en-US" w:eastAsia="zh-CN"/>
        </w:rPr>
        <w:drawing>
          <wp:inline distT="0" distB="0" distL="114300" distR="114300">
            <wp:extent cx="5612765" cy="7484110"/>
            <wp:effectExtent l="0" t="0" r="6985" b="2540"/>
            <wp:docPr id="98" name="图片 7" descr="验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7" descr="验收1"/>
                    <pic:cNvPicPr>
                      <a:picLocks noChangeAspect="1"/>
                    </pic:cNvPicPr>
                  </pic:nvPicPr>
                  <pic:blipFill>
                    <a:blip r:embed="rId46"/>
                    <a:stretch>
                      <a:fillRect/>
                    </a:stretch>
                  </pic:blipFill>
                  <pic:spPr>
                    <a:xfrm>
                      <a:off x="0" y="0"/>
                      <a:ext cx="5612765" cy="7484110"/>
                    </a:xfrm>
                    <a:prstGeom prst="rect">
                      <a:avLst/>
                    </a:prstGeom>
                    <a:noFill/>
                    <a:ln>
                      <a:noFill/>
                    </a:ln>
                  </pic:spPr>
                </pic:pic>
              </a:graphicData>
            </a:graphic>
          </wp:inline>
        </w:drawing>
      </w:r>
    </w:p>
    <w:p w14:paraId="4146F3FA">
      <w:pPr>
        <w:spacing w:before="62"/>
        <w:ind w:right="4070"/>
        <w:jc w:val="both"/>
        <w:rPr>
          <w:rFonts w:hint="eastAsia" w:eastAsia="宋体"/>
          <w:color w:val="auto"/>
          <w:sz w:val="28"/>
          <w:lang w:val="en-US" w:eastAsia="zh-CN"/>
        </w:rPr>
      </w:pPr>
    </w:p>
    <w:p w14:paraId="593BCE7F">
      <w:pPr>
        <w:spacing w:before="62"/>
        <w:ind w:right="4070"/>
        <w:jc w:val="both"/>
        <w:rPr>
          <w:rFonts w:hint="eastAsia" w:eastAsia="宋体"/>
          <w:color w:val="auto"/>
          <w:sz w:val="28"/>
          <w:lang w:val="en-US" w:eastAsia="zh-CN"/>
        </w:rPr>
      </w:pPr>
      <w:r>
        <w:rPr>
          <w:rFonts w:hint="eastAsia" w:eastAsia="宋体"/>
          <w:color w:val="auto"/>
          <w:sz w:val="28"/>
          <w:lang w:val="en-US" w:eastAsia="zh-CN"/>
        </w:rPr>
        <w:drawing>
          <wp:inline distT="0" distB="0" distL="114300" distR="114300">
            <wp:extent cx="5631180" cy="7508875"/>
            <wp:effectExtent l="0" t="0" r="7620" b="15875"/>
            <wp:docPr id="99" name="图片 9" descr="验收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 descr="验收2"/>
                    <pic:cNvPicPr>
                      <a:picLocks noChangeAspect="1"/>
                    </pic:cNvPicPr>
                  </pic:nvPicPr>
                  <pic:blipFill>
                    <a:blip r:embed="rId47"/>
                    <a:stretch>
                      <a:fillRect/>
                    </a:stretch>
                  </pic:blipFill>
                  <pic:spPr>
                    <a:xfrm>
                      <a:off x="0" y="0"/>
                      <a:ext cx="5631180" cy="7508875"/>
                    </a:xfrm>
                    <a:prstGeom prst="rect">
                      <a:avLst/>
                    </a:prstGeom>
                    <a:noFill/>
                    <a:ln>
                      <a:noFill/>
                    </a:ln>
                  </pic:spPr>
                </pic:pic>
              </a:graphicData>
            </a:graphic>
          </wp:inline>
        </w:drawing>
      </w:r>
    </w:p>
    <w:p w14:paraId="399A0FB6">
      <w:pPr>
        <w:keepNext w:val="0"/>
        <w:keepLines w:val="0"/>
        <w:pageBreakBefore/>
        <w:widowControl w:val="0"/>
        <w:kinsoku/>
        <w:wordWrap/>
        <w:overflowPunct/>
        <w:topLinePunct w:val="0"/>
        <w:autoSpaceDE w:val="0"/>
        <w:autoSpaceDN w:val="0"/>
        <w:bidi w:val="0"/>
        <w:adjustRightInd/>
        <w:snapToGrid/>
        <w:spacing w:before="62"/>
        <w:ind w:right="4071"/>
        <w:jc w:val="left"/>
        <w:textAlignment w:val="auto"/>
        <w:rPr>
          <w:rFonts w:hint="default" w:ascii="Times New Roman" w:hAnsi="Times New Roman" w:cs="Times New Roman"/>
          <w:color w:val="auto"/>
          <w:sz w:val="28"/>
          <w:lang w:val="en-US" w:eastAsia="zh-CN"/>
        </w:rPr>
      </w:pPr>
      <w:r>
        <w:rPr>
          <w:rFonts w:hint="default" w:ascii="Times New Roman" w:hAnsi="Times New Roman" w:eastAsia="宋体" w:cs="Times New Roman"/>
          <w:color w:val="auto"/>
          <w:sz w:val="28"/>
          <w:lang w:val="en-US" w:eastAsia="zh-CN"/>
        </w:rPr>
        <w:t>附件</w:t>
      </w:r>
      <w:r>
        <w:rPr>
          <w:rFonts w:hint="eastAsia" w:ascii="Times New Roman" w:hAnsi="Times New Roman" w:cs="Times New Roman"/>
          <w:color w:val="auto"/>
          <w:sz w:val="28"/>
          <w:lang w:val="en-US" w:eastAsia="zh-CN"/>
        </w:rPr>
        <w:t>8</w:t>
      </w:r>
      <w:r>
        <w:rPr>
          <w:rFonts w:hint="default" w:ascii="Times New Roman" w:hAnsi="Times New Roman" w:cs="Times New Roman"/>
          <w:color w:val="auto"/>
          <w:sz w:val="28"/>
          <w:lang w:val="en-US" w:eastAsia="zh-CN"/>
        </w:rPr>
        <w:t>：</w:t>
      </w:r>
      <w:r>
        <w:rPr>
          <w:color w:val="auto"/>
        </w:rPr>
        <w:drawing>
          <wp:inline distT="0" distB="0" distL="114300" distR="114300">
            <wp:extent cx="5605780" cy="7939405"/>
            <wp:effectExtent l="0" t="0" r="13970" b="4445"/>
            <wp:docPr id="234"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43"/>
                    <pic:cNvPicPr>
                      <a:picLocks noChangeAspect="1"/>
                    </pic:cNvPicPr>
                  </pic:nvPicPr>
                  <pic:blipFill>
                    <a:blip r:embed="rId48"/>
                    <a:stretch>
                      <a:fillRect/>
                    </a:stretch>
                  </pic:blipFill>
                  <pic:spPr>
                    <a:xfrm>
                      <a:off x="0" y="0"/>
                      <a:ext cx="5605780" cy="7939405"/>
                    </a:xfrm>
                    <a:prstGeom prst="rect">
                      <a:avLst/>
                    </a:prstGeom>
                    <a:noFill/>
                    <a:ln>
                      <a:noFill/>
                    </a:ln>
                  </pic:spPr>
                </pic:pic>
              </a:graphicData>
            </a:graphic>
          </wp:inline>
        </w:drawing>
      </w:r>
      <w:r>
        <w:rPr>
          <w:color w:val="auto"/>
        </w:rPr>
        <w:drawing>
          <wp:inline distT="0" distB="0" distL="114300" distR="114300">
            <wp:extent cx="5618480" cy="8485505"/>
            <wp:effectExtent l="0" t="0" r="1270" b="10795"/>
            <wp:docPr id="235"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44"/>
                    <pic:cNvPicPr>
                      <a:picLocks noChangeAspect="1"/>
                    </pic:cNvPicPr>
                  </pic:nvPicPr>
                  <pic:blipFill>
                    <a:blip r:embed="rId49"/>
                    <a:stretch>
                      <a:fillRect/>
                    </a:stretch>
                  </pic:blipFill>
                  <pic:spPr>
                    <a:xfrm>
                      <a:off x="0" y="0"/>
                      <a:ext cx="5618480" cy="8485505"/>
                    </a:xfrm>
                    <a:prstGeom prst="rect">
                      <a:avLst/>
                    </a:prstGeom>
                    <a:noFill/>
                    <a:ln>
                      <a:noFill/>
                    </a:ln>
                  </pic:spPr>
                </pic:pic>
              </a:graphicData>
            </a:graphic>
          </wp:inline>
        </w:drawing>
      </w:r>
      <w:r>
        <w:rPr>
          <w:color w:val="auto"/>
        </w:rPr>
        <w:drawing>
          <wp:inline distT="0" distB="0" distL="114300" distR="114300">
            <wp:extent cx="5615940" cy="8700135"/>
            <wp:effectExtent l="0" t="0" r="3810" b="5715"/>
            <wp:docPr id="236"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45"/>
                    <pic:cNvPicPr>
                      <a:picLocks noChangeAspect="1"/>
                    </pic:cNvPicPr>
                  </pic:nvPicPr>
                  <pic:blipFill>
                    <a:blip r:embed="rId50"/>
                    <a:stretch>
                      <a:fillRect/>
                    </a:stretch>
                  </pic:blipFill>
                  <pic:spPr>
                    <a:xfrm>
                      <a:off x="0" y="0"/>
                      <a:ext cx="5615940" cy="8700135"/>
                    </a:xfrm>
                    <a:prstGeom prst="rect">
                      <a:avLst/>
                    </a:prstGeom>
                    <a:noFill/>
                    <a:ln>
                      <a:noFill/>
                    </a:ln>
                  </pic:spPr>
                </pic:pic>
              </a:graphicData>
            </a:graphic>
          </wp:inline>
        </w:drawing>
      </w:r>
      <w:r>
        <w:rPr>
          <w:color w:val="auto"/>
        </w:rPr>
        <w:drawing>
          <wp:inline distT="0" distB="0" distL="114300" distR="114300">
            <wp:extent cx="5615940" cy="8310245"/>
            <wp:effectExtent l="0" t="0" r="3810" b="14605"/>
            <wp:docPr id="237"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46"/>
                    <pic:cNvPicPr>
                      <a:picLocks noChangeAspect="1"/>
                    </pic:cNvPicPr>
                  </pic:nvPicPr>
                  <pic:blipFill>
                    <a:blip r:embed="rId51"/>
                    <a:stretch>
                      <a:fillRect/>
                    </a:stretch>
                  </pic:blipFill>
                  <pic:spPr>
                    <a:xfrm>
                      <a:off x="0" y="0"/>
                      <a:ext cx="5615940" cy="8310245"/>
                    </a:xfrm>
                    <a:prstGeom prst="rect">
                      <a:avLst/>
                    </a:prstGeom>
                    <a:noFill/>
                    <a:ln>
                      <a:noFill/>
                    </a:ln>
                  </pic:spPr>
                </pic:pic>
              </a:graphicData>
            </a:graphic>
          </wp:inline>
        </w:drawing>
      </w:r>
      <w:r>
        <w:rPr>
          <w:color w:val="auto"/>
        </w:rPr>
        <w:drawing>
          <wp:inline distT="0" distB="0" distL="114300" distR="114300">
            <wp:extent cx="5615940" cy="8680450"/>
            <wp:effectExtent l="0" t="0" r="3810" b="6350"/>
            <wp:docPr id="23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47"/>
                    <pic:cNvPicPr>
                      <a:picLocks noChangeAspect="1"/>
                    </pic:cNvPicPr>
                  </pic:nvPicPr>
                  <pic:blipFill>
                    <a:blip r:embed="rId52"/>
                    <a:stretch>
                      <a:fillRect/>
                    </a:stretch>
                  </pic:blipFill>
                  <pic:spPr>
                    <a:xfrm>
                      <a:off x="0" y="0"/>
                      <a:ext cx="5615940" cy="8680450"/>
                    </a:xfrm>
                    <a:prstGeom prst="rect">
                      <a:avLst/>
                    </a:prstGeom>
                    <a:noFill/>
                    <a:ln>
                      <a:noFill/>
                    </a:ln>
                  </pic:spPr>
                </pic:pic>
              </a:graphicData>
            </a:graphic>
          </wp:inline>
        </w:drawing>
      </w:r>
      <w:r>
        <w:rPr>
          <w:color w:val="auto"/>
        </w:rPr>
        <w:drawing>
          <wp:inline distT="0" distB="0" distL="114300" distR="114300">
            <wp:extent cx="5611495" cy="8310245"/>
            <wp:effectExtent l="0" t="0" r="8255" b="14605"/>
            <wp:docPr id="23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48"/>
                    <pic:cNvPicPr>
                      <a:picLocks noChangeAspect="1"/>
                    </pic:cNvPicPr>
                  </pic:nvPicPr>
                  <pic:blipFill>
                    <a:blip r:embed="rId53"/>
                    <a:stretch>
                      <a:fillRect/>
                    </a:stretch>
                  </pic:blipFill>
                  <pic:spPr>
                    <a:xfrm>
                      <a:off x="0" y="0"/>
                      <a:ext cx="5611495" cy="8310245"/>
                    </a:xfrm>
                    <a:prstGeom prst="rect">
                      <a:avLst/>
                    </a:prstGeom>
                    <a:noFill/>
                    <a:ln>
                      <a:noFill/>
                    </a:ln>
                  </pic:spPr>
                </pic:pic>
              </a:graphicData>
            </a:graphic>
          </wp:inline>
        </w:drawing>
      </w:r>
      <w:r>
        <w:rPr>
          <w:color w:val="auto"/>
        </w:rPr>
        <w:drawing>
          <wp:inline distT="0" distB="0" distL="114300" distR="114300">
            <wp:extent cx="5617210" cy="7705090"/>
            <wp:effectExtent l="0" t="0" r="2540" b="10160"/>
            <wp:docPr id="24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49"/>
                    <pic:cNvPicPr>
                      <a:picLocks noChangeAspect="1"/>
                    </pic:cNvPicPr>
                  </pic:nvPicPr>
                  <pic:blipFill>
                    <a:blip r:embed="rId54"/>
                    <a:stretch>
                      <a:fillRect/>
                    </a:stretch>
                  </pic:blipFill>
                  <pic:spPr>
                    <a:xfrm>
                      <a:off x="0" y="0"/>
                      <a:ext cx="5617210" cy="7705090"/>
                    </a:xfrm>
                    <a:prstGeom prst="rect">
                      <a:avLst/>
                    </a:prstGeom>
                    <a:noFill/>
                    <a:ln>
                      <a:noFill/>
                    </a:ln>
                  </pic:spPr>
                </pic:pic>
              </a:graphicData>
            </a:graphic>
          </wp:inline>
        </w:drawing>
      </w:r>
      <w:r>
        <w:rPr>
          <w:color w:val="auto"/>
        </w:rPr>
        <w:drawing>
          <wp:inline distT="0" distB="0" distL="114300" distR="114300">
            <wp:extent cx="5605145" cy="7334885"/>
            <wp:effectExtent l="0" t="0" r="14605" b="18415"/>
            <wp:docPr id="241"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50"/>
                    <pic:cNvPicPr>
                      <a:picLocks noChangeAspect="1"/>
                    </pic:cNvPicPr>
                  </pic:nvPicPr>
                  <pic:blipFill>
                    <a:blip r:embed="rId55"/>
                    <a:stretch>
                      <a:fillRect/>
                    </a:stretch>
                  </pic:blipFill>
                  <pic:spPr>
                    <a:xfrm>
                      <a:off x="0" y="0"/>
                      <a:ext cx="5605145" cy="7334885"/>
                    </a:xfrm>
                    <a:prstGeom prst="rect">
                      <a:avLst/>
                    </a:prstGeom>
                    <a:noFill/>
                    <a:ln>
                      <a:noFill/>
                    </a:ln>
                  </pic:spPr>
                </pic:pic>
              </a:graphicData>
            </a:graphic>
          </wp:inline>
        </w:drawing>
      </w:r>
      <w:r>
        <w:rPr>
          <w:color w:val="auto"/>
        </w:rPr>
        <w:drawing>
          <wp:inline distT="0" distB="0" distL="114300" distR="114300">
            <wp:extent cx="5617845" cy="7451725"/>
            <wp:effectExtent l="0" t="0" r="1905" b="15875"/>
            <wp:docPr id="242"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51"/>
                    <pic:cNvPicPr>
                      <a:picLocks noChangeAspect="1"/>
                    </pic:cNvPicPr>
                  </pic:nvPicPr>
                  <pic:blipFill>
                    <a:blip r:embed="rId56"/>
                    <a:stretch>
                      <a:fillRect/>
                    </a:stretch>
                  </pic:blipFill>
                  <pic:spPr>
                    <a:xfrm>
                      <a:off x="0" y="0"/>
                      <a:ext cx="5617845" cy="7451725"/>
                    </a:xfrm>
                    <a:prstGeom prst="rect">
                      <a:avLst/>
                    </a:prstGeom>
                    <a:noFill/>
                    <a:ln>
                      <a:noFill/>
                    </a:ln>
                  </pic:spPr>
                </pic:pic>
              </a:graphicData>
            </a:graphic>
          </wp:inline>
        </w:drawing>
      </w:r>
      <w:r>
        <w:rPr>
          <w:color w:val="auto"/>
        </w:rPr>
        <w:drawing>
          <wp:inline distT="0" distB="0" distL="114300" distR="114300">
            <wp:extent cx="5173345" cy="8422640"/>
            <wp:effectExtent l="0" t="0" r="8255" b="16510"/>
            <wp:docPr id="243"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52"/>
                    <pic:cNvPicPr>
                      <a:picLocks noChangeAspect="1"/>
                    </pic:cNvPicPr>
                  </pic:nvPicPr>
                  <pic:blipFill>
                    <a:blip r:embed="rId57"/>
                    <a:stretch>
                      <a:fillRect/>
                    </a:stretch>
                  </pic:blipFill>
                  <pic:spPr>
                    <a:xfrm>
                      <a:off x="0" y="0"/>
                      <a:ext cx="5173345" cy="8422640"/>
                    </a:xfrm>
                    <a:prstGeom prst="rect">
                      <a:avLst/>
                    </a:prstGeom>
                    <a:noFill/>
                    <a:ln>
                      <a:noFill/>
                    </a:ln>
                  </pic:spPr>
                </pic:pic>
              </a:graphicData>
            </a:graphic>
          </wp:inline>
        </w:drawing>
      </w:r>
      <w:r>
        <w:rPr>
          <w:color w:val="auto"/>
        </w:rPr>
        <w:drawing>
          <wp:inline distT="0" distB="0" distL="114300" distR="114300">
            <wp:extent cx="5614670" cy="7764145"/>
            <wp:effectExtent l="0" t="0" r="5080" b="8255"/>
            <wp:docPr id="244"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53"/>
                    <pic:cNvPicPr>
                      <a:picLocks noChangeAspect="1"/>
                    </pic:cNvPicPr>
                  </pic:nvPicPr>
                  <pic:blipFill>
                    <a:blip r:embed="rId58"/>
                    <a:stretch>
                      <a:fillRect/>
                    </a:stretch>
                  </pic:blipFill>
                  <pic:spPr>
                    <a:xfrm>
                      <a:off x="0" y="0"/>
                      <a:ext cx="5614670" cy="7764145"/>
                    </a:xfrm>
                    <a:prstGeom prst="rect">
                      <a:avLst/>
                    </a:prstGeom>
                    <a:noFill/>
                    <a:ln>
                      <a:noFill/>
                    </a:ln>
                  </pic:spPr>
                </pic:pic>
              </a:graphicData>
            </a:graphic>
          </wp:inline>
        </w:drawing>
      </w:r>
      <w:r>
        <w:rPr>
          <w:color w:val="auto"/>
        </w:rPr>
        <w:drawing>
          <wp:inline distT="0" distB="0" distL="114300" distR="114300">
            <wp:extent cx="5615305" cy="7524750"/>
            <wp:effectExtent l="0" t="0" r="4445" b="0"/>
            <wp:docPr id="245"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54"/>
                    <pic:cNvPicPr>
                      <a:picLocks noChangeAspect="1"/>
                    </pic:cNvPicPr>
                  </pic:nvPicPr>
                  <pic:blipFill>
                    <a:blip r:embed="rId59"/>
                    <a:stretch>
                      <a:fillRect/>
                    </a:stretch>
                  </pic:blipFill>
                  <pic:spPr>
                    <a:xfrm>
                      <a:off x="0" y="0"/>
                      <a:ext cx="5615305" cy="7524750"/>
                    </a:xfrm>
                    <a:prstGeom prst="rect">
                      <a:avLst/>
                    </a:prstGeom>
                    <a:noFill/>
                    <a:ln>
                      <a:noFill/>
                    </a:ln>
                  </pic:spPr>
                </pic:pic>
              </a:graphicData>
            </a:graphic>
          </wp:inline>
        </w:drawing>
      </w:r>
      <w:r>
        <w:rPr>
          <w:color w:val="auto"/>
        </w:rPr>
        <w:drawing>
          <wp:inline distT="0" distB="0" distL="114300" distR="114300">
            <wp:extent cx="5607685" cy="8065770"/>
            <wp:effectExtent l="0" t="0" r="12065" b="11430"/>
            <wp:docPr id="246"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55"/>
                    <pic:cNvPicPr>
                      <a:picLocks noChangeAspect="1"/>
                    </pic:cNvPicPr>
                  </pic:nvPicPr>
                  <pic:blipFill>
                    <a:blip r:embed="rId60"/>
                    <a:stretch>
                      <a:fillRect/>
                    </a:stretch>
                  </pic:blipFill>
                  <pic:spPr>
                    <a:xfrm>
                      <a:off x="0" y="0"/>
                      <a:ext cx="5607685" cy="8065770"/>
                    </a:xfrm>
                    <a:prstGeom prst="rect">
                      <a:avLst/>
                    </a:prstGeom>
                    <a:noFill/>
                    <a:ln>
                      <a:noFill/>
                    </a:ln>
                  </pic:spPr>
                </pic:pic>
              </a:graphicData>
            </a:graphic>
          </wp:inline>
        </w:drawing>
      </w:r>
      <w:r>
        <w:rPr>
          <w:color w:val="auto"/>
        </w:rPr>
        <w:drawing>
          <wp:inline distT="0" distB="0" distL="114300" distR="114300">
            <wp:extent cx="5600700" cy="7864475"/>
            <wp:effectExtent l="0" t="0" r="0" b="3175"/>
            <wp:docPr id="247"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56"/>
                    <pic:cNvPicPr>
                      <a:picLocks noChangeAspect="1"/>
                    </pic:cNvPicPr>
                  </pic:nvPicPr>
                  <pic:blipFill>
                    <a:blip r:embed="rId61"/>
                    <a:stretch>
                      <a:fillRect/>
                    </a:stretch>
                  </pic:blipFill>
                  <pic:spPr>
                    <a:xfrm>
                      <a:off x="0" y="0"/>
                      <a:ext cx="5600700" cy="7864475"/>
                    </a:xfrm>
                    <a:prstGeom prst="rect">
                      <a:avLst/>
                    </a:prstGeom>
                    <a:noFill/>
                    <a:ln>
                      <a:noFill/>
                    </a:ln>
                  </pic:spPr>
                </pic:pic>
              </a:graphicData>
            </a:graphic>
          </wp:inline>
        </w:drawing>
      </w:r>
      <w:r>
        <w:rPr>
          <w:color w:val="auto"/>
        </w:rPr>
        <w:drawing>
          <wp:inline distT="0" distB="0" distL="114300" distR="114300">
            <wp:extent cx="5598795" cy="8097520"/>
            <wp:effectExtent l="0" t="0" r="1905" b="17780"/>
            <wp:docPr id="248"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57"/>
                    <pic:cNvPicPr>
                      <a:picLocks noChangeAspect="1"/>
                    </pic:cNvPicPr>
                  </pic:nvPicPr>
                  <pic:blipFill>
                    <a:blip r:embed="rId62"/>
                    <a:stretch>
                      <a:fillRect/>
                    </a:stretch>
                  </pic:blipFill>
                  <pic:spPr>
                    <a:xfrm>
                      <a:off x="0" y="0"/>
                      <a:ext cx="5598795" cy="8097520"/>
                    </a:xfrm>
                    <a:prstGeom prst="rect">
                      <a:avLst/>
                    </a:prstGeom>
                    <a:noFill/>
                    <a:ln>
                      <a:noFill/>
                    </a:ln>
                  </pic:spPr>
                </pic:pic>
              </a:graphicData>
            </a:graphic>
          </wp:inline>
        </w:drawing>
      </w:r>
      <w:r>
        <w:rPr>
          <w:color w:val="auto"/>
        </w:rPr>
        <w:drawing>
          <wp:inline distT="0" distB="0" distL="114300" distR="114300">
            <wp:extent cx="5614670" cy="7570470"/>
            <wp:effectExtent l="0" t="0" r="5080" b="11430"/>
            <wp:docPr id="249"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58"/>
                    <pic:cNvPicPr>
                      <a:picLocks noChangeAspect="1"/>
                    </pic:cNvPicPr>
                  </pic:nvPicPr>
                  <pic:blipFill>
                    <a:blip r:embed="rId63"/>
                    <a:stretch>
                      <a:fillRect/>
                    </a:stretch>
                  </pic:blipFill>
                  <pic:spPr>
                    <a:xfrm>
                      <a:off x="0" y="0"/>
                      <a:ext cx="5614670" cy="7570470"/>
                    </a:xfrm>
                    <a:prstGeom prst="rect">
                      <a:avLst/>
                    </a:prstGeom>
                    <a:noFill/>
                    <a:ln>
                      <a:noFill/>
                    </a:ln>
                  </pic:spPr>
                </pic:pic>
              </a:graphicData>
            </a:graphic>
          </wp:inline>
        </w:drawing>
      </w:r>
      <w:r>
        <w:rPr>
          <w:color w:val="auto"/>
        </w:rPr>
        <w:drawing>
          <wp:inline distT="0" distB="0" distL="114300" distR="114300">
            <wp:extent cx="5612765" cy="8682355"/>
            <wp:effectExtent l="0" t="0" r="6985" b="4445"/>
            <wp:docPr id="250"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59"/>
                    <pic:cNvPicPr>
                      <a:picLocks noChangeAspect="1"/>
                    </pic:cNvPicPr>
                  </pic:nvPicPr>
                  <pic:blipFill>
                    <a:blip r:embed="rId64"/>
                    <a:stretch>
                      <a:fillRect/>
                    </a:stretch>
                  </pic:blipFill>
                  <pic:spPr>
                    <a:xfrm>
                      <a:off x="0" y="0"/>
                      <a:ext cx="5612765" cy="8682355"/>
                    </a:xfrm>
                    <a:prstGeom prst="rect">
                      <a:avLst/>
                    </a:prstGeom>
                    <a:noFill/>
                    <a:ln>
                      <a:noFill/>
                    </a:ln>
                  </pic:spPr>
                </pic:pic>
              </a:graphicData>
            </a:graphic>
          </wp:inline>
        </w:drawing>
      </w:r>
      <w:r>
        <w:rPr>
          <w:color w:val="auto"/>
        </w:rPr>
        <w:drawing>
          <wp:inline distT="0" distB="0" distL="114300" distR="114300">
            <wp:extent cx="5610225" cy="7544435"/>
            <wp:effectExtent l="0" t="0" r="9525" b="18415"/>
            <wp:docPr id="251"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60"/>
                    <pic:cNvPicPr>
                      <a:picLocks noChangeAspect="1"/>
                    </pic:cNvPicPr>
                  </pic:nvPicPr>
                  <pic:blipFill>
                    <a:blip r:embed="rId65"/>
                    <a:stretch>
                      <a:fillRect/>
                    </a:stretch>
                  </pic:blipFill>
                  <pic:spPr>
                    <a:xfrm>
                      <a:off x="0" y="0"/>
                      <a:ext cx="5610225" cy="7544435"/>
                    </a:xfrm>
                    <a:prstGeom prst="rect">
                      <a:avLst/>
                    </a:prstGeom>
                    <a:noFill/>
                    <a:ln>
                      <a:noFill/>
                    </a:ln>
                  </pic:spPr>
                </pic:pic>
              </a:graphicData>
            </a:graphic>
          </wp:inline>
        </w:drawing>
      </w:r>
      <w:r>
        <w:rPr>
          <w:color w:val="auto"/>
        </w:rPr>
        <w:drawing>
          <wp:inline distT="0" distB="0" distL="114300" distR="114300">
            <wp:extent cx="5201920" cy="8318500"/>
            <wp:effectExtent l="0" t="0" r="17780" b="6350"/>
            <wp:docPr id="252"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61"/>
                    <pic:cNvPicPr>
                      <a:picLocks noChangeAspect="1"/>
                    </pic:cNvPicPr>
                  </pic:nvPicPr>
                  <pic:blipFill>
                    <a:blip r:embed="rId66"/>
                    <a:srcRect t="3843" b="5688"/>
                    <a:stretch>
                      <a:fillRect/>
                    </a:stretch>
                  </pic:blipFill>
                  <pic:spPr>
                    <a:xfrm>
                      <a:off x="0" y="0"/>
                      <a:ext cx="5201920" cy="8318500"/>
                    </a:xfrm>
                    <a:prstGeom prst="rect">
                      <a:avLst/>
                    </a:prstGeom>
                    <a:noFill/>
                    <a:ln>
                      <a:noFill/>
                    </a:ln>
                  </pic:spPr>
                </pic:pic>
              </a:graphicData>
            </a:graphic>
          </wp:inline>
        </w:drawing>
      </w:r>
      <w:r>
        <w:rPr>
          <w:color w:val="auto"/>
        </w:rPr>
        <w:drawing>
          <wp:inline distT="0" distB="0" distL="114300" distR="114300">
            <wp:extent cx="5612765" cy="7552055"/>
            <wp:effectExtent l="0" t="0" r="6985" b="10795"/>
            <wp:docPr id="254"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63"/>
                    <pic:cNvPicPr>
                      <a:picLocks noChangeAspect="1"/>
                    </pic:cNvPicPr>
                  </pic:nvPicPr>
                  <pic:blipFill>
                    <a:blip r:embed="rId67"/>
                    <a:stretch>
                      <a:fillRect/>
                    </a:stretch>
                  </pic:blipFill>
                  <pic:spPr>
                    <a:xfrm>
                      <a:off x="0" y="0"/>
                      <a:ext cx="5612765" cy="7552055"/>
                    </a:xfrm>
                    <a:prstGeom prst="rect">
                      <a:avLst/>
                    </a:prstGeom>
                    <a:noFill/>
                    <a:ln>
                      <a:noFill/>
                    </a:ln>
                  </pic:spPr>
                </pic:pic>
              </a:graphicData>
            </a:graphic>
          </wp:inline>
        </w:drawing>
      </w:r>
      <w:r>
        <w:rPr>
          <w:color w:val="auto"/>
        </w:rPr>
        <w:drawing>
          <wp:inline distT="0" distB="0" distL="114300" distR="114300">
            <wp:extent cx="5600700" cy="8267700"/>
            <wp:effectExtent l="0" t="0" r="0" b="0"/>
            <wp:docPr id="255"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64"/>
                    <pic:cNvPicPr>
                      <a:picLocks noChangeAspect="1"/>
                    </pic:cNvPicPr>
                  </pic:nvPicPr>
                  <pic:blipFill>
                    <a:blip r:embed="rId68"/>
                    <a:stretch>
                      <a:fillRect/>
                    </a:stretch>
                  </pic:blipFill>
                  <pic:spPr>
                    <a:xfrm>
                      <a:off x="0" y="0"/>
                      <a:ext cx="5600700" cy="8267700"/>
                    </a:xfrm>
                    <a:prstGeom prst="rect">
                      <a:avLst/>
                    </a:prstGeom>
                    <a:noFill/>
                    <a:ln>
                      <a:noFill/>
                    </a:ln>
                  </pic:spPr>
                </pic:pic>
              </a:graphicData>
            </a:graphic>
          </wp:inline>
        </w:drawing>
      </w:r>
    </w:p>
    <w:p w14:paraId="4DB7CB98">
      <w:pPr>
        <w:keepNext w:val="0"/>
        <w:keepLines w:val="0"/>
        <w:pageBreakBefore/>
        <w:widowControl w:val="0"/>
        <w:kinsoku/>
        <w:wordWrap/>
        <w:overflowPunct/>
        <w:topLinePunct w:val="0"/>
        <w:autoSpaceDE w:val="0"/>
        <w:autoSpaceDN w:val="0"/>
        <w:bidi w:val="0"/>
        <w:adjustRightInd/>
        <w:snapToGrid/>
        <w:ind w:right="0"/>
        <w:jc w:val="left"/>
        <w:textAlignment w:val="auto"/>
        <w:rPr>
          <w:color w:val="auto"/>
        </w:rPr>
      </w:pPr>
      <w:r>
        <w:rPr>
          <w:rFonts w:hint="default" w:ascii="Times New Roman" w:hAnsi="Times New Roman" w:eastAsia="宋体" w:cs="Times New Roman"/>
          <w:color w:val="auto"/>
          <w:sz w:val="28"/>
          <w:lang w:val="en-US" w:eastAsia="zh-CN"/>
        </w:rPr>
        <w:t>附件</w:t>
      </w:r>
      <w:r>
        <w:rPr>
          <w:rFonts w:hint="eastAsia" w:ascii="Times New Roman" w:hAnsi="Times New Roman" w:cs="Times New Roman"/>
          <w:color w:val="auto"/>
          <w:sz w:val="28"/>
          <w:lang w:val="en-US" w:eastAsia="zh-CN"/>
        </w:rPr>
        <w:t>9</w:t>
      </w:r>
      <w:r>
        <w:rPr>
          <w:rFonts w:hint="default" w:ascii="Times New Roman" w:hAnsi="Times New Roman" w:cs="Times New Roman"/>
          <w:color w:val="auto"/>
          <w:sz w:val="28"/>
          <w:lang w:val="en-US" w:eastAsia="zh-CN"/>
        </w:rPr>
        <w:t>：</w:t>
      </w:r>
      <w:r>
        <w:rPr>
          <w:color w:val="auto"/>
        </w:rPr>
        <w:drawing>
          <wp:inline distT="0" distB="0" distL="114300" distR="114300">
            <wp:extent cx="5593080" cy="7913370"/>
            <wp:effectExtent l="0" t="0" r="7620" b="11430"/>
            <wp:docPr id="1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
                    <pic:cNvPicPr>
                      <a:picLocks noChangeAspect="1"/>
                    </pic:cNvPicPr>
                  </pic:nvPicPr>
                  <pic:blipFill>
                    <a:blip r:embed="rId69"/>
                    <a:stretch>
                      <a:fillRect/>
                    </a:stretch>
                  </pic:blipFill>
                  <pic:spPr>
                    <a:xfrm>
                      <a:off x="0" y="0"/>
                      <a:ext cx="5593080" cy="7913370"/>
                    </a:xfrm>
                    <a:prstGeom prst="rect">
                      <a:avLst/>
                    </a:prstGeom>
                    <a:noFill/>
                    <a:ln>
                      <a:noFill/>
                    </a:ln>
                  </pic:spPr>
                </pic:pic>
              </a:graphicData>
            </a:graphic>
          </wp:inline>
        </w:drawing>
      </w:r>
      <w:r>
        <w:rPr>
          <w:color w:val="auto"/>
        </w:rPr>
        <w:drawing>
          <wp:inline distT="0" distB="0" distL="114300" distR="114300">
            <wp:extent cx="5619115" cy="7951470"/>
            <wp:effectExtent l="0" t="0" r="635" b="11430"/>
            <wp:docPr id="1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2"/>
                    <pic:cNvPicPr>
                      <a:picLocks noChangeAspect="1"/>
                    </pic:cNvPicPr>
                  </pic:nvPicPr>
                  <pic:blipFill>
                    <a:blip r:embed="rId70"/>
                    <a:stretch>
                      <a:fillRect/>
                    </a:stretch>
                  </pic:blipFill>
                  <pic:spPr>
                    <a:xfrm>
                      <a:off x="0" y="0"/>
                      <a:ext cx="5619115" cy="7951470"/>
                    </a:xfrm>
                    <a:prstGeom prst="rect">
                      <a:avLst/>
                    </a:prstGeom>
                    <a:noFill/>
                    <a:ln>
                      <a:noFill/>
                    </a:ln>
                  </pic:spPr>
                </pic:pic>
              </a:graphicData>
            </a:graphic>
          </wp:inline>
        </w:drawing>
      </w:r>
      <w:r>
        <w:rPr>
          <w:color w:val="auto"/>
        </w:rPr>
        <w:drawing>
          <wp:inline distT="0" distB="0" distL="114300" distR="114300">
            <wp:extent cx="5632450" cy="7969885"/>
            <wp:effectExtent l="0" t="0" r="6350" b="12065"/>
            <wp:docPr id="1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3"/>
                    <pic:cNvPicPr>
                      <a:picLocks noChangeAspect="1"/>
                    </pic:cNvPicPr>
                  </pic:nvPicPr>
                  <pic:blipFill>
                    <a:blip r:embed="rId71"/>
                    <a:stretch>
                      <a:fillRect/>
                    </a:stretch>
                  </pic:blipFill>
                  <pic:spPr>
                    <a:xfrm>
                      <a:off x="0" y="0"/>
                      <a:ext cx="5632450" cy="7969885"/>
                    </a:xfrm>
                    <a:prstGeom prst="rect">
                      <a:avLst/>
                    </a:prstGeom>
                    <a:noFill/>
                    <a:ln>
                      <a:noFill/>
                    </a:ln>
                  </pic:spPr>
                </pic:pic>
              </a:graphicData>
            </a:graphic>
          </wp:inline>
        </w:drawing>
      </w:r>
      <w:r>
        <w:rPr>
          <w:color w:val="auto"/>
        </w:rPr>
        <w:drawing>
          <wp:inline distT="0" distB="0" distL="114300" distR="114300">
            <wp:extent cx="5660390" cy="8008620"/>
            <wp:effectExtent l="0" t="0" r="16510" b="11430"/>
            <wp:docPr id="13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4"/>
                    <pic:cNvPicPr>
                      <a:picLocks noChangeAspect="1"/>
                    </pic:cNvPicPr>
                  </pic:nvPicPr>
                  <pic:blipFill>
                    <a:blip r:embed="rId72"/>
                    <a:stretch>
                      <a:fillRect/>
                    </a:stretch>
                  </pic:blipFill>
                  <pic:spPr>
                    <a:xfrm>
                      <a:off x="0" y="0"/>
                      <a:ext cx="5660390" cy="8008620"/>
                    </a:xfrm>
                    <a:prstGeom prst="rect">
                      <a:avLst/>
                    </a:prstGeom>
                    <a:noFill/>
                    <a:ln>
                      <a:noFill/>
                    </a:ln>
                  </pic:spPr>
                </pic:pic>
              </a:graphicData>
            </a:graphic>
          </wp:inline>
        </w:drawing>
      </w:r>
      <w:r>
        <w:rPr>
          <w:color w:val="auto"/>
        </w:rPr>
        <w:drawing>
          <wp:inline distT="0" distB="0" distL="114300" distR="114300">
            <wp:extent cx="5471160" cy="7741285"/>
            <wp:effectExtent l="0" t="0" r="15240" b="12065"/>
            <wp:docPr id="13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5"/>
                    <pic:cNvPicPr>
                      <a:picLocks noChangeAspect="1"/>
                    </pic:cNvPicPr>
                  </pic:nvPicPr>
                  <pic:blipFill>
                    <a:blip r:embed="rId73"/>
                    <a:stretch>
                      <a:fillRect/>
                    </a:stretch>
                  </pic:blipFill>
                  <pic:spPr>
                    <a:xfrm>
                      <a:off x="0" y="0"/>
                      <a:ext cx="5471160" cy="7741285"/>
                    </a:xfrm>
                    <a:prstGeom prst="rect">
                      <a:avLst/>
                    </a:prstGeom>
                    <a:noFill/>
                    <a:ln>
                      <a:noFill/>
                    </a:ln>
                  </pic:spPr>
                </pic:pic>
              </a:graphicData>
            </a:graphic>
          </wp:inline>
        </w:drawing>
      </w:r>
      <w:r>
        <w:rPr>
          <w:color w:val="auto"/>
        </w:rPr>
        <w:drawing>
          <wp:inline distT="0" distB="0" distL="114300" distR="114300">
            <wp:extent cx="5627370" cy="7962265"/>
            <wp:effectExtent l="0" t="0" r="11430" b="635"/>
            <wp:docPr id="1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6"/>
                    <pic:cNvPicPr>
                      <a:picLocks noChangeAspect="1"/>
                    </pic:cNvPicPr>
                  </pic:nvPicPr>
                  <pic:blipFill>
                    <a:blip r:embed="rId74"/>
                    <a:stretch>
                      <a:fillRect/>
                    </a:stretch>
                  </pic:blipFill>
                  <pic:spPr>
                    <a:xfrm>
                      <a:off x="0" y="0"/>
                      <a:ext cx="5627370" cy="7962265"/>
                    </a:xfrm>
                    <a:prstGeom prst="rect">
                      <a:avLst/>
                    </a:prstGeom>
                    <a:noFill/>
                    <a:ln>
                      <a:noFill/>
                    </a:ln>
                  </pic:spPr>
                </pic:pic>
              </a:graphicData>
            </a:graphic>
          </wp:inline>
        </w:drawing>
      </w:r>
      <w:r>
        <w:rPr>
          <w:color w:val="auto"/>
        </w:rPr>
        <w:drawing>
          <wp:inline distT="0" distB="0" distL="114300" distR="114300">
            <wp:extent cx="5539105" cy="7837170"/>
            <wp:effectExtent l="0" t="0" r="4445" b="11430"/>
            <wp:docPr id="13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7"/>
                    <pic:cNvPicPr>
                      <a:picLocks noChangeAspect="1"/>
                    </pic:cNvPicPr>
                  </pic:nvPicPr>
                  <pic:blipFill>
                    <a:blip r:embed="rId75"/>
                    <a:stretch>
                      <a:fillRect/>
                    </a:stretch>
                  </pic:blipFill>
                  <pic:spPr>
                    <a:xfrm>
                      <a:off x="0" y="0"/>
                      <a:ext cx="5539105" cy="7837170"/>
                    </a:xfrm>
                    <a:prstGeom prst="rect">
                      <a:avLst/>
                    </a:prstGeom>
                    <a:noFill/>
                    <a:ln>
                      <a:noFill/>
                    </a:ln>
                  </pic:spPr>
                </pic:pic>
              </a:graphicData>
            </a:graphic>
          </wp:inline>
        </w:drawing>
      </w:r>
      <w:r>
        <w:rPr>
          <w:color w:val="auto"/>
        </w:rPr>
        <w:drawing>
          <wp:inline distT="0" distB="0" distL="114300" distR="114300">
            <wp:extent cx="5579110" cy="7893685"/>
            <wp:effectExtent l="0" t="0" r="2540" b="12065"/>
            <wp:docPr id="13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8"/>
                    <pic:cNvPicPr>
                      <a:picLocks noChangeAspect="1"/>
                    </pic:cNvPicPr>
                  </pic:nvPicPr>
                  <pic:blipFill>
                    <a:blip r:embed="rId76"/>
                    <a:stretch>
                      <a:fillRect/>
                    </a:stretch>
                  </pic:blipFill>
                  <pic:spPr>
                    <a:xfrm>
                      <a:off x="0" y="0"/>
                      <a:ext cx="5579110" cy="7893685"/>
                    </a:xfrm>
                    <a:prstGeom prst="rect">
                      <a:avLst/>
                    </a:prstGeom>
                    <a:noFill/>
                    <a:ln>
                      <a:noFill/>
                    </a:ln>
                  </pic:spPr>
                </pic:pic>
              </a:graphicData>
            </a:graphic>
          </wp:inline>
        </w:drawing>
      </w:r>
      <w:r>
        <w:rPr>
          <w:color w:val="auto"/>
        </w:rPr>
        <w:drawing>
          <wp:inline distT="0" distB="0" distL="114300" distR="114300">
            <wp:extent cx="5606415" cy="7932420"/>
            <wp:effectExtent l="0" t="0" r="13335" b="11430"/>
            <wp:docPr id="14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9"/>
                    <pic:cNvPicPr>
                      <a:picLocks noChangeAspect="1"/>
                    </pic:cNvPicPr>
                  </pic:nvPicPr>
                  <pic:blipFill>
                    <a:blip r:embed="rId77"/>
                    <a:stretch>
                      <a:fillRect/>
                    </a:stretch>
                  </pic:blipFill>
                  <pic:spPr>
                    <a:xfrm>
                      <a:off x="0" y="0"/>
                      <a:ext cx="5606415" cy="7932420"/>
                    </a:xfrm>
                    <a:prstGeom prst="rect">
                      <a:avLst/>
                    </a:prstGeom>
                    <a:noFill/>
                    <a:ln>
                      <a:noFill/>
                    </a:ln>
                  </pic:spPr>
                </pic:pic>
              </a:graphicData>
            </a:graphic>
          </wp:inline>
        </w:drawing>
      </w:r>
      <w:r>
        <w:rPr>
          <w:color w:val="auto"/>
        </w:rPr>
        <w:drawing>
          <wp:inline distT="0" distB="0" distL="114300" distR="114300">
            <wp:extent cx="5591810" cy="7912735"/>
            <wp:effectExtent l="0" t="0" r="8890" b="12065"/>
            <wp:docPr id="14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0"/>
                    <pic:cNvPicPr>
                      <a:picLocks noChangeAspect="1"/>
                    </pic:cNvPicPr>
                  </pic:nvPicPr>
                  <pic:blipFill>
                    <a:blip r:embed="rId78"/>
                    <a:stretch>
                      <a:fillRect/>
                    </a:stretch>
                  </pic:blipFill>
                  <pic:spPr>
                    <a:xfrm>
                      <a:off x="0" y="0"/>
                      <a:ext cx="5591810" cy="7912735"/>
                    </a:xfrm>
                    <a:prstGeom prst="rect">
                      <a:avLst/>
                    </a:prstGeom>
                    <a:noFill/>
                    <a:ln>
                      <a:noFill/>
                    </a:ln>
                  </pic:spPr>
                </pic:pic>
              </a:graphicData>
            </a:graphic>
          </wp:inline>
        </w:drawing>
      </w:r>
      <w:r>
        <w:rPr>
          <w:color w:val="auto"/>
        </w:rPr>
        <w:drawing>
          <wp:inline distT="0" distB="0" distL="114300" distR="114300">
            <wp:extent cx="5606415" cy="7932420"/>
            <wp:effectExtent l="0" t="0" r="13335" b="11430"/>
            <wp:docPr id="14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1"/>
                    <pic:cNvPicPr>
                      <a:picLocks noChangeAspect="1"/>
                    </pic:cNvPicPr>
                  </pic:nvPicPr>
                  <pic:blipFill>
                    <a:blip r:embed="rId79"/>
                    <a:stretch>
                      <a:fillRect/>
                    </a:stretch>
                  </pic:blipFill>
                  <pic:spPr>
                    <a:xfrm>
                      <a:off x="0" y="0"/>
                      <a:ext cx="5606415" cy="7932420"/>
                    </a:xfrm>
                    <a:prstGeom prst="rect">
                      <a:avLst/>
                    </a:prstGeom>
                    <a:noFill/>
                    <a:ln>
                      <a:noFill/>
                    </a:ln>
                  </pic:spPr>
                </pic:pic>
              </a:graphicData>
            </a:graphic>
          </wp:inline>
        </w:drawing>
      </w:r>
      <w:r>
        <w:rPr>
          <w:color w:val="auto"/>
        </w:rPr>
        <w:drawing>
          <wp:inline distT="0" distB="0" distL="114300" distR="114300">
            <wp:extent cx="5552440" cy="7856220"/>
            <wp:effectExtent l="0" t="0" r="10160" b="11430"/>
            <wp:docPr id="14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2"/>
                    <pic:cNvPicPr>
                      <a:picLocks noChangeAspect="1"/>
                    </pic:cNvPicPr>
                  </pic:nvPicPr>
                  <pic:blipFill>
                    <a:blip r:embed="rId80"/>
                    <a:stretch>
                      <a:fillRect/>
                    </a:stretch>
                  </pic:blipFill>
                  <pic:spPr>
                    <a:xfrm>
                      <a:off x="0" y="0"/>
                      <a:ext cx="5552440" cy="7856220"/>
                    </a:xfrm>
                    <a:prstGeom prst="rect">
                      <a:avLst/>
                    </a:prstGeom>
                    <a:noFill/>
                    <a:ln>
                      <a:noFill/>
                    </a:ln>
                  </pic:spPr>
                </pic:pic>
              </a:graphicData>
            </a:graphic>
          </wp:inline>
        </w:drawing>
      </w:r>
      <w:r>
        <w:rPr>
          <w:color w:val="auto"/>
        </w:rPr>
        <w:drawing>
          <wp:inline distT="0" distB="0" distL="114300" distR="114300">
            <wp:extent cx="5531485" cy="7826375"/>
            <wp:effectExtent l="0" t="0" r="12065" b="3175"/>
            <wp:docPr id="14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3"/>
                    <pic:cNvPicPr>
                      <a:picLocks noChangeAspect="1"/>
                    </pic:cNvPicPr>
                  </pic:nvPicPr>
                  <pic:blipFill>
                    <a:blip r:embed="rId81"/>
                    <a:stretch>
                      <a:fillRect/>
                    </a:stretch>
                  </pic:blipFill>
                  <pic:spPr>
                    <a:xfrm>
                      <a:off x="0" y="0"/>
                      <a:ext cx="5531485" cy="7826375"/>
                    </a:xfrm>
                    <a:prstGeom prst="rect">
                      <a:avLst/>
                    </a:prstGeom>
                    <a:noFill/>
                    <a:ln>
                      <a:noFill/>
                    </a:ln>
                  </pic:spPr>
                </pic:pic>
              </a:graphicData>
            </a:graphic>
          </wp:inline>
        </w:drawing>
      </w:r>
      <w:r>
        <w:rPr>
          <w:color w:val="auto"/>
        </w:rPr>
        <w:drawing>
          <wp:inline distT="0" distB="0" distL="114300" distR="114300">
            <wp:extent cx="5579110" cy="7893685"/>
            <wp:effectExtent l="0" t="0" r="2540" b="12065"/>
            <wp:docPr id="14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
                    <pic:cNvPicPr>
                      <a:picLocks noChangeAspect="1"/>
                    </pic:cNvPicPr>
                  </pic:nvPicPr>
                  <pic:blipFill>
                    <a:blip r:embed="rId82"/>
                    <a:stretch>
                      <a:fillRect/>
                    </a:stretch>
                  </pic:blipFill>
                  <pic:spPr>
                    <a:xfrm>
                      <a:off x="0" y="0"/>
                      <a:ext cx="5579110" cy="7893685"/>
                    </a:xfrm>
                    <a:prstGeom prst="rect">
                      <a:avLst/>
                    </a:prstGeom>
                    <a:noFill/>
                    <a:ln>
                      <a:noFill/>
                    </a:ln>
                  </pic:spPr>
                </pic:pic>
              </a:graphicData>
            </a:graphic>
          </wp:inline>
        </w:drawing>
      </w:r>
      <w:r>
        <w:rPr>
          <w:color w:val="auto"/>
        </w:rPr>
        <w:drawing>
          <wp:inline distT="0" distB="0" distL="114300" distR="114300">
            <wp:extent cx="5633085" cy="7970520"/>
            <wp:effectExtent l="0" t="0" r="5715" b="11430"/>
            <wp:docPr id="14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5"/>
                    <pic:cNvPicPr>
                      <a:picLocks noChangeAspect="1"/>
                    </pic:cNvPicPr>
                  </pic:nvPicPr>
                  <pic:blipFill>
                    <a:blip r:embed="rId83"/>
                    <a:stretch>
                      <a:fillRect/>
                    </a:stretch>
                  </pic:blipFill>
                  <pic:spPr>
                    <a:xfrm>
                      <a:off x="0" y="0"/>
                      <a:ext cx="5633085" cy="7970520"/>
                    </a:xfrm>
                    <a:prstGeom prst="rect">
                      <a:avLst/>
                    </a:prstGeom>
                    <a:noFill/>
                    <a:ln>
                      <a:noFill/>
                    </a:ln>
                  </pic:spPr>
                </pic:pic>
              </a:graphicData>
            </a:graphic>
          </wp:inline>
        </w:drawing>
      </w:r>
      <w:r>
        <w:rPr>
          <w:color w:val="auto"/>
        </w:rPr>
        <w:drawing>
          <wp:inline distT="0" distB="0" distL="114300" distR="114300">
            <wp:extent cx="5606415" cy="7932420"/>
            <wp:effectExtent l="0" t="0" r="13335" b="11430"/>
            <wp:docPr id="14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6"/>
                    <pic:cNvPicPr>
                      <a:picLocks noChangeAspect="1"/>
                    </pic:cNvPicPr>
                  </pic:nvPicPr>
                  <pic:blipFill>
                    <a:blip r:embed="rId84"/>
                    <a:stretch>
                      <a:fillRect/>
                    </a:stretch>
                  </pic:blipFill>
                  <pic:spPr>
                    <a:xfrm>
                      <a:off x="0" y="0"/>
                      <a:ext cx="5606415" cy="7932420"/>
                    </a:xfrm>
                    <a:prstGeom prst="rect">
                      <a:avLst/>
                    </a:prstGeom>
                    <a:noFill/>
                    <a:ln>
                      <a:noFill/>
                    </a:ln>
                  </pic:spPr>
                </pic:pic>
              </a:graphicData>
            </a:graphic>
          </wp:inline>
        </w:drawing>
      </w:r>
      <w:r>
        <w:rPr>
          <w:color w:val="auto"/>
        </w:rPr>
        <w:drawing>
          <wp:inline distT="0" distB="0" distL="114300" distR="114300">
            <wp:extent cx="5565775" cy="7875270"/>
            <wp:effectExtent l="0" t="0" r="15875" b="11430"/>
            <wp:docPr id="14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7"/>
                    <pic:cNvPicPr>
                      <a:picLocks noChangeAspect="1"/>
                    </pic:cNvPicPr>
                  </pic:nvPicPr>
                  <pic:blipFill>
                    <a:blip r:embed="rId85"/>
                    <a:stretch>
                      <a:fillRect/>
                    </a:stretch>
                  </pic:blipFill>
                  <pic:spPr>
                    <a:xfrm>
                      <a:off x="0" y="0"/>
                      <a:ext cx="5565775" cy="7875270"/>
                    </a:xfrm>
                    <a:prstGeom prst="rect">
                      <a:avLst/>
                    </a:prstGeom>
                    <a:noFill/>
                    <a:ln>
                      <a:noFill/>
                    </a:ln>
                  </pic:spPr>
                </pic:pic>
              </a:graphicData>
            </a:graphic>
          </wp:inline>
        </w:drawing>
      </w:r>
      <w:r>
        <w:rPr>
          <w:color w:val="auto"/>
        </w:rPr>
        <w:drawing>
          <wp:inline distT="0" distB="0" distL="114300" distR="114300">
            <wp:extent cx="5498465" cy="7780020"/>
            <wp:effectExtent l="0" t="0" r="6985" b="11430"/>
            <wp:docPr id="14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8"/>
                    <pic:cNvPicPr>
                      <a:picLocks noChangeAspect="1"/>
                    </pic:cNvPicPr>
                  </pic:nvPicPr>
                  <pic:blipFill>
                    <a:blip r:embed="rId86"/>
                    <a:stretch>
                      <a:fillRect/>
                    </a:stretch>
                  </pic:blipFill>
                  <pic:spPr>
                    <a:xfrm>
                      <a:off x="0" y="0"/>
                      <a:ext cx="5498465" cy="7780020"/>
                    </a:xfrm>
                    <a:prstGeom prst="rect">
                      <a:avLst/>
                    </a:prstGeom>
                    <a:noFill/>
                    <a:ln>
                      <a:noFill/>
                    </a:ln>
                  </pic:spPr>
                </pic:pic>
              </a:graphicData>
            </a:graphic>
          </wp:inline>
        </w:drawing>
      </w:r>
      <w:r>
        <w:rPr>
          <w:color w:val="auto"/>
        </w:rPr>
        <w:drawing>
          <wp:inline distT="0" distB="0" distL="114300" distR="114300">
            <wp:extent cx="5498465" cy="7780020"/>
            <wp:effectExtent l="0" t="0" r="6985" b="11430"/>
            <wp:docPr id="15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9"/>
                    <pic:cNvPicPr>
                      <a:picLocks noChangeAspect="1"/>
                    </pic:cNvPicPr>
                  </pic:nvPicPr>
                  <pic:blipFill>
                    <a:blip r:embed="rId87"/>
                    <a:stretch>
                      <a:fillRect/>
                    </a:stretch>
                  </pic:blipFill>
                  <pic:spPr>
                    <a:xfrm>
                      <a:off x="0" y="0"/>
                      <a:ext cx="5498465" cy="7780020"/>
                    </a:xfrm>
                    <a:prstGeom prst="rect">
                      <a:avLst/>
                    </a:prstGeom>
                    <a:noFill/>
                    <a:ln>
                      <a:noFill/>
                    </a:ln>
                  </pic:spPr>
                </pic:pic>
              </a:graphicData>
            </a:graphic>
          </wp:inline>
        </w:drawing>
      </w:r>
      <w:r>
        <w:rPr>
          <w:color w:val="auto"/>
        </w:rPr>
        <w:drawing>
          <wp:inline distT="0" distB="0" distL="114300" distR="114300">
            <wp:extent cx="5699760" cy="8065135"/>
            <wp:effectExtent l="0" t="0" r="15240" b="12065"/>
            <wp:docPr id="15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20"/>
                    <pic:cNvPicPr>
                      <a:picLocks noChangeAspect="1"/>
                    </pic:cNvPicPr>
                  </pic:nvPicPr>
                  <pic:blipFill>
                    <a:blip r:embed="rId88"/>
                    <a:stretch>
                      <a:fillRect/>
                    </a:stretch>
                  </pic:blipFill>
                  <pic:spPr>
                    <a:xfrm>
                      <a:off x="0" y="0"/>
                      <a:ext cx="5699760" cy="8065135"/>
                    </a:xfrm>
                    <a:prstGeom prst="rect">
                      <a:avLst/>
                    </a:prstGeom>
                    <a:noFill/>
                    <a:ln>
                      <a:noFill/>
                    </a:ln>
                  </pic:spPr>
                </pic:pic>
              </a:graphicData>
            </a:graphic>
          </wp:inline>
        </w:drawing>
      </w:r>
    </w:p>
    <w:p w14:paraId="4B76FC91">
      <w:pPr>
        <w:keepNext w:val="0"/>
        <w:keepLines w:val="0"/>
        <w:pageBreakBefore/>
        <w:widowControl w:val="0"/>
        <w:kinsoku/>
        <w:wordWrap/>
        <w:overflowPunct/>
        <w:topLinePunct w:val="0"/>
        <w:autoSpaceDE w:val="0"/>
        <w:autoSpaceDN w:val="0"/>
        <w:bidi w:val="0"/>
        <w:adjustRightInd/>
        <w:snapToGrid/>
        <w:ind w:right="0"/>
        <w:jc w:val="left"/>
        <w:textAlignment w:val="auto"/>
        <w:rPr>
          <w:rFonts w:hint="eastAsia" w:eastAsia="宋体"/>
          <w:color w:val="auto"/>
          <w:sz w:val="28"/>
          <w:lang w:val="en-US" w:eastAsia="zh-CN"/>
        </w:rPr>
      </w:pPr>
      <w:r>
        <w:rPr>
          <w:rFonts w:hint="default" w:ascii="Times New Roman" w:hAnsi="Times New Roman" w:eastAsia="宋体" w:cs="Times New Roman"/>
          <w:color w:val="auto"/>
          <w:sz w:val="28"/>
          <w:lang w:val="en-US" w:eastAsia="zh-CN"/>
        </w:rPr>
        <w:t>附件</w:t>
      </w:r>
      <w:r>
        <w:rPr>
          <w:rFonts w:hint="eastAsia" w:ascii="Times New Roman" w:hAnsi="Times New Roman" w:cs="Times New Roman"/>
          <w:color w:val="auto"/>
          <w:sz w:val="28"/>
          <w:lang w:val="en-US" w:eastAsia="zh-CN"/>
        </w:rPr>
        <w:t>10</w:t>
      </w:r>
      <w:r>
        <w:rPr>
          <w:rFonts w:hint="default" w:ascii="Times New Roman" w:hAnsi="Times New Roman" w:cs="Times New Roman"/>
          <w:color w:val="auto"/>
          <w:sz w:val="28"/>
          <w:lang w:val="en-US" w:eastAsia="zh-CN"/>
        </w:rPr>
        <w:t>：</w:t>
      </w:r>
      <w:r>
        <w:rPr>
          <w:color w:val="auto"/>
        </w:rPr>
        <w:drawing>
          <wp:inline distT="0" distB="0" distL="114300" distR="114300">
            <wp:extent cx="5608320" cy="7934960"/>
            <wp:effectExtent l="0" t="0" r="11430" b="8890"/>
            <wp:docPr id="15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21"/>
                    <pic:cNvPicPr>
                      <a:picLocks noChangeAspect="1"/>
                    </pic:cNvPicPr>
                  </pic:nvPicPr>
                  <pic:blipFill>
                    <a:blip r:embed="rId89"/>
                    <a:stretch>
                      <a:fillRect/>
                    </a:stretch>
                  </pic:blipFill>
                  <pic:spPr>
                    <a:xfrm>
                      <a:off x="0" y="0"/>
                      <a:ext cx="5608320" cy="7934960"/>
                    </a:xfrm>
                    <a:prstGeom prst="rect">
                      <a:avLst/>
                    </a:prstGeom>
                    <a:noFill/>
                    <a:ln>
                      <a:noFill/>
                    </a:ln>
                  </pic:spPr>
                </pic:pic>
              </a:graphicData>
            </a:graphic>
          </wp:inline>
        </w:drawing>
      </w:r>
      <w:r>
        <w:rPr>
          <w:color w:val="auto"/>
        </w:rPr>
        <w:drawing>
          <wp:inline distT="0" distB="0" distL="114300" distR="114300">
            <wp:extent cx="5608320" cy="7934960"/>
            <wp:effectExtent l="0" t="0" r="11430" b="8890"/>
            <wp:docPr id="15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22"/>
                    <pic:cNvPicPr>
                      <a:picLocks noChangeAspect="1"/>
                    </pic:cNvPicPr>
                  </pic:nvPicPr>
                  <pic:blipFill>
                    <a:blip r:embed="rId90"/>
                    <a:stretch>
                      <a:fillRect/>
                    </a:stretch>
                  </pic:blipFill>
                  <pic:spPr>
                    <a:xfrm>
                      <a:off x="0" y="0"/>
                      <a:ext cx="5608320" cy="7934960"/>
                    </a:xfrm>
                    <a:prstGeom prst="rect">
                      <a:avLst/>
                    </a:prstGeom>
                    <a:noFill/>
                    <a:ln>
                      <a:noFill/>
                    </a:ln>
                  </pic:spPr>
                </pic:pic>
              </a:graphicData>
            </a:graphic>
          </wp:inline>
        </w:drawing>
      </w:r>
      <w:r>
        <w:rPr>
          <w:color w:val="auto"/>
        </w:rPr>
        <w:drawing>
          <wp:inline distT="0" distB="0" distL="114300" distR="114300">
            <wp:extent cx="5608320" cy="7934960"/>
            <wp:effectExtent l="0" t="0" r="11430" b="8890"/>
            <wp:docPr id="15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23"/>
                    <pic:cNvPicPr>
                      <a:picLocks noChangeAspect="1"/>
                    </pic:cNvPicPr>
                  </pic:nvPicPr>
                  <pic:blipFill>
                    <a:blip r:embed="rId91"/>
                    <a:stretch>
                      <a:fillRect/>
                    </a:stretch>
                  </pic:blipFill>
                  <pic:spPr>
                    <a:xfrm>
                      <a:off x="0" y="0"/>
                      <a:ext cx="5608320" cy="7934960"/>
                    </a:xfrm>
                    <a:prstGeom prst="rect">
                      <a:avLst/>
                    </a:prstGeom>
                    <a:noFill/>
                    <a:ln>
                      <a:noFill/>
                    </a:ln>
                  </pic:spPr>
                </pic:pic>
              </a:graphicData>
            </a:graphic>
          </wp:inline>
        </w:drawing>
      </w:r>
      <w:r>
        <w:rPr>
          <w:color w:val="auto"/>
        </w:rPr>
        <w:drawing>
          <wp:inline distT="0" distB="0" distL="114300" distR="114300">
            <wp:extent cx="5608320" cy="7934960"/>
            <wp:effectExtent l="0" t="0" r="11430" b="8890"/>
            <wp:docPr id="15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24"/>
                    <pic:cNvPicPr>
                      <a:picLocks noChangeAspect="1"/>
                    </pic:cNvPicPr>
                  </pic:nvPicPr>
                  <pic:blipFill>
                    <a:blip r:embed="rId92"/>
                    <a:stretch>
                      <a:fillRect/>
                    </a:stretch>
                  </pic:blipFill>
                  <pic:spPr>
                    <a:xfrm>
                      <a:off x="0" y="0"/>
                      <a:ext cx="5608320" cy="7934960"/>
                    </a:xfrm>
                    <a:prstGeom prst="rect">
                      <a:avLst/>
                    </a:prstGeom>
                    <a:noFill/>
                    <a:ln>
                      <a:noFill/>
                    </a:ln>
                  </pic:spPr>
                </pic:pic>
              </a:graphicData>
            </a:graphic>
          </wp:inline>
        </w:drawing>
      </w:r>
      <w:r>
        <w:rPr>
          <w:color w:val="auto"/>
        </w:rPr>
        <w:drawing>
          <wp:inline distT="0" distB="0" distL="114300" distR="114300">
            <wp:extent cx="5608320" cy="7934960"/>
            <wp:effectExtent l="0" t="0" r="11430" b="8890"/>
            <wp:docPr id="15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25"/>
                    <pic:cNvPicPr>
                      <a:picLocks noChangeAspect="1"/>
                    </pic:cNvPicPr>
                  </pic:nvPicPr>
                  <pic:blipFill>
                    <a:blip r:embed="rId93"/>
                    <a:stretch>
                      <a:fillRect/>
                    </a:stretch>
                  </pic:blipFill>
                  <pic:spPr>
                    <a:xfrm>
                      <a:off x="0" y="0"/>
                      <a:ext cx="5608320" cy="7934960"/>
                    </a:xfrm>
                    <a:prstGeom prst="rect">
                      <a:avLst/>
                    </a:prstGeom>
                    <a:noFill/>
                    <a:ln>
                      <a:noFill/>
                    </a:ln>
                  </pic:spPr>
                </pic:pic>
              </a:graphicData>
            </a:graphic>
          </wp:inline>
        </w:drawing>
      </w:r>
      <w:r>
        <w:rPr>
          <w:color w:val="auto"/>
        </w:rPr>
        <w:drawing>
          <wp:inline distT="0" distB="0" distL="114300" distR="114300">
            <wp:extent cx="5608320" cy="7934960"/>
            <wp:effectExtent l="0" t="0" r="11430" b="8890"/>
            <wp:docPr id="15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26"/>
                    <pic:cNvPicPr>
                      <a:picLocks noChangeAspect="1"/>
                    </pic:cNvPicPr>
                  </pic:nvPicPr>
                  <pic:blipFill>
                    <a:blip r:embed="rId94"/>
                    <a:stretch>
                      <a:fillRect/>
                    </a:stretch>
                  </pic:blipFill>
                  <pic:spPr>
                    <a:xfrm>
                      <a:off x="0" y="0"/>
                      <a:ext cx="5608320" cy="7934960"/>
                    </a:xfrm>
                    <a:prstGeom prst="rect">
                      <a:avLst/>
                    </a:prstGeom>
                    <a:noFill/>
                    <a:ln>
                      <a:noFill/>
                    </a:ln>
                  </pic:spPr>
                </pic:pic>
              </a:graphicData>
            </a:graphic>
          </wp:inline>
        </w:drawing>
      </w:r>
      <w:r>
        <w:rPr>
          <w:color w:val="auto"/>
        </w:rPr>
        <w:drawing>
          <wp:inline distT="0" distB="0" distL="114300" distR="114300">
            <wp:extent cx="5608320" cy="7934960"/>
            <wp:effectExtent l="0" t="0" r="11430" b="8890"/>
            <wp:docPr id="15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27"/>
                    <pic:cNvPicPr>
                      <a:picLocks noChangeAspect="1"/>
                    </pic:cNvPicPr>
                  </pic:nvPicPr>
                  <pic:blipFill>
                    <a:blip r:embed="rId95"/>
                    <a:stretch>
                      <a:fillRect/>
                    </a:stretch>
                  </pic:blipFill>
                  <pic:spPr>
                    <a:xfrm>
                      <a:off x="0" y="0"/>
                      <a:ext cx="5608320" cy="7934960"/>
                    </a:xfrm>
                    <a:prstGeom prst="rect">
                      <a:avLst/>
                    </a:prstGeom>
                    <a:noFill/>
                    <a:ln>
                      <a:noFill/>
                    </a:ln>
                  </pic:spPr>
                </pic:pic>
              </a:graphicData>
            </a:graphic>
          </wp:inline>
        </w:drawing>
      </w:r>
      <w:r>
        <w:rPr>
          <w:color w:val="auto"/>
        </w:rPr>
        <w:drawing>
          <wp:inline distT="0" distB="0" distL="114300" distR="114300">
            <wp:extent cx="5608320" cy="7934960"/>
            <wp:effectExtent l="0" t="0" r="11430" b="8890"/>
            <wp:docPr id="15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28"/>
                    <pic:cNvPicPr>
                      <a:picLocks noChangeAspect="1"/>
                    </pic:cNvPicPr>
                  </pic:nvPicPr>
                  <pic:blipFill>
                    <a:blip r:embed="rId96"/>
                    <a:stretch>
                      <a:fillRect/>
                    </a:stretch>
                  </pic:blipFill>
                  <pic:spPr>
                    <a:xfrm>
                      <a:off x="0" y="0"/>
                      <a:ext cx="5608320" cy="7934960"/>
                    </a:xfrm>
                    <a:prstGeom prst="rect">
                      <a:avLst/>
                    </a:prstGeom>
                    <a:noFill/>
                    <a:ln>
                      <a:noFill/>
                    </a:ln>
                  </pic:spPr>
                </pic:pic>
              </a:graphicData>
            </a:graphic>
          </wp:inline>
        </w:drawing>
      </w:r>
      <w:r>
        <w:rPr>
          <w:color w:val="auto"/>
        </w:rPr>
        <w:drawing>
          <wp:inline distT="0" distB="0" distL="114300" distR="114300">
            <wp:extent cx="5608320" cy="7934960"/>
            <wp:effectExtent l="0" t="0" r="11430" b="8890"/>
            <wp:docPr id="16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29"/>
                    <pic:cNvPicPr>
                      <a:picLocks noChangeAspect="1"/>
                    </pic:cNvPicPr>
                  </pic:nvPicPr>
                  <pic:blipFill>
                    <a:blip r:embed="rId97"/>
                    <a:stretch>
                      <a:fillRect/>
                    </a:stretch>
                  </pic:blipFill>
                  <pic:spPr>
                    <a:xfrm>
                      <a:off x="0" y="0"/>
                      <a:ext cx="5608320" cy="7934960"/>
                    </a:xfrm>
                    <a:prstGeom prst="rect">
                      <a:avLst/>
                    </a:prstGeom>
                    <a:noFill/>
                    <a:ln>
                      <a:noFill/>
                    </a:ln>
                  </pic:spPr>
                </pic:pic>
              </a:graphicData>
            </a:graphic>
          </wp:inline>
        </w:drawing>
      </w:r>
      <w:r>
        <w:rPr>
          <w:color w:val="auto"/>
        </w:rPr>
        <w:drawing>
          <wp:inline distT="0" distB="0" distL="114300" distR="114300">
            <wp:extent cx="5608320" cy="7934960"/>
            <wp:effectExtent l="0" t="0" r="11430" b="8890"/>
            <wp:docPr id="16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30"/>
                    <pic:cNvPicPr>
                      <a:picLocks noChangeAspect="1"/>
                    </pic:cNvPicPr>
                  </pic:nvPicPr>
                  <pic:blipFill>
                    <a:blip r:embed="rId98"/>
                    <a:stretch>
                      <a:fillRect/>
                    </a:stretch>
                  </pic:blipFill>
                  <pic:spPr>
                    <a:xfrm>
                      <a:off x="0" y="0"/>
                      <a:ext cx="5608320" cy="7934960"/>
                    </a:xfrm>
                    <a:prstGeom prst="rect">
                      <a:avLst/>
                    </a:prstGeom>
                    <a:noFill/>
                    <a:ln>
                      <a:noFill/>
                    </a:ln>
                  </pic:spPr>
                </pic:pic>
              </a:graphicData>
            </a:graphic>
          </wp:inline>
        </w:drawing>
      </w:r>
      <w:r>
        <w:rPr>
          <w:color w:val="auto"/>
        </w:rPr>
        <w:drawing>
          <wp:inline distT="0" distB="0" distL="114300" distR="114300">
            <wp:extent cx="5608320" cy="7934960"/>
            <wp:effectExtent l="0" t="0" r="11430" b="8890"/>
            <wp:docPr id="16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31"/>
                    <pic:cNvPicPr>
                      <a:picLocks noChangeAspect="1"/>
                    </pic:cNvPicPr>
                  </pic:nvPicPr>
                  <pic:blipFill>
                    <a:blip r:embed="rId99"/>
                    <a:stretch>
                      <a:fillRect/>
                    </a:stretch>
                  </pic:blipFill>
                  <pic:spPr>
                    <a:xfrm>
                      <a:off x="0" y="0"/>
                      <a:ext cx="5608320" cy="7934960"/>
                    </a:xfrm>
                    <a:prstGeom prst="rect">
                      <a:avLst/>
                    </a:prstGeom>
                    <a:noFill/>
                    <a:ln>
                      <a:noFill/>
                    </a:ln>
                  </pic:spPr>
                </pic:pic>
              </a:graphicData>
            </a:graphic>
          </wp:inline>
        </w:drawing>
      </w:r>
      <w:r>
        <w:rPr>
          <w:color w:val="auto"/>
        </w:rPr>
        <w:drawing>
          <wp:inline distT="0" distB="0" distL="114300" distR="114300">
            <wp:extent cx="5608320" cy="7934960"/>
            <wp:effectExtent l="0" t="0" r="11430" b="8890"/>
            <wp:docPr id="16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32"/>
                    <pic:cNvPicPr>
                      <a:picLocks noChangeAspect="1"/>
                    </pic:cNvPicPr>
                  </pic:nvPicPr>
                  <pic:blipFill>
                    <a:blip r:embed="rId100"/>
                    <a:stretch>
                      <a:fillRect/>
                    </a:stretch>
                  </pic:blipFill>
                  <pic:spPr>
                    <a:xfrm>
                      <a:off x="0" y="0"/>
                      <a:ext cx="5608320" cy="7934960"/>
                    </a:xfrm>
                    <a:prstGeom prst="rect">
                      <a:avLst/>
                    </a:prstGeom>
                    <a:noFill/>
                    <a:ln>
                      <a:noFill/>
                    </a:ln>
                  </pic:spPr>
                </pic:pic>
              </a:graphicData>
            </a:graphic>
          </wp:inline>
        </w:drawing>
      </w:r>
      <w:r>
        <w:rPr>
          <w:color w:val="auto"/>
        </w:rPr>
        <w:drawing>
          <wp:inline distT="0" distB="0" distL="114300" distR="114300">
            <wp:extent cx="5608320" cy="7934960"/>
            <wp:effectExtent l="0" t="0" r="11430" b="8890"/>
            <wp:docPr id="16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33"/>
                    <pic:cNvPicPr>
                      <a:picLocks noChangeAspect="1"/>
                    </pic:cNvPicPr>
                  </pic:nvPicPr>
                  <pic:blipFill>
                    <a:blip r:embed="rId101"/>
                    <a:stretch>
                      <a:fillRect/>
                    </a:stretch>
                  </pic:blipFill>
                  <pic:spPr>
                    <a:xfrm>
                      <a:off x="0" y="0"/>
                      <a:ext cx="5608320" cy="7934960"/>
                    </a:xfrm>
                    <a:prstGeom prst="rect">
                      <a:avLst/>
                    </a:prstGeom>
                    <a:noFill/>
                    <a:ln>
                      <a:noFill/>
                    </a:ln>
                  </pic:spPr>
                </pic:pic>
              </a:graphicData>
            </a:graphic>
          </wp:inline>
        </w:drawing>
      </w:r>
      <w:r>
        <w:rPr>
          <w:color w:val="auto"/>
        </w:rPr>
        <w:drawing>
          <wp:inline distT="0" distB="0" distL="114300" distR="114300">
            <wp:extent cx="5608320" cy="7934960"/>
            <wp:effectExtent l="0" t="0" r="11430" b="8890"/>
            <wp:docPr id="16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34"/>
                    <pic:cNvPicPr>
                      <a:picLocks noChangeAspect="1"/>
                    </pic:cNvPicPr>
                  </pic:nvPicPr>
                  <pic:blipFill>
                    <a:blip r:embed="rId102"/>
                    <a:stretch>
                      <a:fillRect/>
                    </a:stretch>
                  </pic:blipFill>
                  <pic:spPr>
                    <a:xfrm>
                      <a:off x="0" y="0"/>
                      <a:ext cx="5608320" cy="7934960"/>
                    </a:xfrm>
                    <a:prstGeom prst="rect">
                      <a:avLst/>
                    </a:prstGeom>
                    <a:noFill/>
                    <a:ln>
                      <a:noFill/>
                    </a:ln>
                  </pic:spPr>
                </pic:pic>
              </a:graphicData>
            </a:graphic>
          </wp:inline>
        </w:drawing>
      </w:r>
      <w:r>
        <w:rPr>
          <w:color w:val="auto"/>
        </w:rPr>
        <w:drawing>
          <wp:inline distT="0" distB="0" distL="114300" distR="114300">
            <wp:extent cx="5608320" cy="7934960"/>
            <wp:effectExtent l="0" t="0" r="11430" b="8890"/>
            <wp:docPr id="16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35"/>
                    <pic:cNvPicPr>
                      <a:picLocks noChangeAspect="1"/>
                    </pic:cNvPicPr>
                  </pic:nvPicPr>
                  <pic:blipFill>
                    <a:blip r:embed="rId103"/>
                    <a:stretch>
                      <a:fillRect/>
                    </a:stretch>
                  </pic:blipFill>
                  <pic:spPr>
                    <a:xfrm>
                      <a:off x="0" y="0"/>
                      <a:ext cx="5608320" cy="7934960"/>
                    </a:xfrm>
                    <a:prstGeom prst="rect">
                      <a:avLst/>
                    </a:prstGeom>
                    <a:noFill/>
                    <a:ln>
                      <a:noFill/>
                    </a:ln>
                  </pic:spPr>
                </pic:pic>
              </a:graphicData>
            </a:graphic>
          </wp:inline>
        </w:drawing>
      </w:r>
      <w:r>
        <w:rPr>
          <w:color w:val="auto"/>
        </w:rPr>
        <w:drawing>
          <wp:inline distT="0" distB="0" distL="114300" distR="114300">
            <wp:extent cx="5608320" cy="7934960"/>
            <wp:effectExtent l="0" t="0" r="11430" b="8890"/>
            <wp:docPr id="16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36"/>
                    <pic:cNvPicPr>
                      <a:picLocks noChangeAspect="1"/>
                    </pic:cNvPicPr>
                  </pic:nvPicPr>
                  <pic:blipFill>
                    <a:blip r:embed="rId104"/>
                    <a:stretch>
                      <a:fillRect/>
                    </a:stretch>
                  </pic:blipFill>
                  <pic:spPr>
                    <a:xfrm>
                      <a:off x="0" y="0"/>
                      <a:ext cx="5608320" cy="7934960"/>
                    </a:xfrm>
                    <a:prstGeom prst="rect">
                      <a:avLst/>
                    </a:prstGeom>
                    <a:noFill/>
                    <a:ln>
                      <a:noFill/>
                    </a:ln>
                  </pic:spPr>
                </pic:pic>
              </a:graphicData>
            </a:graphic>
          </wp:inline>
        </w:drawing>
      </w:r>
      <w:r>
        <w:rPr>
          <w:color w:val="auto"/>
        </w:rPr>
        <w:drawing>
          <wp:inline distT="0" distB="0" distL="114300" distR="114300">
            <wp:extent cx="5608320" cy="7934960"/>
            <wp:effectExtent l="0" t="0" r="11430" b="8890"/>
            <wp:docPr id="16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37"/>
                    <pic:cNvPicPr>
                      <a:picLocks noChangeAspect="1"/>
                    </pic:cNvPicPr>
                  </pic:nvPicPr>
                  <pic:blipFill>
                    <a:blip r:embed="rId105"/>
                    <a:stretch>
                      <a:fillRect/>
                    </a:stretch>
                  </pic:blipFill>
                  <pic:spPr>
                    <a:xfrm>
                      <a:off x="0" y="0"/>
                      <a:ext cx="5608320" cy="7934960"/>
                    </a:xfrm>
                    <a:prstGeom prst="rect">
                      <a:avLst/>
                    </a:prstGeom>
                    <a:noFill/>
                    <a:ln>
                      <a:noFill/>
                    </a:ln>
                  </pic:spPr>
                </pic:pic>
              </a:graphicData>
            </a:graphic>
          </wp:inline>
        </w:drawing>
      </w:r>
    </w:p>
    <w:sectPr>
      <w:pgSz w:w="11910" w:h="16840"/>
      <w:pgMar w:top="1701" w:right="1531" w:bottom="1701" w:left="1531" w:header="720" w:footer="1531"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MS Gothic">
    <w:panose1 w:val="020B0609070205080204"/>
    <w:charset w:val="80"/>
    <w:family w:val="modern"/>
    <w:pitch w:val="default"/>
    <w:sig w:usb0="E00002FF" w:usb1="6AC7FDFB" w:usb2="08000012" w:usb3="00000000" w:csb0="4002009F" w:csb1="DFD70000"/>
  </w:font>
  <w:font w:name="Arial Unicode MS">
    <w:altName w:val="宋体"/>
    <w:panose1 w:val="020B0604020202020204"/>
    <w:charset w:val="86"/>
    <w:family w:val="swiss"/>
    <w:pitch w:val="default"/>
    <w:sig w:usb0="00000000" w:usb1="00000000" w:usb2="0000003F" w:usb3="00000000" w:csb0="603F01FF" w:csb1="FFFF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EEECE">
    <w:pPr>
      <w:pStyle w:val="10"/>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6DA2B">
    <w:pPr>
      <w:pStyle w:val="10"/>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8572E">
    <w:pPr>
      <w:pStyle w:val="10"/>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02E5F">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BF02E5F">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11BC4">
    <w:pPr>
      <w:pStyle w:val="10"/>
      <w:spacing w:line="14" w:lineRule="auto"/>
      <w:rPr>
        <w:sz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C0D3C0">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EC0D3C0">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BC1FB">
    <w:pPr>
      <w:pStyle w:val="10"/>
      <w:spacing w:line="14" w:lineRule="auto"/>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633FF7">
                          <w:pPr>
                            <w:pStyle w:val="14"/>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6633FF7">
                    <w:pPr>
                      <w:pStyle w:val="14"/>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86143">
    <w:pPr>
      <w:pStyle w:val="10"/>
      <w:spacing w:line="14" w:lineRule="auto"/>
      <w:rPr>
        <w:sz w:val="20"/>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EF4351">
                          <w:pPr>
                            <w:pStyle w:val="14"/>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9EF4351">
                    <w:pPr>
                      <w:pStyle w:val="14"/>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DAADC">
    <w:pPr>
      <w:pStyle w:val="10"/>
      <w:spacing w:line="14" w:lineRule="auto"/>
      <w:rPr>
        <w:sz w:val="20"/>
      </w:rPr>
    </w:pPr>
    <w:r>
      <w:rPr>
        <w:sz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0235F8">
                          <w:pPr>
                            <w:pStyle w:val="14"/>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20235F8">
                    <w:pPr>
                      <w:pStyle w:val="14"/>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DB5F0">
    <w:pPr>
      <w:pStyle w:val="10"/>
      <w:spacing w:line="14" w:lineRule="auto"/>
      <w:rPr>
        <w:sz w:val="20"/>
      </w:rPr>
    </w:pPr>
    <w:r>
      <w:rPr>
        <w:sz w:val="20"/>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FA0A93">
                          <w:pPr>
                            <w:pStyle w:val="14"/>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29FA0A93">
                    <w:pPr>
                      <w:pStyle w:val="14"/>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F889E">
    <w:pPr>
      <w:pStyle w:val="10"/>
      <w:spacing w:line="14" w:lineRule="auto"/>
      <w:rPr>
        <w:sz w:val="20"/>
      </w:rPr>
    </w:pPr>
    <w:r>
      <w:rPr>
        <w:sz w:val="20"/>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DD1496">
                          <w:pPr>
                            <w:pStyle w:val="14"/>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41DD1496">
                    <w:pPr>
                      <w:pStyle w:val="14"/>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74E34">
    <w:pPr>
      <w:pStyle w:val="10"/>
      <w:spacing w:line="14" w:lineRule="auto"/>
      <w:rPr>
        <w:sz w:val="20"/>
      </w:rPr>
    </w:pPr>
    <w:r>
      <w:rPr>
        <w:sz w:val="20"/>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435A13">
                          <w:pPr>
                            <w:pStyle w:val="14"/>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24435A13">
                    <w:pPr>
                      <w:pStyle w:val="14"/>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C41F6">
    <w:pPr>
      <w:pStyle w:val="10"/>
      <w:spacing w:line="14" w:lineRule="auto"/>
      <w:rPr>
        <w:sz w:val="2"/>
      </w:rPr>
    </w:pPr>
    <w:r>
      <w:rPr>
        <w:sz w:val="2"/>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DD1A86">
                          <w:pPr>
                            <w:pStyle w:val="14"/>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7DDD1A86">
                    <w:pPr>
                      <w:pStyle w:val="14"/>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CC2BC">
    <w:pPr>
      <w:pStyle w:val="10"/>
      <w:spacing w:line="14" w:lineRule="auto"/>
      <w:rPr>
        <w:sz w:val="2"/>
      </w:rPr>
    </w:pPr>
    <w:r>
      <w:rPr>
        <w:sz w:val="2"/>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800FE3">
                          <w:pPr>
                            <w:pStyle w:val="14"/>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1D800FE3">
                    <w:pPr>
                      <w:pStyle w:val="14"/>
                    </w:pPr>
                    <w:r>
                      <w:fldChar w:fldCharType="begin"/>
                    </w:r>
                    <w:r>
                      <w:instrText xml:space="preserve"> PAGE  \* MERGEFORMAT </w:instrText>
                    </w:r>
                    <w:r>
                      <w:fldChar w:fldCharType="separate"/>
                    </w:r>
                    <w:r>
                      <w:t>72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5F01AA"/>
    <w:multiLevelType w:val="singleLevel"/>
    <w:tmpl w:val="FE5F01AA"/>
    <w:lvl w:ilvl="0" w:tentative="0">
      <w:start w:val="1"/>
      <w:numFmt w:val="upperLetter"/>
      <w:lvlText w:val="%1."/>
      <w:lvlJc w:val="left"/>
      <w:pPr>
        <w:tabs>
          <w:tab w:val="left" w:pos="312"/>
        </w:tabs>
      </w:pPr>
    </w:lvl>
  </w:abstractNum>
  <w:abstractNum w:abstractNumId="1">
    <w:nsid w:val="64364A02"/>
    <w:multiLevelType w:val="singleLevel"/>
    <w:tmpl w:val="64364A02"/>
    <w:lvl w:ilvl="0" w:tentative="0">
      <w:start w:val="4"/>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hyphenationZone w:val="360"/>
  <w:evenAndOddHeaders w:val="1"/>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RkZDFlNzlkN2NlMjliYTUwYjU3MDVhNmI4MjkwMWIifQ=="/>
  </w:docVars>
  <w:rsids>
    <w:rsidRoot w:val="00F30D1A"/>
    <w:rsid w:val="0010286B"/>
    <w:rsid w:val="00126E7E"/>
    <w:rsid w:val="00132985"/>
    <w:rsid w:val="00137E47"/>
    <w:rsid w:val="00144244"/>
    <w:rsid w:val="00153F27"/>
    <w:rsid w:val="00171B5B"/>
    <w:rsid w:val="0018745C"/>
    <w:rsid w:val="001B352D"/>
    <w:rsid w:val="001D1512"/>
    <w:rsid w:val="001D1548"/>
    <w:rsid w:val="001D3886"/>
    <w:rsid w:val="001D4A92"/>
    <w:rsid w:val="00237B8D"/>
    <w:rsid w:val="0028043A"/>
    <w:rsid w:val="002C287B"/>
    <w:rsid w:val="00325B9D"/>
    <w:rsid w:val="0037488C"/>
    <w:rsid w:val="003955FB"/>
    <w:rsid w:val="003B05D4"/>
    <w:rsid w:val="003F42F4"/>
    <w:rsid w:val="004006A3"/>
    <w:rsid w:val="0041717C"/>
    <w:rsid w:val="00447139"/>
    <w:rsid w:val="00477778"/>
    <w:rsid w:val="00480287"/>
    <w:rsid w:val="00486957"/>
    <w:rsid w:val="004A2662"/>
    <w:rsid w:val="004C12F6"/>
    <w:rsid w:val="00527EF0"/>
    <w:rsid w:val="00535D58"/>
    <w:rsid w:val="00552F79"/>
    <w:rsid w:val="005908EC"/>
    <w:rsid w:val="005A2F44"/>
    <w:rsid w:val="006062EB"/>
    <w:rsid w:val="00613AD2"/>
    <w:rsid w:val="006425EB"/>
    <w:rsid w:val="00671745"/>
    <w:rsid w:val="006811D2"/>
    <w:rsid w:val="00696C68"/>
    <w:rsid w:val="006C469E"/>
    <w:rsid w:val="007C4C32"/>
    <w:rsid w:val="007E5834"/>
    <w:rsid w:val="007F430E"/>
    <w:rsid w:val="008027F0"/>
    <w:rsid w:val="0081654C"/>
    <w:rsid w:val="00825978"/>
    <w:rsid w:val="008334DE"/>
    <w:rsid w:val="00845890"/>
    <w:rsid w:val="00865355"/>
    <w:rsid w:val="008A7B0F"/>
    <w:rsid w:val="008B3BA4"/>
    <w:rsid w:val="008F76C9"/>
    <w:rsid w:val="00905968"/>
    <w:rsid w:val="0094335E"/>
    <w:rsid w:val="009B20ED"/>
    <w:rsid w:val="00A444BA"/>
    <w:rsid w:val="00AA1268"/>
    <w:rsid w:val="00AA4456"/>
    <w:rsid w:val="00AB0030"/>
    <w:rsid w:val="00AF748C"/>
    <w:rsid w:val="00AF7F4B"/>
    <w:rsid w:val="00B3461E"/>
    <w:rsid w:val="00B43EA4"/>
    <w:rsid w:val="00B71B1F"/>
    <w:rsid w:val="00B760B2"/>
    <w:rsid w:val="00B943BF"/>
    <w:rsid w:val="00BC30AC"/>
    <w:rsid w:val="00BE3723"/>
    <w:rsid w:val="00C1340D"/>
    <w:rsid w:val="00C3716C"/>
    <w:rsid w:val="00C6265C"/>
    <w:rsid w:val="00C818DD"/>
    <w:rsid w:val="00CB1746"/>
    <w:rsid w:val="00CC5DEC"/>
    <w:rsid w:val="00CD3C83"/>
    <w:rsid w:val="00CD4D93"/>
    <w:rsid w:val="00CF1AD0"/>
    <w:rsid w:val="00D0457F"/>
    <w:rsid w:val="00D342ED"/>
    <w:rsid w:val="00DA52CE"/>
    <w:rsid w:val="00DB5C90"/>
    <w:rsid w:val="00DD4EFF"/>
    <w:rsid w:val="00DE0256"/>
    <w:rsid w:val="00E05EAF"/>
    <w:rsid w:val="00E41B82"/>
    <w:rsid w:val="00E97C2E"/>
    <w:rsid w:val="00EE1939"/>
    <w:rsid w:val="00F02ABF"/>
    <w:rsid w:val="00F04AFC"/>
    <w:rsid w:val="00F30D1A"/>
    <w:rsid w:val="00F65591"/>
    <w:rsid w:val="00F76E94"/>
    <w:rsid w:val="00F875E4"/>
    <w:rsid w:val="00FA29A7"/>
    <w:rsid w:val="00FE352C"/>
    <w:rsid w:val="01293C05"/>
    <w:rsid w:val="0132783D"/>
    <w:rsid w:val="013E4FC1"/>
    <w:rsid w:val="01493B70"/>
    <w:rsid w:val="0157633A"/>
    <w:rsid w:val="018210B1"/>
    <w:rsid w:val="018C1643"/>
    <w:rsid w:val="01973B44"/>
    <w:rsid w:val="01993C46"/>
    <w:rsid w:val="019C645D"/>
    <w:rsid w:val="01A179F9"/>
    <w:rsid w:val="01B82438"/>
    <w:rsid w:val="01BB3247"/>
    <w:rsid w:val="01DF5C17"/>
    <w:rsid w:val="01E31EF4"/>
    <w:rsid w:val="01EA0118"/>
    <w:rsid w:val="01FB40D3"/>
    <w:rsid w:val="02045E14"/>
    <w:rsid w:val="020530CC"/>
    <w:rsid w:val="02151639"/>
    <w:rsid w:val="02197649"/>
    <w:rsid w:val="022948AA"/>
    <w:rsid w:val="022A63C8"/>
    <w:rsid w:val="022E6F22"/>
    <w:rsid w:val="025F0EDB"/>
    <w:rsid w:val="028F47FC"/>
    <w:rsid w:val="029218E8"/>
    <w:rsid w:val="02A96935"/>
    <w:rsid w:val="02AE34A8"/>
    <w:rsid w:val="02B51E84"/>
    <w:rsid w:val="02B553EC"/>
    <w:rsid w:val="02B739AF"/>
    <w:rsid w:val="02C2553E"/>
    <w:rsid w:val="02DD3212"/>
    <w:rsid w:val="02DF33AD"/>
    <w:rsid w:val="02FA438B"/>
    <w:rsid w:val="030F4733"/>
    <w:rsid w:val="03104C99"/>
    <w:rsid w:val="031763E2"/>
    <w:rsid w:val="031768AB"/>
    <w:rsid w:val="03261624"/>
    <w:rsid w:val="034675D0"/>
    <w:rsid w:val="03634356"/>
    <w:rsid w:val="03A638C9"/>
    <w:rsid w:val="03BF433C"/>
    <w:rsid w:val="03C97007"/>
    <w:rsid w:val="03E220E9"/>
    <w:rsid w:val="03E27468"/>
    <w:rsid w:val="040556DD"/>
    <w:rsid w:val="04073D7D"/>
    <w:rsid w:val="041C6903"/>
    <w:rsid w:val="04203B88"/>
    <w:rsid w:val="042F1963"/>
    <w:rsid w:val="044001F3"/>
    <w:rsid w:val="04480107"/>
    <w:rsid w:val="044B17D4"/>
    <w:rsid w:val="045F303F"/>
    <w:rsid w:val="048150B0"/>
    <w:rsid w:val="048B2A85"/>
    <w:rsid w:val="04A23B2A"/>
    <w:rsid w:val="04A809B3"/>
    <w:rsid w:val="04B15AAC"/>
    <w:rsid w:val="04C44C50"/>
    <w:rsid w:val="04DB3FE3"/>
    <w:rsid w:val="04DD24C9"/>
    <w:rsid w:val="04E978D1"/>
    <w:rsid w:val="04FA765A"/>
    <w:rsid w:val="05114FCA"/>
    <w:rsid w:val="051D3D2D"/>
    <w:rsid w:val="05204CC1"/>
    <w:rsid w:val="05395091"/>
    <w:rsid w:val="056D52A7"/>
    <w:rsid w:val="058810B3"/>
    <w:rsid w:val="05964371"/>
    <w:rsid w:val="05AB7943"/>
    <w:rsid w:val="05B65268"/>
    <w:rsid w:val="05CB200E"/>
    <w:rsid w:val="05D874D1"/>
    <w:rsid w:val="05E00A03"/>
    <w:rsid w:val="05F04DE7"/>
    <w:rsid w:val="05F73B2A"/>
    <w:rsid w:val="06055520"/>
    <w:rsid w:val="061342FE"/>
    <w:rsid w:val="06163FE3"/>
    <w:rsid w:val="06392D0A"/>
    <w:rsid w:val="063B0320"/>
    <w:rsid w:val="06400C4E"/>
    <w:rsid w:val="067B05B7"/>
    <w:rsid w:val="069215EB"/>
    <w:rsid w:val="069B6C03"/>
    <w:rsid w:val="069C6CCC"/>
    <w:rsid w:val="06A13E06"/>
    <w:rsid w:val="06B33274"/>
    <w:rsid w:val="06D92B4A"/>
    <w:rsid w:val="06F757B1"/>
    <w:rsid w:val="072650F8"/>
    <w:rsid w:val="074F72B9"/>
    <w:rsid w:val="075B5F5C"/>
    <w:rsid w:val="07A2040D"/>
    <w:rsid w:val="07D151C3"/>
    <w:rsid w:val="07ED0547"/>
    <w:rsid w:val="07FE7075"/>
    <w:rsid w:val="08003B4D"/>
    <w:rsid w:val="08125598"/>
    <w:rsid w:val="0831161B"/>
    <w:rsid w:val="0842480A"/>
    <w:rsid w:val="08534C69"/>
    <w:rsid w:val="087602F4"/>
    <w:rsid w:val="087E092B"/>
    <w:rsid w:val="08834843"/>
    <w:rsid w:val="088C3B8E"/>
    <w:rsid w:val="08922EB0"/>
    <w:rsid w:val="08AE7C1C"/>
    <w:rsid w:val="08AF6B95"/>
    <w:rsid w:val="08B7621E"/>
    <w:rsid w:val="091F2D9D"/>
    <w:rsid w:val="09877100"/>
    <w:rsid w:val="09A03EDE"/>
    <w:rsid w:val="09AC0AC9"/>
    <w:rsid w:val="09D74680"/>
    <w:rsid w:val="09EF3BDE"/>
    <w:rsid w:val="09F66EE6"/>
    <w:rsid w:val="0A266F33"/>
    <w:rsid w:val="0A4570BF"/>
    <w:rsid w:val="0A9E5F43"/>
    <w:rsid w:val="0AAE1C72"/>
    <w:rsid w:val="0AB25FA8"/>
    <w:rsid w:val="0AB319EF"/>
    <w:rsid w:val="0AB87005"/>
    <w:rsid w:val="0AC66D06"/>
    <w:rsid w:val="0AC9517C"/>
    <w:rsid w:val="0AD15977"/>
    <w:rsid w:val="0AD70FEB"/>
    <w:rsid w:val="0B04049C"/>
    <w:rsid w:val="0B10514A"/>
    <w:rsid w:val="0B474DAC"/>
    <w:rsid w:val="0B54104E"/>
    <w:rsid w:val="0B5F7125"/>
    <w:rsid w:val="0B9E6145"/>
    <w:rsid w:val="0BA91692"/>
    <w:rsid w:val="0BD046EF"/>
    <w:rsid w:val="0C193F38"/>
    <w:rsid w:val="0C194EF0"/>
    <w:rsid w:val="0C1D6D25"/>
    <w:rsid w:val="0C275EC6"/>
    <w:rsid w:val="0C392992"/>
    <w:rsid w:val="0C3F520E"/>
    <w:rsid w:val="0C4C6AB2"/>
    <w:rsid w:val="0C540FAF"/>
    <w:rsid w:val="0C693EDF"/>
    <w:rsid w:val="0C7D0704"/>
    <w:rsid w:val="0CA547BD"/>
    <w:rsid w:val="0CB3303A"/>
    <w:rsid w:val="0CE61D6D"/>
    <w:rsid w:val="0CF84B00"/>
    <w:rsid w:val="0D030C4F"/>
    <w:rsid w:val="0D6B0681"/>
    <w:rsid w:val="0D6D67F0"/>
    <w:rsid w:val="0D72271B"/>
    <w:rsid w:val="0D7C2351"/>
    <w:rsid w:val="0D8458C4"/>
    <w:rsid w:val="0DA63A8D"/>
    <w:rsid w:val="0DB77C98"/>
    <w:rsid w:val="0DC06610"/>
    <w:rsid w:val="0DC24E06"/>
    <w:rsid w:val="0DCC358D"/>
    <w:rsid w:val="0E0B38F0"/>
    <w:rsid w:val="0E237751"/>
    <w:rsid w:val="0E2F07A2"/>
    <w:rsid w:val="0E5E111C"/>
    <w:rsid w:val="0E6129EE"/>
    <w:rsid w:val="0E651252"/>
    <w:rsid w:val="0E6B305A"/>
    <w:rsid w:val="0E927B6D"/>
    <w:rsid w:val="0EA21179"/>
    <w:rsid w:val="0EA2377B"/>
    <w:rsid w:val="0EC248F6"/>
    <w:rsid w:val="0EC642D4"/>
    <w:rsid w:val="0EDA09D6"/>
    <w:rsid w:val="0EF80318"/>
    <w:rsid w:val="0F1D44D7"/>
    <w:rsid w:val="0F1F7B37"/>
    <w:rsid w:val="0F2B3420"/>
    <w:rsid w:val="0F4667BD"/>
    <w:rsid w:val="0F5C3CC4"/>
    <w:rsid w:val="0F696813"/>
    <w:rsid w:val="0F81030D"/>
    <w:rsid w:val="0F93655F"/>
    <w:rsid w:val="0F9C2D49"/>
    <w:rsid w:val="0F9F759D"/>
    <w:rsid w:val="0FBF0B0E"/>
    <w:rsid w:val="0FD146C5"/>
    <w:rsid w:val="0FDE64B4"/>
    <w:rsid w:val="0FF92E4C"/>
    <w:rsid w:val="102E0B57"/>
    <w:rsid w:val="105D059A"/>
    <w:rsid w:val="105D2736"/>
    <w:rsid w:val="105E1FE1"/>
    <w:rsid w:val="105E2929"/>
    <w:rsid w:val="10853F6C"/>
    <w:rsid w:val="108B186A"/>
    <w:rsid w:val="10D95F27"/>
    <w:rsid w:val="10DC0256"/>
    <w:rsid w:val="10DC3801"/>
    <w:rsid w:val="10EA469C"/>
    <w:rsid w:val="10F845FF"/>
    <w:rsid w:val="11252F1A"/>
    <w:rsid w:val="11290376"/>
    <w:rsid w:val="1134260C"/>
    <w:rsid w:val="1137137D"/>
    <w:rsid w:val="113B22DE"/>
    <w:rsid w:val="11911E6C"/>
    <w:rsid w:val="11A77DD3"/>
    <w:rsid w:val="11CC63A6"/>
    <w:rsid w:val="11E701D0"/>
    <w:rsid w:val="11E958CB"/>
    <w:rsid w:val="11EB4164"/>
    <w:rsid w:val="11FF1895"/>
    <w:rsid w:val="12050A30"/>
    <w:rsid w:val="121B4B9E"/>
    <w:rsid w:val="1220095D"/>
    <w:rsid w:val="1223533D"/>
    <w:rsid w:val="122D4675"/>
    <w:rsid w:val="12443874"/>
    <w:rsid w:val="128B7F16"/>
    <w:rsid w:val="128F2D41"/>
    <w:rsid w:val="12A063BF"/>
    <w:rsid w:val="12A32349"/>
    <w:rsid w:val="12EC67C6"/>
    <w:rsid w:val="130848A2"/>
    <w:rsid w:val="1311298F"/>
    <w:rsid w:val="13120F33"/>
    <w:rsid w:val="13163293"/>
    <w:rsid w:val="132807BE"/>
    <w:rsid w:val="13300697"/>
    <w:rsid w:val="13305439"/>
    <w:rsid w:val="133D30A6"/>
    <w:rsid w:val="133E5C80"/>
    <w:rsid w:val="134727A8"/>
    <w:rsid w:val="1364393A"/>
    <w:rsid w:val="13B222E0"/>
    <w:rsid w:val="13B46982"/>
    <w:rsid w:val="13C64421"/>
    <w:rsid w:val="13DB4C32"/>
    <w:rsid w:val="13F96159"/>
    <w:rsid w:val="13F97543"/>
    <w:rsid w:val="140B2D82"/>
    <w:rsid w:val="14256A8B"/>
    <w:rsid w:val="142A6B6A"/>
    <w:rsid w:val="14533ECB"/>
    <w:rsid w:val="14554D3C"/>
    <w:rsid w:val="14577118"/>
    <w:rsid w:val="146051D4"/>
    <w:rsid w:val="146B158C"/>
    <w:rsid w:val="14812B5E"/>
    <w:rsid w:val="14A92A83"/>
    <w:rsid w:val="14AD5C65"/>
    <w:rsid w:val="14D233B9"/>
    <w:rsid w:val="150A4901"/>
    <w:rsid w:val="150A4FF4"/>
    <w:rsid w:val="153635E8"/>
    <w:rsid w:val="153848C3"/>
    <w:rsid w:val="15476D4F"/>
    <w:rsid w:val="154E3304"/>
    <w:rsid w:val="15667802"/>
    <w:rsid w:val="1583770D"/>
    <w:rsid w:val="15A00DC2"/>
    <w:rsid w:val="15B0496D"/>
    <w:rsid w:val="15B4510E"/>
    <w:rsid w:val="15BC5721"/>
    <w:rsid w:val="15C44849"/>
    <w:rsid w:val="1633597C"/>
    <w:rsid w:val="16493207"/>
    <w:rsid w:val="16501148"/>
    <w:rsid w:val="16581ABC"/>
    <w:rsid w:val="165906B6"/>
    <w:rsid w:val="165974C9"/>
    <w:rsid w:val="165F5C0F"/>
    <w:rsid w:val="167E531B"/>
    <w:rsid w:val="169B1033"/>
    <w:rsid w:val="16BE36BB"/>
    <w:rsid w:val="16BE4179"/>
    <w:rsid w:val="16C223D4"/>
    <w:rsid w:val="16D07C10"/>
    <w:rsid w:val="16D54150"/>
    <w:rsid w:val="17150B65"/>
    <w:rsid w:val="172B27B2"/>
    <w:rsid w:val="17310845"/>
    <w:rsid w:val="17740991"/>
    <w:rsid w:val="17967879"/>
    <w:rsid w:val="179B6F24"/>
    <w:rsid w:val="17B400B2"/>
    <w:rsid w:val="17C65F8B"/>
    <w:rsid w:val="17FE0B54"/>
    <w:rsid w:val="18016B7A"/>
    <w:rsid w:val="1814672F"/>
    <w:rsid w:val="182243B7"/>
    <w:rsid w:val="182F1FA9"/>
    <w:rsid w:val="183B6DB6"/>
    <w:rsid w:val="183D6D9C"/>
    <w:rsid w:val="18494A7F"/>
    <w:rsid w:val="184C501C"/>
    <w:rsid w:val="185B5474"/>
    <w:rsid w:val="186210B0"/>
    <w:rsid w:val="1879418B"/>
    <w:rsid w:val="18946876"/>
    <w:rsid w:val="18D46224"/>
    <w:rsid w:val="18D87CDE"/>
    <w:rsid w:val="18E84FB8"/>
    <w:rsid w:val="18E86A24"/>
    <w:rsid w:val="190855FC"/>
    <w:rsid w:val="190B0C48"/>
    <w:rsid w:val="19102A13"/>
    <w:rsid w:val="192E0661"/>
    <w:rsid w:val="194E4BF7"/>
    <w:rsid w:val="1968622A"/>
    <w:rsid w:val="19730A46"/>
    <w:rsid w:val="198573A4"/>
    <w:rsid w:val="19982AFB"/>
    <w:rsid w:val="19A04B46"/>
    <w:rsid w:val="19B72A43"/>
    <w:rsid w:val="19EB743A"/>
    <w:rsid w:val="1A185CF3"/>
    <w:rsid w:val="1A317122"/>
    <w:rsid w:val="1A5105DF"/>
    <w:rsid w:val="1A5F1113"/>
    <w:rsid w:val="1A60475D"/>
    <w:rsid w:val="1A711CEA"/>
    <w:rsid w:val="1AC67B6D"/>
    <w:rsid w:val="1AC92C2E"/>
    <w:rsid w:val="1ADD1AF5"/>
    <w:rsid w:val="1AE5767C"/>
    <w:rsid w:val="1AEB0C70"/>
    <w:rsid w:val="1AFC4CEC"/>
    <w:rsid w:val="1AFF273F"/>
    <w:rsid w:val="1B152869"/>
    <w:rsid w:val="1B4108ED"/>
    <w:rsid w:val="1B721452"/>
    <w:rsid w:val="1B983984"/>
    <w:rsid w:val="1B9A60C8"/>
    <w:rsid w:val="1BBA5051"/>
    <w:rsid w:val="1BCA1696"/>
    <w:rsid w:val="1BEE4367"/>
    <w:rsid w:val="1BEF2AA3"/>
    <w:rsid w:val="1C23502C"/>
    <w:rsid w:val="1C236B82"/>
    <w:rsid w:val="1C2C7A63"/>
    <w:rsid w:val="1C550C4D"/>
    <w:rsid w:val="1C695215"/>
    <w:rsid w:val="1CA7437B"/>
    <w:rsid w:val="1CC26675"/>
    <w:rsid w:val="1CC37441"/>
    <w:rsid w:val="1CF826FB"/>
    <w:rsid w:val="1D290BCF"/>
    <w:rsid w:val="1D2B531C"/>
    <w:rsid w:val="1D3A5FA0"/>
    <w:rsid w:val="1D3D339A"/>
    <w:rsid w:val="1D4B4473"/>
    <w:rsid w:val="1D510ED8"/>
    <w:rsid w:val="1D692377"/>
    <w:rsid w:val="1D747867"/>
    <w:rsid w:val="1D824F52"/>
    <w:rsid w:val="1D9E3C4D"/>
    <w:rsid w:val="1DA50210"/>
    <w:rsid w:val="1DBD7EAF"/>
    <w:rsid w:val="1DBF1EFE"/>
    <w:rsid w:val="1DCA1CA7"/>
    <w:rsid w:val="1DED70BD"/>
    <w:rsid w:val="1DF172E8"/>
    <w:rsid w:val="1E0068A1"/>
    <w:rsid w:val="1E01614F"/>
    <w:rsid w:val="1E0653C3"/>
    <w:rsid w:val="1E544C72"/>
    <w:rsid w:val="1E5A6BE6"/>
    <w:rsid w:val="1E6E4153"/>
    <w:rsid w:val="1E7554E1"/>
    <w:rsid w:val="1E9E1DF3"/>
    <w:rsid w:val="1EA86D70"/>
    <w:rsid w:val="1EB3012D"/>
    <w:rsid w:val="1EC45B21"/>
    <w:rsid w:val="1ECD028E"/>
    <w:rsid w:val="1F0C2499"/>
    <w:rsid w:val="1F12131E"/>
    <w:rsid w:val="1F240CB5"/>
    <w:rsid w:val="1F6F6FDF"/>
    <w:rsid w:val="1F783E3D"/>
    <w:rsid w:val="1F8635DD"/>
    <w:rsid w:val="1F8B3966"/>
    <w:rsid w:val="1F975861"/>
    <w:rsid w:val="1F981039"/>
    <w:rsid w:val="1FB53589"/>
    <w:rsid w:val="1FD10CCE"/>
    <w:rsid w:val="1FFA2AB5"/>
    <w:rsid w:val="20114D60"/>
    <w:rsid w:val="20196340"/>
    <w:rsid w:val="203B1E13"/>
    <w:rsid w:val="20564E1C"/>
    <w:rsid w:val="205729C5"/>
    <w:rsid w:val="205D447F"/>
    <w:rsid w:val="20653CCB"/>
    <w:rsid w:val="20740490"/>
    <w:rsid w:val="208509C3"/>
    <w:rsid w:val="209642FF"/>
    <w:rsid w:val="20A839AB"/>
    <w:rsid w:val="20A976C4"/>
    <w:rsid w:val="20AA343C"/>
    <w:rsid w:val="20B6593D"/>
    <w:rsid w:val="20B70712"/>
    <w:rsid w:val="20DC50EF"/>
    <w:rsid w:val="20FA3935"/>
    <w:rsid w:val="211663DC"/>
    <w:rsid w:val="211E3363"/>
    <w:rsid w:val="21217B73"/>
    <w:rsid w:val="212705E9"/>
    <w:rsid w:val="21617929"/>
    <w:rsid w:val="21B31E7D"/>
    <w:rsid w:val="21B85CF6"/>
    <w:rsid w:val="21C91279"/>
    <w:rsid w:val="21D0618E"/>
    <w:rsid w:val="21D73DBD"/>
    <w:rsid w:val="21D95741"/>
    <w:rsid w:val="21F85AF9"/>
    <w:rsid w:val="220B1081"/>
    <w:rsid w:val="220B7F0B"/>
    <w:rsid w:val="221823AC"/>
    <w:rsid w:val="2218749D"/>
    <w:rsid w:val="22353155"/>
    <w:rsid w:val="22525D60"/>
    <w:rsid w:val="225560AE"/>
    <w:rsid w:val="22575AE7"/>
    <w:rsid w:val="225C0088"/>
    <w:rsid w:val="226513C9"/>
    <w:rsid w:val="22665522"/>
    <w:rsid w:val="226C09A9"/>
    <w:rsid w:val="22742233"/>
    <w:rsid w:val="229949B3"/>
    <w:rsid w:val="22B808A4"/>
    <w:rsid w:val="22C57BFF"/>
    <w:rsid w:val="22CA10BE"/>
    <w:rsid w:val="23032155"/>
    <w:rsid w:val="23037C1E"/>
    <w:rsid w:val="230A78E9"/>
    <w:rsid w:val="2316279A"/>
    <w:rsid w:val="231C2921"/>
    <w:rsid w:val="23353491"/>
    <w:rsid w:val="233560DB"/>
    <w:rsid w:val="233D5DF4"/>
    <w:rsid w:val="23425FA4"/>
    <w:rsid w:val="234F7238"/>
    <w:rsid w:val="23B95E70"/>
    <w:rsid w:val="23BC3AB0"/>
    <w:rsid w:val="23DF3A3B"/>
    <w:rsid w:val="23F85B81"/>
    <w:rsid w:val="240310F2"/>
    <w:rsid w:val="242B03F0"/>
    <w:rsid w:val="24767AD6"/>
    <w:rsid w:val="247E41A6"/>
    <w:rsid w:val="24A7216D"/>
    <w:rsid w:val="24A75360"/>
    <w:rsid w:val="24A90C5B"/>
    <w:rsid w:val="24E50EF8"/>
    <w:rsid w:val="24E57678"/>
    <w:rsid w:val="255A0410"/>
    <w:rsid w:val="25610931"/>
    <w:rsid w:val="256460D6"/>
    <w:rsid w:val="25773914"/>
    <w:rsid w:val="257C0CA6"/>
    <w:rsid w:val="25A418BF"/>
    <w:rsid w:val="25A70D48"/>
    <w:rsid w:val="25B31714"/>
    <w:rsid w:val="25B647DC"/>
    <w:rsid w:val="25B819FE"/>
    <w:rsid w:val="25CB3C39"/>
    <w:rsid w:val="25D203D6"/>
    <w:rsid w:val="25D6438C"/>
    <w:rsid w:val="25DD09EB"/>
    <w:rsid w:val="26060955"/>
    <w:rsid w:val="263F2722"/>
    <w:rsid w:val="264A2683"/>
    <w:rsid w:val="265D6AEF"/>
    <w:rsid w:val="267047E0"/>
    <w:rsid w:val="26936CE9"/>
    <w:rsid w:val="26967D3D"/>
    <w:rsid w:val="269D1678"/>
    <w:rsid w:val="26A80F18"/>
    <w:rsid w:val="26C05112"/>
    <w:rsid w:val="26D57187"/>
    <w:rsid w:val="26D91694"/>
    <w:rsid w:val="26D94BE0"/>
    <w:rsid w:val="26E048FB"/>
    <w:rsid w:val="26E73A3D"/>
    <w:rsid w:val="26F0776F"/>
    <w:rsid w:val="27217D2E"/>
    <w:rsid w:val="2725245A"/>
    <w:rsid w:val="2737511B"/>
    <w:rsid w:val="275E288B"/>
    <w:rsid w:val="275E6BB1"/>
    <w:rsid w:val="27663B78"/>
    <w:rsid w:val="276D2440"/>
    <w:rsid w:val="277660C8"/>
    <w:rsid w:val="278B1E7B"/>
    <w:rsid w:val="27963367"/>
    <w:rsid w:val="279653F3"/>
    <w:rsid w:val="27997CE4"/>
    <w:rsid w:val="27A223CC"/>
    <w:rsid w:val="27B253AF"/>
    <w:rsid w:val="27C14A36"/>
    <w:rsid w:val="27C873BA"/>
    <w:rsid w:val="27D55048"/>
    <w:rsid w:val="27DA27A0"/>
    <w:rsid w:val="27F265DB"/>
    <w:rsid w:val="28034F98"/>
    <w:rsid w:val="281F201A"/>
    <w:rsid w:val="28344608"/>
    <w:rsid w:val="283C18FE"/>
    <w:rsid w:val="284C436F"/>
    <w:rsid w:val="285E4914"/>
    <w:rsid w:val="285F1255"/>
    <w:rsid w:val="28676AEF"/>
    <w:rsid w:val="28734F7A"/>
    <w:rsid w:val="287837D9"/>
    <w:rsid w:val="28804999"/>
    <w:rsid w:val="28930696"/>
    <w:rsid w:val="28A24E43"/>
    <w:rsid w:val="28A95CE6"/>
    <w:rsid w:val="28E1657C"/>
    <w:rsid w:val="2903193C"/>
    <w:rsid w:val="29125267"/>
    <w:rsid w:val="2913315F"/>
    <w:rsid w:val="292357EE"/>
    <w:rsid w:val="292774E1"/>
    <w:rsid w:val="29403654"/>
    <w:rsid w:val="29403BEA"/>
    <w:rsid w:val="294206B6"/>
    <w:rsid w:val="29565F0F"/>
    <w:rsid w:val="29781F87"/>
    <w:rsid w:val="297F26F1"/>
    <w:rsid w:val="298C7B83"/>
    <w:rsid w:val="29961519"/>
    <w:rsid w:val="29982F58"/>
    <w:rsid w:val="299D5919"/>
    <w:rsid w:val="29AF73CD"/>
    <w:rsid w:val="29BF1D06"/>
    <w:rsid w:val="29C63095"/>
    <w:rsid w:val="29D12522"/>
    <w:rsid w:val="29D66BE2"/>
    <w:rsid w:val="29E71B2B"/>
    <w:rsid w:val="2A01702E"/>
    <w:rsid w:val="2A195B50"/>
    <w:rsid w:val="2A2C1CBC"/>
    <w:rsid w:val="2A50319E"/>
    <w:rsid w:val="2A5F0F4E"/>
    <w:rsid w:val="2A654356"/>
    <w:rsid w:val="2A6675BD"/>
    <w:rsid w:val="2AA229C8"/>
    <w:rsid w:val="2AC670C5"/>
    <w:rsid w:val="2ACC0C6F"/>
    <w:rsid w:val="2ADE61BC"/>
    <w:rsid w:val="2AFD0A94"/>
    <w:rsid w:val="2B030A5B"/>
    <w:rsid w:val="2B12230A"/>
    <w:rsid w:val="2B2731A5"/>
    <w:rsid w:val="2B2D1BB3"/>
    <w:rsid w:val="2B3806C6"/>
    <w:rsid w:val="2B5A189D"/>
    <w:rsid w:val="2B5C39E0"/>
    <w:rsid w:val="2B894BE4"/>
    <w:rsid w:val="2BA53670"/>
    <w:rsid w:val="2BB67BDB"/>
    <w:rsid w:val="2BCF5E4C"/>
    <w:rsid w:val="2BDB639C"/>
    <w:rsid w:val="2BDC5E42"/>
    <w:rsid w:val="2C073420"/>
    <w:rsid w:val="2C4D6CD6"/>
    <w:rsid w:val="2C5A71B8"/>
    <w:rsid w:val="2C6134D9"/>
    <w:rsid w:val="2C697A77"/>
    <w:rsid w:val="2C9C5640"/>
    <w:rsid w:val="2CA64898"/>
    <w:rsid w:val="2CA97E97"/>
    <w:rsid w:val="2CCF238D"/>
    <w:rsid w:val="2D023258"/>
    <w:rsid w:val="2D0D2D89"/>
    <w:rsid w:val="2D293889"/>
    <w:rsid w:val="2D2D34D0"/>
    <w:rsid w:val="2D6A30CC"/>
    <w:rsid w:val="2D80355B"/>
    <w:rsid w:val="2D965573"/>
    <w:rsid w:val="2D9E58E1"/>
    <w:rsid w:val="2DDC61BE"/>
    <w:rsid w:val="2DE27F4C"/>
    <w:rsid w:val="2DE454BF"/>
    <w:rsid w:val="2E1D207C"/>
    <w:rsid w:val="2E416F54"/>
    <w:rsid w:val="2E5C3133"/>
    <w:rsid w:val="2E601DA9"/>
    <w:rsid w:val="2E8250B1"/>
    <w:rsid w:val="2EBF125F"/>
    <w:rsid w:val="2EBF4557"/>
    <w:rsid w:val="2EC021D2"/>
    <w:rsid w:val="2EE66043"/>
    <w:rsid w:val="2EEA7371"/>
    <w:rsid w:val="2EF7419D"/>
    <w:rsid w:val="2F173E00"/>
    <w:rsid w:val="2F257316"/>
    <w:rsid w:val="2F2F0D56"/>
    <w:rsid w:val="2F3A66D4"/>
    <w:rsid w:val="2F484865"/>
    <w:rsid w:val="2F5C5FCE"/>
    <w:rsid w:val="2F6E5886"/>
    <w:rsid w:val="2F823A47"/>
    <w:rsid w:val="2F8A06A3"/>
    <w:rsid w:val="2FAC2867"/>
    <w:rsid w:val="2FC42DC1"/>
    <w:rsid w:val="2FCC30EF"/>
    <w:rsid w:val="2FFC75F6"/>
    <w:rsid w:val="30244C0A"/>
    <w:rsid w:val="30511827"/>
    <w:rsid w:val="30541141"/>
    <w:rsid w:val="30552554"/>
    <w:rsid w:val="30601031"/>
    <w:rsid w:val="30637762"/>
    <w:rsid w:val="306B52C2"/>
    <w:rsid w:val="306D3B35"/>
    <w:rsid w:val="308A47E2"/>
    <w:rsid w:val="30BF064E"/>
    <w:rsid w:val="30C3197F"/>
    <w:rsid w:val="30C57B81"/>
    <w:rsid w:val="30CA7DEC"/>
    <w:rsid w:val="30D649C4"/>
    <w:rsid w:val="30E522BC"/>
    <w:rsid w:val="31015739"/>
    <w:rsid w:val="3106646D"/>
    <w:rsid w:val="315721C5"/>
    <w:rsid w:val="3191532C"/>
    <w:rsid w:val="31AA7DF3"/>
    <w:rsid w:val="31D35D3D"/>
    <w:rsid w:val="31EB3FD2"/>
    <w:rsid w:val="31EB40FD"/>
    <w:rsid w:val="31F05732"/>
    <w:rsid w:val="320A5AE9"/>
    <w:rsid w:val="320F7194"/>
    <w:rsid w:val="321B2A39"/>
    <w:rsid w:val="323201BC"/>
    <w:rsid w:val="32333213"/>
    <w:rsid w:val="326B3996"/>
    <w:rsid w:val="3290400E"/>
    <w:rsid w:val="32954E56"/>
    <w:rsid w:val="32A07841"/>
    <w:rsid w:val="32A3607C"/>
    <w:rsid w:val="32A837A8"/>
    <w:rsid w:val="32AB0ADD"/>
    <w:rsid w:val="32B17C59"/>
    <w:rsid w:val="32B80859"/>
    <w:rsid w:val="32BE21D4"/>
    <w:rsid w:val="32C562B3"/>
    <w:rsid w:val="32C91500"/>
    <w:rsid w:val="32E3157B"/>
    <w:rsid w:val="32E93A16"/>
    <w:rsid w:val="32F03DB6"/>
    <w:rsid w:val="3306609B"/>
    <w:rsid w:val="33114C55"/>
    <w:rsid w:val="33124CD5"/>
    <w:rsid w:val="331726A1"/>
    <w:rsid w:val="331B3AF7"/>
    <w:rsid w:val="3320524E"/>
    <w:rsid w:val="33260700"/>
    <w:rsid w:val="33393D90"/>
    <w:rsid w:val="335E67A9"/>
    <w:rsid w:val="33647967"/>
    <w:rsid w:val="33911506"/>
    <w:rsid w:val="33BF74A1"/>
    <w:rsid w:val="33D42AA0"/>
    <w:rsid w:val="33DA7584"/>
    <w:rsid w:val="33DE547F"/>
    <w:rsid w:val="33E81E5A"/>
    <w:rsid w:val="33EB123A"/>
    <w:rsid w:val="33F56E56"/>
    <w:rsid w:val="342126BC"/>
    <w:rsid w:val="3450415D"/>
    <w:rsid w:val="346B31A9"/>
    <w:rsid w:val="347739C3"/>
    <w:rsid w:val="347A533C"/>
    <w:rsid w:val="347F27BE"/>
    <w:rsid w:val="348160A0"/>
    <w:rsid w:val="348646C8"/>
    <w:rsid w:val="34891D2B"/>
    <w:rsid w:val="34A160F9"/>
    <w:rsid w:val="34BE1510"/>
    <w:rsid w:val="34CB5A03"/>
    <w:rsid w:val="34D7170F"/>
    <w:rsid w:val="34D965AA"/>
    <w:rsid w:val="34F62354"/>
    <w:rsid w:val="34FE5AB9"/>
    <w:rsid w:val="3500518A"/>
    <w:rsid w:val="351B043D"/>
    <w:rsid w:val="3529097C"/>
    <w:rsid w:val="35383062"/>
    <w:rsid w:val="355322FE"/>
    <w:rsid w:val="35546254"/>
    <w:rsid w:val="355D21F6"/>
    <w:rsid w:val="35690BAC"/>
    <w:rsid w:val="356C1BD2"/>
    <w:rsid w:val="359E4EC6"/>
    <w:rsid w:val="35AB02C9"/>
    <w:rsid w:val="35AB6865"/>
    <w:rsid w:val="35B93112"/>
    <w:rsid w:val="35C44201"/>
    <w:rsid w:val="35E57898"/>
    <w:rsid w:val="35ED4CC8"/>
    <w:rsid w:val="35F65FEB"/>
    <w:rsid w:val="35FB05D5"/>
    <w:rsid w:val="360038EA"/>
    <w:rsid w:val="360B3FDC"/>
    <w:rsid w:val="361425FF"/>
    <w:rsid w:val="3618560B"/>
    <w:rsid w:val="362F1FC2"/>
    <w:rsid w:val="366817A6"/>
    <w:rsid w:val="36714388"/>
    <w:rsid w:val="369755C6"/>
    <w:rsid w:val="369A27D8"/>
    <w:rsid w:val="369B37CB"/>
    <w:rsid w:val="36B43C0E"/>
    <w:rsid w:val="36CD7D31"/>
    <w:rsid w:val="371B49D7"/>
    <w:rsid w:val="372D203F"/>
    <w:rsid w:val="373067C4"/>
    <w:rsid w:val="37307DA0"/>
    <w:rsid w:val="37457DF9"/>
    <w:rsid w:val="37654C4C"/>
    <w:rsid w:val="3784208C"/>
    <w:rsid w:val="3784633D"/>
    <w:rsid w:val="3790132C"/>
    <w:rsid w:val="37967D84"/>
    <w:rsid w:val="37A46AD1"/>
    <w:rsid w:val="37B066BC"/>
    <w:rsid w:val="37BD6616"/>
    <w:rsid w:val="37CA01F4"/>
    <w:rsid w:val="37CC7D78"/>
    <w:rsid w:val="37D263C5"/>
    <w:rsid w:val="37E4035F"/>
    <w:rsid w:val="37ED7822"/>
    <w:rsid w:val="37F1529D"/>
    <w:rsid w:val="382602C5"/>
    <w:rsid w:val="383D18E1"/>
    <w:rsid w:val="3840571B"/>
    <w:rsid w:val="3841041B"/>
    <w:rsid w:val="385F3B08"/>
    <w:rsid w:val="386C4DAB"/>
    <w:rsid w:val="38942DFD"/>
    <w:rsid w:val="38AF6410"/>
    <w:rsid w:val="38B565B5"/>
    <w:rsid w:val="38BE2F8E"/>
    <w:rsid w:val="38D41444"/>
    <w:rsid w:val="38F82B3F"/>
    <w:rsid w:val="39062620"/>
    <w:rsid w:val="392E5398"/>
    <w:rsid w:val="394C3DF3"/>
    <w:rsid w:val="394E062D"/>
    <w:rsid w:val="395A7356"/>
    <w:rsid w:val="396521F6"/>
    <w:rsid w:val="396B1563"/>
    <w:rsid w:val="39825398"/>
    <w:rsid w:val="39BF74AA"/>
    <w:rsid w:val="39C47A73"/>
    <w:rsid w:val="39FB49A7"/>
    <w:rsid w:val="3A054FDD"/>
    <w:rsid w:val="3A0B4AF4"/>
    <w:rsid w:val="3A1B1FB0"/>
    <w:rsid w:val="3A2A31CC"/>
    <w:rsid w:val="3A363CDF"/>
    <w:rsid w:val="3A4B79F7"/>
    <w:rsid w:val="3A577A76"/>
    <w:rsid w:val="3A6232DD"/>
    <w:rsid w:val="3A737B4C"/>
    <w:rsid w:val="3A9F0BCF"/>
    <w:rsid w:val="3AB46F3A"/>
    <w:rsid w:val="3ABC188F"/>
    <w:rsid w:val="3ADC476E"/>
    <w:rsid w:val="3AE818B5"/>
    <w:rsid w:val="3B046201"/>
    <w:rsid w:val="3B263BFF"/>
    <w:rsid w:val="3B2B7C2F"/>
    <w:rsid w:val="3B3C580C"/>
    <w:rsid w:val="3B3E00DD"/>
    <w:rsid w:val="3B491430"/>
    <w:rsid w:val="3B51096B"/>
    <w:rsid w:val="3B597C99"/>
    <w:rsid w:val="3B686021"/>
    <w:rsid w:val="3B6E471D"/>
    <w:rsid w:val="3B810A78"/>
    <w:rsid w:val="3B8935F3"/>
    <w:rsid w:val="3B9B1FDA"/>
    <w:rsid w:val="3BB64FAE"/>
    <w:rsid w:val="3BC9126F"/>
    <w:rsid w:val="3BDF3B42"/>
    <w:rsid w:val="3BE4664E"/>
    <w:rsid w:val="3BFB781B"/>
    <w:rsid w:val="3C034FB4"/>
    <w:rsid w:val="3C041B8D"/>
    <w:rsid w:val="3C2266F8"/>
    <w:rsid w:val="3C2930D6"/>
    <w:rsid w:val="3C4A1903"/>
    <w:rsid w:val="3C600CE4"/>
    <w:rsid w:val="3C656E7A"/>
    <w:rsid w:val="3C704C8B"/>
    <w:rsid w:val="3C787234"/>
    <w:rsid w:val="3CBE03D9"/>
    <w:rsid w:val="3CC33464"/>
    <w:rsid w:val="3CCF1E09"/>
    <w:rsid w:val="3D097CDC"/>
    <w:rsid w:val="3D0D20D8"/>
    <w:rsid w:val="3D0F4678"/>
    <w:rsid w:val="3D2B03FC"/>
    <w:rsid w:val="3D314E96"/>
    <w:rsid w:val="3D664EAE"/>
    <w:rsid w:val="3D766E1E"/>
    <w:rsid w:val="3D795BD5"/>
    <w:rsid w:val="3D86121B"/>
    <w:rsid w:val="3D9372DA"/>
    <w:rsid w:val="3D96081D"/>
    <w:rsid w:val="3DC456E6"/>
    <w:rsid w:val="3DC70764"/>
    <w:rsid w:val="3DD745CD"/>
    <w:rsid w:val="3DDC4C4A"/>
    <w:rsid w:val="3DFA2EB5"/>
    <w:rsid w:val="3DFB46B8"/>
    <w:rsid w:val="3E194558"/>
    <w:rsid w:val="3E774890"/>
    <w:rsid w:val="3EA27C15"/>
    <w:rsid w:val="3EC731C2"/>
    <w:rsid w:val="3ECB2E41"/>
    <w:rsid w:val="3EE95418"/>
    <w:rsid w:val="3EEE67C2"/>
    <w:rsid w:val="3F261A88"/>
    <w:rsid w:val="3F2D5C1C"/>
    <w:rsid w:val="3F5710FB"/>
    <w:rsid w:val="3F6E5204"/>
    <w:rsid w:val="3F6E7899"/>
    <w:rsid w:val="3F7213BF"/>
    <w:rsid w:val="3F7867B4"/>
    <w:rsid w:val="3F7D53BE"/>
    <w:rsid w:val="3F8C0DDE"/>
    <w:rsid w:val="3FAC09FA"/>
    <w:rsid w:val="3FB83DA9"/>
    <w:rsid w:val="3FC936EF"/>
    <w:rsid w:val="3FD91118"/>
    <w:rsid w:val="3FE4472A"/>
    <w:rsid w:val="3FEB5674"/>
    <w:rsid w:val="3FF96FE1"/>
    <w:rsid w:val="3FFE77F9"/>
    <w:rsid w:val="40104686"/>
    <w:rsid w:val="405916D9"/>
    <w:rsid w:val="40696866"/>
    <w:rsid w:val="40697D37"/>
    <w:rsid w:val="40726508"/>
    <w:rsid w:val="407A71E7"/>
    <w:rsid w:val="40933490"/>
    <w:rsid w:val="40E57CFA"/>
    <w:rsid w:val="411B0E0C"/>
    <w:rsid w:val="41245D81"/>
    <w:rsid w:val="41246F2D"/>
    <w:rsid w:val="412B7E1B"/>
    <w:rsid w:val="4167411E"/>
    <w:rsid w:val="416D3015"/>
    <w:rsid w:val="41770ACF"/>
    <w:rsid w:val="41833D2C"/>
    <w:rsid w:val="41870F04"/>
    <w:rsid w:val="41932A85"/>
    <w:rsid w:val="41970E2B"/>
    <w:rsid w:val="41AF1171"/>
    <w:rsid w:val="41B65FE4"/>
    <w:rsid w:val="41BB7A4B"/>
    <w:rsid w:val="41CB445F"/>
    <w:rsid w:val="41D56ACF"/>
    <w:rsid w:val="422B1C96"/>
    <w:rsid w:val="428007D1"/>
    <w:rsid w:val="4297081E"/>
    <w:rsid w:val="42A51D79"/>
    <w:rsid w:val="42B81767"/>
    <w:rsid w:val="42CE4075"/>
    <w:rsid w:val="42D01D84"/>
    <w:rsid w:val="42D3488A"/>
    <w:rsid w:val="42D40179"/>
    <w:rsid w:val="42DF36BB"/>
    <w:rsid w:val="42E945B5"/>
    <w:rsid w:val="43157EBE"/>
    <w:rsid w:val="43197979"/>
    <w:rsid w:val="431D64A9"/>
    <w:rsid w:val="43283AEA"/>
    <w:rsid w:val="435E7A42"/>
    <w:rsid w:val="4382562B"/>
    <w:rsid w:val="43AF3CF4"/>
    <w:rsid w:val="43C0426F"/>
    <w:rsid w:val="43C407D2"/>
    <w:rsid w:val="43E87D4F"/>
    <w:rsid w:val="43F56E6C"/>
    <w:rsid w:val="440C699C"/>
    <w:rsid w:val="44175E76"/>
    <w:rsid w:val="441D78FE"/>
    <w:rsid w:val="44290050"/>
    <w:rsid w:val="443811FE"/>
    <w:rsid w:val="443F2DE0"/>
    <w:rsid w:val="444159E3"/>
    <w:rsid w:val="448639D3"/>
    <w:rsid w:val="44997076"/>
    <w:rsid w:val="44F63E98"/>
    <w:rsid w:val="44FC7677"/>
    <w:rsid w:val="450869DE"/>
    <w:rsid w:val="451D04D1"/>
    <w:rsid w:val="451F098F"/>
    <w:rsid w:val="454964D0"/>
    <w:rsid w:val="45607C55"/>
    <w:rsid w:val="4567144F"/>
    <w:rsid w:val="456F62DA"/>
    <w:rsid w:val="45A60872"/>
    <w:rsid w:val="460938FD"/>
    <w:rsid w:val="46257B5A"/>
    <w:rsid w:val="463158E2"/>
    <w:rsid w:val="46400C24"/>
    <w:rsid w:val="466003B8"/>
    <w:rsid w:val="467F3D46"/>
    <w:rsid w:val="469A3487"/>
    <w:rsid w:val="469A7DA8"/>
    <w:rsid w:val="46A84B10"/>
    <w:rsid w:val="46B753D2"/>
    <w:rsid w:val="46BA69B4"/>
    <w:rsid w:val="46C91677"/>
    <w:rsid w:val="46D36999"/>
    <w:rsid w:val="47075366"/>
    <w:rsid w:val="47116DDB"/>
    <w:rsid w:val="471E5E67"/>
    <w:rsid w:val="4737729E"/>
    <w:rsid w:val="47460B52"/>
    <w:rsid w:val="47603830"/>
    <w:rsid w:val="4786535E"/>
    <w:rsid w:val="47986815"/>
    <w:rsid w:val="47BD6E29"/>
    <w:rsid w:val="47C00083"/>
    <w:rsid w:val="47FC1802"/>
    <w:rsid w:val="480440B3"/>
    <w:rsid w:val="48074BC4"/>
    <w:rsid w:val="480C4566"/>
    <w:rsid w:val="484C1597"/>
    <w:rsid w:val="484D62D8"/>
    <w:rsid w:val="48661722"/>
    <w:rsid w:val="488A3F7C"/>
    <w:rsid w:val="48931F3C"/>
    <w:rsid w:val="48945D65"/>
    <w:rsid w:val="48973AE1"/>
    <w:rsid w:val="48A25260"/>
    <w:rsid w:val="48A46D7D"/>
    <w:rsid w:val="48CB4C31"/>
    <w:rsid w:val="48CC534B"/>
    <w:rsid w:val="48E44E8E"/>
    <w:rsid w:val="48EE7ABB"/>
    <w:rsid w:val="48FB711E"/>
    <w:rsid w:val="4902252E"/>
    <w:rsid w:val="49207137"/>
    <w:rsid w:val="495D6D55"/>
    <w:rsid w:val="49784F02"/>
    <w:rsid w:val="497A53B8"/>
    <w:rsid w:val="497B5DEA"/>
    <w:rsid w:val="49815F3C"/>
    <w:rsid w:val="49837301"/>
    <w:rsid w:val="498F3FD1"/>
    <w:rsid w:val="49A14B2D"/>
    <w:rsid w:val="49A71B50"/>
    <w:rsid w:val="49AF1D6F"/>
    <w:rsid w:val="49BC1A40"/>
    <w:rsid w:val="49CA029D"/>
    <w:rsid w:val="4A0E4DE4"/>
    <w:rsid w:val="4A1130F7"/>
    <w:rsid w:val="4A1224D9"/>
    <w:rsid w:val="4A162E25"/>
    <w:rsid w:val="4A34774F"/>
    <w:rsid w:val="4A5A41AA"/>
    <w:rsid w:val="4A9D24B3"/>
    <w:rsid w:val="4AA903ED"/>
    <w:rsid w:val="4AB317B1"/>
    <w:rsid w:val="4AD539DE"/>
    <w:rsid w:val="4ADA5825"/>
    <w:rsid w:val="4AE16784"/>
    <w:rsid w:val="4B0E3365"/>
    <w:rsid w:val="4B133808"/>
    <w:rsid w:val="4B242914"/>
    <w:rsid w:val="4B6308C2"/>
    <w:rsid w:val="4B8320AC"/>
    <w:rsid w:val="4B840262"/>
    <w:rsid w:val="4B98554A"/>
    <w:rsid w:val="4BA0381B"/>
    <w:rsid w:val="4BA21684"/>
    <w:rsid w:val="4BA2260E"/>
    <w:rsid w:val="4BA402A6"/>
    <w:rsid w:val="4BA44460"/>
    <w:rsid w:val="4BA767BA"/>
    <w:rsid w:val="4BAB2636"/>
    <w:rsid w:val="4BBF34AF"/>
    <w:rsid w:val="4BC30C04"/>
    <w:rsid w:val="4BC51C5D"/>
    <w:rsid w:val="4BD34ECF"/>
    <w:rsid w:val="4BD56B1C"/>
    <w:rsid w:val="4BE3142D"/>
    <w:rsid w:val="4C101AF6"/>
    <w:rsid w:val="4C176152"/>
    <w:rsid w:val="4C221ECB"/>
    <w:rsid w:val="4C2C630C"/>
    <w:rsid w:val="4C365B48"/>
    <w:rsid w:val="4C4F1035"/>
    <w:rsid w:val="4C4F315D"/>
    <w:rsid w:val="4C710A86"/>
    <w:rsid w:val="4C811E98"/>
    <w:rsid w:val="4C9C255F"/>
    <w:rsid w:val="4CD173A8"/>
    <w:rsid w:val="4CD564D9"/>
    <w:rsid w:val="4CDE4B2B"/>
    <w:rsid w:val="4CED2F95"/>
    <w:rsid w:val="4D04300E"/>
    <w:rsid w:val="4D131131"/>
    <w:rsid w:val="4D1D44CA"/>
    <w:rsid w:val="4D4E54C1"/>
    <w:rsid w:val="4D4E61A9"/>
    <w:rsid w:val="4D554D67"/>
    <w:rsid w:val="4D6028AE"/>
    <w:rsid w:val="4D70684F"/>
    <w:rsid w:val="4D894A25"/>
    <w:rsid w:val="4D8D6005"/>
    <w:rsid w:val="4D970721"/>
    <w:rsid w:val="4DA07733"/>
    <w:rsid w:val="4DC25F0C"/>
    <w:rsid w:val="4DD85964"/>
    <w:rsid w:val="4DDA7A47"/>
    <w:rsid w:val="4DF02783"/>
    <w:rsid w:val="4E340A3A"/>
    <w:rsid w:val="4E4E131B"/>
    <w:rsid w:val="4E526325"/>
    <w:rsid w:val="4E527AAF"/>
    <w:rsid w:val="4E541F0D"/>
    <w:rsid w:val="4E6147C2"/>
    <w:rsid w:val="4E625604"/>
    <w:rsid w:val="4E6535DC"/>
    <w:rsid w:val="4E776BB1"/>
    <w:rsid w:val="4E78439B"/>
    <w:rsid w:val="4EB8700D"/>
    <w:rsid w:val="4EBD56AD"/>
    <w:rsid w:val="4EBF2A55"/>
    <w:rsid w:val="4ECF45F5"/>
    <w:rsid w:val="4EDE1D57"/>
    <w:rsid w:val="4EEF0AC9"/>
    <w:rsid w:val="4F01411C"/>
    <w:rsid w:val="4F4308C4"/>
    <w:rsid w:val="4F844CD5"/>
    <w:rsid w:val="4FB05B11"/>
    <w:rsid w:val="4FB2420A"/>
    <w:rsid w:val="4FC144F7"/>
    <w:rsid w:val="4FE43A85"/>
    <w:rsid w:val="4FEB6CCB"/>
    <w:rsid w:val="4FFA3C5B"/>
    <w:rsid w:val="50034C0A"/>
    <w:rsid w:val="500A6321"/>
    <w:rsid w:val="50133ACC"/>
    <w:rsid w:val="501F36F0"/>
    <w:rsid w:val="50346BCD"/>
    <w:rsid w:val="504109F0"/>
    <w:rsid w:val="504F7091"/>
    <w:rsid w:val="505E15F5"/>
    <w:rsid w:val="50780375"/>
    <w:rsid w:val="508D5D02"/>
    <w:rsid w:val="5094136F"/>
    <w:rsid w:val="50A45462"/>
    <w:rsid w:val="50AB003F"/>
    <w:rsid w:val="50CA5548"/>
    <w:rsid w:val="5100558F"/>
    <w:rsid w:val="51064082"/>
    <w:rsid w:val="5106637C"/>
    <w:rsid w:val="510C3AB4"/>
    <w:rsid w:val="5120041D"/>
    <w:rsid w:val="514B5BDD"/>
    <w:rsid w:val="5155549A"/>
    <w:rsid w:val="515F333A"/>
    <w:rsid w:val="51617B08"/>
    <w:rsid w:val="517F6A68"/>
    <w:rsid w:val="51975A0D"/>
    <w:rsid w:val="51B03AA7"/>
    <w:rsid w:val="51B37F1D"/>
    <w:rsid w:val="51B45CB8"/>
    <w:rsid w:val="51B51175"/>
    <w:rsid w:val="51BA223B"/>
    <w:rsid w:val="51E078F7"/>
    <w:rsid w:val="51E92EBD"/>
    <w:rsid w:val="520D3D7D"/>
    <w:rsid w:val="522B4D59"/>
    <w:rsid w:val="52354064"/>
    <w:rsid w:val="5244084D"/>
    <w:rsid w:val="52501DCA"/>
    <w:rsid w:val="52732B7D"/>
    <w:rsid w:val="527903F5"/>
    <w:rsid w:val="528B4D03"/>
    <w:rsid w:val="529D4F9B"/>
    <w:rsid w:val="529F58D6"/>
    <w:rsid w:val="52A66D10"/>
    <w:rsid w:val="52AA4A52"/>
    <w:rsid w:val="52D62B15"/>
    <w:rsid w:val="52E93170"/>
    <w:rsid w:val="52EC086D"/>
    <w:rsid w:val="53131389"/>
    <w:rsid w:val="53293075"/>
    <w:rsid w:val="53462AD4"/>
    <w:rsid w:val="534F1565"/>
    <w:rsid w:val="53982492"/>
    <w:rsid w:val="539B25ED"/>
    <w:rsid w:val="53A31973"/>
    <w:rsid w:val="53AC65A8"/>
    <w:rsid w:val="53CA76FD"/>
    <w:rsid w:val="53DA3AAB"/>
    <w:rsid w:val="53E54BE1"/>
    <w:rsid w:val="53F132F5"/>
    <w:rsid w:val="53FF2B7C"/>
    <w:rsid w:val="54310657"/>
    <w:rsid w:val="544A3C7A"/>
    <w:rsid w:val="544A6E06"/>
    <w:rsid w:val="544E75D7"/>
    <w:rsid w:val="545F1F01"/>
    <w:rsid w:val="5470248F"/>
    <w:rsid w:val="547E147F"/>
    <w:rsid w:val="547E7DFE"/>
    <w:rsid w:val="549C7056"/>
    <w:rsid w:val="54BA0063"/>
    <w:rsid w:val="54C2654B"/>
    <w:rsid w:val="54CD57D7"/>
    <w:rsid w:val="54DF7C52"/>
    <w:rsid w:val="54EB575B"/>
    <w:rsid w:val="54FD6E17"/>
    <w:rsid w:val="55104464"/>
    <w:rsid w:val="55124EA6"/>
    <w:rsid w:val="5516324E"/>
    <w:rsid w:val="552B4107"/>
    <w:rsid w:val="553D24AC"/>
    <w:rsid w:val="554865D9"/>
    <w:rsid w:val="55733821"/>
    <w:rsid w:val="55B40EF3"/>
    <w:rsid w:val="55B64551"/>
    <w:rsid w:val="55C62214"/>
    <w:rsid w:val="55C85E3D"/>
    <w:rsid w:val="55CA2420"/>
    <w:rsid w:val="55D6508D"/>
    <w:rsid w:val="55DF2C65"/>
    <w:rsid w:val="56065ED3"/>
    <w:rsid w:val="56095F34"/>
    <w:rsid w:val="56147B9F"/>
    <w:rsid w:val="562A4891"/>
    <w:rsid w:val="562F7617"/>
    <w:rsid w:val="5640122A"/>
    <w:rsid w:val="564E7DEA"/>
    <w:rsid w:val="565674E8"/>
    <w:rsid w:val="567672F5"/>
    <w:rsid w:val="567C3819"/>
    <w:rsid w:val="56C310F9"/>
    <w:rsid w:val="56D7393C"/>
    <w:rsid w:val="56EE6673"/>
    <w:rsid w:val="56FE35BF"/>
    <w:rsid w:val="570B4330"/>
    <w:rsid w:val="571B4280"/>
    <w:rsid w:val="571C57F3"/>
    <w:rsid w:val="57280FA1"/>
    <w:rsid w:val="572B2382"/>
    <w:rsid w:val="57320348"/>
    <w:rsid w:val="573340BF"/>
    <w:rsid w:val="573A5879"/>
    <w:rsid w:val="574D155C"/>
    <w:rsid w:val="575E758F"/>
    <w:rsid w:val="576E66A3"/>
    <w:rsid w:val="57C85CCE"/>
    <w:rsid w:val="57D913AD"/>
    <w:rsid w:val="580E5A83"/>
    <w:rsid w:val="5814509D"/>
    <w:rsid w:val="58182F35"/>
    <w:rsid w:val="582B2A39"/>
    <w:rsid w:val="582B5F3A"/>
    <w:rsid w:val="582D395E"/>
    <w:rsid w:val="585722FF"/>
    <w:rsid w:val="58737694"/>
    <w:rsid w:val="587C751C"/>
    <w:rsid w:val="587E15D2"/>
    <w:rsid w:val="588F50D6"/>
    <w:rsid w:val="58904E08"/>
    <w:rsid w:val="58993B33"/>
    <w:rsid w:val="58AC2902"/>
    <w:rsid w:val="58BF2CCE"/>
    <w:rsid w:val="58C365A0"/>
    <w:rsid w:val="58C93758"/>
    <w:rsid w:val="58CF33FF"/>
    <w:rsid w:val="58D61252"/>
    <w:rsid w:val="58E26195"/>
    <w:rsid w:val="58E660D9"/>
    <w:rsid w:val="58FE1654"/>
    <w:rsid w:val="590B7F87"/>
    <w:rsid w:val="59795CD1"/>
    <w:rsid w:val="59980EB0"/>
    <w:rsid w:val="59B80433"/>
    <w:rsid w:val="59C96887"/>
    <w:rsid w:val="5A0031AA"/>
    <w:rsid w:val="5A146C55"/>
    <w:rsid w:val="5A201513"/>
    <w:rsid w:val="5A240A18"/>
    <w:rsid w:val="5A384FB6"/>
    <w:rsid w:val="5A452976"/>
    <w:rsid w:val="5A52250A"/>
    <w:rsid w:val="5A544F8B"/>
    <w:rsid w:val="5A7C0EFB"/>
    <w:rsid w:val="5A817605"/>
    <w:rsid w:val="5AA044FE"/>
    <w:rsid w:val="5ABE3DD2"/>
    <w:rsid w:val="5ABF0C61"/>
    <w:rsid w:val="5AEF0988"/>
    <w:rsid w:val="5B384EC6"/>
    <w:rsid w:val="5B4B3CFE"/>
    <w:rsid w:val="5B675EA5"/>
    <w:rsid w:val="5B6E0985"/>
    <w:rsid w:val="5B7976B8"/>
    <w:rsid w:val="5B930C0E"/>
    <w:rsid w:val="5B971602"/>
    <w:rsid w:val="5B9F2B1B"/>
    <w:rsid w:val="5BA6053C"/>
    <w:rsid w:val="5BA635E8"/>
    <w:rsid w:val="5BDB2F58"/>
    <w:rsid w:val="5BF12964"/>
    <w:rsid w:val="5BF33FB5"/>
    <w:rsid w:val="5C13348B"/>
    <w:rsid w:val="5C2A6BA9"/>
    <w:rsid w:val="5C435460"/>
    <w:rsid w:val="5C4C0928"/>
    <w:rsid w:val="5C4E242B"/>
    <w:rsid w:val="5CCB2DF1"/>
    <w:rsid w:val="5CE249CF"/>
    <w:rsid w:val="5D2B5D72"/>
    <w:rsid w:val="5D3F3586"/>
    <w:rsid w:val="5D4267FD"/>
    <w:rsid w:val="5D772798"/>
    <w:rsid w:val="5D8E40C4"/>
    <w:rsid w:val="5D903220"/>
    <w:rsid w:val="5D983A02"/>
    <w:rsid w:val="5DD17CCD"/>
    <w:rsid w:val="5DEC6332"/>
    <w:rsid w:val="5E0D4A0F"/>
    <w:rsid w:val="5E2F105D"/>
    <w:rsid w:val="5E520BE4"/>
    <w:rsid w:val="5EDB73EF"/>
    <w:rsid w:val="5EED5B4C"/>
    <w:rsid w:val="5F0470E8"/>
    <w:rsid w:val="5F053010"/>
    <w:rsid w:val="5F1C27CF"/>
    <w:rsid w:val="5F2121DD"/>
    <w:rsid w:val="5F385C62"/>
    <w:rsid w:val="5F4E5E65"/>
    <w:rsid w:val="5F5F1BD3"/>
    <w:rsid w:val="5F643093"/>
    <w:rsid w:val="5FA80A9A"/>
    <w:rsid w:val="5FFC08B7"/>
    <w:rsid w:val="60235E44"/>
    <w:rsid w:val="60356DD4"/>
    <w:rsid w:val="60467B05"/>
    <w:rsid w:val="605E007A"/>
    <w:rsid w:val="606D5311"/>
    <w:rsid w:val="606E44C6"/>
    <w:rsid w:val="607F3AD3"/>
    <w:rsid w:val="608C055C"/>
    <w:rsid w:val="60917FDE"/>
    <w:rsid w:val="609501FA"/>
    <w:rsid w:val="60AE6CCB"/>
    <w:rsid w:val="60BA3868"/>
    <w:rsid w:val="60CD28BF"/>
    <w:rsid w:val="60D93B58"/>
    <w:rsid w:val="60DB7B31"/>
    <w:rsid w:val="60E10FBA"/>
    <w:rsid w:val="61034DC8"/>
    <w:rsid w:val="61060870"/>
    <w:rsid w:val="610A7641"/>
    <w:rsid w:val="610B0DB2"/>
    <w:rsid w:val="611C204F"/>
    <w:rsid w:val="61206852"/>
    <w:rsid w:val="61220BB7"/>
    <w:rsid w:val="61262549"/>
    <w:rsid w:val="61333E65"/>
    <w:rsid w:val="61377DF9"/>
    <w:rsid w:val="613F280A"/>
    <w:rsid w:val="61507344"/>
    <w:rsid w:val="6178019B"/>
    <w:rsid w:val="61A24D68"/>
    <w:rsid w:val="61A338EC"/>
    <w:rsid w:val="61A460BC"/>
    <w:rsid w:val="61AB121D"/>
    <w:rsid w:val="61AB1406"/>
    <w:rsid w:val="61B3542D"/>
    <w:rsid w:val="61D91F32"/>
    <w:rsid w:val="61DA6879"/>
    <w:rsid w:val="61E258CC"/>
    <w:rsid w:val="61F41846"/>
    <w:rsid w:val="62210161"/>
    <w:rsid w:val="622E1DF6"/>
    <w:rsid w:val="62303333"/>
    <w:rsid w:val="6240395D"/>
    <w:rsid w:val="624C2987"/>
    <w:rsid w:val="62570B54"/>
    <w:rsid w:val="626146CF"/>
    <w:rsid w:val="628B3911"/>
    <w:rsid w:val="62912C82"/>
    <w:rsid w:val="629B2276"/>
    <w:rsid w:val="62A74A6E"/>
    <w:rsid w:val="62BB0278"/>
    <w:rsid w:val="62C51434"/>
    <w:rsid w:val="62D82529"/>
    <w:rsid w:val="62E01DCA"/>
    <w:rsid w:val="62EE1B79"/>
    <w:rsid w:val="62FE620D"/>
    <w:rsid w:val="63251ED3"/>
    <w:rsid w:val="63265A59"/>
    <w:rsid w:val="63461B51"/>
    <w:rsid w:val="63500CFE"/>
    <w:rsid w:val="635D7FDB"/>
    <w:rsid w:val="63684A29"/>
    <w:rsid w:val="636F22EA"/>
    <w:rsid w:val="6372336A"/>
    <w:rsid w:val="637A4815"/>
    <w:rsid w:val="637D0CBE"/>
    <w:rsid w:val="637F15E3"/>
    <w:rsid w:val="638E5CCA"/>
    <w:rsid w:val="639C36B3"/>
    <w:rsid w:val="63A4734A"/>
    <w:rsid w:val="63D74EF3"/>
    <w:rsid w:val="641160D0"/>
    <w:rsid w:val="642373F1"/>
    <w:rsid w:val="642A353F"/>
    <w:rsid w:val="644A1BF1"/>
    <w:rsid w:val="645D7EB4"/>
    <w:rsid w:val="64761320"/>
    <w:rsid w:val="648A16CE"/>
    <w:rsid w:val="64964E36"/>
    <w:rsid w:val="64AB4377"/>
    <w:rsid w:val="64B63DBF"/>
    <w:rsid w:val="64C31393"/>
    <w:rsid w:val="64C4166A"/>
    <w:rsid w:val="64E436F7"/>
    <w:rsid w:val="64E9765C"/>
    <w:rsid w:val="653C2CF0"/>
    <w:rsid w:val="6547750F"/>
    <w:rsid w:val="65650013"/>
    <w:rsid w:val="65894580"/>
    <w:rsid w:val="659C5F3C"/>
    <w:rsid w:val="65B3042D"/>
    <w:rsid w:val="65CC1FF0"/>
    <w:rsid w:val="65D53C72"/>
    <w:rsid w:val="65EA01C3"/>
    <w:rsid w:val="662A0069"/>
    <w:rsid w:val="662C448B"/>
    <w:rsid w:val="66413FAB"/>
    <w:rsid w:val="664D545F"/>
    <w:rsid w:val="66B2395B"/>
    <w:rsid w:val="66B8583B"/>
    <w:rsid w:val="66DA4B02"/>
    <w:rsid w:val="66DE7B76"/>
    <w:rsid w:val="66F037C9"/>
    <w:rsid w:val="670D0F90"/>
    <w:rsid w:val="671C6A4A"/>
    <w:rsid w:val="67473FE5"/>
    <w:rsid w:val="674F13F5"/>
    <w:rsid w:val="6772523D"/>
    <w:rsid w:val="677402F9"/>
    <w:rsid w:val="677B1DC1"/>
    <w:rsid w:val="67D65CDD"/>
    <w:rsid w:val="67E17E42"/>
    <w:rsid w:val="67E93F82"/>
    <w:rsid w:val="67F85E08"/>
    <w:rsid w:val="6807647D"/>
    <w:rsid w:val="68246BFD"/>
    <w:rsid w:val="68342513"/>
    <w:rsid w:val="68555008"/>
    <w:rsid w:val="68594E14"/>
    <w:rsid w:val="685B532E"/>
    <w:rsid w:val="685F473E"/>
    <w:rsid w:val="685F6623"/>
    <w:rsid w:val="687E4CF1"/>
    <w:rsid w:val="68A35C3F"/>
    <w:rsid w:val="68C66E76"/>
    <w:rsid w:val="68E31862"/>
    <w:rsid w:val="68EB2567"/>
    <w:rsid w:val="68F93288"/>
    <w:rsid w:val="692A0243"/>
    <w:rsid w:val="692C5F6D"/>
    <w:rsid w:val="693A116F"/>
    <w:rsid w:val="69416A6E"/>
    <w:rsid w:val="695A4E7E"/>
    <w:rsid w:val="696848C2"/>
    <w:rsid w:val="69A11403"/>
    <w:rsid w:val="6A171581"/>
    <w:rsid w:val="6A2922A9"/>
    <w:rsid w:val="6A3172E0"/>
    <w:rsid w:val="6A564614"/>
    <w:rsid w:val="6A9839D3"/>
    <w:rsid w:val="6AA24D78"/>
    <w:rsid w:val="6AAE79EE"/>
    <w:rsid w:val="6AC86589"/>
    <w:rsid w:val="6ACF10A2"/>
    <w:rsid w:val="6AD30444"/>
    <w:rsid w:val="6AF16D19"/>
    <w:rsid w:val="6B0253D7"/>
    <w:rsid w:val="6B3B37DC"/>
    <w:rsid w:val="6B4802C9"/>
    <w:rsid w:val="6B4E2B94"/>
    <w:rsid w:val="6B5774A2"/>
    <w:rsid w:val="6B6352E2"/>
    <w:rsid w:val="6B886508"/>
    <w:rsid w:val="6BAD0D3A"/>
    <w:rsid w:val="6BB45011"/>
    <w:rsid w:val="6BB717B5"/>
    <w:rsid w:val="6BB87D88"/>
    <w:rsid w:val="6BCD615E"/>
    <w:rsid w:val="6BD20C25"/>
    <w:rsid w:val="6BD86BFC"/>
    <w:rsid w:val="6BE62393"/>
    <w:rsid w:val="6C0A3F71"/>
    <w:rsid w:val="6C2616C0"/>
    <w:rsid w:val="6C316EFD"/>
    <w:rsid w:val="6C317663"/>
    <w:rsid w:val="6C352A86"/>
    <w:rsid w:val="6C5B22E6"/>
    <w:rsid w:val="6C663340"/>
    <w:rsid w:val="6CAB710A"/>
    <w:rsid w:val="6CC16D70"/>
    <w:rsid w:val="6CD23CEB"/>
    <w:rsid w:val="6CDB1E07"/>
    <w:rsid w:val="6CDF03EB"/>
    <w:rsid w:val="6CEC4D38"/>
    <w:rsid w:val="6CED4635"/>
    <w:rsid w:val="6CF7495B"/>
    <w:rsid w:val="6D2E668C"/>
    <w:rsid w:val="6D34001D"/>
    <w:rsid w:val="6D3B3365"/>
    <w:rsid w:val="6D794DE8"/>
    <w:rsid w:val="6D8470F6"/>
    <w:rsid w:val="6D9855BC"/>
    <w:rsid w:val="6DBA420C"/>
    <w:rsid w:val="6DD80547"/>
    <w:rsid w:val="6DE27E1E"/>
    <w:rsid w:val="6E2A708D"/>
    <w:rsid w:val="6E2E5EB0"/>
    <w:rsid w:val="6E3D7AA8"/>
    <w:rsid w:val="6E6C7ABC"/>
    <w:rsid w:val="6E6E1794"/>
    <w:rsid w:val="6E82121C"/>
    <w:rsid w:val="6E8C31B5"/>
    <w:rsid w:val="6EA16F00"/>
    <w:rsid w:val="6F264F14"/>
    <w:rsid w:val="6F500C21"/>
    <w:rsid w:val="6F637EB8"/>
    <w:rsid w:val="6F680BAF"/>
    <w:rsid w:val="6F6C0A57"/>
    <w:rsid w:val="6F6D447C"/>
    <w:rsid w:val="6F7E76E8"/>
    <w:rsid w:val="6F884F92"/>
    <w:rsid w:val="6F9957DB"/>
    <w:rsid w:val="6FA523D2"/>
    <w:rsid w:val="6FCE4A1F"/>
    <w:rsid w:val="6FCF2EDA"/>
    <w:rsid w:val="6FE64E04"/>
    <w:rsid w:val="6FEC2BF2"/>
    <w:rsid w:val="70284921"/>
    <w:rsid w:val="70407DF0"/>
    <w:rsid w:val="706109EE"/>
    <w:rsid w:val="706A15C6"/>
    <w:rsid w:val="706B6675"/>
    <w:rsid w:val="70837F61"/>
    <w:rsid w:val="70BB7C7F"/>
    <w:rsid w:val="70C8281B"/>
    <w:rsid w:val="70E27DA7"/>
    <w:rsid w:val="70EA23D7"/>
    <w:rsid w:val="70FC0D62"/>
    <w:rsid w:val="710D16C9"/>
    <w:rsid w:val="7110223A"/>
    <w:rsid w:val="71233EF6"/>
    <w:rsid w:val="71424C0C"/>
    <w:rsid w:val="714C4539"/>
    <w:rsid w:val="714C6DDF"/>
    <w:rsid w:val="716C7336"/>
    <w:rsid w:val="71844269"/>
    <w:rsid w:val="719662EA"/>
    <w:rsid w:val="71A028AF"/>
    <w:rsid w:val="71C4068C"/>
    <w:rsid w:val="71DA01BE"/>
    <w:rsid w:val="71DF0C25"/>
    <w:rsid w:val="71EC7B05"/>
    <w:rsid w:val="72031996"/>
    <w:rsid w:val="720C498A"/>
    <w:rsid w:val="725749BA"/>
    <w:rsid w:val="727319AA"/>
    <w:rsid w:val="727B1B10"/>
    <w:rsid w:val="72851061"/>
    <w:rsid w:val="728769B8"/>
    <w:rsid w:val="729060F4"/>
    <w:rsid w:val="72A263CB"/>
    <w:rsid w:val="72A45C24"/>
    <w:rsid w:val="72B01FA1"/>
    <w:rsid w:val="72BD6432"/>
    <w:rsid w:val="72EE2AE1"/>
    <w:rsid w:val="72F53670"/>
    <w:rsid w:val="72FC31AC"/>
    <w:rsid w:val="730039AD"/>
    <w:rsid w:val="731F22D8"/>
    <w:rsid w:val="732B5D76"/>
    <w:rsid w:val="7336656A"/>
    <w:rsid w:val="733E3880"/>
    <w:rsid w:val="73441F01"/>
    <w:rsid w:val="73492E26"/>
    <w:rsid w:val="73593116"/>
    <w:rsid w:val="73801A1D"/>
    <w:rsid w:val="73980399"/>
    <w:rsid w:val="73B35B28"/>
    <w:rsid w:val="73BD5FCC"/>
    <w:rsid w:val="73C41F9F"/>
    <w:rsid w:val="73C7645B"/>
    <w:rsid w:val="73CA0968"/>
    <w:rsid w:val="73DB4DEB"/>
    <w:rsid w:val="73DD4830"/>
    <w:rsid w:val="73DF26BB"/>
    <w:rsid w:val="73EF7FFA"/>
    <w:rsid w:val="74226F08"/>
    <w:rsid w:val="744B42D8"/>
    <w:rsid w:val="744E5595"/>
    <w:rsid w:val="7454020C"/>
    <w:rsid w:val="74552B51"/>
    <w:rsid w:val="745B0EFF"/>
    <w:rsid w:val="745B75BF"/>
    <w:rsid w:val="749B6851"/>
    <w:rsid w:val="749E79E5"/>
    <w:rsid w:val="74AB4850"/>
    <w:rsid w:val="74C178F6"/>
    <w:rsid w:val="74D25573"/>
    <w:rsid w:val="74F30F43"/>
    <w:rsid w:val="74FE79EC"/>
    <w:rsid w:val="75097890"/>
    <w:rsid w:val="752D5343"/>
    <w:rsid w:val="75614710"/>
    <w:rsid w:val="75840CDB"/>
    <w:rsid w:val="759058D2"/>
    <w:rsid w:val="759244B6"/>
    <w:rsid w:val="759852C7"/>
    <w:rsid w:val="75BF0284"/>
    <w:rsid w:val="75CA0DE4"/>
    <w:rsid w:val="75D232AB"/>
    <w:rsid w:val="75E1272F"/>
    <w:rsid w:val="75EF084A"/>
    <w:rsid w:val="75FD41FF"/>
    <w:rsid w:val="761D19E0"/>
    <w:rsid w:val="7641128E"/>
    <w:rsid w:val="764B7BBA"/>
    <w:rsid w:val="76572350"/>
    <w:rsid w:val="766026BB"/>
    <w:rsid w:val="76890C56"/>
    <w:rsid w:val="76944F4E"/>
    <w:rsid w:val="769509C2"/>
    <w:rsid w:val="769907B6"/>
    <w:rsid w:val="76B50BC0"/>
    <w:rsid w:val="76D43254"/>
    <w:rsid w:val="76DE0B24"/>
    <w:rsid w:val="77123B5F"/>
    <w:rsid w:val="771328C3"/>
    <w:rsid w:val="771C0CA5"/>
    <w:rsid w:val="771C4986"/>
    <w:rsid w:val="772F5A18"/>
    <w:rsid w:val="774450C5"/>
    <w:rsid w:val="774626EC"/>
    <w:rsid w:val="77660A0E"/>
    <w:rsid w:val="776F70D5"/>
    <w:rsid w:val="77740F69"/>
    <w:rsid w:val="777A364B"/>
    <w:rsid w:val="777B7FBE"/>
    <w:rsid w:val="777D3C34"/>
    <w:rsid w:val="779459C5"/>
    <w:rsid w:val="77A0250D"/>
    <w:rsid w:val="77AC4854"/>
    <w:rsid w:val="77B27D81"/>
    <w:rsid w:val="77B41A76"/>
    <w:rsid w:val="77BB19F0"/>
    <w:rsid w:val="77BF798E"/>
    <w:rsid w:val="77C97001"/>
    <w:rsid w:val="77CA3580"/>
    <w:rsid w:val="77D14A00"/>
    <w:rsid w:val="77E676A9"/>
    <w:rsid w:val="77ED37FF"/>
    <w:rsid w:val="77F72D85"/>
    <w:rsid w:val="78104ED5"/>
    <w:rsid w:val="7812794C"/>
    <w:rsid w:val="78161BDE"/>
    <w:rsid w:val="781804A5"/>
    <w:rsid w:val="78211FF1"/>
    <w:rsid w:val="78286F96"/>
    <w:rsid w:val="7833502A"/>
    <w:rsid w:val="78493E29"/>
    <w:rsid w:val="784F3632"/>
    <w:rsid w:val="7868210A"/>
    <w:rsid w:val="786A41B8"/>
    <w:rsid w:val="78986AB1"/>
    <w:rsid w:val="78AA4F09"/>
    <w:rsid w:val="78AE1600"/>
    <w:rsid w:val="78EA4DB6"/>
    <w:rsid w:val="79175FB9"/>
    <w:rsid w:val="79555CCE"/>
    <w:rsid w:val="796974C2"/>
    <w:rsid w:val="799221EB"/>
    <w:rsid w:val="79A6761E"/>
    <w:rsid w:val="79A951B4"/>
    <w:rsid w:val="79AB4DB8"/>
    <w:rsid w:val="79B17871"/>
    <w:rsid w:val="79B64191"/>
    <w:rsid w:val="79BA11E5"/>
    <w:rsid w:val="79D94D8F"/>
    <w:rsid w:val="79E717C8"/>
    <w:rsid w:val="79E731A1"/>
    <w:rsid w:val="7A041A63"/>
    <w:rsid w:val="7A0647D8"/>
    <w:rsid w:val="7A0A5697"/>
    <w:rsid w:val="7A165DBA"/>
    <w:rsid w:val="7A173ECC"/>
    <w:rsid w:val="7A184855"/>
    <w:rsid w:val="7A224071"/>
    <w:rsid w:val="7A391F50"/>
    <w:rsid w:val="7A392C93"/>
    <w:rsid w:val="7A3E5657"/>
    <w:rsid w:val="7A460C55"/>
    <w:rsid w:val="7A49604F"/>
    <w:rsid w:val="7A7A0CC9"/>
    <w:rsid w:val="7AA556CE"/>
    <w:rsid w:val="7ABE01FF"/>
    <w:rsid w:val="7ABE6A3D"/>
    <w:rsid w:val="7AC34DBC"/>
    <w:rsid w:val="7AD11BAC"/>
    <w:rsid w:val="7ADC3259"/>
    <w:rsid w:val="7AE06D78"/>
    <w:rsid w:val="7AE508B0"/>
    <w:rsid w:val="7AF7322C"/>
    <w:rsid w:val="7AF917AC"/>
    <w:rsid w:val="7AF91C89"/>
    <w:rsid w:val="7B1D45F7"/>
    <w:rsid w:val="7B30341E"/>
    <w:rsid w:val="7B597646"/>
    <w:rsid w:val="7B5B061D"/>
    <w:rsid w:val="7B5C5B75"/>
    <w:rsid w:val="7B664B0D"/>
    <w:rsid w:val="7B7C024A"/>
    <w:rsid w:val="7B810A4D"/>
    <w:rsid w:val="7BAC19BD"/>
    <w:rsid w:val="7BCA3555"/>
    <w:rsid w:val="7BE65504"/>
    <w:rsid w:val="7C0850EE"/>
    <w:rsid w:val="7C2916B5"/>
    <w:rsid w:val="7C335A27"/>
    <w:rsid w:val="7C36642B"/>
    <w:rsid w:val="7C3945CD"/>
    <w:rsid w:val="7C64123D"/>
    <w:rsid w:val="7C706F08"/>
    <w:rsid w:val="7C9A0EFF"/>
    <w:rsid w:val="7CAD06BD"/>
    <w:rsid w:val="7CAD50EB"/>
    <w:rsid w:val="7CCB6875"/>
    <w:rsid w:val="7CCF763A"/>
    <w:rsid w:val="7CD65F1F"/>
    <w:rsid w:val="7D006B15"/>
    <w:rsid w:val="7D1B3CD3"/>
    <w:rsid w:val="7D2F0A10"/>
    <w:rsid w:val="7D3B25C7"/>
    <w:rsid w:val="7D4B2E82"/>
    <w:rsid w:val="7D5C0D46"/>
    <w:rsid w:val="7D5D297E"/>
    <w:rsid w:val="7D68482D"/>
    <w:rsid w:val="7D715FE9"/>
    <w:rsid w:val="7D845D1C"/>
    <w:rsid w:val="7D965A4F"/>
    <w:rsid w:val="7D9847FA"/>
    <w:rsid w:val="7DAE0BD7"/>
    <w:rsid w:val="7DB8786B"/>
    <w:rsid w:val="7DDD1ED9"/>
    <w:rsid w:val="7DE6113C"/>
    <w:rsid w:val="7DE84E50"/>
    <w:rsid w:val="7DF64242"/>
    <w:rsid w:val="7E094A4A"/>
    <w:rsid w:val="7E0F36FC"/>
    <w:rsid w:val="7E1B6257"/>
    <w:rsid w:val="7E260F87"/>
    <w:rsid w:val="7E7E2B19"/>
    <w:rsid w:val="7E891110"/>
    <w:rsid w:val="7E965578"/>
    <w:rsid w:val="7EE32E1F"/>
    <w:rsid w:val="7F2552DD"/>
    <w:rsid w:val="7F2908DD"/>
    <w:rsid w:val="7F3D0AA1"/>
    <w:rsid w:val="7F4738A3"/>
    <w:rsid w:val="7F686760"/>
    <w:rsid w:val="7F701B3E"/>
    <w:rsid w:val="7F71431A"/>
    <w:rsid w:val="7F7E625B"/>
    <w:rsid w:val="7F9F40EE"/>
    <w:rsid w:val="7FCE47A7"/>
    <w:rsid w:val="7FDB3357"/>
    <w:rsid w:val="7FF364F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ind w:left="2675" w:right="2695"/>
      <w:jc w:val="center"/>
      <w:outlineLvl w:val="0"/>
    </w:pPr>
    <w:rPr>
      <w:rFonts w:ascii="微软雅黑" w:hAnsi="微软雅黑" w:eastAsia="微软雅黑" w:cs="微软雅黑"/>
      <w:sz w:val="38"/>
      <w:szCs w:val="38"/>
      <w:lang w:val="zh-CN" w:eastAsia="zh-CN" w:bidi="zh-CN"/>
    </w:rPr>
  </w:style>
  <w:style w:type="paragraph" w:styleId="3">
    <w:name w:val="heading 2"/>
    <w:basedOn w:val="1"/>
    <w:next w:val="4"/>
    <w:qFormat/>
    <w:uiPriority w:val="1"/>
    <w:pPr>
      <w:spacing w:before="124"/>
      <w:ind w:left="442" w:right="464"/>
      <w:jc w:val="center"/>
      <w:outlineLvl w:val="1"/>
    </w:pPr>
    <w:rPr>
      <w:rFonts w:ascii="黑体" w:hAnsi="黑体" w:eastAsia="黑体" w:cs="黑体"/>
      <w:sz w:val="30"/>
      <w:szCs w:val="30"/>
      <w:lang w:val="zh-CN" w:eastAsia="zh-CN" w:bidi="zh-CN"/>
    </w:rPr>
  </w:style>
  <w:style w:type="paragraph" w:styleId="7">
    <w:name w:val="heading 3"/>
    <w:basedOn w:val="1"/>
    <w:next w:val="1"/>
    <w:qFormat/>
    <w:uiPriority w:val="1"/>
    <w:pPr>
      <w:ind w:left="1132"/>
      <w:outlineLvl w:val="2"/>
    </w:pPr>
    <w:rPr>
      <w:rFonts w:ascii="宋体" w:hAnsi="宋体" w:eastAsia="宋体" w:cs="宋体"/>
      <w:b/>
      <w:bCs/>
      <w:sz w:val="24"/>
      <w:szCs w:val="24"/>
      <w:lang w:val="zh-CN" w:eastAsia="zh-CN" w:bidi="zh-CN"/>
    </w:rPr>
  </w:style>
  <w:style w:type="paragraph" w:styleId="8">
    <w:name w:val="heading 4"/>
    <w:basedOn w:val="1"/>
    <w:next w:val="1"/>
    <w:qFormat/>
    <w:uiPriority w:val="0"/>
    <w:pPr>
      <w:keepNext/>
      <w:keepLines/>
      <w:tabs>
        <w:tab w:val="left" w:pos="864"/>
      </w:tabs>
      <w:adjustRightInd w:val="0"/>
      <w:spacing w:before="280" w:after="290" w:line="376" w:lineRule="atLeast"/>
      <w:ind w:left="864" w:hanging="864"/>
      <w:textAlignment w:val="baseline"/>
      <w:outlineLvl w:val="3"/>
    </w:pPr>
    <w:rPr>
      <w:rFonts w:ascii="Arial" w:hAnsi="Arial" w:eastAsia="黑体"/>
      <w:b/>
      <w:kern w:val="0"/>
      <w:sz w:val="28"/>
      <w:szCs w:val="20"/>
    </w:rPr>
  </w:style>
  <w:style w:type="character" w:default="1" w:styleId="22">
    <w:name w:val="Default Paragraph Font"/>
    <w:unhideWhenUsed/>
    <w:qFormat/>
    <w:uiPriority w:val="1"/>
  </w:style>
  <w:style w:type="table" w:default="1" w:styleId="20">
    <w:name w:val="Normal Table"/>
    <w:unhideWhenUsed/>
    <w:qFormat/>
    <w:uiPriority w:val="99"/>
    <w:tblPr>
      <w:tblCellMar>
        <w:top w:w="0" w:type="dxa"/>
        <w:left w:w="108" w:type="dxa"/>
        <w:bottom w:w="0" w:type="dxa"/>
        <w:right w:w="108" w:type="dxa"/>
      </w:tblCellMar>
    </w:tblPr>
  </w:style>
  <w:style w:type="paragraph" w:styleId="4">
    <w:name w:val="Normal Indent"/>
    <w:basedOn w:val="1"/>
    <w:next w:val="5"/>
    <w:unhideWhenUsed/>
    <w:qFormat/>
    <w:uiPriority w:val="99"/>
    <w:pPr>
      <w:ind w:firstLine="420" w:firstLineChars="200"/>
    </w:pPr>
  </w:style>
  <w:style w:type="paragraph" w:styleId="5">
    <w:name w:val="Body Text First Indent 2"/>
    <w:basedOn w:val="6"/>
    <w:next w:val="1"/>
    <w:unhideWhenUsed/>
    <w:qFormat/>
    <w:uiPriority w:val="99"/>
    <w:pPr>
      <w:spacing w:after="120" w:line="480" w:lineRule="exact"/>
      <w:ind w:left="420" w:leftChars="200" w:firstLine="420" w:firstLineChars="200"/>
    </w:pPr>
    <w:rPr>
      <w:rFonts w:ascii="Times New Roman" w:hAnsi="Times New Roman" w:eastAsia="宋体"/>
      <w:kern w:val="2"/>
      <w:sz w:val="24"/>
      <w:szCs w:val="24"/>
    </w:rPr>
  </w:style>
  <w:style w:type="paragraph" w:styleId="6">
    <w:name w:val="Body Text Indent"/>
    <w:basedOn w:val="1"/>
    <w:next w:val="1"/>
    <w:unhideWhenUsed/>
    <w:qFormat/>
    <w:uiPriority w:val="99"/>
    <w:pPr>
      <w:spacing w:line="500" w:lineRule="exact"/>
      <w:ind w:firstLine="540"/>
    </w:pPr>
    <w:rPr>
      <w:rFonts w:ascii="Calibri" w:hAnsi="Calibri" w:eastAsia="仿宋_GB2312"/>
      <w:kern w:val="0"/>
      <w:sz w:val="28"/>
      <w:szCs w:val="28"/>
    </w:rPr>
  </w:style>
  <w:style w:type="paragraph" w:styleId="9">
    <w:name w:val="annotation text"/>
    <w:basedOn w:val="1"/>
    <w:link w:val="26"/>
    <w:qFormat/>
    <w:uiPriority w:val="0"/>
    <w:pPr>
      <w:jc w:val="left"/>
    </w:pPr>
  </w:style>
  <w:style w:type="paragraph" w:styleId="10">
    <w:name w:val="Body Text"/>
    <w:basedOn w:val="1"/>
    <w:qFormat/>
    <w:uiPriority w:val="1"/>
    <w:rPr>
      <w:rFonts w:ascii="宋体" w:hAnsi="宋体" w:eastAsia="宋体" w:cs="宋体"/>
      <w:sz w:val="24"/>
      <w:szCs w:val="24"/>
      <w:lang w:val="zh-CN" w:eastAsia="zh-CN" w:bidi="zh-CN"/>
    </w:rPr>
  </w:style>
  <w:style w:type="paragraph" w:styleId="11">
    <w:name w:val="Plain Text"/>
    <w:basedOn w:val="1"/>
    <w:qFormat/>
    <w:uiPriority w:val="0"/>
    <w:rPr>
      <w:rFonts w:ascii="宋体" w:hAnsi="Courier New"/>
    </w:rPr>
  </w:style>
  <w:style w:type="paragraph" w:styleId="12">
    <w:name w:val="Body Text Indent 2"/>
    <w:basedOn w:val="1"/>
    <w:next w:val="1"/>
    <w:qFormat/>
    <w:uiPriority w:val="0"/>
    <w:pPr>
      <w:spacing w:line="360" w:lineRule="auto"/>
      <w:ind w:firstLine="624"/>
      <w:jc w:val="left"/>
    </w:pPr>
    <w:rPr>
      <w:rFonts w:ascii="宋体"/>
      <w:sz w:val="28"/>
    </w:rPr>
  </w:style>
  <w:style w:type="paragraph" w:styleId="13">
    <w:name w:val="Balloon Text"/>
    <w:basedOn w:val="1"/>
    <w:link w:val="27"/>
    <w:qFormat/>
    <w:uiPriority w:val="0"/>
    <w:rPr>
      <w:sz w:val="18"/>
      <w:szCs w:val="18"/>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able of figures"/>
    <w:basedOn w:val="1"/>
    <w:next w:val="1"/>
    <w:unhideWhenUsed/>
    <w:qFormat/>
    <w:uiPriority w:val="99"/>
    <w:pPr>
      <w:spacing w:line="240" w:lineRule="auto"/>
      <w:ind w:left="200" w:leftChars="200" w:hanging="200" w:hangingChars="200"/>
      <w:jc w:val="both"/>
    </w:pPr>
    <w:rPr>
      <w:rFonts w:eastAsia="MS Gothic"/>
      <w:sz w:val="21"/>
      <w:szCs w:val="21"/>
    </w:rPr>
  </w:style>
  <w:style w:type="paragraph" w:styleId="17">
    <w:name w:val="Normal (Web)"/>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4"/>
    </w:rPr>
  </w:style>
  <w:style w:type="paragraph" w:styleId="18">
    <w:name w:val="annotation subject"/>
    <w:basedOn w:val="9"/>
    <w:next w:val="9"/>
    <w:link w:val="28"/>
    <w:qFormat/>
    <w:uiPriority w:val="0"/>
    <w:rPr>
      <w:b/>
      <w:bCs/>
    </w:rPr>
  </w:style>
  <w:style w:type="paragraph" w:styleId="19">
    <w:name w:val="Body Text First Indent"/>
    <w:basedOn w:val="10"/>
    <w:next w:val="1"/>
    <w:qFormat/>
    <w:uiPriority w:val="0"/>
    <w:pPr>
      <w:spacing w:after="120"/>
      <w:ind w:firstLine="420" w:firstLineChars="1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qFormat/>
    <w:uiPriority w:val="0"/>
    <w:rPr>
      <w:b/>
    </w:rPr>
  </w:style>
  <w:style w:type="character" w:styleId="24">
    <w:name w:val="Hyperlink"/>
    <w:qFormat/>
    <w:uiPriority w:val="0"/>
    <w:rPr>
      <w:color w:val="0000FF"/>
      <w:u w:val="single"/>
    </w:rPr>
  </w:style>
  <w:style w:type="character" w:styleId="25">
    <w:name w:val="annotation reference"/>
    <w:qFormat/>
    <w:uiPriority w:val="0"/>
    <w:rPr>
      <w:sz w:val="21"/>
      <w:szCs w:val="21"/>
    </w:rPr>
  </w:style>
  <w:style w:type="character" w:customStyle="1" w:styleId="26">
    <w:name w:val="批注文字 Char"/>
    <w:link w:val="9"/>
    <w:qFormat/>
    <w:uiPriority w:val="0"/>
    <w:rPr>
      <w:rFonts w:ascii="宋体" w:hAnsi="宋体" w:cs="宋体"/>
      <w:sz w:val="22"/>
      <w:szCs w:val="22"/>
      <w:lang w:val="zh-CN" w:bidi="zh-CN"/>
    </w:rPr>
  </w:style>
  <w:style w:type="character" w:customStyle="1" w:styleId="27">
    <w:name w:val="批注框文本 Char"/>
    <w:link w:val="13"/>
    <w:qFormat/>
    <w:uiPriority w:val="0"/>
    <w:rPr>
      <w:rFonts w:ascii="宋体" w:hAnsi="宋体" w:cs="宋体"/>
      <w:sz w:val="18"/>
      <w:szCs w:val="18"/>
      <w:lang w:val="zh-CN" w:bidi="zh-CN"/>
    </w:rPr>
  </w:style>
  <w:style w:type="character" w:customStyle="1" w:styleId="28">
    <w:name w:val="批注主题 Char"/>
    <w:link w:val="18"/>
    <w:qFormat/>
    <w:uiPriority w:val="0"/>
    <w:rPr>
      <w:rFonts w:ascii="宋体" w:hAnsi="宋体" w:cs="宋体"/>
      <w:b/>
      <w:bCs/>
      <w:sz w:val="22"/>
      <w:szCs w:val="22"/>
      <w:lang w:val="zh-CN" w:bidi="zh-CN"/>
    </w:rPr>
  </w:style>
  <w:style w:type="paragraph" w:customStyle="1" w:styleId="29">
    <w:name w:val="样式 正文缩进正文缩进2正文缩进 Char Char正文缩进 Char Char Char Char正文缩进 Char ..."/>
    <w:basedOn w:val="4"/>
    <w:qFormat/>
    <w:uiPriority w:val="0"/>
    <w:pPr>
      <w:spacing w:line="360" w:lineRule="auto"/>
      <w:ind w:firstLine="200"/>
    </w:pPr>
    <w:rPr>
      <w:rFonts w:cs="宋体"/>
      <w:sz w:val="24"/>
    </w:rPr>
  </w:style>
  <w:style w:type="paragraph" w:customStyle="1" w:styleId="3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paragraph" w:customStyle="1" w:styleId="31">
    <w:name w:val="[1]正文"/>
    <w:basedOn w:val="1"/>
    <w:qFormat/>
    <w:uiPriority w:val="0"/>
    <w:pPr>
      <w:wordWrap w:val="0"/>
      <w:adjustRightInd w:val="0"/>
      <w:snapToGrid w:val="0"/>
      <w:spacing w:line="500" w:lineRule="exact"/>
      <w:jc w:val="left"/>
    </w:pPr>
    <w:rPr>
      <w:kern w:val="0"/>
      <w:sz w:val="28"/>
      <w:szCs w:val="28"/>
    </w:rPr>
  </w:style>
  <w:style w:type="character" w:customStyle="1" w:styleId="32">
    <w:name w:val="文章正文 Char Char"/>
    <w:qFormat/>
    <w:uiPriority w:val="0"/>
    <w:rPr>
      <w:rFonts w:hint="default" w:ascii="Times New Roman" w:hAnsi="Times New Roman" w:eastAsia="宋体" w:cs="Times New Roman"/>
      <w:sz w:val="24"/>
    </w:rPr>
  </w:style>
  <w:style w:type="character" w:customStyle="1" w:styleId="33">
    <w:name w:val="gl"/>
    <w:qFormat/>
    <w:uiPriority w:val="0"/>
  </w:style>
  <w:style w:type="paragraph" w:styleId="34">
    <w:name w:val="List Paragraph"/>
    <w:basedOn w:val="1"/>
    <w:qFormat/>
    <w:uiPriority w:val="1"/>
    <w:pPr>
      <w:ind w:left="1733" w:hanging="602"/>
    </w:pPr>
    <w:rPr>
      <w:rFonts w:ascii="宋体" w:hAnsi="宋体" w:eastAsia="宋体" w:cs="宋体"/>
      <w:lang w:val="zh-CN" w:eastAsia="zh-CN" w:bidi="zh-CN"/>
    </w:rPr>
  </w:style>
  <w:style w:type="paragraph" w:customStyle="1" w:styleId="35">
    <w:name w:val="文章正文"/>
    <w:basedOn w:val="1"/>
    <w:qFormat/>
    <w:uiPriority w:val="0"/>
    <w:pPr>
      <w:spacing w:line="440" w:lineRule="exact"/>
      <w:ind w:firstLine="600" w:firstLineChars="200"/>
    </w:pPr>
    <w:rPr>
      <w:rFonts w:ascii="Calibri" w:hAnsi="Calibri" w:eastAsia="宋体" w:cs="Times New Roman"/>
      <w:kern w:val="0"/>
      <w:sz w:val="24"/>
      <w:szCs w:val="22"/>
    </w:rPr>
  </w:style>
  <w:style w:type="paragraph" w:customStyle="1" w:styleId="36">
    <w:name w:val="表格文字"/>
    <w:basedOn w:val="10"/>
    <w:next w:val="1"/>
    <w:qFormat/>
    <w:uiPriority w:val="0"/>
    <w:pPr>
      <w:snapToGrid w:val="0"/>
      <w:spacing w:line="360" w:lineRule="exact"/>
      <w:jc w:val="center"/>
    </w:pPr>
    <w:rPr>
      <w:kern w:val="0"/>
      <w:sz w:val="24"/>
    </w:rPr>
  </w:style>
  <w:style w:type="paragraph" w:customStyle="1" w:styleId="37">
    <w:name w:val="韩-正文首行缩进"/>
    <w:basedOn w:val="19"/>
    <w:qFormat/>
    <w:uiPriority w:val="0"/>
    <w:pPr>
      <w:spacing w:line="360" w:lineRule="auto"/>
      <w:ind w:firstLine="200" w:firstLineChars="200"/>
    </w:pPr>
    <w:rPr>
      <w:sz w:val="24"/>
    </w:rPr>
  </w:style>
  <w:style w:type="paragraph" w:customStyle="1" w:styleId="38">
    <w:name w:val="嘎鲁图正文"/>
    <w:basedOn w:val="1"/>
    <w:qFormat/>
    <w:uiPriority w:val="0"/>
    <w:pPr>
      <w:spacing w:line="520" w:lineRule="exact"/>
      <w:ind w:firstLine="480" w:firstLineChars="200"/>
    </w:pPr>
    <w:rPr>
      <w:rFonts w:cs="宋体"/>
      <w:kern w:val="0"/>
      <w:sz w:val="24"/>
      <w:szCs w:val="22"/>
    </w:rPr>
  </w:style>
  <w:style w:type="paragraph" w:customStyle="1" w:styleId="39">
    <w:name w:val="中文报告书样式"/>
    <w:basedOn w:val="1"/>
    <w:qFormat/>
    <w:uiPriority w:val="0"/>
    <w:pPr>
      <w:adjustRightInd w:val="0"/>
      <w:spacing w:line="480" w:lineRule="atLeast"/>
      <w:ind w:firstLine="482"/>
      <w:textAlignment w:val="baseline"/>
    </w:pPr>
    <w:rPr>
      <w:kern w:val="24"/>
      <w:sz w:val="24"/>
    </w:rPr>
  </w:style>
  <w:style w:type="paragraph" w:customStyle="1" w:styleId="40">
    <w:name w:val="表格标题dg"/>
    <w:basedOn w:val="1"/>
    <w:next w:val="1"/>
    <w:qFormat/>
    <w:uiPriority w:val="0"/>
    <w:pPr>
      <w:keepNext/>
      <w:widowControl/>
      <w:spacing w:line="560" w:lineRule="exact"/>
      <w:jc w:val="center"/>
    </w:pPr>
    <w:rPr>
      <w:rFonts w:ascii="微软雅黑" w:hAnsi="微软雅黑" w:eastAsia="微软雅黑"/>
      <w:kern w:val="0"/>
      <w:sz w:val="24"/>
      <w:szCs w:val="22"/>
      <w:lang w:bidi="en-US"/>
    </w:rPr>
  </w:style>
  <w:style w:type="paragraph" w:customStyle="1" w:styleId="41">
    <w:name w:val="表文字xxxxxxxx"/>
    <w:basedOn w:val="1"/>
    <w:qFormat/>
    <w:uiPriority w:val="0"/>
    <w:pPr>
      <w:topLinePunct/>
      <w:adjustRightInd w:val="0"/>
      <w:spacing w:line="360" w:lineRule="exact"/>
      <w:jc w:val="center"/>
    </w:pPr>
    <w:rPr>
      <w:kern w:val="2"/>
      <w:sz w:val="21"/>
      <w:szCs w:val="21"/>
    </w:rPr>
  </w:style>
  <w:style w:type="paragraph" w:customStyle="1" w:styleId="42">
    <w:name w:val="表 陈"/>
    <w:basedOn w:val="1"/>
    <w:qFormat/>
    <w:uiPriority w:val="0"/>
    <w:pPr>
      <w:spacing w:line="360" w:lineRule="exact"/>
      <w:jc w:val="center"/>
    </w:pPr>
    <w:rPr>
      <w:rFonts w:ascii="宋体" w:hAnsi="宋体" w:cs="宋体"/>
    </w:rPr>
  </w:style>
  <w:style w:type="paragraph" w:customStyle="1" w:styleId="43">
    <w:name w:val="xxxxx正文"/>
    <w:basedOn w:val="1"/>
    <w:qFormat/>
    <w:uiPriority w:val="0"/>
    <w:pPr>
      <w:topLinePunct/>
      <w:spacing w:line="360" w:lineRule="auto"/>
      <w:ind w:firstLine="200" w:firstLineChars="200"/>
    </w:pPr>
    <w:rPr>
      <w:rFonts w:ascii="宋体" w:hAnsi="宋体"/>
      <w:sz w:val="24"/>
      <w:szCs w:val="24"/>
      <w:lang w:val="zh-CN"/>
    </w:rPr>
  </w:style>
  <w:style w:type="paragraph" w:customStyle="1" w:styleId="44">
    <w:name w:val="表格"/>
    <w:basedOn w:val="1"/>
    <w:next w:val="1"/>
    <w:qFormat/>
    <w:uiPriority w:val="99"/>
    <w:pPr>
      <w:spacing w:line="360" w:lineRule="exact"/>
      <w:jc w:val="center"/>
    </w:pPr>
    <w:rPr>
      <w:rFonts w:ascii="宋体" w:hAnsi="宋体"/>
      <w:szCs w:val="21"/>
    </w:rPr>
  </w:style>
  <w:style w:type="paragraph" w:customStyle="1" w:styleId="45">
    <w:name w:val="Table Paragraph"/>
    <w:basedOn w:val="1"/>
    <w:qFormat/>
    <w:uiPriority w:val="1"/>
    <w:rPr>
      <w:rFonts w:ascii="宋体" w:hAnsi="宋体" w:eastAsia="宋体" w:cs="宋体"/>
      <w:lang w:val="zh-CN" w:eastAsia="zh-CN" w:bidi="zh-CN"/>
    </w:rPr>
  </w:style>
  <w:style w:type="paragraph" w:customStyle="1" w:styleId="46">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47">
    <w:name w:val="表格文字2"/>
    <w:basedOn w:val="1"/>
    <w:qFormat/>
    <w:uiPriority w:val="0"/>
    <w:pPr>
      <w:adjustRightInd w:val="0"/>
      <w:spacing w:before="60" w:beforeLines="0"/>
      <w:jc w:val="center"/>
      <w:textAlignment w:val="baseline"/>
    </w:pPr>
    <w:rPr>
      <w:rFonts w:ascii="宋体"/>
      <w:kern w:val="0"/>
      <w:sz w:val="24"/>
    </w:rPr>
  </w:style>
  <w:style w:type="table" w:customStyle="1" w:styleId="48">
    <w:name w:val="Table Normal"/>
    <w:unhideWhenUsed/>
    <w:qFormat/>
    <w:uiPriority w:val="2"/>
    <w:rPr>
      <w:lang w:val="en-US" w:eastAsia="zh-CN" w:bidi="ar-SA"/>
    </w:rPr>
    <w:tblPr>
      <w:tblCellMar>
        <w:top w:w="0" w:type="dxa"/>
        <w:left w:w="0" w:type="dxa"/>
        <w:bottom w:w="0" w:type="dxa"/>
        <w:right w:w="0" w:type="dxa"/>
      </w:tblCellMar>
    </w:tblPr>
  </w:style>
  <w:style w:type="paragraph" w:customStyle="1" w:styleId="49">
    <w:name w:val="环评正文"/>
    <w:basedOn w:val="1"/>
    <w:semiHidden/>
    <w:qFormat/>
    <w:uiPriority w:val="0"/>
    <w:pPr>
      <w:spacing w:line="360" w:lineRule="auto"/>
      <w:ind w:firstLine="200" w:firstLineChars="200"/>
    </w:pPr>
    <w:rPr>
      <w:rFonts w:eastAsia="Times New Roman"/>
      <w:sz w:val="24"/>
      <w:szCs w:val="22"/>
    </w:rPr>
  </w:style>
  <w:style w:type="paragraph" w:customStyle="1" w:styleId="50">
    <w:name w:val="Body text|1"/>
    <w:basedOn w:val="1"/>
    <w:qFormat/>
    <w:uiPriority w:val="0"/>
    <w:pPr>
      <w:widowControl w:val="0"/>
      <w:shd w:val="clear" w:color="auto" w:fill="auto"/>
      <w:spacing w:line="346" w:lineRule="auto"/>
      <w:ind w:firstLine="400"/>
    </w:pPr>
    <w:rPr>
      <w:rFonts w:ascii="宋体" w:hAnsi="宋体" w:eastAsia="宋体" w:cs="宋体"/>
      <w:sz w:val="19"/>
      <w:szCs w:val="19"/>
      <w:u w:val="none"/>
      <w:shd w:val="clear" w:color="auto" w:fill="auto"/>
      <w:lang w:val="zh-TW" w:eastAsia="zh-TW" w:bidi="zh-TW"/>
    </w:rPr>
  </w:style>
  <w:style w:type="paragraph" w:customStyle="1" w:styleId="51">
    <w:name w:val="Header or footer|2"/>
    <w:basedOn w:val="1"/>
    <w:qFormat/>
    <w:uiPriority w:val="0"/>
    <w:pPr>
      <w:widowControl w:val="0"/>
      <w:shd w:val="clear" w:color="auto" w:fill="auto"/>
    </w:pPr>
    <w:rPr>
      <w:sz w:val="20"/>
      <w:szCs w:val="20"/>
      <w:u w:val="none"/>
      <w:shd w:val="clear" w:color="auto" w:fill="auto"/>
    </w:rPr>
  </w:style>
  <w:style w:type="paragraph" w:customStyle="1" w:styleId="52">
    <w:name w:val="标题2"/>
    <w:basedOn w:val="3"/>
    <w:qFormat/>
    <w:uiPriority w:val="0"/>
    <w:pPr>
      <w:spacing w:beforeLines="0" w:afterLines="0" w:line="560" w:lineRule="exact"/>
      <w:jc w:val="left"/>
    </w:pPr>
    <w:rPr>
      <w:rFonts w:ascii="黑体" w:hAnsi="Arial" w:eastAsia="黑体"/>
      <w:sz w:val="28"/>
      <w:szCs w:val="24"/>
    </w:rPr>
  </w:style>
  <w:style w:type="paragraph" w:customStyle="1" w:styleId="53">
    <w:name w:val="1正文"/>
    <w:basedOn w:val="1"/>
    <w:qFormat/>
    <w:uiPriority w:val="0"/>
    <w:pPr>
      <w:widowControl/>
      <w:spacing w:line="360" w:lineRule="auto"/>
      <w:ind w:firstLine="200" w:firstLineChars="200"/>
    </w:pPr>
    <w:rPr>
      <w:kern w:val="0"/>
      <w:sz w:val="24"/>
      <w:szCs w:val="20"/>
      <w:lang w:val="en-GB"/>
    </w:rPr>
  </w:style>
  <w:style w:type="paragraph" w:customStyle="1" w:styleId="54">
    <w:name w:val="报告表正文"/>
    <w:basedOn w:val="12"/>
    <w:next w:val="12"/>
    <w:qFormat/>
    <w:uiPriority w:val="0"/>
    <w:pPr>
      <w:spacing w:line="360" w:lineRule="auto"/>
      <w:ind w:firstLine="200"/>
    </w:pPr>
  </w:style>
  <w:style w:type="paragraph" w:customStyle="1" w:styleId="55">
    <w:name w:val="BodyText1I2"/>
    <w:basedOn w:val="56"/>
    <w:qFormat/>
    <w:uiPriority w:val="0"/>
    <w:pPr>
      <w:spacing w:line="240" w:lineRule="auto"/>
      <w:ind w:firstLine="420"/>
    </w:pPr>
    <w:rPr>
      <w:rFonts w:hAnsi="Calibri"/>
    </w:rPr>
  </w:style>
  <w:style w:type="paragraph" w:customStyle="1" w:styleId="56">
    <w:name w:val="BodyTextIndent"/>
    <w:basedOn w:val="1"/>
    <w:qFormat/>
    <w:uiPriority w:val="0"/>
    <w:pPr>
      <w:ind w:firstLine="645"/>
      <w:textAlignment w:val="baseline"/>
    </w:pPr>
    <w:rPr>
      <w:sz w:val="32"/>
    </w:rPr>
  </w:style>
  <w:style w:type="paragraph" w:customStyle="1" w:styleId="57">
    <w:name w:val="Table Text"/>
    <w:basedOn w:val="1"/>
    <w:semiHidden/>
    <w:qFormat/>
    <w:uiPriority w:val="0"/>
    <w:rPr>
      <w:rFonts w:ascii="宋体" w:hAnsi="宋体" w:eastAsia="宋体" w:cs="宋体"/>
      <w:sz w:val="24"/>
      <w:szCs w:val="24"/>
      <w:lang w:val="en-US" w:eastAsia="en-US" w:bidi="ar-SA"/>
    </w:rPr>
  </w:style>
  <w:style w:type="paragraph" w:customStyle="1" w:styleId="58">
    <w:name w:val="样式5"/>
    <w:basedOn w:val="1"/>
    <w:unhideWhenUsed/>
    <w:qFormat/>
    <w:uiPriority w:val="0"/>
    <w:pPr>
      <w:autoSpaceDE/>
      <w:autoSpaceDN/>
      <w:spacing w:line="360" w:lineRule="auto"/>
    </w:pPr>
    <w:rPr>
      <w:rFonts w:ascii="Calibri" w:hAnsi="Calibri" w:cs="Times New Roman"/>
      <w:color w:val="000000"/>
      <w:spacing w:val="-6"/>
      <w:sz w:val="20"/>
      <w:szCs w:val="20"/>
      <w:lang w:bidi="ar-SA"/>
    </w:rPr>
  </w:style>
  <w:style w:type="paragraph" w:customStyle="1" w:styleId="59">
    <w:name w:val="样式1"/>
    <w:basedOn w:val="1"/>
    <w:qFormat/>
    <w:uiPriority w:val="0"/>
    <w:pPr>
      <w:spacing w:line="360" w:lineRule="auto"/>
      <w:ind w:firstLine="200" w:firstLineChars="200"/>
    </w:pPr>
    <w:rPr>
      <w:b/>
      <w:sz w:val="24"/>
    </w:rPr>
  </w:style>
  <w:style w:type="paragraph" w:customStyle="1" w:styleId="60">
    <w:name w:val="正文YYH"/>
    <w:basedOn w:val="1"/>
    <w:qFormat/>
    <w:uiPriority w:val="0"/>
    <w:pPr>
      <w:spacing w:line="360" w:lineRule="auto"/>
      <w:ind w:firstLine="200" w:firstLineChars="200"/>
    </w:pPr>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84.png"/><Relationship Id="rId98" Type="http://schemas.openxmlformats.org/officeDocument/2006/relationships/image" Target="media/image83.png"/><Relationship Id="rId97" Type="http://schemas.openxmlformats.org/officeDocument/2006/relationships/image" Target="media/image82.png"/><Relationship Id="rId96" Type="http://schemas.openxmlformats.org/officeDocument/2006/relationships/image" Target="media/image81.png"/><Relationship Id="rId95" Type="http://schemas.openxmlformats.org/officeDocument/2006/relationships/image" Target="media/image80.png"/><Relationship Id="rId94" Type="http://schemas.openxmlformats.org/officeDocument/2006/relationships/image" Target="media/image79.png"/><Relationship Id="rId93" Type="http://schemas.openxmlformats.org/officeDocument/2006/relationships/image" Target="media/image78.png"/><Relationship Id="rId92" Type="http://schemas.openxmlformats.org/officeDocument/2006/relationships/image" Target="media/image77.png"/><Relationship Id="rId91" Type="http://schemas.openxmlformats.org/officeDocument/2006/relationships/image" Target="media/image76.png"/><Relationship Id="rId90" Type="http://schemas.openxmlformats.org/officeDocument/2006/relationships/image" Target="media/image75.png"/><Relationship Id="rId9" Type="http://schemas.openxmlformats.org/officeDocument/2006/relationships/footer" Target="footer7.xml"/><Relationship Id="rId89" Type="http://schemas.openxmlformats.org/officeDocument/2006/relationships/image" Target="media/image74.png"/><Relationship Id="rId88" Type="http://schemas.openxmlformats.org/officeDocument/2006/relationships/image" Target="media/image73.png"/><Relationship Id="rId87" Type="http://schemas.openxmlformats.org/officeDocument/2006/relationships/image" Target="media/image72.png"/><Relationship Id="rId86" Type="http://schemas.openxmlformats.org/officeDocument/2006/relationships/image" Target="media/image71.png"/><Relationship Id="rId85" Type="http://schemas.openxmlformats.org/officeDocument/2006/relationships/image" Target="media/image70.png"/><Relationship Id="rId84" Type="http://schemas.openxmlformats.org/officeDocument/2006/relationships/image" Target="media/image69.png"/><Relationship Id="rId83" Type="http://schemas.openxmlformats.org/officeDocument/2006/relationships/image" Target="media/image68.png"/><Relationship Id="rId82" Type="http://schemas.openxmlformats.org/officeDocument/2006/relationships/image" Target="media/image67.png"/><Relationship Id="rId81" Type="http://schemas.openxmlformats.org/officeDocument/2006/relationships/image" Target="media/image66.png"/><Relationship Id="rId80" Type="http://schemas.openxmlformats.org/officeDocument/2006/relationships/image" Target="media/image65.png"/><Relationship Id="rId8" Type="http://schemas.openxmlformats.org/officeDocument/2006/relationships/footer" Target="footer6.xml"/><Relationship Id="rId79" Type="http://schemas.openxmlformats.org/officeDocument/2006/relationships/image" Target="media/image64.png"/><Relationship Id="rId78" Type="http://schemas.openxmlformats.org/officeDocument/2006/relationships/image" Target="media/image63.png"/><Relationship Id="rId77" Type="http://schemas.openxmlformats.org/officeDocument/2006/relationships/image" Target="media/image62.png"/><Relationship Id="rId76" Type="http://schemas.openxmlformats.org/officeDocument/2006/relationships/image" Target="media/image61.png"/><Relationship Id="rId75" Type="http://schemas.openxmlformats.org/officeDocument/2006/relationships/image" Target="media/image60.png"/><Relationship Id="rId74" Type="http://schemas.openxmlformats.org/officeDocument/2006/relationships/image" Target="media/image59.png"/><Relationship Id="rId73" Type="http://schemas.openxmlformats.org/officeDocument/2006/relationships/image" Target="media/image58.png"/><Relationship Id="rId72" Type="http://schemas.openxmlformats.org/officeDocument/2006/relationships/image" Target="media/image57.png"/><Relationship Id="rId71" Type="http://schemas.openxmlformats.org/officeDocument/2006/relationships/image" Target="media/image56.png"/><Relationship Id="rId70" Type="http://schemas.openxmlformats.org/officeDocument/2006/relationships/image" Target="media/image55.png"/><Relationship Id="rId7" Type="http://schemas.openxmlformats.org/officeDocument/2006/relationships/footer" Target="footer5.xml"/><Relationship Id="rId69" Type="http://schemas.openxmlformats.org/officeDocument/2006/relationships/image" Target="media/image54.png"/><Relationship Id="rId68" Type="http://schemas.openxmlformats.org/officeDocument/2006/relationships/image" Target="media/image53.png"/><Relationship Id="rId67" Type="http://schemas.openxmlformats.org/officeDocument/2006/relationships/image" Target="media/image52.png"/><Relationship Id="rId66" Type="http://schemas.openxmlformats.org/officeDocument/2006/relationships/image" Target="media/image51.png"/><Relationship Id="rId65" Type="http://schemas.openxmlformats.org/officeDocument/2006/relationships/image" Target="media/image50.png"/><Relationship Id="rId64" Type="http://schemas.openxmlformats.org/officeDocument/2006/relationships/image" Target="media/image49.png"/><Relationship Id="rId63" Type="http://schemas.openxmlformats.org/officeDocument/2006/relationships/image" Target="media/image48.png"/><Relationship Id="rId62" Type="http://schemas.openxmlformats.org/officeDocument/2006/relationships/image" Target="media/image47.png"/><Relationship Id="rId61" Type="http://schemas.openxmlformats.org/officeDocument/2006/relationships/image" Target="media/image46.png"/><Relationship Id="rId60" Type="http://schemas.openxmlformats.org/officeDocument/2006/relationships/image" Target="media/image45.png"/><Relationship Id="rId6" Type="http://schemas.openxmlformats.org/officeDocument/2006/relationships/footer" Target="footer4.xml"/><Relationship Id="rId59" Type="http://schemas.openxmlformats.org/officeDocument/2006/relationships/image" Target="media/image44.png"/><Relationship Id="rId58" Type="http://schemas.openxmlformats.org/officeDocument/2006/relationships/image" Target="media/image43.png"/><Relationship Id="rId57" Type="http://schemas.openxmlformats.org/officeDocument/2006/relationships/image" Target="media/image42.png"/><Relationship Id="rId56" Type="http://schemas.openxmlformats.org/officeDocument/2006/relationships/image" Target="media/image41.png"/><Relationship Id="rId55" Type="http://schemas.openxmlformats.org/officeDocument/2006/relationships/image" Target="media/image40.png"/><Relationship Id="rId54" Type="http://schemas.openxmlformats.org/officeDocument/2006/relationships/image" Target="media/image39.png"/><Relationship Id="rId53" Type="http://schemas.openxmlformats.org/officeDocument/2006/relationships/image" Target="media/image38.png"/><Relationship Id="rId52" Type="http://schemas.openxmlformats.org/officeDocument/2006/relationships/image" Target="media/image37.png"/><Relationship Id="rId51" Type="http://schemas.openxmlformats.org/officeDocument/2006/relationships/image" Target="media/image36.png"/><Relationship Id="rId50" Type="http://schemas.openxmlformats.org/officeDocument/2006/relationships/image" Target="media/image35.png"/><Relationship Id="rId5" Type="http://schemas.openxmlformats.org/officeDocument/2006/relationships/footer" Target="footer3.xml"/><Relationship Id="rId49" Type="http://schemas.openxmlformats.org/officeDocument/2006/relationships/image" Target="media/image34.png"/><Relationship Id="rId48" Type="http://schemas.openxmlformats.org/officeDocument/2006/relationships/image" Target="media/image33.png"/><Relationship Id="rId47" Type="http://schemas.openxmlformats.org/officeDocument/2006/relationships/image" Target="media/image32.jpeg"/><Relationship Id="rId46" Type="http://schemas.openxmlformats.org/officeDocument/2006/relationships/image" Target="media/image31.jpeg"/><Relationship Id="rId45" Type="http://schemas.openxmlformats.org/officeDocument/2006/relationships/image" Target="media/image30.jpeg"/><Relationship Id="rId44" Type="http://schemas.openxmlformats.org/officeDocument/2006/relationships/image" Target="media/image29.png"/><Relationship Id="rId43" Type="http://schemas.openxmlformats.org/officeDocument/2006/relationships/image" Target="media/image28.png"/><Relationship Id="rId42" Type="http://schemas.openxmlformats.org/officeDocument/2006/relationships/image" Target="media/image27.jpeg"/><Relationship Id="rId41" Type="http://schemas.openxmlformats.org/officeDocument/2006/relationships/image" Target="media/image26.jpeg"/><Relationship Id="rId40" Type="http://schemas.openxmlformats.org/officeDocument/2006/relationships/image" Target="media/image25.jpeg"/><Relationship Id="rId4" Type="http://schemas.openxmlformats.org/officeDocument/2006/relationships/footer" Target="footer2.xml"/><Relationship Id="rId39" Type="http://schemas.openxmlformats.org/officeDocument/2006/relationships/image" Target="media/image24.jpeg"/><Relationship Id="rId38" Type="http://schemas.openxmlformats.org/officeDocument/2006/relationships/image" Target="media/image23.jpeg"/><Relationship Id="rId37" Type="http://schemas.openxmlformats.org/officeDocument/2006/relationships/image" Target="media/image22.jpe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jpeg"/><Relationship Id="rId31" Type="http://schemas.openxmlformats.org/officeDocument/2006/relationships/image" Target="media/image16.jpeg"/><Relationship Id="rId30" Type="http://schemas.openxmlformats.org/officeDocument/2006/relationships/image" Target="media/image15.jpeg"/><Relationship Id="rId3" Type="http://schemas.openxmlformats.org/officeDocument/2006/relationships/footer" Target="footer1.xml"/><Relationship Id="rId29" Type="http://schemas.openxmlformats.org/officeDocument/2006/relationships/image" Target="media/image14.jpeg"/><Relationship Id="rId28" Type="http://schemas.openxmlformats.org/officeDocument/2006/relationships/image" Target="media/image13.jpe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wmf"/><Relationship Id="rId24" Type="http://schemas.openxmlformats.org/officeDocument/2006/relationships/image" Target="media/image9.wmf"/><Relationship Id="rId23" Type="http://schemas.openxmlformats.org/officeDocument/2006/relationships/image" Target="media/image8.jpe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8" Type="http://schemas.openxmlformats.org/officeDocument/2006/relationships/fontTable" Target="fontTable.xml"/><Relationship Id="rId107" Type="http://schemas.openxmlformats.org/officeDocument/2006/relationships/numbering" Target="numbering.xml"/><Relationship Id="rId106" Type="http://schemas.openxmlformats.org/officeDocument/2006/relationships/customXml" Target="../customXml/item1.xml"/><Relationship Id="rId105" Type="http://schemas.openxmlformats.org/officeDocument/2006/relationships/image" Target="media/image90.png"/><Relationship Id="rId104" Type="http://schemas.openxmlformats.org/officeDocument/2006/relationships/image" Target="media/image89.png"/><Relationship Id="rId103" Type="http://schemas.openxmlformats.org/officeDocument/2006/relationships/image" Target="media/image88.png"/><Relationship Id="rId102" Type="http://schemas.openxmlformats.org/officeDocument/2006/relationships/image" Target="media/image87.png"/><Relationship Id="rId101" Type="http://schemas.openxmlformats.org/officeDocument/2006/relationships/image" Target="media/image86.png"/><Relationship Id="rId100" Type="http://schemas.openxmlformats.org/officeDocument/2006/relationships/image" Target="media/image85.png"/><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149</Pages>
  <Words>15873</Words>
  <Characters>17534</Characters>
  <Lines>246</Lines>
  <Paragraphs>69</Paragraphs>
  <TotalTime>2</TotalTime>
  <ScaleCrop>false</ScaleCrop>
  <LinksUpToDate>false</LinksUpToDate>
  <CharactersWithSpaces>17684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2022-06-09T01:33:00Z</dcterms:created>
  <dc:creator>lhj</dc:creator>
  <cp:lastModifiedBy>晓萝卜</cp:lastModifiedBy>
  <cp:lastPrinted>2024-08-12T08:43:00Z</cp:lastPrinted>
  <dcterms:modified xsi:type="dcterms:W3CDTF">2025-11-04T06:33:21Z</dcterms:modified>
  <dc:title>附件2</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2021-03-04T08:00:00Z</vt:filetime>
  </property>
  <property fmtid="{D5CDD505-2E9C-101B-9397-08002B2CF9AE}" pid="3" name="Creator">
    <vt:lpwstr>WPS 文字</vt:lpwstr>
  </property>
  <property fmtid="{D5CDD505-2E9C-101B-9397-08002B2CF9AE}" pid="4" name="LastSaved">
    <vt:filetime>2021-03-16T08:00:00Z</vt:filetime>
  </property>
  <property fmtid="{D5CDD505-2E9C-101B-9397-08002B2CF9AE}" pid="5" name="KSOProductBuildVer">
    <vt:lpwstr>2052-12.1.0.23542</vt:lpwstr>
  </property>
  <property fmtid="{D5CDD505-2E9C-101B-9397-08002B2CF9AE}" pid="6" name="ICV">
    <vt:lpwstr>FFB8B653138C4FE683B547F8B86F3954_13</vt:lpwstr>
  </property>
  <property fmtid="{D5CDD505-2E9C-101B-9397-08002B2CF9AE}" pid="7" name="KSOTemplateDocerSaveRecord">
    <vt:lpwstr>eyJoZGlkIjoiMjdhMzBiOTQwYTMxYzlhMjlkNDQwOTcyZThhMDJhMjciLCJ1c2VySWQiOiIyNjA5NDI5NTEifQ==</vt:lpwstr>
  </property>
</Properties>
</file>