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2"/>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color w:val="000000"/>
                <w:szCs w:val="21"/>
                <w:lang w:val="en-US" w:eastAsia="zh-CN"/>
              </w:rPr>
              <w:t>鄂尔多斯广厦医院改扩建项目</w:t>
            </w:r>
          </w:p>
        </w:tc>
        <w:tc>
          <w:tcPr>
            <w:tcW w:w="397" w:type="dxa"/>
            <w:vAlign w:val="center"/>
          </w:tcPr>
          <w:p w14:paraId="102A4222">
            <w:pPr>
              <w:spacing w:line="600" w:lineRule="exact"/>
              <w:jc w:val="center"/>
              <w:rPr>
                <w:rFonts w:hint="default"/>
                <w:color w:val="000000"/>
                <w:szCs w:val="21"/>
                <w:lang w:val="en-US" w:eastAsia="zh-CN"/>
              </w:rPr>
            </w:pPr>
            <w:r>
              <w:rPr>
                <w:rFonts w:hint="default"/>
                <w:color w:val="000000"/>
                <w:szCs w:val="21"/>
                <w:lang w:val="en-US"/>
              </w:rPr>
              <w:t>内蒙古自治区鄂尔多斯市</w:t>
            </w:r>
            <w:r>
              <w:rPr>
                <w:rFonts w:hint="default"/>
                <w:color w:val="000000"/>
                <w:szCs w:val="21"/>
                <w:lang w:val="en-US" w:eastAsia="zh-CN"/>
              </w:rPr>
              <w:t>东胜区伊化南路11号</w:t>
            </w:r>
          </w:p>
          <w:p w14:paraId="086DDD41">
            <w:pPr>
              <w:spacing w:line="600" w:lineRule="exact"/>
              <w:jc w:val="center"/>
              <w:rPr>
                <w:color w:val="000000"/>
                <w:szCs w:val="21"/>
              </w:rPr>
            </w:pPr>
            <w:r>
              <w:rPr>
                <w:rFonts w:hint="default"/>
                <w:color w:val="000000"/>
                <w:szCs w:val="21"/>
                <w:lang w:val="en-US" w:eastAsia="zh-CN"/>
              </w:rPr>
              <w:t>鄂尔多斯广厦医院院内</w:t>
            </w:r>
          </w:p>
        </w:tc>
        <w:tc>
          <w:tcPr>
            <w:tcW w:w="465" w:type="dxa"/>
            <w:vAlign w:val="center"/>
          </w:tcPr>
          <w:p w14:paraId="25BCC080">
            <w:pPr>
              <w:spacing w:line="600" w:lineRule="exact"/>
              <w:jc w:val="center"/>
              <w:rPr>
                <w:color w:val="000000"/>
                <w:szCs w:val="21"/>
              </w:rPr>
            </w:pPr>
            <w:r>
              <w:rPr>
                <w:rFonts w:hint="eastAsia"/>
                <w:color w:val="000000"/>
                <w:szCs w:val="21"/>
                <w:lang w:val="en-US" w:eastAsia="zh-CN"/>
              </w:rPr>
              <w:t>鄂尔多斯广厦医院</w:t>
            </w:r>
          </w:p>
        </w:tc>
        <w:tc>
          <w:tcPr>
            <w:tcW w:w="675" w:type="dxa"/>
            <w:vAlign w:val="center"/>
          </w:tcPr>
          <w:p w14:paraId="5D04F640">
            <w:pPr>
              <w:spacing w:line="600" w:lineRule="exact"/>
              <w:jc w:val="center"/>
              <w:rPr>
                <w:color w:val="000000"/>
                <w:szCs w:val="21"/>
              </w:rPr>
            </w:pPr>
            <w:r>
              <w:rPr>
                <w:rFonts w:hint="default"/>
                <w:color w:val="000000"/>
                <w:szCs w:val="21"/>
                <w:lang w:val="en-US" w:eastAsia="zh-CN"/>
              </w:rPr>
              <w:t>内蒙古碧蓝环境科技有限公司</w:t>
            </w:r>
          </w:p>
        </w:tc>
        <w:tc>
          <w:tcPr>
            <w:tcW w:w="2555" w:type="dxa"/>
            <w:vAlign w:val="center"/>
          </w:tcPr>
          <w:p w14:paraId="13C8A4B5">
            <w:pPr>
              <w:spacing w:line="360" w:lineRule="auto"/>
              <w:ind w:firstLine="420" w:firstLineChars="200"/>
              <w:rPr>
                <w:rFonts w:hint="default"/>
                <w:color w:val="000000"/>
                <w:szCs w:val="21"/>
                <w:lang w:val="en-US" w:eastAsia="zh-CN"/>
              </w:rPr>
            </w:pPr>
            <w:r>
              <w:rPr>
                <w:rFonts w:hint="default"/>
                <w:color w:val="000000"/>
                <w:szCs w:val="21"/>
                <w:lang w:val="en-US" w:eastAsia="zh-CN"/>
              </w:rPr>
              <w:t>一、该项目属于改扩建项目，位于东胜区伊化南路11号鄂尔多斯广厦医院院内。项目不新增占地，总投资500万元，其中环保投资90.65万元。主要建设内容及规模：床位数由原150张增至250张，新建1间危废暂存库，利用原洗衣房新建1座处理规模为80m</w:t>
            </w:r>
            <w:r>
              <w:rPr>
                <w:rFonts w:hint="default"/>
                <w:color w:val="000000"/>
                <w:szCs w:val="21"/>
                <w:vertAlign w:val="superscript"/>
                <w:lang w:val="en-US" w:eastAsia="zh-CN"/>
              </w:rPr>
              <w:t>3</w:t>
            </w:r>
            <w:r>
              <w:rPr>
                <w:rFonts w:hint="default"/>
                <w:color w:val="000000"/>
                <w:szCs w:val="21"/>
                <w:lang w:val="en-US" w:eastAsia="zh-CN"/>
              </w:rPr>
              <w:t>/d的污水处理站，建成后拆除现有处理规模为50m</w:t>
            </w:r>
            <w:r>
              <w:rPr>
                <w:rFonts w:hint="default"/>
                <w:color w:val="000000"/>
                <w:szCs w:val="21"/>
                <w:vertAlign w:val="superscript"/>
                <w:lang w:val="en-US" w:eastAsia="zh-CN"/>
              </w:rPr>
              <w:t>3</w:t>
            </w:r>
            <w:r>
              <w:rPr>
                <w:rFonts w:hint="default"/>
                <w:color w:val="000000"/>
                <w:szCs w:val="21"/>
                <w:lang w:val="en-US" w:eastAsia="zh-CN"/>
              </w:rPr>
              <w:t>/d的污水处理设施。</w:t>
            </w:r>
          </w:p>
          <w:p w14:paraId="25AB8E1B">
            <w:pPr>
              <w:spacing w:line="360" w:lineRule="auto"/>
              <w:ind w:firstLine="420" w:firstLineChars="200"/>
              <w:rPr>
                <w:rFonts w:hint="default"/>
                <w:color w:val="000000"/>
                <w:szCs w:val="21"/>
                <w:lang w:val="en-US" w:eastAsia="zh-CN"/>
              </w:rPr>
            </w:pPr>
          </w:p>
          <w:p w14:paraId="1C62A9FF">
            <w:pPr>
              <w:spacing w:line="360" w:lineRule="auto"/>
              <w:ind w:firstLine="420" w:firstLineChars="200"/>
              <w:rPr>
                <w:color w:val="000000"/>
                <w:szCs w:val="21"/>
              </w:rPr>
            </w:pPr>
          </w:p>
        </w:tc>
        <w:tc>
          <w:tcPr>
            <w:tcW w:w="4877" w:type="dxa"/>
            <w:vAlign w:val="center"/>
          </w:tcPr>
          <w:p w14:paraId="4A46EEA3">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6B62FA7">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5205025C">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76D78FF1">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4AB20D31">
            <w:pPr>
              <w:spacing w:line="360" w:lineRule="auto"/>
              <w:jc w:val="left"/>
              <w:rPr>
                <w:rFonts w:hint="eastAsia"/>
                <w:color w:val="000000"/>
                <w:szCs w:val="21"/>
                <w:lang w:val="en-US" w:eastAsia="zh-CN"/>
              </w:rPr>
            </w:pPr>
            <w:r>
              <w:rPr>
                <w:rFonts w:hint="eastAsia"/>
                <w:color w:val="000000"/>
                <w:szCs w:val="21"/>
                <w:lang w:val="en-US" w:eastAsia="zh-CN"/>
              </w:rPr>
              <w:t>2、施工人员生活污水依托现有医疗废水处理设施处理。</w:t>
            </w:r>
          </w:p>
          <w:p w14:paraId="1666F3EF">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034D13F4">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69646D49">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4B9EF588">
            <w:pPr>
              <w:spacing w:line="360" w:lineRule="auto"/>
              <w:jc w:val="left"/>
              <w:rPr>
                <w:rFonts w:hint="eastAsia"/>
                <w:color w:val="000000"/>
                <w:szCs w:val="21"/>
                <w:lang w:val="en-US" w:eastAsia="zh-CN"/>
              </w:rPr>
            </w:pPr>
            <w:r>
              <w:rPr>
                <w:rFonts w:hint="eastAsia"/>
                <w:color w:val="000000"/>
                <w:szCs w:val="21"/>
                <w:lang w:val="en-US" w:eastAsia="zh-CN"/>
              </w:rPr>
              <w:t>1、大气污染防治措施。运营期污水处理站采用地埋式处理设施，密封加盖，污水处理站车间内定期喷洒除臭剂，确保周边大气污染物排放满足《医疗机构水污染物排放标准》（GB18466-2005）表3污水处理站周边大气污染物最高允许浓度限值。</w:t>
            </w:r>
          </w:p>
          <w:p w14:paraId="307BAA34">
            <w:pPr>
              <w:spacing w:line="360" w:lineRule="auto"/>
              <w:jc w:val="left"/>
              <w:rPr>
                <w:rFonts w:hint="eastAsia"/>
                <w:color w:val="000000"/>
                <w:szCs w:val="21"/>
                <w:lang w:val="en-US" w:eastAsia="zh-CN"/>
              </w:rPr>
            </w:pPr>
            <w:r>
              <w:rPr>
                <w:rFonts w:hint="eastAsia"/>
                <w:color w:val="000000"/>
                <w:szCs w:val="21"/>
                <w:lang w:val="en-US" w:eastAsia="zh-CN"/>
              </w:rPr>
              <w:t>2、水污染防治措施。运营期检验科废水经预处理后与生活污水及其他医疗废水一并进入污水处理站处理，满足《医疗机构水污染物排放标准》（GB18466-2005）表2综合医疗机构和其他医疗机构水污染物排放限值（日均值）预处理标准要求后进入市政管网。</w:t>
            </w:r>
          </w:p>
          <w:p w14:paraId="482F806B">
            <w:pPr>
              <w:spacing w:line="360" w:lineRule="auto"/>
              <w:jc w:val="left"/>
              <w:rPr>
                <w:rFonts w:hint="eastAsia"/>
                <w:color w:val="000000"/>
                <w:szCs w:val="21"/>
              </w:rPr>
            </w:pPr>
            <w:r>
              <w:rPr>
                <w:rFonts w:hint="eastAsia"/>
                <w:color w:val="000000"/>
                <w:szCs w:val="21"/>
                <w:lang w:val="en-US" w:eastAsia="zh-CN"/>
              </w:rPr>
              <w:t>3、噪声污染防治措施。通过采取选用低噪声设备，提高建筑门窗的隔声性能，严格限制机动车辆进入院区等措施，确保运</w:t>
            </w:r>
            <w:r>
              <w:rPr>
                <w:rFonts w:hint="eastAsia"/>
                <w:color w:val="000000"/>
                <w:szCs w:val="21"/>
              </w:rPr>
              <w:t>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1</w:t>
            </w:r>
            <w:r>
              <w:rPr>
                <w:rFonts w:hint="eastAsia"/>
                <w:color w:val="000000"/>
                <w:szCs w:val="21"/>
              </w:rPr>
              <w:t>类标准</w:t>
            </w:r>
            <w:r>
              <w:rPr>
                <w:rFonts w:hint="eastAsia"/>
                <w:color w:val="000000"/>
                <w:szCs w:val="21"/>
                <w:lang w:val="en-US" w:eastAsia="zh-CN"/>
              </w:rPr>
              <w:t>要求</w:t>
            </w:r>
            <w:r>
              <w:rPr>
                <w:rFonts w:hint="eastAsia"/>
                <w:color w:val="000000"/>
                <w:szCs w:val="21"/>
              </w:rPr>
              <w:t>。</w:t>
            </w:r>
          </w:p>
          <w:p w14:paraId="3971CC57">
            <w:pPr>
              <w:spacing w:line="360" w:lineRule="auto"/>
              <w:jc w:val="left"/>
              <w:rPr>
                <w:rFonts w:hint="eastAsia"/>
                <w:color w:val="000000"/>
                <w:szCs w:val="21"/>
                <w:lang w:val="en-US" w:eastAsia="zh-CN"/>
              </w:rPr>
            </w:pPr>
            <w:r>
              <w:rPr>
                <w:rFonts w:hint="eastAsia"/>
                <w:color w:val="000000"/>
                <w:szCs w:val="21"/>
                <w:lang w:val="en-US" w:eastAsia="zh-CN"/>
              </w:rPr>
              <w:t>4、固废污染防治措施。</w:t>
            </w:r>
            <w:r>
              <w:rPr>
                <w:rFonts w:hint="eastAsia"/>
                <w:color w:val="000000"/>
                <w:szCs w:val="21"/>
              </w:rPr>
              <w:t>妥善处置各类固体废弃物。建设</w:t>
            </w:r>
            <w:r>
              <w:rPr>
                <w:rFonts w:hint="eastAsia"/>
                <w:color w:val="000000"/>
                <w:szCs w:val="21"/>
                <w:lang w:val="en-US" w:eastAsia="zh-CN"/>
              </w:rPr>
              <w:t>单位须严格按照《一般工业固体废物贮存和填埋污染控制标准》（GB18599-2020）处置一般固废，不得乱弃。危废暂存库须严格按照《危险废物贮存污染控制标准》（GB18597-2023）进行设计、建设和管理。危险废物收集和运输等均按照《危险废物收集 贮存 运输技术规范》(HJ2025-2012)要求执行。危废必须由有资质单位处置。</w:t>
            </w:r>
            <w:r>
              <w:rPr>
                <w:rFonts w:hint="eastAsia"/>
                <w:color w:val="000000"/>
                <w:szCs w:val="21"/>
              </w:rPr>
              <w:t>非正常情况下泄露的危险废物进入废液池中，收集后交由有资质单位处置。</w:t>
            </w:r>
            <w:r>
              <w:rPr>
                <w:rFonts w:hint="eastAsia"/>
                <w:color w:val="000000"/>
                <w:szCs w:val="21"/>
                <w:lang w:val="en-US" w:eastAsia="zh-CN"/>
              </w:rPr>
              <w:t>污水处理站污泥清掏前应进行监测，执行《医疗机构水污染物排放标准》（GB18466-2005）表4医疗机构污泥控制标准中综合医疗机构和其他医疗机构标准。</w:t>
            </w:r>
          </w:p>
          <w:p w14:paraId="27B61640">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14:paraId="649D3CA2">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14:paraId="07BAD43B">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72D2267A">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6D39113E">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r>
              <w:rPr>
                <w:rFonts w:hint="eastAsia"/>
                <w:color w:val="000000"/>
                <w:szCs w:val="21"/>
              </w:rPr>
              <w:t>该项目从批准之日起超过5年方决定开工建设，其环评文件应重新审</w:t>
            </w:r>
            <w:bookmarkStart w:id="0" w:name="_GoBack"/>
            <w:bookmarkEnd w:id="0"/>
            <w:r>
              <w:rPr>
                <w:rFonts w:hint="eastAsia"/>
                <w:color w:val="000000"/>
                <w:szCs w:val="21"/>
              </w:rPr>
              <w:t xml:space="preserve">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EDD74A0"/>
    <w:rsid w:val="23022A8E"/>
    <w:rsid w:val="30463BE9"/>
    <w:rsid w:val="3E062DA7"/>
    <w:rsid w:val="430F14CF"/>
    <w:rsid w:val="43DC2BDE"/>
    <w:rsid w:val="44A80449"/>
    <w:rsid w:val="497150DD"/>
    <w:rsid w:val="49D847BF"/>
    <w:rsid w:val="4A7E49A9"/>
    <w:rsid w:val="4AD11E12"/>
    <w:rsid w:val="4DE41872"/>
    <w:rsid w:val="54973A8B"/>
    <w:rsid w:val="59565E50"/>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5"/>
    <w:autoRedefine/>
    <w:semiHidden/>
    <w:unhideWhenUsed/>
    <w:qFormat/>
    <w:uiPriority w:val="99"/>
    <w:pPr>
      <w:ind w:firstLine="420" w:firstLineChars="200"/>
    </w:pPr>
  </w:style>
  <w:style w:type="paragraph" w:styleId="5">
    <w:name w:val="table of figures"/>
    <w:basedOn w:val="1"/>
    <w:next w:val="1"/>
    <w:qFormat/>
    <w:uiPriority w:val="0"/>
    <w:pPr>
      <w:ind w:left="200" w:leftChars="200" w:hanging="200" w:hangingChars="200"/>
    </w:pPr>
  </w:style>
  <w:style w:type="paragraph" w:styleId="6">
    <w:name w:val="annotation text"/>
    <w:basedOn w:val="1"/>
    <w:next w:val="1"/>
    <w:qFormat/>
    <w:uiPriority w:val="0"/>
    <w:pPr>
      <w:jc w:val="left"/>
    </w:pPr>
  </w:style>
  <w:style w:type="paragraph" w:styleId="7">
    <w:name w:val="Body Text"/>
    <w:basedOn w:val="1"/>
    <w:qFormat/>
    <w:uiPriority w:val="99"/>
    <w:pPr>
      <w:spacing w:after="120"/>
    </w:pPr>
    <w:rPr>
      <w:rFonts w:ascii="Calibri" w:hAnsi="Calibri"/>
      <w:szCs w:val="22"/>
    </w:rPr>
  </w:style>
  <w:style w:type="paragraph" w:styleId="8">
    <w:name w:val="footer"/>
    <w:basedOn w:val="1"/>
    <w:link w:val="20"/>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9"/>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oc 2"/>
    <w:basedOn w:val="1"/>
    <w:next w:val="1"/>
    <w:unhideWhenUsed/>
    <w:qFormat/>
    <w:uiPriority w:val="39"/>
    <w:pPr>
      <w:ind w:left="420" w:leftChars="200"/>
    </w:pPr>
  </w:style>
  <w:style w:type="paragraph" w:styleId="11">
    <w:name w:val="Body Text 2"/>
    <w:basedOn w:val="1"/>
    <w:next w:val="1"/>
    <w:qFormat/>
    <w:uiPriority w:val="0"/>
    <w:pPr>
      <w:spacing w:after="120" w:line="480" w:lineRule="auto"/>
    </w:pPr>
  </w:style>
  <w:style w:type="paragraph" w:customStyle="1" w:styleId="14">
    <w:name w:val="xl27"/>
    <w:basedOn w:val="1"/>
    <w:next w:val="6"/>
    <w:qFormat/>
    <w:uiPriority w:val="0"/>
    <w:pPr>
      <w:widowControl/>
      <w:spacing w:before="280" w:after="280"/>
      <w:jc w:val="center"/>
    </w:pPr>
    <w:rPr>
      <w:rFonts w:hAnsi="宋体" w:cs="宋体"/>
    </w:rPr>
  </w:style>
  <w:style w:type="paragraph" w:customStyle="1" w:styleId="15">
    <w:name w:val="Default"/>
    <w:basedOn w:val="16"/>
    <w:next w:val="17"/>
    <w:qFormat/>
    <w:uiPriority w:val="0"/>
    <w:pPr>
      <w:adjustRightInd w:val="0"/>
    </w:pPr>
    <w:rPr>
      <w:rFonts w:ascii="宋体" w:cs="宋体"/>
      <w:color w:val="000000"/>
      <w:sz w:val="24"/>
      <w:lang w:val="en-US"/>
    </w:rPr>
  </w:style>
  <w:style w:type="paragraph" w:customStyle="1" w:styleId="16">
    <w:name w:val="文本"/>
    <w:basedOn w:val="1"/>
    <w:next w:val="1"/>
    <w:qFormat/>
    <w:uiPriority w:val="0"/>
    <w:pPr>
      <w:autoSpaceDE w:val="0"/>
      <w:autoSpaceDN w:val="0"/>
      <w:ind w:firstLine="480"/>
    </w:pPr>
    <w:rPr>
      <w:lang w:val="zh-CN"/>
    </w:rPr>
  </w:style>
  <w:style w:type="paragraph" w:customStyle="1" w:styleId="17">
    <w:name w:val="表格文字"/>
    <w:basedOn w:val="7"/>
    <w:next w:val="1"/>
    <w:qFormat/>
    <w:uiPriority w:val="0"/>
    <w:pPr>
      <w:jc w:val="center"/>
    </w:pPr>
    <w:rPr>
      <w:rFonts w:ascii="Arial Narrow" w:hAnsi="Arial Narrow" w:eastAsia="汉鼎简书宋"/>
    </w:rPr>
  </w:style>
  <w:style w:type="paragraph" w:customStyle="1" w:styleId="18">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19">
    <w:name w:val="页眉 字符"/>
    <w:basedOn w:val="13"/>
    <w:link w:val="9"/>
    <w:autoRedefine/>
    <w:qFormat/>
    <w:uiPriority w:val="99"/>
    <w:rPr>
      <w:sz w:val="18"/>
      <w:szCs w:val="18"/>
    </w:rPr>
  </w:style>
  <w:style w:type="character" w:customStyle="1" w:styleId="20">
    <w:name w:val="页脚 字符"/>
    <w:basedOn w:val="13"/>
    <w:link w:val="8"/>
    <w:autoRedefine/>
    <w:qFormat/>
    <w:uiPriority w:val="99"/>
    <w:rPr>
      <w:sz w:val="18"/>
      <w:szCs w:val="18"/>
    </w:rPr>
  </w:style>
  <w:style w:type="character" w:customStyle="1" w:styleId="21">
    <w:name w:val="NormalCharacter"/>
    <w:autoRedefine/>
    <w:semiHidden/>
    <w:qFormat/>
    <w:uiPriority w:val="99"/>
  </w:style>
  <w:style w:type="paragraph" w:customStyle="1" w:styleId="22">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3">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4">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1377</Words>
  <Characters>1467</Characters>
  <Lines>11</Lines>
  <Paragraphs>3</Paragraphs>
  <TotalTime>1</TotalTime>
  <ScaleCrop>false</ScaleCrop>
  <LinksUpToDate>false</LinksUpToDate>
  <CharactersWithSpaces>1522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2025-11-04T08:05:18Z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