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EB797B">
      <w:pPr>
        <w:widowControl w:val="0"/>
        <w:spacing w:line="360" w:lineRule="auto"/>
        <w:ind w:firstLine="0" w:firstLineChars="0"/>
        <w:jc w:val="center"/>
        <w:rPr>
          <w:rFonts w:hint="default" w:ascii="Times New Roman" w:hAnsi="Times New Roman" w:eastAsia="宋体" w:cs="Times New Roman"/>
          <w:b/>
          <w:bCs/>
          <w:color w:val="auto"/>
          <w:kern w:val="2"/>
          <w:sz w:val="72"/>
          <w:szCs w:val="72"/>
          <w:highlight w:val="none"/>
        </w:rPr>
      </w:pPr>
      <w:bookmarkStart w:id="0" w:name="_Toc144507124"/>
    </w:p>
    <w:p w14:paraId="5FDC37C6">
      <w:pPr>
        <w:widowControl w:val="0"/>
        <w:spacing w:line="360" w:lineRule="auto"/>
        <w:ind w:firstLine="0" w:firstLineChars="0"/>
        <w:jc w:val="center"/>
        <w:rPr>
          <w:rFonts w:hint="default" w:ascii="Times New Roman" w:hAnsi="Times New Roman" w:eastAsia="宋体" w:cs="Times New Roman"/>
          <w:b/>
          <w:bCs/>
          <w:color w:val="auto"/>
          <w:kern w:val="2"/>
          <w:sz w:val="72"/>
          <w:szCs w:val="72"/>
          <w:highlight w:val="none"/>
        </w:rPr>
      </w:pPr>
      <w:r>
        <w:rPr>
          <w:rFonts w:hint="default" w:ascii="Times New Roman" w:hAnsi="Times New Roman" w:eastAsia="宋体" w:cs="Times New Roman"/>
          <w:b/>
          <w:bCs/>
          <w:color w:val="auto"/>
          <w:kern w:val="2"/>
          <w:sz w:val="72"/>
          <w:szCs w:val="72"/>
          <w:highlight w:val="none"/>
        </w:rPr>
        <w:t>建设项目环境影响报告表</w:t>
      </w:r>
      <w:bookmarkEnd w:id="0"/>
    </w:p>
    <w:p w14:paraId="0A06CD11">
      <w:pPr>
        <w:widowControl w:val="0"/>
        <w:spacing w:line="360" w:lineRule="auto"/>
        <w:ind w:firstLine="0" w:firstLineChars="0"/>
        <w:jc w:val="center"/>
        <w:rPr>
          <w:rFonts w:hint="default" w:ascii="Times New Roman" w:hAnsi="Times New Roman" w:eastAsia="宋体" w:cs="Times New Roman"/>
          <w:color w:val="auto"/>
          <w:kern w:val="2"/>
          <w:sz w:val="44"/>
          <w:szCs w:val="44"/>
          <w:highlight w:val="none"/>
        </w:rPr>
      </w:pPr>
    </w:p>
    <w:p w14:paraId="7F9BD6A5">
      <w:pPr>
        <w:widowControl w:val="0"/>
        <w:spacing w:line="360" w:lineRule="auto"/>
        <w:ind w:firstLine="0" w:firstLineChars="0"/>
        <w:jc w:val="center"/>
        <w:rPr>
          <w:rFonts w:hint="default" w:ascii="Times New Roman" w:hAnsi="Times New Roman" w:eastAsia="宋体" w:cs="Times New Roman"/>
          <w:color w:val="auto"/>
          <w:kern w:val="2"/>
          <w:sz w:val="44"/>
          <w:szCs w:val="44"/>
          <w:highlight w:val="none"/>
        </w:rPr>
      </w:pPr>
      <w:r>
        <w:rPr>
          <w:rFonts w:hint="default" w:ascii="Times New Roman" w:hAnsi="Times New Roman" w:eastAsia="宋体" w:cs="Times New Roman"/>
          <w:color w:val="auto"/>
          <w:kern w:val="2"/>
          <w:sz w:val="44"/>
          <w:szCs w:val="44"/>
          <w:highlight w:val="none"/>
        </w:rPr>
        <w:t>（污染影响类）</w:t>
      </w:r>
    </w:p>
    <w:p w14:paraId="12D694B0">
      <w:pPr>
        <w:bidi w:val="0"/>
        <w:rPr>
          <w:rFonts w:hint="default" w:ascii="Times New Roman" w:hAnsi="Times New Roman" w:cs="Times New Roman"/>
          <w:color w:val="auto"/>
          <w:highlight w:val="none"/>
        </w:rPr>
      </w:pPr>
    </w:p>
    <w:p w14:paraId="5E9E2801">
      <w:pPr>
        <w:ind w:firstLine="0" w:firstLineChars="0"/>
        <w:rPr>
          <w:rFonts w:hint="default" w:ascii="Times New Roman" w:hAnsi="Times New Roman" w:eastAsia="仿宋" w:cs="Times New Roman"/>
          <w:color w:val="auto"/>
          <w:sz w:val="44"/>
          <w:szCs w:val="44"/>
          <w:highlight w:val="none"/>
        </w:rPr>
      </w:pPr>
    </w:p>
    <w:p w14:paraId="192E1EA8">
      <w:pPr>
        <w:ind w:firstLine="0" w:firstLineChars="0"/>
        <w:rPr>
          <w:rFonts w:hint="default" w:ascii="Times New Roman" w:hAnsi="Times New Roman" w:eastAsia="仿宋" w:cs="Times New Roman"/>
          <w:color w:val="auto"/>
          <w:sz w:val="44"/>
          <w:szCs w:val="44"/>
          <w:highlight w:val="none"/>
        </w:rPr>
      </w:pPr>
    </w:p>
    <w:p w14:paraId="1EC52B19">
      <w:pPr>
        <w:ind w:firstLine="0" w:firstLineChars="0"/>
        <w:rPr>
          <w:rFonts w:hint="default" w:ascii="Times New Roman" w:hAnsi="Times New Roman" w:eastAsia="仿宋" w:cs="Times New Roman"/>
          <w:color w:val="auto"/>
          <w:sz w:val="44"/>
          <w:szCs w:val="44"/>
          <w:highlight w:val="none"/>
        </w:rPr>
      </w:pPr>
    </w:p>
    <w:p w14:paraId="27838A8A">
      <w:pPr>
        <w:ind w:firstLine="0" w:firstLineChars="0"/>
        <w:rPr>
          <w:rFonts w:hint="default" w:ascii="Times New Roman" w:hAnsi="Times New Roman" w:eastAsia="仿宋" w:cs="Times New Roman"/>
          <w:color w:val="auto"/>
          <w:sz w:val="44"/>
          <w:szCs w:val="44"/>
          <w:highlight w:val="none"/>
        </w:rPr>
      </w:pPr>
    </w:p>
    <w:p w14:paraId="6A2DE659">
      <w:pPr>
        <w:ind w:firstLine="0" w:firstLineChars="0"/>
        <w:rPr>
          <w:rFonts w:hint="default" w:ascii="Times New Roman" w:hAnsi="Times New Roman" w:eastAsia="仿宋" w:cs="Times New Roman"/>
          <w:color w:val="auto"/>
          <w:sz w:val="44"/>
          <w:szCs w:val="44"/>
          <w:highlight w:val="none"/>
        </w:rPr>
      </w:pPr>
    </w:p>
    <w:p w14:paraId="65CCF54A">
      <w:pPr>
        <w:ind w:firstLine="0" w:firstLineChars="0"/>
        <w:rPr>
          <w:rFonts w:hint="default" w:ascii="Times New Roman" w:hAnsi="Times New Roman" w:eastAsia="仿宋" w:cs="Times New Roman"/>
          <w:color w:val="auto"/>
          <w:sz w:val="44"/>
          <w:szCs w:val="44"/>
          <w:highlight w:val="none"/>
        </w:rPr>
      </w:pPr>
    </w:p>
    <w:p w14:paraId="71420C5E">
      <w:pPr>
        <w:spacing w:line="288" w:lineRule="auto"/>
        <w:ind w:left="1960" w:leftChars="150" w:hanging="1600" w:hangingChars="500"/>
        <w:rPr>
          <w:rFonts w:hint="default" w:ascii="Times New Roman" w:hAnsi="Times New Roman" w:cs="Times New Roman"/>
          <w:color w:val="auto"/>
          <w:sz w:val="32"/>
          <w:szCs w:val="32"/>
          <w:highlight w:val="none"/>
          <w:u w:val="single"/>
        </w:rPr>
      </w:pPr>
      <w:r>
        <w:rPr>
          <w:rFonts w:hint="default" w:ascii="Times New Roman" w:hAnsi="Times New Roman" w:cs="Times New Roman"/>
          <w:color w:val="auto"/>
          <w:sz w:val="32"/>
          <w:szCs w:val="32"/>
          <w:highlight w:val="none"/>
        </w:rPr>
        <w:t>项目名称：</w:t>
      </w:r>
      <w:r>
        <w:rPr>
          <w:rFonts w:hint="default" w:ascii="Times New Roman" w:hAnsi="Times New Roman" w:eastAsia="宋体" w:cs="Times New Roman"/>
          <w:color w:val="auto"/>
          <w:sz w:val="32"/>
          <w:szCs w:val="32"/>
          <w:highlight w:val="none"/>
          <w:u w:val="single"/>
          <w:lang w:eastAsia="zh-CN"/>
        </w:rPr>
        <w:t>鄂尔多斯市君龙商砼有限责任公司商品混凝土搅拌站项目</w:t>
      </w:r>
    </w:p>
    <w:p w14:paraId="06D50AC9">
      <w:pPr>
        <w:spacing w:line="288" w:lineRule="auto"/>
        <w:ind w:left="360" w:leftChars="150" w:firstLine="0" w:firstLineChars="0"/>
        <w:rPr>
          <w:rFonts w:hint="default" w:ascii="Times New Roman" w:hAnsi="Times New Roman" w:cs="Times New Roman"/>
          <w:color w:val="auto"/>
          <w:sz w:val="32"/>
          <w:szCs w:val="32"/>
          <w:highlight w:val="none"/>
          <w:u w:val="single"/>
        </w:rPr>
      </w:pPr>
      <w:r>
        <w:rPr>
          <w:rFonts w:hint="default" w:ascii="Times New Roman" w:hAnsi="Times New Roman" w:cs="Times New Roman"/>
          <w:color w:val="auto"/>
          <w:sz w:val="32"/>
          <w:szCs w:val="32"/>
          <w:highlight w:val="none"/>
        </w:rPr>
        <w:t>建设单位（盖章）：</w:t>
      </w:r>
      <w:r>
        <w:rPr>
          <w:rFonts w:hint="default" w:ascii="Times New Roman" w:hAnsi="Times New Roman" w:eastAsia="宋体" w:cs="Times New Roman"/>
          <w:color w:val="auto"/>
          <w:sz w:val="32"/>
          <w:szCs w:val="32"/>
          <w:highlight w:val="none"/>
          <w:u w:val="single"/>
          <w:lang w:eastAsia="zh-CN"/>
        </w:rPr>
        <w:t xml:space="preserve">鄂尔多斯市君龙商砼有限责任公司  </w:t>
      </w:r>
    </w:p>
    <w:p w14:paraId="6F2F3499">
      <w:pPr>
        <w:spacing w:line="288" w:lineRule="auto"/>
        <w:ind w:firstLine="320" w:firstLineChars="100"/>
        <w:rPr>
          <w:rFonts w:hint="default" w:ascii="Times New Roman" w:hAnsi="Times New Roman" w:cs="Times New Roman"/>
          <w:color w:val="auto"/>
          <w:sz w:val="32"/>
          <w:szCs w:val="32"/>
          <w:highlight w:val="none"/>
          <w:u w:val="single"/>
        </w:rPr>
      </w:pPr>
      <w:r>
        <w:rPr>
          <w:rFonts w:hint="default" w:ascii="Times New Roman" w:hAnsi="Times New Roman" w:cs="Times New Roman"/>
          <w:color w:val="auto"/>
          <w:sz w:val="32"/>
          <w:szCs w:val="32"/>
          <w:highlight w:val="none"/>
        </w:rPr>
        <w:t>编制日期：</w:t>
      </w:r>
      <w:r>
        <w:rPr>
          <w:rFonts w:hint="default" w:ascii="Times New Roman" w:hAnsi="Times New Roman" w:cs="Times New Roman"/>
          <w:color w:val="auto"/>
          <w:sz w:val="32"/>
          <w:szCs w:val="32"/>
          <w:highlight w:val="none"/>
          <w:u w:val="single"/>
        </w:rPr>
        <w:t xml:space="preserve">         202</w:t>
      </w:r>
      <w:r>
        <w:rPr>
          <w:rFonts w:hint="default" w:ascii="Times New Roman" w:hAnsi="Times New Roman" w:cs="Times New Roman"/>
          <w:color w:val="auto"/>
          <w:sz w:val="32"/>
          <w:szCs w:val="32"/>
          <w:highlight w:val="none"/>
          <w:u w:val="single"/>
          <w:lang w:val="en-US" w:eastAsia="zh-CN"/>
        </w:rPr>
        <w:t>5</w:t>
      </w:r>
      <w:r>
        <w:rPr>
          <w:rFonts w:hint="default" w:ascii="Times New Roman" w:hAnsi="Times New Roman" w:cs="Times New Roman"/>
          <w:color w:val="auto"/>
          <w:sz w:val="32"/>
          <w:szCs w:val="32"/>
          <w:highlight w:val="none"/>
          <w:u w:val="single"/>
        </w:rPr>
        <w:t>年</w:t>
      </w:r>
      <w:r>
        <w:rPr>
          <w:rFonts w:hint="eastAsia" w:cs="Times New Roman"/>
          <w:color w:val="auto"/>
          <w:sz w:val="32"/>
          <w:szCs w:val="32"/>
          <w:highlight w:val="none"/>
          <w:u w:val="single"/>
          <w:lang w:val="en-US" w:eastAsia="zh-CN"/>
        </w:rPr>
        <w:t>10</w:t>
      </w:r>
      <w:r>
        <w:rPr>
          <w:rFonts w:hint="default" w:ascii="Times New Roman" w:hAnsi="Times New Roman" w:cs="Times New Roman"/>
          <w:color w:val="auto"/>
          <w:sz w:val="32"/>
          <w:szCs w:val="32"/>
          <w:highlight w:val="none"/>
          <w:u w:val="single"/>
        </w:rPr>
        <w:t xml:space="preserve">月                 </w:t>
      </w:r>
      <w:r>
        <w:rPr>
          <w:rFonts w:hint="default" w:ascii="Times New Roman" w:hAnsi="Times New Roman" w:cs="Times New Roman"/>
          <w:color w:val="auto"/>
          <w:sz w:val="32"/>
          <w:szCs w:val="32"/>
          <w:highlight w:val="none"/>
          <w:u w:val="single"/>
          <w:lang w:val="en-US" w:eastAsia="zh-CN"/>
        </w:rPr>
        <w:t xml:space="preserve"> </w:t>
      </w:r>
      <w:r>
        <w:rPr>
          <w:rFonts w:hint="default" w:ascii="Times New Roman" w:hAnsi="Times New Roman" w:cs="Times New Roman"/>
          <w:color w:val="auto"/>
          <w:sz w:val="32"/>
          <w:szCs w:val="32"/>
          <w:highlight w:val="none"/>
          <w:u w:val="single"/>
        </w:rPr>
        <w:t xml:space="preserve">   </w:t>
      </w:r>
    </w:p>
    <w:p w14:paraId="3F4D4E19">
      <w:pPr>
        <w:spacing w:line="288" w:lineRule="auto"/>
        <w:ind w:firstLine="0" w:firstLineChars="0"/>
        <w:rPr>
          <w:rFonts w:hint="default" w:ascii="Times New Roman" w:hAnsi="Times New Roman" w:eastAsia="仿宋_GB2312" w:cs="Times New Roman"/>
          <w:color w:val="auto"/>
          <w:sz w:val="32"/>
          <w:szCs w:val="32"/>
          <w:highlight w:val="none"/>
          <w:u w:val="single"/>
        </w:rPr>
      </w:pPr>
      <w:bookmarkStart w:id="1" w:name="_Hlk57884087"/>
    </w:p>
    <w:p w14:paraId="5811C200">
      <w:pPr>
        <w:spacing w:line="288" w:lineRule="auto"/>
        <w:ind w:firstLine="640"/>
        <w:rPr>
          <w:rFonts w:hint="default" w:ascii="Times New Roman" w:hAnsi="Times New Roman" w:eastAsia="仿宋_GB2312" w:cs="Times New Roman"/>
          <w:color w:val="auto"/>
          <w:sz w:val="32"/>
          <w:szCs w:val="32"/>
          <w:highlight w:val="none"/>
        </w:rPr>
      </w:pPr>
    </w:p>
    <w:p w14:paraId="2FA0E06A">
      <w:pPr>
        <w:spacing w:line="288" w:lineRule="auto"/>
        <w:ind w:firstLine="720"/>
        <w:rPr>
          <w:rFonts w:hint="default" w:ascii="Times New Roman" w:hAnsi="Times New Roman" w:eastAsia="仿宋_GB2312" w:cs="Times New Roman"/>
          <w:color w:val="auto"/>
          <w:sz w:val="36"/>
          <w:szCs w:val="36"/>
          <w:highlight w:val="none"/>
        </w:rPr>
      </w:pPr>
    </w:p>
    <w:bookmarkEnd w:id="1"/>
    <w:p w14:paraId="672D3F64">
      <w:pPr>
        <w:ind w:firstLine="0" w:firstLineChars="0"/>
        <w:jc w:val="center"/>
        <w:rPr>
          <w:rFonts w:hint="default" w:ascii="Times New Roman" w:hAnsi="Times New Roman" w:cs="Times New Roman"/>
          <w:color w:val="auto"/>
          <w:sz w:val="40"/>
          <w:szCs w:val="40"/>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26" w:charSpace="0"/>
        </w:sectPr>
      </w:pPr>
      <w:r>
        <w:rPr>
          <w:rFonts w:hint="default" w:ascii="Times New Roman" w:hAnsi="Times New Roman" w:cs="Times New Roman"/>
          <w:color w:val="auto"/>
          <w:sz w:val="40"/>
          <w:szCs w:val="40"/>
          <w:highlight w:val="none"/>
        </w:rPr>
        <w:t>中华人民共和国生态环境部制</w:t>
      </w:r>
    </w:p>
    <w:p w14:paraId="6B3BD0F3">
      <w:pPr>
        <w:pStyle w:val="3"/>
        <w:ind w:firstLine="161" w:firstLineChars="50"/>
        <w:jc w:val="center"/>
        <w:rPr>
          <w:rFonts w:hint="default" w:ascii="Times New Roman" w:hAnsi="Times New Roman" w:cs="Times New Roman"/>
          <w:color w:val="auto"/>
          <w:highlight w:val="none"/>
        </w:rPr>
      </w:pPr>
      <w:bookmarkStart w:id="2" w:name="_Toc144507125"/>
      <w:r>
        <w:rPr>
          <w:rFonts w:hint="default" w:ascii="Times New Roman" w:hAnsi="Times New Roman" w:cs="Times New Roman"/>
          <w:color w:val="auto"/>
          <w:highlight w:val="none"/>
        </w:rPr>
        <w:t>一、建设项目基本情况</w:t>
      </w:r>
      <w:bookmarkEnd w:id="2"/>
    </w:p>
    <w:tbl>
      <w:tblPr>
        <w:tblStyle w:val="23"/>
        <w:tblW w:w="850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363"/>
        <w:gridCol w:w="2123"/>
        <w:gridCol w:w="2209"/>
        <w:gridCol w:w="2810"/>
      </w:tblGrid>
      <w:tr w14:paraId="4469DA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1363" w:type="dxa"/>
            <w:tcMar>
              <w:top w:w="16" w:type="dxa"/>
              <w:left w:w="16" w:type="dxa"/>
              <w:right w:w="16" w:type="dxa"/>
            </w:tcMar>
            <w:vAlign w:val="center"/>
          </w:tcPr>
          <w:p w14:paraId="5D2755B2">
            <w:pPr>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建设项目名称</w:t>
            </w:r>
          </w:p>
        </w:tc>
        <w:tc>
          <w:tcPr>
            <w:tcW w:w="7142" w:type="dxa"/>
            <w:gridSpan w:val="3"/>
            <w:vAlign w:val="center"/>
          </w:tcPr>
          <w:p w14:paraId="44449DED">
            <w:pPr>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鄂尔多斯市君龙商砼有限责任公司商品混凝土搅拌站项目</w:t>
            </w:r>
          </w:p>
        </w:tc>
      </w:tr>
      <w:tr w14:paraId="3D8B44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1363" w:type="dxa"/>
            <w:tcMar>
              <w:top w:w="16" w:type="dxa"/>
              <w:left w:w="16" w:type="dxa"/>
              <w:right w:w="16" w:type="dxa"/>
            </w:tcMar>
            <w:vAlign w:val="center"/>
          </w:tcPr>
          <w:p w14:paraId="230B2504">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项目代码</w:t>
            </w:r>
          </w:p>
        </w:tc>
        <w:tc>
          <w:tcPr>
            <w:tcW w:w="7142" w:type="dxa"/>
            <w:gridSpan w:val="3"/>
            <w:vAlign w:val="center"/>
          </w:tcPr>
          <w:p w14:paraId="5B1F8A73">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东发改发</w:t>
            </w:r>
            <w:r>
              <w:rPr>
                <w:rFonts w:hint="default" w:ascii="Times New Roman" w:hAnsi="Times New Roman" w:cs="Times New Roman"/>
                <w:bCs/>
                <w:snapToGrid w:val="0"/>
                <w:color w:val="auto"/>
                <w:sz w:val="24"/>
                <w:highlight w:val="none"/>
              </w:rPr>
              <w:t>〔20</w:t>
            </w:r>
            <w:r>
              <w:rPr>
                <w:rFonts w:hint="default" w:ascii="Times New Roman" w:hAnsi="Times New Roman" w:cs="Times New Roman"/>
                <w:bCs/>
                <w:snapToGrid w:val="0"/>
                <w:color w:val="auto"/>
                <w:sz w:val="24"/>
                <w:highlight w:val="none"/>
                <w:lang w:val="en-US" w:eastAsia="zh-CN"/>
              </w:rPr>
              <w:t>1</w:t>
            </w:r>
            <w:r>
              <w:rPr>
                <w:rFonts w:hint="default" w:ascii="Times New Roman" w:hAnsi="Times New Roman" w:cs="Times New Roman"/>
                <w:bCs/>
                <w:snapToGrid w:val="0"/>
                <w:color w:val="auto"/>
                <w:sz w:val="24"/>
                <w:highlight w:val="none"/>
              </w:rPr>
              <w:t>1〕</w:t>
            </w:r>
            <w:r>
              <w:rPr>
                <w:rFonts w:hint="default" w:ascii="Times New Roman" w:hAnsi="Times New Roman" w:cs="Times New Roman"/>
                <w:color w:val="auto"/>
                <w:highlight w:val="none"/>
                <w:lang w:val="en-US" w:eastAsia="zh-CN"/>
              </w:rPr>
              <w:t>59号</w:t>
            </w:r>
          </w:p>
        </w:tc>
      </w:tr>
      <w:tr w14:paraId="4202C5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1363" w:type="dxa"/>
            <w:tcMar>
              <w:top w:w="16" w:type="dxa"/>
              <w:left w:w="16" w:type="dxa"/>
              <w:right w:w="16" w:type="dxa"/>
            </w:tcMar>
            <w:vAlign w:val="center"/>
          </w:tcPr>
          <w:p w14:paraId="6220902B">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建设单位联系人</w:t>
            </w:r>
          </w:p>
        </w:tc>
        <w:tc>
          <w:tcPr>
            <w:tcW w:w="2123" w:type="dxa"/>
            <w:vAlign w:val="center"/>
          </w:tcPr>
          <w:p w14:paraId="7A3AAEB8">
            <w:pPr>
              <w:spacing w:line="240" w:lineRule="auto"/>
              <w:ind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孟强</w:t>
            </w:r>
          </w:p>
        </w:tc>
        <w:tc>
          <w:tcPr>
            <w:tcW w:w="2209" w:type="dxa"/>
            <w:vAlign w:val="center"/>
          </w:tcPr>
          <w:p w14:paraId="11A649B3">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联系方式</w:t>
            </w:r>
          </w:p>
        </w:tc>
        <w:tc>
          <w:tcPr>
            <w:tcW w:w="2810" w:type="dxa"/>
            <w:vAlign w:val="center"/>
          </w:tcPr>
          <w:p w14:paraId="737ECFE6">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14794774666</w:t>
            </w:r>
          </w:p>
        </w:tc>
      </w:tr>
      <w:tr w14:paraId="310E84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8" w:hRule="atLeast"/>
          <w:jc w:val="center"/>
        </w:trPr>
        <w:tc>
          <w:tcPr>
            <w:tcW w:w="1363" w:type="dxa"/>
            <w:tcMar>
              <w:top w:w="16" w:type="dxa"/>
              <w:left w:w="16" w:type="dxa"/>
              <w:right w:w="16" w:type="dxa"/>
            </w:tcMar>
            <w:vAlign w:val="center"/>
          </w:tcPr>
          <w:p w14:paraId="17BE7228">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建设地点</w:t>
            </w:r>
          </w:p>
        </w:tc>
        <w:tc>
          <w:tcPr>
            <w:tcW w:w="7142" w:type="dxa"/>
            <w:gridSpan w:val="3"/>
            <w:vAlign w:val="center"/>
          </w:tcPr>
          <w:p w14:paraId="686B0734">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olor w:val="auto"/>
                <w:sz w:val="24"/>
                <w:szCs w:val="24"/>
                <w:highlight w:val="none"/>
                <w:lang w:val="en-US" w:eastAsia="zh-CN"/>
              </w:rPr>
              <w:t>内蒙古自治区鄂尔多斯市东胜区罕合镇</w:t>
            </w:r>
            <w:r>
              <w:rPr>
                <w:rFonts w:hint="eastAsia" w:ascii="Times New Roman" w:hAnsi="Times New Roman" w:cs="Times New Roman"/>
                <w:color w:val="auto"/>
                <w:sz w:val="24"/>
                <w:szCs w:val="24"/>
                <w:highlight w:val="none"/>
                <w:lang w:val="en-US" w:eastAsia="zh-CN"/>
              </w:rPr>
              <w:t>袁家梁商砼园区B7地块</w:t>
            </w:r>
          </w:p>
        </w:tc>
      </w:tr>
      <w:tr w14:paraId="410A50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1363" w:type="dxa"/>
            <w:tcMar>
              <w:top w:w="16" w:type="dxa"/>
              <w:left w:w="16" w:type="dxa"/>
              <w:right w:w="16" w:type="dxa"/>
            </w:tcMar>
            <w:vAlign w:val="center"/>
          </w:tcPr>
          <w:p w14:paraId="0C451EEC">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地理坐标</w:t>
            </w:r>
          </w:p>
        </w:tc>
        <w:tc>
          <w:tcPr>
            <w:tcW w:w="7142" w:type="dxa"/>
            <w:gridSpan w:val="3"/>
            <w:vAlign w:val="center"/>
          </w:tcPr>
          <w:p w14:paraId="304E8236">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rPr>
              <w:t>N</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39°44′20.650″</w:t>
            </w:r>
            <w:r>
              <w:rPr>
                <w:rFonts w:hint="eastAsia" w:cs="Times New Roman"/>
                <w:color w:val="auto"/>
                <w:sz w:val="24"/>
                <w:szCs w:val="24"/>
                <w:highlight w:val="none"/>
                <w:lang w:val="en-US" w:eastAsia="zh-CN"/>
              </w:rPr>
              <w:t>,</w:t>
            </w:r>
            <w:r>
              <w:rPr>
                <w:rFonts w:hint="eastAsia" w:cs="Times New Roman"/>
                <w:color w:val="auto"/>
                <w:sz w:val="24"/>
                <w:szCs w:val="24"/>
                <w:highlight w:val="none"/>
                <w:lang w:eastAsia="zh-CN"/>
              </w:rPr>
              <w:t xml:space="preserve"> </w:t>
            </w:r>
            <w:r>
              <w:rPr>
                <w:rFonts w:hint="default" w:ascii="Times New Roman" w:hAnsi="Times New Roman" w:cs="Times New Roman"/>
                <w:color w:val="auto"/>
                <w:sz w:val="24"/>
                <w:szCs w:val="24"/>
                <w:highlight w:val="none"/>
              </w:rPr>
              <w:t>E</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109°57′25.442″</w:t>
            </w:r>
          </w:p>
        </w:tc>
      </w:tr>
      <w:tr w14:paraId="1E65B9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1363" w:type="dxa"/>
            <w:tcMar>
              <w:top w:w="16" w:type="dxa"/>
              <w:left w:w="16" w:type="dxa"/>
              <w:right w:w="16" w:type="dxa"/>
            </w:tcMar>
            <w:vAlign w:val="center"/>
          </w:tcPr>
          <w:p w14:paraId="131D7010">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国民经济</w:t>
            </w:r>
          </w:p>
          <w:p w14:paraId="5DBC2267">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行业类别</w:t>
            </w:r>
          </w:p>
        </w:tc>
        <w:tc>
          <w:tcPr>
            <w:tcW w:w="2123" w:type="dxa"/>
            <w:vAlign w:val="center"/>
          </w:tcPr>
          <w:p w14:paraId="5EDD4CC2">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C3021水泥制品制造</w:t>
            </w:r>
          </w:p>
        </w:tc>
        <w:tc>
          <w:tcPr>
            <w:tcW w:w="2209" w:type="dxa"/>
            <w:vAlign w:val="center"/>
          </w:tcPr>
          <w:p w14:paraId="4BEEB4BD">
            <w:pPr>
              <w:spacing w:line="240" w:lineRule="auto"/>
              <w:ind w:firstLine="0" w:firstLineChars="0"/>
              <w:jc w:val="center"/>
              <w:rPr>
                <w:rFonts w:hint="default" w:ascii="Times New Roman" w:hAnsi="Times New Roman" w:cs="Times New Roman"/>
                <w:color w:val="auto"/>
                <w:highlight w:val="none"/>
              </w:rPr>
            </w:pPr>
            <w:bookmarkStart w:id="3" w:name="_Hlk49843745"/>
            <w:r>
              <w:rPr>
                <w:rFonts w:hint="default" w:ascii="Times New Roman" w:hAnsi="Times New Roman" w:cs="Times New Roman"/>
                <w:color w:val="auto"/>
                <w:highlight w:val="none"/>
              </w:rPr>
              <w:t>建设项目</w:t>
            </w:r>
          </w:p>
          <w:p w14:paraId="2BD4E104">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行业类别</w:t>
            </w:r>
            <w:bookmarkEnd w:id="3"/>
          </w:p>
        </w:tc>
        <w:tc>
          <w:tcPr>
            <w:tcW w:w="2810" w:type="dxa"/>
            <w:vAlign w:val="center"/>
          </w:tcPr>
          <w:p w14:paraId="2FAE40B2">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szCs w:val="24"/>
                <w:highlight w:val="none"/>
                <w:lang w:val="en-US" w:eastAsia="zh-CN"/>
              </w:rPr>
              <w:t>“</w:t>
            </w:r>
            <w:r>
              <w:rPr>
                <w:rFonts w:hint="default" w:ascii="Times New Roman" w:hAnsi="Times New Roman" w:cs="Times New Roman"/>
                <w:color w:val="auto"/>
                <w:szCs w:val="24"/>
                <w:highlight w:val="none"/>
              </w:rPr>
              <w:t>二十七、非金属矿物制品业30</w:t>
            </w:r>
            <w:r>
              <w:rPr>
                <w:rFonts w:hint="default" w:ascii="Times New Roman" w:hAnsi="Times New Roman" w:cs="Times New Roman"/>
                <w:color w:val="auto"/>
                <w:szCs w:val="24"/>
                <w:highlight w:val="none"/>
                <w:lang w:val="en-US" w:eastAsia="zh-CN"/>
              </w:rPr>
              <w:t>，</w:t>
            </w:r>
            <w:r>
              <w:rPr>
                <w:rFonts w:hint="default" w:ascii="Times New Roman" w:hAnsi="Times New Roman" w:cs="Times New Roman"/>
                <w:color w:val="auto"/>
                <w:szCs w:val="24"/>
                <w:highlight w:val="none"/>
              </w:rPr>
              <w:t>55石膏、水泥制品及类似制品制造302</w:t>
            </w:r>
            <w:r>
              <w:rPr>
                <w:rFonts w:hint="default" w:ascii="Times New Roman" w:hAnsi="Times New Roman" w:cs="Times New Roman"/>
                <w:color w:val="auto"/>
                <w:szCs w:val="24"/>
                <w:highlight w:val="none"/>
                <w:lang w:eastAsia="zh-CN"/>
              </w:rPr>
              <w:t>”中的“</w:t>
            </w:r>
            <w:r>
              <w:rPr>
                <w:rFonts w:hint="default" w:ascii="Times New Roman" w:hAnsi="Times New Roman" w:cs="Times New Roman"/>
                <w:color w:val="auto"/>
                <w:szCs w:val="24"/>
                <w:highlight w:val="none"/>
              </w:rPr>
              <w:t xml:space="preserve"> 商品混凝土；砼结构构件制造；水泥制品制造</w:t>
            </w:r>
            <w:r>
              <w:rPr>
                <w:rFonts w:hint="default" w:ascii="Times New Roman" w:hAnsi="Times New Roman" w:cs="Times New Roman"/>
                <w:color w:val="auto"/>
                <w:szCs w:val="24"/>
                <w:highlight w:val="none"/>
                <w:lang w:eastAsia="zh-CN"/>
              </w:rPr>
              <w:t>”</w:t>
            </w:r>
          </w:p>
        </w:tc>
      </w:tr>
      <w:tr w14:paraId="706CA3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1363" w:type="dxa"/>
            <w:tcMar>
              <w:top w:w="16" w:type="dxa"/>
              <w:left w:w="16" w:type="dxa"/>
              <w:right w:w="16" w:type="dxa"/>
            </w:tcMar>
            <w:vAlign w:val="center"/>
          </w:tcPr>
          <w:p w14:paraId="406EBABD">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建设性质</w:t>
            </w:r>
          </w:p>
        </w:tc>
        <w:tc>
          <w:tcPr>
            <w:tcW w:w="2123" w:type="dxa"/>
            <w:vAlign w:val="center"/>
          </w:tcPr>
          <w:p w14:paraId="42C6B35E">
            <w:pPr>
              <w:spacing w:line="240" w:lineRule="auto"/>
              <w:ind w:firstLine="110" w:firstLineChars="50"/>
              <w:rPr>
                <w:rFonts w:hint="default" w:ascii="Times New Roman" w:hAnsi="Times New Roman" w:cs="Times New Roman"/>
                <w:color w:val="auto"/>
                <w:highlight w:val="none"/>
              </w:rPr>
            </w:pPr>
            <w:r>
              <w:rPr>
                <w:rFonts w:hint="default" w:ascii="Times New Roman" w:hAnsi="Times New Roman" w:cs="Times New Roman"/>
                <w:color w:val="auto"/>
                <w:spacing w:val="-10"/>
                <w:highlight w:val="none"/>
              </w:rPr>
              <w:sym w:font="Wingdings 2" w:char="0052"/>
            </w:r>
            <w:r>
              <w:rPr>
                <w:rFonts w:hint="default" w:ascii="Times New Roman" w:hAnsi="Times New Roman" w:cs="Times New Roman"/>
                <w:color w:val="auto"/>
                <w:highlight w:val="none"/>
              </w:rPr>
              <w:t>新建（迁建）</w:t>
            </w:r>
          </w:p>
          <w:p w14:paraId="3DFD33E3">
            <w:pPr>
              <w:spacing w:line="240" w:lineRule="auto"/>
              <w:ind w:firstLine="120" w:firstLineChars="50"/>
              <w:rPr>
                <w:rFonts w:hint="default" w:ascii="Times New Roman" w:hAnsi="Times New Roman" w:cs="Times New Roman"/>
                <w:color w:val="auto"/>
                <w:highlight w:val="none"/>
              </w:rPr>
            </w:pPr>
            <w:r>
              <w:rPr>
                <w:rFonts w:hint="default" w:ascii="Times New Roman" w:hAnsi="Times New Roman" w:cs="Times New Roman"/>
                <w:color w:val="auto"/>
                <w:highlight w:val="none"/>
              </w:rPr>
              <w:t>□改建</w:t>
            </w:r>
          </w:p>
          <w:p w14:paraId="157374BF">
            <w:pPr>
              <w:spacing w:line="240" w:lineRule="auto"/>
              <w:ind w:firstLine="120" w:firstLineChars="50"/>
              <w:rPr>
                <w:rFonts w:hint="default" w:ascii="Times New Roman" w:hAnsi="Times New Roman" w:cs="Times New Roman"/>
                <w:color w:val="auto"/>
                <w:highlight w:val="none"/>
              </w:rPr>
            </w:pPr>
            <w:r>
              <w:rPr>
                <w:rFonts w:hint="default" w:ascii="Times New Roman" w:hAnsi="Times New Roman" w:cs="Times New Roman"/>
                <w:color w:val="auto"/>
                <w:highlight w:val="none"/>
              </w:rPr>
              <w:t>□扩建</w:t>
            </w:r>
          </w:p>
          <w:p w14:paraId="6FDC2882">
            <w:pPr>
              <w:spacing w:line="240" w:lineRule="auto"/>
              <w:ind w:firstLine="120" w:firstLineChars="50"/>
              <w:rPr>
                <w:rFonts w:hint="default" w:ascii="Times New Roman" w:hAnsi="Times New Roman" w:cs="Times New Roman"/>
                <w:color w:val="auto"/>
                <w:highlight w:val="none"/>
              </w:rPr>
            </w:pPr>
            <w:r>
              <w:rPr>
                <w:rFonts w:hint="default" w:ascii="Times New Roman" w:hAnsi="Times New Roman" w:cs="Times New Roman"/>
                <w:color w:val="auto"/>
                <w:highlight w:val="none"/>
              </w:rPr>
              <w:t>□技术改造</w:t>
            </w:r>
          </w:p>
        </w:tc>
        <w:tc>
          <w:tcPr>
            <w:tcW w:w="2209" w:type="dxa"/>
            <w:vAlign w:val="center"/>
          </w:tcPr>
          <w:p w14:paraId="62F26B68">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建设项目</w:t>
            </w:r>
          </w:p>
          <w:p w14:paraId="6E62C2CD">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申报情形</w:t>
            </w:r>
          </w:p>
        </w:tc>
        <w:tc>
          <w:tcPr>
            <w:tcW w:w="2810" w:type="dxa"/>
            <w:vAlign w:val="center"/>
          </w:tcPr>
          <w:p w14:paraId="5404B454">
            <w:pPr>
              <w:spacing w:line="240" w:lineRule="auto"/>
              <w:ind w:firstLine="0" w:firstLineChars="0"/>
              <w:rPr>
                <w:rFonts w:hint="default" w:ascii="Times New Roman" w:hAnsi="Times New Roman" w:cs="Times New Roman"/>
                <w:color w:val="auto"/>
                <w:highlight w:val="none"/>
              </w:rPr>
            </w:pPr>
            <w:r>
              <w:rPr>
                <w:rFonts w:hint="default" w:ascii="Times New Roman" w:hAnsi="Times New Roman" w:cs="Times New Roman"/>
                <w:color w:val="auto"/>
                <w:spacing w:val="-10"/>
                <w:highlight w:val="none"/>
              </w:rPr>
              <w:sym w:font="Wingdings 2" w:char="0052"/>
            </w:r>
            <w:r>
              <w:rPr>
                <w:rFonts w:hint="default" w:ascii="Times New Roman" w:hAnsi="Times New Roman" w:cs="Times New Roman"/>
                <w:color w:val="auto"/>
                <w:highlight w:val="none"/>
              </w:rPr>
              <w:t>首次申报项目</w:t>
            </w:r>
          </w:p>
          <w:p w14:paraId="69BDA6C4">
            <w:pPr>
              <w:spacing w:line="240" w:lineRule="auto"/>
              <w:ind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□不予批准后再次申报项目</w:t>
            </w:r>
          </w:p>
          <w:p w14:paraId="06D31B40">
            <w:pPr>
              <w:spacing w:line="240" w:lineRule="auto"/>
              <w:ind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2" w:char="00A3"/>
            </w:r>
            <w:r>
              <w:rPr>
                <w:rFonts w:hint="default" w:ascii="Times New Roman" w:hAnsi="Times New Roman" w:cs="Times New Roman"/>
                <w:color w:val="auto"/>
                <w:highlight w:val="none"/>
              </w:rPr>
              <w:t>超五年重新审核项目</w:t>
            </w:r>
          </w:p>
          <w:p w14:paraId="4E2BA11E">
            <w:pPr>
              <w:spacing w:line="240" w:lineRule="auto"/>
              <w:ind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□重大变动重新报批项目</w:t>
            </w:r>
          </w:p>
        </w:tc>
      </w:tr>
      <w:tr w14:paraId="237237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1363" w:type="dxa"/>
            <w:tcMar>
              <w:top w:w="16" w:type="dxa"/>
              <w:left w:w="16" w:type="dxa"/>
              <w:right w:w="16" w:type="dxa"/>
            </w:tcMar>
            <w:vAlign w:val="center"/>
          </w:tcPr>
          <w:p w14:paraId="1D8F9052">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项目审批（核准/</w:t>
            </w:r>
          </w:p>
          <w:p w14:paraId="183A1058">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备案）部门</w:t>
            </w:r>
          </w:p>
        </w:tc>
        <w:tc>
          <w:tcPr>
            <w:tcW w:w="2123" w:type="dxa"/>
            <w:vAlign w:val="center"/>
          </w:tcPr>
          <w:p w14:paraId="0CA9F58D">
            <w:pPr>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鄂尔多斯市东胜区发展和改革局</w:t>
            </w:r>
          </w:p>
        </w:tc>
        <w:tc>
          <w:tcPr>
            <w:tcW w:w="2209" w:type="dxa"/>
            <w:vAlign w:val="center"/>
          </w:tcPr>
          <w:p w14:paraId="19961591">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项目审批</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核准/</w:t>
            </w:r>
          </w:p>
          <w:p w14:paraId="139FF959">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highlight w:val="none"/>
              </w:rPr>
              <w:t>备案</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文号</w:t>
            </w:r>
          </w:p>
        </w:tc>
        <w:tc>
          <w:tcPr>
            <w:tcW w:w="2810" w:type="dxa"/>
            <w:vAlign w:val="center"/>
          </w:tcPr>
          <w:p w14:paraId="443EC722">
            <w:pPr>
              <w:spacing w:line="240" w:lineRule="auto"/>
              <w:ind w:firstLine="0" w:firstLineChars="0"/>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东发改发</w:t>
            </w:r>
            <w:r>
              <w:rPr>
                <w:rFonts w:hint="default" w:ascii="Times New Roman" w:hAnsi="Times New Roman" w:cs="Times New Roman"/>
                <w:bCs/>
                <w:snapToGrid w:val="0"/>
                <w:color w:val="auto"/>
                <w:sz w:val="24"/>
                <w:highlight w:val="none"/>
              </w:rPr>
              <w:t>〔20</w:t>
            </w:r>
            <w:r>
              <w:rPr>
                <w:rFonts w:hint="default" w:ascii="Times New Roman" w:hAnsi="Times New Roman" w:cs="Times New Roman"/>
                <w:bCs/>
                <w:snapToGrid w:val="0"/>
                <w:color w:val="auto"/>
                <w:sz w:val="24"/>
                <w:highlight w:val="none"/>
                <w:lang w:val="en-US" w:eastAsia="zh-CN"/>
              </w:rPr>
              <w:t>1</w:t>
            </w:r>
            <w:r>
              <w:rPr>
                <w:rFonts w:hint="default" w:ascii="Times New Roman" w:hAnsi="Times New Roman" w:cs="Times New Roman"/>
                <w:bCs/>
                <w:snapToGrid w:val="0"/>
                <w:color w:val="auto"/>
                <w:sz w:val="24"/>
                <w:highlight w:val="none"/>
              </w:rPr>
              <w:t>1〕</w:t>
            </w:r>
            <w:r>
              <w:rPr>
                <w:rFonts w:hint="default" w:ascii="Times New Roman" w:hAnsi="Times New Roman" w:cs="Times New Roman"/>
                <w:color w:val="auto"/>
                <w:highlight w:val="none"/>
                <w:lang w:val="en-US" w:eastAsia="zh-CN"/>
              </w:rPr>
              <w:t>59号</w:t>
            </w:r>
          </w:p>
        </w:tc>
      </w:tr>
      <w:tr w14:paraId="528C16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1363" w:type="dxa"/>
            <w:tcMar>
              <w:top w:w="16" w:type="dxa"/>
              <w:left w:w="16" w:type="dxa"/>
              <w:right w:w="16" w:type="dxa"/>
            </w:tcMar>
            <w:vAlign w:val="center"/>
          </w:tcPr>
          <w:p w14:paraId="3E6E7A36">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总投资（万元）</w:t>
            </w:r>
          </w:p>
        </w:tc>
        <w:tc>
          <w:tcPr>
            <w:tcW w:w="2123" w:type="dxa"/>
            <w:vAlign w:val="center"/>
          </w:tcPr>
          <w:p w14:paraId="48E69917">
            <w:pPr>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2451.98</w:t>
            </w:r>
          </w:p>
        </w:tc>
        <w:tc>
          <w:tcPr>
            <w:tcW w:w="2209" w:type="dxa"/>
            <w:tcMar>
              <w:top w:w="16" w:type="dxa"/>
              <w:left w:w="16" w:type="dxa"/>
              <w:right w:w="16" w:type="dxa"/>
            </w:tcMar>
            <w:vAlign w:val="center"/>
          </w:tcPr>
          <w:p w14:paraId="1682971C">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环保投资（万元）</w:t>
            </w:r>
          </w:p>
        </w:tc>
        <w:tc>
          <w:tcPr>
            <w:tcW w:w="2810" w:type="dxa"/>
            <w:vAlign w:val="center"/>
          </w:tcPr>
          <w:p w14:paraId="5C7D7F95">
            <w:pPr>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174.5</w:t>
            </w:r>
          </w:p>
        </w:tc>
      </w:tr>
      <w:tr w14:paraId="4DD453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1363" w:type="dxa"/>
            <w:tcMar>
              <w:top w:w="16" w:type="dxa"/>
              <w:left w:w="16" w:type="dxa"/>
              <w:right w:w="16" w:type="dxa"/>
            </w:tcMar>
            <w:vAlign w:val="center"/>
          </w:tcPr>
          <w:p w14:paraId="040D2125">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环保投资占比（%）</w:t>
            </w:r>
          </w:p>
        </w:tc>
        <w:tc>
          <w:tcPr>
            <w:tcW w:w="2123" w:type="dxa"/>
            <w:vAlign w:val="center"/>
          </w:tcPr>
          <w:p w14:paraId="6714FF24">
            <w:pPr>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7.11</w:t>
            </w:r>
          </w:p>
        </w:tc>
        <w:tc>
          <w:tcPr>
            <w:tcW w:w="2209" w:type="dxa"/>
            <w:tcMar>
              <w:top w:w="16" w:type="dxa"/>
              <w:left w:w="16" w:type="dxa"/>
              <w:right w:w="16" w:type="dxa"/>
            </w:tcMar>
            <w:vAlign w:val="center"/>
          </w:tcPr>
          <w:p w14:paraId="39EB9018">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施工工期</w:t>
            </w:r>
          </w:p>
        </w:tc>
        <w:tc>
          <w:tcPr>
            <w:tcW w:w="2810" w:type="dxa"/>
            <w:vAlign w:val="center"/>
          </w:tcPr>
          <w:p w14:paraId="3DCBB1BA">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6个月</w:t>
            </w:r>
          </w:p>
        </w:tc>
      </w:tr>
      <w:tr w14:paraId="5D9031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1363" w:type="dxa"/>
            <w:tcMar>
              <w:top w:w="16" w:type="dxa"/>
              <w:left w:w="16" w:type="dxa"/>
              <w:right w:w="16" w:type="dxa"/>
            </w:tcMar>
            <w:vAlign w:val="center"/>
          </w:tcPr>
          <w:p w14:paraId="4FE87007">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是否开工建设</w:t>
            </w:r>
          </w:p>
        </w:tc>
        <w:tc>
          <w:tcPr>
            <w:tcW w:w="2123" w:type="dxa"/>
            <w:vAlign w:val="center"/>
          </w:tcPr>
          <w:p w14:paraId="263217E6">
            <w:pPr>
              <w:spacing w:line="240" w:lineRule="auto"/>
              <w:ind w:firstLine="120" w:firstLineChars="50"/>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2" w:char="00A3"/>
            </w:r>
            <w:r>
              <w:rPr>
                <w:rFonts w:hint="default" w:ascii="Times New Roman" w:hAnsi="Times New Roman" w:cs="Times New Roman"/>
                <w:color w:val="auto"/>
                <w:highlight w:val="none"/>
              </w:rPr>
              <w:t>否</w:t>
            </w:r>
          </w:p>
          <w:p w14:paraId="1C9EB736">
            <w:pPr>
              <w:spacing w:line="240" w:lineRule="auto"/>
              <w:ind w:firstLine="110" w:firstLineChars="5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spacing w:val="-10"/>
                <w:highlight w:val="none"/>
              </w:rPr>
              <w:sym w:font="Wingdings 2" w:char="0052"/>
            </w:r>
            <w:r>
              <w:rPr>
                <w:rFonts w:hint="default" w:ascii="Times New Roman" w:hAnsi="Times New Roman" w:cs="Times New Roman"/>
                <w:color w:val="auto"/>
                <w:highlight w:val="none"/>
              </w:rPr>
              <w:t>是：</w:t>
            </w:r>
            <w:r>
              <w:rPr>
                <w:rFonts w:hint="eastAsia" w:ascii="Times New Roman" w:hAnsi="Times New Roman" w:eastAsia="宋体" w:cs="Times New Roman"/>
                <w:color w:val="auto"/>
                <w:kern w:val="2"/>
                <w:sz w:val="24"/>
                <w:szCs w:val="24"/>
                <w:lang w:eastAsia="zh-CN"/>
              </w:rPr>
              <w:t>项目于</w:t>
            </w:r>
            <w:r>
              <w:rPr>
                <w:rFonts w:hint="eastAsia" w:ascii="Times New Roman" w:hAnsi="Times New Roman" w:eastAsia="宋体" w:cs="Times New Roman"/>
                <w:color w:val="auto"/>
                <w:kern w:val="2"/>
                <w:sz w:val="24"/>
                <w:szCs w:val="24"/>
                <w:lang w:val="en-US" w:eastAsia="zh-CN"/>
              </w:rPr>
              <w:t>20</w:t>
            </w:r>
            <w:r>
              <w:rPr>
                <w:rFonts w:hint="eastAsia" w:ascii="Times New Roman" w:hAnsi="Times New Roman" w:eastAsia="宋体" w:cs="Times New Roman"/>
                <w:color w:val="auto"/>
                <w:kern w:val="2"/>
                <w:sz w:val="24"/>
                <w:szCs w:val="24"/>
                <w:lang w:eastAsia="zh-CN"/>
              </w:rPr>
              <w:t>1</w:t>
            </w:r>
            <w:r>
              <w:rPr>
                <w:rFonts w:hint="eastAsia" w:cs="Times New Roman"/>
                <w:color w:val="auto"/>
                <w:kern w:val="2"/>
                <w:sz w:val="24"/>
                <w:szCs w:val="24"/>
                <w:lang w:eastAsia="zh-CN"/>
              </w:rPr>
              <w:t>1</w:t>
            </w:r>
            <w:r>
              <w:rPr>
                <w:rFonts w:hint="eastAsia" w:ascii="Times New Roman" w:hAnsi="Times New Roman" w:eastAsia="宋体" w:cs="Times New Roman"/>
                <w:color w:val="auto"/>
                <w:kern w:val="2"/>
                <w:sz w:val="24"/>
                <w:szCs w:val="24"/>
                <w:lang w:eastAsia="zh-CN"/>
              </w:rPr>
              <w:t>年</w:t>
            </w:r>
            <w:r>
              <w:rPr>
                <w:rFonts w:ascii="Times New Roman" w:hAnsi="Times New Roman" w:eastAsia="宋体" w:cs="Times New Roman"/>
                <w:color w:val="auto"/>
                <w:kern w:val="2"/>
                <w:sz w:val="24"/>
                <w:szCs w:val="24"/>
              </w:rPr>
              <w:t>主体工程建成并投入生产，</w:t>
            </w:r>
            <w:r>
              <w:rPr>
                <w:rFonts w:hint="eastAsia" w:ascii="Times New Roman" w:hAnsi="Times New Roman" w:eastAsia="宋体" w:cs="Times New Roman"/>
                <w:color w:val="auto"/>
                <w:kern w:val="2"/>
                <w:sz w:val="24"/>
                <w:szCs w:val="24"/>
                <w:lang w:val="en-US" w:eastAsia="zh-CN"/>
              </w:rPr>
              <w:t>20</w:t>
            </w:r>
            <w:r>
              <w:rPr>
                <w:rFonts w:hint="eastAsia" w:ascii="Times New Roman" w:hAnsi="Times New Roman" w:eastAsia="宋体" w:cs="Times New Roman"/>
                <w:color w:val="auto"/>
                <w:kern w:val="2"/>
                <w:sz w:val="24"/>
                <w:szCs w:val="24"/>
                <w:lang w:eastAsia="zh-CN"/>
              </w:rPr>
              <w:t>1</w:t>
            </w:r>
            <w:r>
              <w:rPr>
                <w:rFonts w:hint="eastAsia" w:cs="Times New Roman"/>
                <w:color w:val="auto"/>
                <w:kern w:val="2"/>
                <w:sz w:val="24"/>
                <w:szCs w:val="24"/>
                <w:lang w:val="en-US" w:eastAsia="zh-CN"/>
              </w:rPr>
              <w:t>3</w:t>
            </w:r>
            <w:r>
              <w:rPr>
                <w:rFonts w:hint="eastAsia" w:ascii="Times New Roman" w:hAnsi="Times New Roman" w:eastAsia="宋体" w:cs="Times New Roman"/>
                <w:color w:val="auto"/>
                <w:kern w:val="2"/>
                <w:sz w:val="24"/>
                <w:szCs w:val="24"/>
                <w:lang w:eastAsia="zh-CN"/>
              </w:rPr>
              <w:t>年10月停产</w:t>
            </w:r>
            <w:r>
              <w:rPr>
                <w:rFonts w:ascii="Times New Roman" w:hAnsi="Times New Roman" w:eastAsia="宋体" w:cs="Times New Roman"/>
                <w:color w:val="auto"/>
                <w:kern w:val="2"/>
                <w:sz w:val="24"/>
                <w:szCs w:val="24"/>
              </w:rPr>
              <w:t>。</w:t>
            </w:r>
            <w:r>
              <w:rPr>
                <w:rFonts w:hint="eastAsia" w:cs="Times New Roman"/>
                <w:color w:val="auto"/>
                <w:kern w:val="2"/>
                <w:sz w:val="24"/>
                <w:szCs w:val="24"/>
                <w:lang w:eastAsia="zh-CN"/>
              </w:rPr>
              <w:t>商混园区已</w:t>
            </w:r>
            <w:r>
              <w:rPr>
                <w:color w:val="auto"/>
                <w:sz w:val="24"/>
              </w:rPr>
              <w:t>缴纳罚款</w:t>
            </w:r>
            <w:r>
              <w:rPr>
                <w:rFonts w:hint="eastAsia"/>
                <w:color w:val="auto"/>
                <w:sz w:val="24"/>
                <w:lang w:eastAsia="zh-CN"/>
              </w:rPr>
              <w:t>，其中包括本项目（证明文件见附件）</w:t>
            </w:r>
            <w:r>
              <w:rPr>
                <w:color w:val="auto"/>
                <w:sz w:val="24"/>
              </w:rPr>
              <w:t>。</w:t>
            </w:r>
          </w:p>
        </w:tc>
        <w:tc>
          <w:tcPr>
            <w:tcW w:w="2209" w:type="dxa"/>
            <w:tcMar>
              <w:top w:w="16" w:type="dxa"/>
              <w:left w:w="16" w:type="dxa"/>
              <w:right w:w="16" w:type="dxa"/>
            </w:tcMar>
            <w:vAlign w:val="center"/>
          </w:tcPr>
          <w:p w14:paraId="6802C090">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用地面积（m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p>
        </w:tc>
        <w:tc>
          <w:tcPr>
            <w:tcW w:w="2810" w:type="dxa"/>
            <w:vAlign w:val="center"/>
          </w:tcPr>
          <w:p w14:paraId="76CA8DBF">
            <w:pPr>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17486.1</w:t>
            </w:r>
          </w:p>
        </w:tc>
      </w:tr>
      <w:tr w14:paraId="41183C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63" w:type="dxa"/>
            <w:vAlign w:val="center"/>
          </w:tcPr>
          <w:p w14:paraId="06FEDCA8">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专项评价设置情况</w:t>
            </w:r>
          </w:p>
        </w:tc>
        <w:tc>
          <w:tcPr>
            <w:tcW w:w="7142" w:type="dxa"/>
            <w:gridSpan w:val="3"/>
            <w:vAlign w:val="center"/>
          </w:tcPr>
          <w:p w14:paraId="098E2272">
            <w:pPr>
              <w:ind w:firstLine="480"/>
              <w:rPr>
                <w:color w:val="auto"/>
              </w:rPr>
            </w:pPr>
            <w:r>
              <w:rPr>
                <w:rFonts w:hint="eastAsia"/>
                <w:color w:val="auto"/>
              </w:rPr>
              <w:t>根据《建设项目环境影响报告表编制技术指南（污染影响类）（试行）》表</w:t>
            </w:r>
            <w:r>
              <w:rPr>
                <w:color w:val="auto"/>
              </w:rPr>
              <w:t>1</w:t>
            </w:r>
            <w:r>
              <w:rPr>
                <w:rFonts w:hint="eastAsia"/>
                <w:color w:val="auto"/>
              </w:rPr>
              <w:t>专项评价设置原则表，本项目不需要开展“大气、地表水、环境风险、生态和海洋”专项评价工作，具体见表</w:t>
            </w:r>
            <w:r>
              <w:rPr>
                <w:color w:val="auto"/>
              </w:rPr>
              <w:t>1-1</w:t>
            </w:r>
            <w:r>
              <w:rPr>
                <w:rFonts w:hint="eastAsia"/>
                <w:color w:val="auto"/>
              </w:rPr>
              <w:t>。</w:t>
            </w:r>
          </w:p>
          <w:p w14:paraId="51B1EEB0">
            <w:pPr>
              <w:pStyle w:val="58"/>
              <w:rPr>
                <w:color w:val="auto"/>
              </w:rPr>
            </w:pPr>
            <w:r>
              <w:rPr>
                <w:rFonts w:hint="eastAsia"/>
                <w:color w:val="auto"/>
              </w:rPr>
              <w:t>表</w:t>
            </w:r>
            <w:r>
              <w:rPr>
                <w:color w:val="auto"/>
              </w:rPr>
              <w:t>1-1</w:t>
            </w:r>
            <w:r>
              <w:rPr>
                <w:rFonts w:hint="eastAsia"/>
                <w:color w:val="auto"/>
              </w:rPr>
              <w:t xml:space="preserve"> 项目专项评价设置情况判定表</w:t>
            </w:r>
          </w:p>
          <w:tbl>
            <w:tblPr>
              <w:tblStyle w:val="23"/>
              <w:tblW w:w="4999"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216"/>
              <w:gridCol w:w="3370"/>
              <w:gridCol w:w="2339"/>
            </w:tblGrid>
            <w:tr w14:paraId="5FB3F0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16" w:type="dxa"/>
                  <w:tcBorders>
                    <w:tl2br w:val="nil"/>
                    <w:tr2bl w:val="nil"/>
                  </w:tcBorders>
                  <w:vAlign w:val="center"/>
                </w:tcPr>
                <w:p w14:paraId="6690E6F7">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rPr>
                  </w:pPr>
                  <w:r>
                    <w:rPr>
                      <w:rFonts w:hint="default" w:ascii="Times New Roman" w:hAnsi="Times New Roman" w:eastAsia="宋体" w:cs="Times New Roman"/>
                      <w:color w:val="auto"/>
                      <w:kern w:val="2"/>
                      <w:sz w:val="21"/>
                      <w:szCs w:val="21"/>
                      <w:highlight w:val="none"/>
                      <w:vertAlign w:val="baseline"/>
                    </w:rPr>
                    <w:t>专项评价的类别</w:t>
                  </w:r>
                </w:p>
              </w:tc>
              <w:tc>
                <w:tcPr>
                  <w:tcW w:w="3370" w:type="dxa"/>
                  <w:tcBorders>
                    <w:tl2br w:val="nil"/>
                    <w:tr2bl w:val="nil"/>
                  </w:tcBorders>
                  <w:vAlign w:val="center"/>
                </w:tcPr>
                <w:p w14:paraId="22601E28">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rPr>
                  </w:pPr>
                  <w:r>
                    <w:rPr>
                      <w:rFonts w:hint="default" w:ascii="Times New Roman" w:hAnsi="Times New Roman" w:eastAsia="宋体" w:cs="Times New Roman"/>
                      <w:color w:val="auto"/>
                      <w:kern w:val="2"/>
                      <w:sz w:val="21"/>
                      <w:szCs w:val="21"/>
                      <w:highlight w:val="none"/>
                      <w:vertAlign w:val="baseline"/>
                    </w:rPr>
                    <w:t>专项评价的类别设计项目类别</w:t>
                  </w:r>
                </w:p>
              </w:tc>
              <w:tc>
                <w:tcPr>
                  <w:tcW w:w="2339" w:type="dxa"/>
                  <w:tcBorders>
                    <w:tl2br w:val="nil"/>
                    <w:tr2bl w:val="nil"/>
                  </w:tcBorders>
                  <w:vAlign w:val="center"/>
                </w:tcPr>
                <w:p w14:paraId="7DBA2F63">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rPr>
                  </w:pPr>
                  <w:r>
                    <w:rPr>
                      <w:rFonts w:hint="default" w:ascii="Times New Roman" w:hAnsi="Times New Roman" w:eastAsia="宋体" w:cs="Times New Roman"/>
                      <w:color w:val="auto"/>
                      <w:kern w:val="2"/>
                      <w:sz w:val="21"/>
                      <w:szCs w:val="21"/>
                      <w:highlight w:val="none"/>
                      <w:vertAlign w:val="baseline"/>
                    </w:rPr>
                    <w:t>本项目</w:t>
                  </w:r>
                </w:p>
              </w:tc>
            </w:tr>
            <w:tr w14:paraId="63046D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16" w:type="dxa"/>
                  <w:tcBorders>
                    <w:tl2br w:val="nil"/>
                    <w:tr2bl w:val="nil"/>
                  </w:tcBorders>
                  <w:vAlign w:val="center"/>
                </w:tcPr>
                <w:p w14:paraId="184B26D2">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rPr>
                  </w:pPr>
                  <w:r>
                    <w:rPr>
                      <w:rFonts w:hint="default" w:ascii="Times New Roman" w:hAnsi="Times New Roman" w:eastAsia="宋体" w:cs="Times New Roman"/>
                      <w:color w:val="auto"/>
                      <w:kern w:val="2"/>
                      <w:sz w:val="21"/>
                      <w:szCs w:val="21"/>
                      <w:highlight w:val="none"/>
                      <w:vertAlign w:val="baseline"/>
                    </w:rPr>
                    <w:t>大气</w:t>
                  </w:r>
                </w:p>
              </w:tc>
              <w:tc>
                <w:tcPr>
                  <w:tcW w:w="3370" w:type="dxa"/>
                  <w:tcBorders>
                    <w:tl2br w:val="nil"/>
                    <w:tr2bl w:val="nil"/>
                  </w:tcBorders>
                  <w:vAlign w:val="center"/>
                </w:tcPr>
                <w:p w14:paraId="4B41C602">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eastAsia="zh-CN"/>
                    </w:rPr>
                  </w:pPr>
                  <w:r>
                    <w:rPr>
                      <w:rFonts w:hint="default" w:ascii="Times New Roman" w:hAnsi="Times New Roman" w:eastAsia="宋体" w:cs="Times New Roman"/>
                      <w:color w:val="auto"/>
                      <w:kern w:val="2"/>
                      <w:sz w:val="21"/>
                      <w:szCs w:val="21"/>
                      <w:highlight w:val="none"/>
                      <w:vertAlign w:val="baseline"/>
                    </w:rPr>
                    <w:t>排放废气含有毒有害污染、二噁英、苯并芘[a]、氰化物、氯气且厂界外500m范围内有环境空气保护目标的建设项目</w:t>
                  </w:r>
                  <w:r>
                    <w:rPr>
                      <w:rFonts w:hint="default" w:ascii="Times New Roman" w:hAnsi="Times New Roman" w:eastAsia="宋体" w:cs="Times New Roman"/>
                      <w:color w:val="auto"/>
                      <w:kern w:val="2"/>
                      <w:sz w:val="21"/>
                      <w:szCs w:val="21"/>
                      <w:highlight w:val="none"/>
                      <w:vertAlign w:val="baseline"/>
                      <w:lang w:eastAsia="zh-CN"/>
                    </w:rPr>
                    <w:t>。</w:t>
                  </w:r>
                </w:p>
              </w:tc>
              <w:tc>
                <w:tcPr>
                  <w:tcW w:w="2339" w:type="dxa"/>
                  <w:tcBorders>
                    <w:tl2br w:val="nil"/>
                    <w:tr2bl w:val="nil"/>
                  </w:tcBorders>
                  <w:vAlign w:val="center"/>
                </w:tcPr>
                <w:p w14:paraId="64AE77BB">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eastAsia="zh-CN"/>
                    </w:rPr>
                  </w:pPr>
                  <w:r>
                    <w:rPr>
                      <w:rFonts w:hint="default" w:ascii="Times New Roman" w:hAnsi="Times New Roman" w:eastAsia="宋体" w:cs="Times New Roman"/>
                      <w:color w:val="auto"/>
                      <w:kern w:val="2"/>
                      <w:sz w:val="21"/>
                      <w:szCs w:val="21"/>
                      <w:highlight w:val="none"/>
                      <w:vertAlign w:val="baseline"/>
                    </w:rPr>
                    <w:t>本项目不排放此类污染物质，</w:t>
                  </w:r>
                  <w:r>
                    <w:rPr>
                      <w:rFonts w:hint="eastAsia" w:ascii="Times New Roman" w:hAnsi="Times New Roman" w:cs="Times New Roman"/>
                      <w:color w:val="auto"/>
                      <w:kern w:val="2"/>
                      <w:sz w:val="21"/>
                      <w:szCs w:val="21"/>
                      <w:highlight w:val="none"/>
                      <w:vertAlign w:val="baseline"/>
                      <w:lang w:eastAsia="zh-CN"/>
                    </w:rPr>
                    <w:t>因此</w:t>
                  </w:r>
                  <w:r>
                    <w:rPr>
                      <w:rFonts w:hint="default" w:ascii="Times New Roman" w:hAnsi="Times New Roman" w:eastAsia="宋体" w:cs="Times New Roman"/>
                      <w:color w:val="auto"/>
                      <w:kern w:val="2"/>
                      <w:sz w:val="21"/>
                      <w:szCs w:val="21"/>
                      <w:highlight w:val="none"/>
                      <w:vertAlign w:val="baseline"/>
                    </w:rPr>
                    <w:t>不设大气专项评价专题</w:t>
                  </w:r>
                  <w:r>
                    <w:rPr>
                      <w:rFonts w:hint="default" w:ascii="Times New Roman" w:hAnsi="Times New Roman" w:eastAsia="宋体" w:cs="Times New Roman"/>
                      <w:color w:val="auto"/>
                      <w:kern w:val="2"/>
                      <w:sz w:val="21"/>
                      <w:szCs w:val="21"/>
                      <w:highlight w:val="none"/>
                      <w:vertAlign w:val="baseline"/>
                      <w:lang w:eastAsia="zh-CN"/>
                    </w:rPr>
                    <w:t>。</w:t>
                  </w:r>
                </w:p>
              </w:tc>
            </w:tr>
            <w:tr w14:paraId="79BA0E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16" w:type="dxa"/>
                  <w:tcBorders>
                    <w:tl2br w:val="nil"/>
                    <w:tr2bl w:val="nil"/>
                  </w:tcBorders>
                  <w:vAlign w:val="center"/>
                </w:tcPr>
                <w:p w14:paraId="577F35E8">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rPr>
                  </w:pPr>
                  <w:r>
                    <w:rPr>
                      <w:rFonts w:hint="default" w:ascii="Times New Roman" w:hAnsi="Times New Roman" w:eastAsia="宋体" w:cs="Times New Roman"/>
                      <w:color w:val="auto"/>
                      <w:kern w:val="2"/>
                      <w:sz w:val="21"/>
                      <w:szCs w:val="21"/>
                      <w:highlight w:val="none"/>
                      <w:vertAlign w:val="baseline"/>
                    </w:rPr>
                    <w:t>地表水</w:t>
                  </w:r>
                </w:p>
              </w:tc>
              <w:tc>
                <w:tcPr>
                  <w:tcW w:w="3370" w:type="dxa"/>
                  <w:tcBorders>
                    <w:tl2br w:val="nil"/>
                    <w:tr2bl w:val="nil"/>
                  </w:tcBorders>
                  <w:vAlign w:val="center"/>
                </w:tcPr>
                <w:p w14:paraId="7D8D8BB5">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rPr>
                  </w:pPr>
                  <w:r>
                    <w:rPr>
                      <w:rFonts w:hint="default" w:ascii="Times New Roman" w:hAnsi="Times New Roman" w:eastAsia="宋体" w:cs="Times New Roman"/>
                      <w:color w:val="auto"/>
                      <w:kern w:val="2"/>
                      <w:sz w:val="21"/>
                      <w:szCs w:val="21"/>
                      <w:highlight w:val="none"/>
                      <w:vertAlign w:val="baseline"/>
                    </w:rPr>
                    <w:t>新增工业废水直排建设项目（槽罐车外送污水处理厂的除外）；新增废水直排的污水集中处理厂</w:t>
                  </w:r>
                </w:p>
              </w:tc>
              <w:tc>
                <w:tcPr>
                  <w:tcW w:w="2339" w:type="dxa"/>
                  <w:tcBorders>
                    <w:tl2br w:val="nil"/>
                    <w:tr2bl w:val="nil"/>
                  </w:tcBorders>
                  <w:vAlign w:val="center"/>
                </w:tcPr>
                <w:p w14:paraId="23DA4B33">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eastAsia="zh-CN"/>
                    </w:rPr>
                  </w:pPr>
                  <w:r>
                    <w:rPr>
                      <w:rFonts w:hint="default" w:ascii="Times New Roman" w:hAnsi="Times New Roman" w:eastAsia="宋体" w:cs="Times New Roman"/>
                      <w:color w:val="auto"/>
                      <w:kern w:val="2"/>
                      <w:sz w:val="21"/>
                      <w:szCs w:val="21"/>
                      <w:highlight w:val="none"/>
                      <w:vertAlign w:val="baseline"/>
                      <w:lang w:val="en-US" w:eastAsia="zh-CN"/>
                    </w:rPr>
                    <w:t>本项目废水不直接外排，且不属于污水集中处理厂项目</w:t>
                  </w:r>
                  <w:r>
                    <w:rPr>
                      <w:rFonts w:hint="default" w:ascii="Times New Roman" w:hAnsi="Times New Roman" w:eastAsia="宋体" w:cs="Times New Roman"/>
                      <w:color w:val="auto"/>
                      <w:kern w:val="2"/>
                      <w:sz w:val="21"/>
                      <w:szCs w:val="21"/>
                      <w:highlight w:val="none"/>
                      <w:vertAlign w:val="baseline"/>
                      <w:lang w:eastAsia="zh-CN"/>
                    </w:rPr>
                    <w:t>。</w:t>
                  </w:r>
                </w:p>
              </w:tc>
            </w:tr>
            <w:tr w14:paraId="37F7D6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16" w:type="dxa"/>
                  <w:tcBorders>
                    <w:tl2br w:val="nil"/>
                    <w:tr2bl w:val="nil"/>
                  </w:tcBorders>
                  <w:vAlign w:val="center"/>
                </w:tcPr>
                <w:p w14:paraId="38F68A68">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rPr>
                  </w:pPr>
                  <w:r>
                    <w:rPr>
                      <w:rFonts w:hint="default" w:ascii="Times New Roman" w:hAnsi="Times New Roman" w:eastAsia="宋体" w:cs="Times New Roman"/>
                      <w:color w:val="auto"/>
                      <w:kern w:val="2"/>
                      <w:sz w:val="21"/>
                      <w:szCs w:val="21"/>
                      <w:highlight w:val="none"/>
                      <w:vertAlign w:val="baseline"/>
                    </w:rPr>
                    <w:t>环境风险</w:t>
                  </w:r>
                </w:p>
              </w:tc>
              <w:tc>
                <w:tcPr>
                  <w:tcW w:w="3370" w:type="dxa"/>
                  <w:tcBorders>
                    <w:tl2br w:val="nil"/>
                    <w:tr2bl w:val="nil"/>
                  </w:tcBorders>
                  <w:vAlign w:val="center"/>
                </w:tcPr>
                <w:p w14:paraId="620B9760">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eastAsia="zh-CN"/>
                    </w:rPr>
                  </w:pPr>
                  <w:r>
                    <w:rPr>
                      <w:rFonts w:hint="default" w:ascii="Times New Roman" w:hAnsi="Times New Roman" w:eastAsia="宋体" w:cs="Times New Roman"/>
                      <w:color w:val="auto"/>
                      <w:kern w:val="2"/>
                      <w:sz w:val="21"/>
                      <w:szCs w:val="21"/>
                      <w:highlight w:val="none"/>
                      <w:vertAlign w:val="baseline"/>
                    </w:rPr>
                    <w:t>有毒有害和易燃易爆危险物质存储量超过临界量的建设项目</w:t>
                  </w:r>
                  <w:r>
                    <w:rPr>
                      <w:rFonts w:hint="default" w:ascii="Times New Roman" w:hAnsi="Times New Roman" w:eastAsia="宋体" w:cs="Times New Roman"/>
                      <w:color w:val="auto"/>
                      <w:kern w:val="2"/>
                      <w:sz w:val="21"/>
                      <w:szCs w:val="21"/>
                      <w:highlight w:val="none"/>
                      <w:vertAlign w:val="baseline"/>
                      <w:lang w:eastAsia="zh-CN"/>
                    </w:rPr>
                    <w:t>。</w:t>
                  </w:r>
                </w:p>
              </w:tc>
              <w:tc>
                <w:tcPr>
                  <w:tcW w:w="2339" w:type="dxa"/>
                  <w:tcBorders>
                    <w:tl2br w:val="nil"/>
                    <w:tr2bl w:val="nil"/>
                  </w:tcBorders>
                  <w:vAlign w:val="center"/>
                </w:tcPr>
                <w:p w14:paraId="7F043CAC">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rPr>
                    <w:t>本项目不涉及</w:t>
                  </w:r>
                  <w:r>
                    <w:rPr>
                      <w:rFonts w:hint="default" w:ascii="Times New Roman" w:hAnsi="Times New Roman" w:eastAsia="宋体" w:cs="Times New Roman"/>
                      <w:color w:val="auto"/>
                      <w:kern w:val="2"/>
                      <w:sz w:val="21"/>
                      <w:szCs w:val="21"/>
                      <w:highlight w:val="none"/>
                      <w:vertAlign w:val="baseline"/>
                    </w:rPr>
                    <w:t>有毒有害和易燃易爆危险物质</w:t>
                  </w:r>
                  <w:r>
                    <w:rPr>
                      <w:rFonts w:hint="default" w:ascii="Times New Roman" w:hAnsi="Times New Roman" w:eastAsia="宋体" w:cs="Times New Roman"/>
                      <w:color w:val="auto"/>
                      <w:kern w:val="2"/>
                      <w:sz w:val="21"/>
                      <w:szCs w:val="21"/>
                      <w:highlight w:val="none"/>
                      <w:vertAlign w:val="baseline"/>
                      <w:lang w:eastAsia="zh-CN"/>
                    </w:rPr>
                    <w:t>。</w:t>
                  </w:r>
                </w:p>
              </w:tc>
            </w:tr>
            <w:tr w14:paraId="15F0BF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16" w:type="dxa"/>
                  <w:tcBorders>
                    <w:tl2br w:val="nil"/>
                    <w:tr2bl w:val="nil"/>
                  </w:tcBorders>
                  <w:vAlign w:val="center"/>
                </w:tcPr>
                <w:p w14:paraId="67A3FB8D">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rPr>
                  </w:pPr>
                  <w:r>
                    <w:rPr>
                      <w:rFonts w:hint="default" w:ascii="Times New Roman" w:hAnsi="Times New Roman" w:eastAsia="宋体" w:cs="Times New Roman"/>
                      <w:color w:val="auto"/>
                      <w:kern w:val="2"/>
                      <w:sz w:val="21"/>
                      <w:szCs w:val="21"/>
                      <w:highlight w:val="none"/>
                      <w:vertAlign w:val="baseline"/>
                    </w:rPr>
                    <w:t>生态</w:t>
                  </w:r>
                </w:p>
              </w:tc>
              <w:tc>
                <w:tcPr>
                  <w:tcW w:w="3370" w:type="dxa"/>
                  <w:tcBorders>
                    <w:tl2br w:val="nil"/>
                    <w:tr2bl w:val="nil"/>
                  </w:tcBorders>
                  <w:vAlign w:val="center"/>
                </w:tcPr>
                <w:p w14:paraId="5BAA3AFE">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eastAsia="zh-CN"/>
                    </w:rPr>
                  </w:pPr>
                  <w:r>
                    <w:rPr>
                      <w:rFonts w:hint="default" w:ascii="Times New Roman" w:hAnsi="Times New Roman" w:eastAsia="宋体" w:cs="Times New Roman"/>
                      <w:color w:val="auto"/>
                      <w:kern w:val="2"/>
                      <w:sz w:val="21"/>
                      <w:szCs w:val="21"/>
                      <w:highlight w:val="none"/>
                      <w:vertAlign w:val="baseline"/>
                    </w:rPr>
                    <w:t>取水口下游 500m 范围内有重要水生生物的自然产卵场、索饵场、越冬场和洄游通道的新增河道取水的污染物建设项目</w:t>
                  </w:r>
                  <w:r>
                    <w:rPr>
                      <w:rFonts w:hint="default" w:ascii="Times New Roman" w:hAnsi="Times New Roman" w:eastAsia="宋体" w:cs="Times New Roman"/>
                      <w:color w:val="auto"/>
                      <w:kern w:val="2"/>
                      <w:sz w:val="21"/>
                      <w:szCs w:val="21"/>
                      <w:highlight w:val="none"/>
                      <w:vertAlign w:val="baseline"/>
                      <w:lang w:eastAsia="zh-CN"/>
                    </w:rPr>
                    <w:t>。</w:t>
                  </w:r>
                </w:p>
              </w:tc>
              <w:tc>
                <w:tcPr>
                  <w:tcW w:w="2339" w:type="dxa"/>
                  <w:tcBorders>
                    <w:tl2br w:val="nil"/>
                    <w:tr2bl w:val="nil"/>
                  </w:tcBorders>
                  <w:vAlign w:val="center"/>
                </w:tcPr>
                <w:p w14:paraId="78293AD1">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eastAsia="zh-CN"/>
                    </w:rPr>
                  </w:pPr>
                  <w:r>
                    <w:rPr>
                      <w:rFonts w:hint="default" w:ascii="Times New Roman" w:hAnsi="Times New Roman" w:eastAsia="宋体" w:cs="Times New Roman"/>
                      <w:color w:val="auto"/>
                      <w:kern w:val="2"/>
                      <w:sz w:val="21"/>
                      <w:szCs w:val="21"/>
                      <w:highlight w:val="none"/>
                      <w:vertAlign w:val="baseline"/>
                    </w:rPr>
                    <w:t>本项目不设生态专题评价</w:t>
                  </w:r>
                  <w:r>
                    <w:rPr>
                      <w:rFonts w:hint="default" w:ascii="Times New Roman" w:hAnsi="Times New Roman" w:eastAsia="宋体" w:cs="Times New Roman"/>
                      <w:color w:val="auto"/>
                      <w:kern w:val="2"/>
                      <w:sz w:val="21"/>
                      <w:szCs w:val="21"/>
                      <w:highlight w:val="none"/>
                      <w:vertAlign w:val="baseline"/>
                      <w:lang w:eastAsia="zh-CN"/>
                    </w:rPr>
                    <w:t>。</w:t>
                  </w:r>
                </w:p>
              </w:tc>
            </w:tr>
            <w:tr w14:paraId="5B927F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16" w:type="dxa"/>
                  <w:tcBorders>
                    <w:tl2br w:val="nil"/>
                    <w:tr2bl w:val="nil"/>
                  </w:tcBorders>
                  <w:vAlign w:val="center"/>
                </w:tcPr>
                <w:p w14:paraId="48AB5DEA">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rPr>
                  </w:pPr>
                  <w:r>
                    <w:rPr>
                      <w:rFonts w:hint="default" w:ascii="Times New Roman" w:hAnsi="Times New Roman" w:eastAsia="宋体" w:cs="Times New Roman"/>
                      <w:color w:val="auto"/>
                      <w:kern w:val="2"/>
                      <w:sz w:val="21"/>
                      <w:szCs w:val="21"/>
                      <w:highlight w:val="none"/>
                      <w:vertAlign w:val="baseline"/>
                    </w:rPr>
                    <w:t>海洋</w:t>
                  </w:r>
                </w:p>
              </w:tc>
              <w:tc>
                <w:tcPr>
                  <w:tcW w:w="3370" w:type="dxa"/>
                  <w:tcBorders>
                    <w:tl2br w:val="nil"/>
                    <w:tr2bl w:val="nil"/>
                  </w:tcBorders>
                  <w:vAlign w:val="center"/>
                </w:tcPr>
                <w:p w14:paraId="134FF644">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eastAsia="zh-CN"/>
                    </w:rPr>
                  </w:pPr>
                  <w:r>
                    <w:rPr>
                      <w:rFonts w:hint="default" w:ascii="Times New Roman" w:hAnsi="Times New Roman" w:eastAsia="宋体" w:cs="Times New Roman"/>
                      <w:color w:val="auto"/>
                      <w:kern w:val="2"/>
                      <w:sz w:val="21"/>
                      <w:szCs w:val="21"/>
                      <w:highlight w:val="none"/>
                      <w:vertAlign w:val="baseline"/>
                    </w:rPr>
                    <w:t>直接向海排放污染物的海洋工程建设项目</w:t>
                  </w:r>
                  <w:r>
                    <w:rPr>
                      <w:rFonts w:hint="default" w:ascii="Times New Roman" w:hAnsi="Times New Roman" w:eastAsia="宋体" w:cs="Times New Roman"/>
                      <w:color w:val="auto"/>
                      <w:kern w:val="2"/>
                      <w:sz w:val="21"/>
                      <w:szCs w:val="21"/>
                      <w:highlight w:val="none"/>
                      <w:vertAlign w:val="baseline"/>
                      <w:lang w:eastAsia="zh-CN"/>
                    </w:rPr>
                    <w:t>。</w:t>
                  </w:r>
                </w:p>
              </w:tc>
              <w:tc>
                <w:tcPr>
                  <w:tcW w:w="2339" w:type="dxa"/>
                  <w:tcBorders>
                    <w:tl2br w:val="nil"/>
                    <w:tr2bl w:val="nil"/>
                  </w:tcBorders>
                  <w:vAlign w:val="center"/>
                </w:tcPr>
                <w:p w14:paraId="1D1DC0F8">
                  <w:pPr>
                    <w:keepNext w:val="0"/>
                    <w:keepLines w:val="0"/>
                    <w:pageBreakBefore w:val="0"/>
                    <w:widowControl/>
                    <w:kinsoku/>
                    <w:wordWrap/>
                    <w:overflowPunct/>
                    <w:topLinePunct w:val="0"/>
                    <w:autoSpaceDE/>
                    <w:autoSpaceDN/>
                    <w:bidi w:val="0"/>
                    <w:adjustRightInd/>
                    <w:snapToGrid/>
                    <w:spacing w:before="0" w:after="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rPr>
                  </w:pPr>
                  <w:r>
                    <w:rPr>
                      <w:rFonts w:hint="default" w:ascii="Times New Roman" w:hAnsi="Times New Roman" w:eastAsia="宋体" w:cs="Times New Roman"/>
                      <w:color w:val="auto"/>
                      <w:kern w:val="2"/>
                      <w:sz w:val="21"/>
                      <w:szCs w:val="21"/>
                      <w:highlight w:val="none"/>
                      <w:vertAlign w:val="baseline"/>
                    </w:rPr>
                    <w:t>本项目不设海洋专题评价</w:t>
                  </w:r>
                </w:p>
              </w:tc>
            </w:tr>
          </w:tbl>
          <w:p w14:paraId="2642021B">
            <w:pPr>
              <w:pStyle w:val="2"/>
              <w:rPr>
                <w:rFonts w:hint="default"/>
                <w:color w:val="auto"/>
              </w:rPr>
            </w:pPr>
          </w:p>
        </w:tc>
      </w:tr>
      <w:tr w14:paraId="068893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63" w:type="dxa"/>
            <w:vAlign w:val="center"/>
          </w:tcPr>
          <w:p w14:paraId="0E1F965E">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规划情况</w:t>
            </w:r>
          </w:p>
        </w:tc>
        <w:tc>
          <w:tcPr>
            <w:tcW w:w="7142" w:type="dxa"/>
            <w:gridSpan w:val="3"/>
            <w:vAlign w:val="center"/>
          </w:tcPr>
          <w:p w14:paraId="7AA61E25">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2024年11月28日，鄂尔多斯市人民政府关于</w:t>
            </w:r>
            <w:r>
              <w:rPr>
                <w:rFonts w:hint="default" w:ascii="Times New Roman" w:hAnsi="Times New Roman" w:cs="Times New Roman"/>
                <w:color w:val="auto"/>
                <w:highlight w:val="none"/>
              </w:rPr>
              <w:t>东胜区罕台镇</w:t>
            </w:r>
            <w:r>
              <w:rPr>
                <w:rFonts w:hint="eastAsia" w:cs="Times New Roman"/>
                <w:color w:val="auto"/>
                <w:highlight w:val="none"/>
                <w:lang w:eastAsia="zh-CN"/>
              </w:rPr>
              <w:t>等</w:t>
            </w:r>
            <w:r>
              <w:rPr>
                <w:rFonts w:hint="eastAsia" w:cs="Times New Roman"/>
                <w:color w:val="auto"/>
                <w:highlight w:val="none"/>
                <w:lang w:val="en-US" w:eastAsia="zh-CN"/>
              </w:rPr>
              <w:t>3个镇</w:t>
            </w:r>
            <w:r>
              <w:rPr>
                <w:rFonts w:hint="default" w:ascii="Times New Roman" w:hAnsi="Times New Roman" w:cs="Times New Roman"/>
                <w:color w:val="auto"/>
                <w:highlight w:val="none"/>
              </w:rPr>
              <w:t>国土空间总体规划</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2021</w:t>
            </w:r>
            <w:r>
              <w:rPr>
                <w:rFonts w:hint="eastAsia" w:cs="Times New Roman"/>
                <w:color w:val="auto"/>
                <w:highlight w:val="none"/>
                <w:lang w:eastAsia="zh-CN"/>
              </w:rPr>
              <w:t>—</w:t>
            </w:r>
            <w:r>
              <w:rPr>
                <w:rFonts w:hint="default" w:ascii="Times New Roman" w:hAnsi="Times New Roman" w:cs="Times New Roman"/>
                <w:color w:val="auto"/>
                <w:highlight w:val="none"/>
              </w:rPr>
              <w:t>2035年</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的批复（鄂府发</w:t>
            </w:r>
            <w:r>
              <w:rPr>
                <w:rFonts w:hint="default" w:ascii="Times New Roman" w:hAnsi="Times New Roman" w:cs="Times New Roman"/>
                <w:bCs/>
                <w:snapToGrid w:val="0"/>
                <w:color w:val="auto"/>
                <w:sz w:val="24"/>
                <w:highlight w:val="none"/>
              </w:rPr>
              <w:t>〔20</w:t>
            </w:r>
            <w:r>
              <w:rPr>
                <w:rFonts w:hint="eastAsia" w:cs="Times New Roman"/>
                <w:bCs/>
                <w:snapToGrid w:val="0"/>
                <w:color w:val="auto"/>
                <w:sz w:val="24"/>
                <w:highlight w:val="none"/>
                <w:lang w:val="en-US" w:eastAsia="zh-CN"/>
              </w:rPr>
              <w:t>24</w:t>
            </w:r>
            <w:r>
              <w:rPr>
                <w:rFonts w:hint="default" w:ascii="Times New Roman" w:hAnsi="Times New Roman" w:cs="Times New Roman"/>
                <w:bCs/>
                <w:snapToGrid w:val="0"/>
                <w:color w:val="auto"/>
                <w:sz w:val="24"/>
                <w:highlight w:val="none"/>
              </w:rPr>
              <w:t>〕</w:t>
            </w:r>
            <w:r>
              <w:rPr>
                <w:rFonts w:hint="eastAsia" w:cs="Times New Roman"/>
                <w:bCs/>
                <w:snapToGrid w:val="0"/>
                <w:color w:val="auto"/>
                <w:sz w:val="24"/>
                <w:highlight w:val="none"/>
                <w:lang w:val="en-US" w:eastAsia="zh-CN"/>
              </w:rPr>
              <w:t>74号</w:t>
            </w:r>
            <w:r>
              <w:rPr>
                <w:rFonts w:hint="eastAsia" w:cs="Times New Roman"/>
                <w:color w:val="auto"/>
                <w:highlight w:val="none"/>
                <w:lang w:val="en-US" w:eastAsia="zh-CN"/>
              </w:rPr>
              <w:t>）</w:t>
            </w:r>
          </w:p>
        </w:tc>
      </w:tr>
      <w:tr w14:paraId="6584F3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63" w:type="dxa"/>
            <w:vAlign w:val="center"/>
          </w:tcPr>
          <w:p w14:paraId="572B4893">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规划环境影响评价情况</w:t>
            </w:r>
          </w:p>
        </w:tc>
        <w:tc>
          <w:tcPr>
            <w:tcW w:w="7142" w:type="dxa"/>
            <w:gridSpan w:val="3"/>
            <w:vAlign w:val="center"/>
          </w:tcPr>
          <w:p w14:paraId="61841889">
            <w:pPr>
              <w:ind w:left="0" w:leftChars="0"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无</w:t>
            </w:r>
          </w:p>
        </w:tc>
      </w:tr>
      <w:tr w14:paraId="4E6432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63" w:type="dxa"/>
            <w:vAlign w:val="center"/>
          </w:tcPr>
          <w:p w14:paraId="4011B4E6">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规划及规划环境影响评价符合性分析</w:t>
            </w:r>
          </w:p>
        </w:tc>
        <w:tc>
          <w:tcPr>
            <w:tcW w:w="7142" w:type="dxa"/>
            <w:gridSpan w:val="3"/>
            <w:vAlign w:val="center"/>
          </w:tcPr>
          <w:p w14:paraId="79919266">
            <w:pPr>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根据《</w:t>
            </w:r>
            <w:r>
              <w:rPr>
                <w:rFonts w:hint="eastAsia" w:cs="Times New Roman"/>
                <w:color w:val="auto"/>
                <w:highlight w:val="none"/>
                <w:lang w:val="en-US" w:eastAsia="zh-CN"/>
              </w:rPr>
              <w:t>鄂尔多斯市人民政府关于</w:t>
            </w:r>
            <w:r>
              <w:rPr>
                <w:rFonts w:hint="default" w:ascii="Times New Roman" w:hAnsi="Times New Roman" w:cs="Times New Roman"/>
                <w:color w:val="auto"/>
                <w:highlight w:val="none"/>
              </w:rPr>
              <w:t>东胜区罕台镇</w:t>
            </w:r>
            <w:r>
              <w:rPr>
                <w:rFonts w:hint="eastAsia" w:cs="Times New Roman"/>
                <w:color w:val="auto"/>
                <w:highlight w:val="none"/>
                <w:lang w:eastAsia="zh-CN"/>
              </w:rPr>
              <w:t>等</w:t>
            </w:r>
            <w:r>
              <w:rPr>
                <w:rFonts w:hint="eastAsia" w:cs="Times New Roman"/>
                <w:color w:val="auto"/>
                <w:highlight w:val="none"/>
                <w:lang w:val="en-US" w:eastAsia="zh-CN"/>
              </w:rPr>
              <w:t>3个镇</w:t>
            </w:r>
            <w:r>
              <w:rPr>
                <w:rFonts w:hint="default" w:ascii="Times New Roman" w:hAnsi="Times New Roman" w:cs="Times New Roman"/>
                <w:color w:val="auto"/>
                <w:highlight w:val="none"/>
              </w:rPr>
              <w:t>国土空间总体规划</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2021</w:t>
            </w:r>
            <w:r>
              <w:rPr>
                <w:rFonts w:hint="eastAsia" w:cs="Times New Roman"/>
                <w:color w:val="auto"/>
                <w:highlight w:val="none"/>
                <w:lang w:eastAsia="zh-CN"/>
              </w:rPr>
              <w:t>—</w:t>
            </w:r>
            <w:r>
              <w:rPr>
                <w:rFonts w:hint="default" w:ascii="Times New Roman" w:hAnsi="Times New Roman" w:cs="Times New Roman"/>
                <w:color w:val="auto"/>
                <w:highlight w:val="none"/>
              </w:rPr>
              <w:t>2035年</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，生态治理及农旅发展区，严格保护区域内的基本草原及公益林，禁止占用</w:t>
            </w:r>
            <w:r>
              <w:rPr>
                <w:rFonts w:hint="eastAsia" w:cs="Times New Roman"/>
                <w:color w:val="auto"/>
                <w:highlight w:val="none"/>
                <w:lang w:eastAsia="zh-CN"/>
              </w:rPr>
              <w:t>。</w:t>
            </w:r>
            <w:r>
              <w:rPr>
                <w:rFonts w:hint="default" w:ascii="Times New Roman" w:hAnsi="Times New Roman" w:cs="Times New Roman"/>
                <w:color w:val="auto"/>
                <w:highlight w:val="none"/>
                <w:lang w:eastAsia="zh-CN"/>
              </w:rPr>
              <w:t>生态修复重点区域，规划造林绿化空间主要集中区。</w:t>
            </w:r>
            <w:r>
              <w:rPr>
                <w:rFonts w:hint="default"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rPr>
              <w:t>位于</w:t>
            </w:r>
            <w:r>
              <w:rPr>
                <w:rFonts w:hint="default" w:ascii="Times New Roman" w:hAnsi="Times New Roman" w:eastAsia="宋体" w:cs="Times New Roman"/>
                <w:color w:val="auto"/>
                <w:sz w:val="24"/>
                <w:szCs w:val="24"/>
                <w:highlight w:val="none"/>
                <w:lang w:val="en-US" w:eastAsia="zh-CN"/>
              </w:rPr>
              <w:t>东胜区罕合镇</w:t>
            </w:r>
            <w:r>
              <w:rPr>
                <w:rFonts w:hint="eastAsia" w:ascii="Times New Roman" w:hAnsi="Times New Roman" w:cs="Times New Roman"/>
                <w:color w:val="auto"/>
                <w:sz w:val="24"/>
                <w:szCs w:val="24"/>
                <w:highlight w:val="none"/>
                <w:lang w:val="en-US" w:eastAsia="zh-CN"/>
              </w:rPr>
              <w:t>袁家梁商砼园区B7地块</w:t>
            </w:r>
            <w:r>
              <w:rPr>
                <w:rFonts w:hint="eastAsia" w:cs="Times New Roman"/>
                <w:color w:val="auto"/>
                <w:sz w:val="24"/>
                <w:szCs w:val="24"/>
                <w:highlight w:val="none"/>
                <w:lang w:val="en-US" w:eastAsia="zh-CN"/>
              </w:rPr>
              <w:t>，属于工业用地，</w:t>
            </w:r>
            <w:r>
              <w:rPr>
                <w:rFonts w:hint="default" w:ascii="Times New Roman" w:hAnsi="Times New Roman" w:cs="Times New Roman"/>
                <w:color w:val="auto"/>
                <w:highlight w:val="none"/>
                <w:lang w:val="en-US" w:eastAsia="zh-CN"/>
              </w:rPr>
              <w:t>占地范围不涉及基本草原、公益林等敏感区，项目采取合理的污染治理措施后，对周围环境影响较小。</w:t>
            </w:r>
            <w:r>
              <w:rPr>
                <w:rFonts w:hint="eastAsia" w:cs="Times New Roman"/>
                <w:color w:val="auto"/>
                <w:highlight w:val="none"/>
                <w:lang w:val="en-US" w:eastAsia="zh-CN"/>
              </w:rPr>
              <w:t>综上，</w:t>
            </w:r>
            <w:r>
              <w:rPr>
                <w:rFonts w:hint="default" w:ascii="Times New Roman" w:hAnsi="Times New Roman" w:cs="Times New Roman"/>
                <w:color w:val="auto"/>
                <w:highlight w:val="none"/>
                <w:lang w:val="en-US" w:eastAsia="zh-CN"/>
              </w:rPr>
              <w:t>项目建设符合</w:t>
            </w:r>
            <w:r>
              <w:rPr>
                <w:rFonts w:hint="default" w:ascii="Times New Roman" w:hAnsi="Times New Roman" w:cs="Times New Roman"/>
                <w:color w:val="auto"/>
                <w:highlight w:val="none"/>
              </w:rPr>
              <w:t>东胜区罕台镇国土空间总体规划</w:t>
            </w:r>
            <w:r>
              <w:rPr>
                <w:rFonts w:hint="eastAsia" w:cs="Times New Roman"/>
                <w:color w:val="auto"/>
                <w:highlight w:val="none"/>
                <w:lang w:eastAsia="zh-CN"/>
              </w:rPr>
              <w:t>要求</w:t>
            </w:r>
            <w:r>
              <w:rPr>
                <w:rFonts w:hint="default" w:ascii="Times New Roman" w:hAnsi="Times New Roman" w:cs="Times New Roman"/>
                <w:color w:val="auto"/>
                <w:highlight w:val="none"/>
                <w:lang w:val="en-US" w:eastAsia="zh-CN"/>
              </w:rPr>
              <w:t>。</w:t>
            </w:r>
          </w:p>
        </w:tc>
      </w:tr>
      <w:tr w14:paraId="589578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63" w:type="dxa"/>
            <w:vAlign w:val="center"/>
          </w:tcPr>
          <w:p w14:paraId="00C9D957">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其他符合性分析</w:t>
            </w:r>
          </w:p>
        </w:tc>
        <w:tc>
          <w:tcPr>
            <w:tcW w:w="7142" w:type="dxa"/>
            <w:gridSpan w:val="3"/>
          </w:tcPr>
          <w:p w14:paraId="01284469">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1.产业政策符合性</w:t>
            </w:r>
          </w:p>
          <w:p w14:paraId="2C567683">
            <w:pPr>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根据《产业结构调整指导目录（2024年本）》可知，本项目既不属于鼓励类项目，也不属于限制类和淘汰类项目。</w:t>
            </w:r>
            <w:r>
              <w:rPr>
                <w:rFonts w:hint="default" w:ascii="Times New Roman" w:hAnsi="Times New Roman" w:cs="Times New Roman"/>
                <w:color w:val="auto"/>
                <w:highlight w:val="none"/>
                <w:lang w:val="en-US" w:eastAsia="zh-CN"/>
              </w:rPr>
              <w:t>本项目已</w:t>
            </w:r>
            <w:r>
              <w:rPr>
                <w:rFonts w:hint="eastAsia" w:ascii="Times New Roman" w:hAnsi="Times New Roman" w:cs="Times New Roman"/>
                <w:color w:val="auto"/>
                <w:highlight w:val="none"/>
                <w:lang w:val="en-US" w:eastAsia="zh-CN"/>
              </w:rPr>
              <w:t>于2011年3月15日</w:t>
            </w:r>
            <w:r>
              <w:rPr>
                <w:rFonts w:hint="default" w:ascii="Times New Roman" w:hAnsi="Times New Roman" w:cs="Times New Roman"/>
                <w:color w:val="auto"/>
                <w:highlight w:val="none"/>
                <w:lang w:val="en-US" w:eastAsia="zh-CN"/>
              </w:rPr>
              <w:t>取得鄂尔多斯市东胜区发展和改革局关于本项目备案文件通知，备案文号为：东发改发</w:t>
            </w:r>
            <w:r>
              <w:rPr>
                <w:rFonts w:hint="default" w:ascii="Times New Roman" w:hAnsi="Times New Roman" w:cs="Times New Roman"/>
                <w:bCs/>
                <w:snapToGrid w:val="0"/>
                <w:color w:val="auto"/>
                <w:sz w:val="24"/>
                <w:highlight w:val="none"/>
              </w:rPr>
              <w:t>〔20</w:t>
            </w:r>
            <w:r>
              <w:rPr>
                <w:rFonts w:hint="default" w:ascii="Times New Roman" w:hAnsi="Times New Roman" w:cs="Times New Roman"/>
                <w:bCs/>
                <w:snapToGrid w:val="0"/>
                <w:color w:val="auto"/>
                <w:sz w:val="24"/>
                <w:highlight w:val="none"/>
                <w:lang w:val="en-US" w:eastAsia="zh-CN"/>
              </w:rPr>
              <w:t>1</w:t>
            </w:r>
            <w:r>
              <w:rPr>
                <w:rFonts w:hint="default" w:ascii="Times New Roman" w:hAnsi="Times New Roman" w:cs="Times New Roman"/>
                <w:bCs/>
                <w:snapToGrid w:val="0"/>
                <w:color w:val="auto"/>
                <w:sz w:val="24"/>
                <w:highlight w:val="none"/>
              </w:rPr>
              <w:t>1〕</w:t>
            </w:r>
            <w:r>
              <w:rPr>
                <w:rFonts w:hint="default" w:ascii="Times New Roman" w:hAnsi="Times New Roman" w:cs="Times New Roman"/>
                <w:color w:val="auto"/>
                <w:highlight w:val="none"/>
                <w:lang w:val="en-US" w:eastAsia="zh-CN"/>
              </w:rPr>
              <w:t>59号。</w:t>
            </w:r>
          </w:p>
          <w:p w14:paraId="52C3D462">
            <w:pPr>
              <w:ind w:firstLine="480"/>
              <w:rPr>
                <w:rFonts w:hint="default" w:ascii="Times New Roman" w:hAnsi="Times New Roman" w:cs="Times New Roman"/>
                <w:b/>
                <w:bCs/>
                <w:color w:val="auto"/>
                <w:highlight w:val="none"/>
              </w:rPr>
            </w:pPr>
            <w:r>
              <w:rPr>
                <w:rFonts w:hint="default" w:ascii="Times New Roman" w:hAnsi="Times New Roman" w:cs="Times New Roman"/>
                <w:color w:val="auto"/>
                <w:highlight w:val="none"/>
              </w:rPr>
              <w:t>综上，本项目符合国家产业政策。</w:t>
            </w:r>
          </w:p>
          <w:p w14:paraId="621E8B7E">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w:t>
            </w:r>
            <w:r>
              <w:rPr>
                <w:rFonts w:ascii="Times New Roman" w:hAnsi="Times New Roman" w:cs="Times New Roman"/>
                <w:b/>
                <w:bCs/>
                <w:color w:val="auto"/>
                <w:sz w:val="24"/>
              </w:rPr>
              <w:t>选址可行性分析</w:t>
            </w:r>
          </w:p>
          <w:p w14:paraId="77C1EAC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本项目位于</w:t>
            </w:r>
            <w:r>
              <w:rPr>
                <w:rFonts w:hint="default" w:ascii="Times New Roman" w:hAnsi="Times New Roman" w:eastAsia="宋体" w:cs="Times New Roman"/>
                <w:color w:val="auto"/>
                <w:sz w:val="24"/>
                <w:szCs w:val="24"/>
                <w:highlight w:val="none"/>
                <w:lang w:val="en-US" w:eastAsia="zh-CN"/>
              </w:rPr>
              <w:t>东胜区罕合镇</w:t>
            </w:r>
            <w:r>
              <w:rPr>
                <w:rFonts w:hint="eastAsia" w:ascii="Times New Roman" w:hAnsi="Times New Roman" w:cs="Times New Roman"/>
                <w:color w:val="auto"/>
                <w:sz w:val="24"/>
                <w:szCs w:val="24"/>
                <w:highlight w:val="none"/>
                <w:lang w:val="en-US" w:eastAsia="zh-CN"/>
              </w:rPr>
              <w:t>袁家梁商砼园区B7地块</w:t>
            </w:r>
            <w:r>
              <w:rPr>
                <w:rFonts w:hint="default" w:ascii="Times New Roman" w:hAnsi="Times New Roman" w:cs="Times New Roman"/>
                <w:color w:val="auto"/>
                <w:highlight w:val="none"/>
              </w:rPr>
              <w:t>，</w:t>
            </w:r>
            <w:r>
              <w:rPr>
                <w:rFonts w:hint="eastAsia" w:cs="Times New Roman"/>
                <w:color w:val="auto"/>
                <w:highlight w:val="none"/>
                <w:lang w:eastAsia="zh-CN"/>
              </w:rPr>
              <w:t>根据《鄂尔多斯市东胜区规划局出具建设用地规划条件意见书》，</w:t>
            </w:r>
            <w:r>
              <w:rPr>
                <w:rFonts w:hint="eastAsia" w:ascii="Times New Roman" w:hAnsi="Times New Roman" w:cs="Times New Roman"/>
                <w:color w:val="auto"/>
                <w:highlight w:val="none"/>
                <w:lang w:val="en-US" w:eastAsia="zh-CN"/>
              </w:rPr>
              <w:t>占</w:t>
            </w:r>
            <w:r>
              <w:rPr>
                <w:rFonts w:hint="default" w:ascii="Times New Roman" w:hAnsi="Times New Roman" w:cs="Times New Roman"/>
                <w:color w:val="auto"/>
                <w:highlight w:val="none"/>
              </w:rPr>
              <w:t>地类型为工业用地</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项目</w:t>
            </w:r>
            <w:r>
              <w:rPr>
                <w:rFonts w:hint="eastAsia" w:ascii="Times New Roman" w:hAnsi="Times New Roman" w:cs="Times New Roman"/>
                <w:color w:val="auto"/>
                <w:highlight w:val="none"/>
                <w:lang w:eastAsia="zh-CN"/>
              </w:rPr>
              <w:t>所在区域</w:t>
            </w:r>
            <w:r>
              <w:rPr>
                <w:rFonts w:hint="eastAsia" w:cs="Times New Roman"/>
                <w:color w:val="auto"/>
                <w:highlight w:val="none"/>
                <w:lang w:eastAsia="zh-CN"/>
              </w:rPr>
              <w:t>及</w:t>
            </w:r>
            <w:r>
              <w:rPr>
                <w:rFonts w:hint="eastAsia" w:ascii="Times New Roman" w:hAnsi="Times New Roman" w:cs="Times New Roman"/>
                <w:color w:val="auto"/>
                <w:highlight w:val="none"/>
                <w:lang w:eastAsia="zh-CN"/>
              </w:rPr>
              <w:t>周围</w:t>
            </w:r>
            <w:r>
              <w:rPr>
                <w:rFonts w:hint="default" w:ascii="Times New Roman" w:hAnsi="Times New Roman" w:cs="Times New Roman"/>
                <w:color w:val="auto"/>
                <w:highlight w:val="none"/>
              </w:rPr>
              <w:t>无自然保护区、风景名胜区、饮用水水源保护区等环境敏感区，无珍稀保护动植物，不在生态保护红线范围内，评价范围内不存在居民区，根据鄂尔多斯市东胜区</w:t>
            </w:r>
            <w:r>
              <w:rPr>
                <w:rFonts w:hint="eastAsia" w:cs="Times New Roman"/>
                <w:color w:val="auto"/>
                <w:highlight w:val="none"/>
                <w:lang w:eastAsia="zh-CN"/>
              </w:rPr>
              <w:t>罕台镇人民政府关于鄂尔多斯市君龙商砼有限责任公司开展从事生产经营活动的说明</w:t>
            </w:r>
            <w:r>
              <w:rPr>
                <w:rFonts w:hint="default" w:ascii="Times New Roman" w:hAnsi="Times New Roman" w:cs="Times New Roman"/>
                <w:color w:val="auto"/>
                <w:highlight w:val="none"/>
              </w:rPr>
              <w:t>，</w:t>
            </w:r>
            <w:r>
              <w:rPr>
                <w:rFonts w:hint="eastAsia" w:cs="Times New Roman"/>
                <w:color w:val="auto"/>
                <w:highlight w:val="none"/>
                <w:lang w:eastAsia="zh-CN"/>
              </w:rPr>
              <w:t>允许在占地范围内依法进行生产经营（</w:t>
            </w:r>
            <w:r>
              <w:rPr>
                <w:rFonts w:hint="default" w:ascii="Times New Roman" w:hAnsi="Times New Roman" w:cs="Times New Roman"/>
                <w:color w:val="auto"/>
                <w:highlight w:val="none"/>
              </w:rPr>
              <w:t>详见附件</w:t>
            </w:r>
            <w:r>
              <w:rPr>
                <w:rFonts w:hint="eastAsia" w:cs="Times New Roman"/>
                <w:color w:val="auto"/>
                <w:highlight w:val="none"/>
                <w:lang w:eastAsia="zh-CN"/>
              </w:rPr>
              <w:t>）</w:t>
            </w:r>
            <w:r>
              <w:rPr>
                <w:rFonts w:hint="default" w:ascii="Times New Roman" w:hAnsi="Times New Roman" w:cs="Times New Roman"/>
                <w:color w:val="auto"/>
                <w:highlight w:val="none"/>
              </w:rPr>
              <w:t>。</w:t>
            </w:r>
          </w:p>
          <w:p w14:paraId="0CAAE525">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3.与</w:t>
            </w:r>
            <w:r>
              <w:rPr>
                <w:rFonts w:hint="eastAsia" w:cs="Times New Roman"/>
                <w:b/>
                <w:bCs/>
                <w:color w:val="auto"/>
                <w:highlight w:val="none"/>
                <w:lang w:eastAsia="zh-CN"/>
              </w:rPr>
              <w:t>“</w:t>
            </w:r>
            <w:r>
              <w:rPr>
                <w:rFonts w:hint="default" w:ascii="Times New Roman" w:hAnsi="Times New Roman" w:cs="Times New Roman"/>
                <w:b/>
                <w:bCs/>
                <w:color w:val="auto"/>
                <w:highlight w:val="none"/>
              </w:rPr>
              <w:t>生态环境分区管控</w:t>
            </w:r>
            <w:r>
              <w:rPr>
                <w:rFonts w:hint="eastAsia" w:cs="Times New Roman"/>
                <w:b/>
                <w:bCs/>
                <w:color w:val="auto"/>
                <w:highlight w:val="none"/>
                <w:lang w:eastAsia="zh-CN"/>
              </w:rPr>
              <w:t>”</w:t>
            </w:r>
            <w:r>
              <w:rPr>
                <w:rFonts w:hint="default" w:ascii="Times New Roman" w:hAnsi="Times New Roman" w:cs="Times New Roman"/>
                <w:b/>
                <w:bCs/>
                <w:color w:val="auto"/>
                <w:highlight w:val="none"/>
              </w:rPr>
              <w:t>符合性分析</w:t>
            </w:r>
          </w:p>
          <w:p w14:paraId="59C85DE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（1）生态保护红线</w:t>
            </w:r>
          </w:p>
          <w:p w14:paraId="66DCE1E1">
            <w:pPr>
              <w:spacing w:line="360" w:lineRule="auto"/>
              <w:ind w:firstLine="480" w:firstLineChars="200"/>
              <w:rPr>
                <w:rFonts w:hint="default" w:ascii="Times New Roman" w:hAnsi="Times New Roman" w:cs="Times New Roman"/>
                <w:bCs/>
                <w:snapToGrid w:val="0"/>
                <w:color w:val="auto"/>
                <w:sz w:val="24"/>
                <w:highlight w:val="none"/>
              </w:rPr>
            </w:pPr>
            <w:r>
              <w:rPr>
                <w:rFonts w:hint="default" w:ascii="Times New Roman" w:hAnsi="Times New Roman" w:cs="Times New Roman"/>
                <w:bCs/>
                <w:snapToGrid w:val="0"/>
                <w:color w:val="auto"/>
                <w:sz w:val="24"/>
                <w:highlight w:val="none"/>
              </w:rPr>
              <w:t>根据鄂尔多斯市生态环境</w:t>
            </w:r>
            <w:bookmarkStart w:id="20" w:name="_GoBack"/>
            <w:bookmarkEnd w:id="20"/>
            <w:r>
              <w:rPr>
                <w:rFonts w:hint="default" w:ascii="Times New Roman" w:hAnsi="Times New Roman" w:cs="Times New Roman"/>
                <w:bCs/>
                <w:snapToGrid w:val="0"/>
                <w:color w:val="auto"/>
                <w:sz w:val="24"/>
                <w:highlight w:val="none"/>
              </w:rPr>
              <w:t>局关于印发《鄂尔多斯市生态环境分区管控动态更新成果（2023 年版）》的通知和《鄂尔多斯市生态环境准入清单》，环境管控单元包括优先保护单元、重点管控单元、一般管控单元三类，实施分类管控。</w:t>
            </w:r>
          </w:p>
          <w:p w14:paraId="5D729FF5">
            <w:pPr>
              <w:spacing w:line="360" w:lineRule="auto"/>
              <w:ind w:firstLine="480" w:firstLineChars="200"/>
              <w:rPr>
                <w:rFonts w:hint="default" w:ascii="Times New Roman" w:hAnsi="Times New Roman" w:cs="Times New Roman"/>
                <w:bCs/>
                <w:snapToGrid w:val="0"/>
                <w:color w:val="auto"/>
                <w:sz w:val="24"/>
                <w:highlight w:val="none"/>
              </w:rPr>
            </w:pPr>
            <w:r>
              <w:rPr>
                <w:rFonts w:hint="default" w:ascii="Times New Roman" w:hAnsi="Times New Roman" w:cs="Times New Roman"/>
                <w:bCs/>
                <w:snapToGrid w:val="0"/>
                <w:color w:val="auto"/>
                <w:sz w:val="24"/>
                <w:highlight w:val="none"/>
              </w:rPr>
              <w:t>优先保护单元</w:t>
            </w:r>
            <w:r>
              <w:rPr>
                <w:rFonts w:hint="eastAsia" w:ascii="Times New Roman" w:hAnsi="Times New Roman" w:cs="Times New Roman"/>
                <w:bCs/>
                <w:snapToGrid w:val="0"/>
                <w:color w:val="auto"/>
                <w:sz w:val="24"/>
                <w:highlight w:val="none"/>
                <w:lang w:eastAsia="zh-CN"/>
              </w:rPr>
              <w:t>：</w:t>
            </w:r>
            <w:r>
              <w:rPr>
                <w:rFonts w:hint="default" w:ascii="Times New Roman" w:hAnsi="Times New Roman" w:cs="Times New Roman"/>
                <w:bCs/>
                <w:snapToGrid w:val="0"/>
                <w:color w:val="auto"/>
                <w:sz w:val="24"/>
                <w:highlight w:val="none"/>
              </w:rPr>
              <w:t>共</w:t>
            </w:r>
            <w:r>
              <w:rPr>
                <w:rFonts w:hint="eastAsia" w:ascii="Times New Roman" w:hAnsi="Times New Roman" w:cs="Times New Roman"/>
                <w:bCs/>
                <w:snapToGrid w:val="0"/>
                <w:color w:val="auto"/>
                <w:sz w:val="24"/>
                <w:highlight w:val="none"/>
                <w:lang w:val="en-US" w:eastAsia="zh-CN"/>
              </w:rPr>
              <w:t>76</w:t>
            </w:r>
            <w:r>
              <w:rPr>
                <w:rFonts w:hint="default" w:ascii="Times New Roman" w:hAnsi="Times New Roman" w:cs="Times New Roman"/>
                <w:bCs/>
                <w:snapToGrid w:val="0"/>
                <w:color w:val="auto"/>
                <w:sz w:val="24"/>
                <w:highlight w:val="none"/>
              </w:rPr>
              <w:t>个，面积占比为6</w:t>
            </w:r>
            <w:r>
              <w:rPr>
                <w:rFonts w:hint="eastAsia" w:ascii="Times New Roman" w:hAnsi="Times New Roman" w:cs="Times New Roman"/>
                <w:bCs/>
                <w:snapToGrid w:val="0"/>
                <w:color w:val="auto"/>
                <w:sz w:val="24"/>
                <w:highlight w:val="none"/>
                <w:lang w:val="en-US" w:eastAsia="zh-CN"/>
              </w:rPr>
              <w:t>4.35</w:t>
            </w:r>
            <w:r>
              <w:rPr>
                <w:rFonts w:hint="default" w:ascii="Times New Roman" w:hAnsi="Times New Roman" w:cs="Times New Roman"/>
                <w:bCs/>
                <w:snapToGrid w:val="0"/>
                <w:color w:val="auto"/>
                <w:sz w:val="24"/>
                <w:highlight w:val="none"/>
              </w:rPr>
              <w:t>%，主要包括我市生态保护红线、自然保护地、集中式饮用水水源保护区等生态功能重要区和生态环境敏感区。该区域以生态环境保护优先为原则，依法禁止或限制大规模、高强度的工业开发和城镇建设，确保生态环境功能不降低。</w:t>
            </w:r>
          </w:p>
          <w:p w14:paraId="71A202C0">
            <w:pPr>
              <w:spacing w:line="360" w:lineRule="auto"/>
              <w:ind w:firstLine="480" w:firstLineChars="200"/>
              <w:rPr>
                <w:rFonts w:hint="default" w:ascii="Times New Roman" w:hAnsi="Times New Roman" w:cs="Times New Roman"/>
                <w:bCs/>
                <w:snapToGrid w:val="0"/>
                <w:color w:val="auto"/>
                <w:sz w:val="24"/>
                <w:highlight w:val="none"/>
              </w:rPr>
            </w:pPr>
            <w:r>
              <w:rPr>
                <w:rFonts w:hint="default" w:ascii="Times New Roman" w:hAnsi="Times New Roman" w:cs="Times New Roman"/>
                <w:bCs/>
                <w:snapToGrid w:val="0"/>
                <w:color w:val="auto"/>
                <w:sz w:val="24"/>
                <w:highlight w:val="none"/>
              </w:rPr>
              <w:t>重点管控单元</w:t>
            </w:r>
            <w:r>
              <w:rPr>
                <w:rFonts w:hint="eastAsia" w:ascii="Times New Roman" w:hAnsi="Times New Roman" w:cs="Times New Roman"/>
                <w:bCs/>
                <w:snapToGrid w:val="0"/>
                <w:color w:val="auto"/>
                <w:sz w:val="24"/>
                <w:highlight w:val="none"/>
                <w:lang w:eastAsia="zh-CN"/>
              </w:rPr>
              <w:t>：</w:t>
            </w:r>
            <w:r>
              <w:rPr>
                <w:rFonts w:hint="default" w:ascii="Times New Roman" w:hAnsi="Times New Roman" w:cs="Times New Roman"/>
                <w:bCs/>
                <w:snapToGrid w:val="0"/>
                <w:color w:val="auto"/>
                <w:sz w:val="24"/>
                <w:highlight w:val="none"/>
              </w:rPr>
              <w:t>共8</w:t>
            </w:r>
            <w:r>
              <w:rPr>
                <w:rFonts w:hint="eastAsia" w:ascii="Times New Roman" w:hAnsi="Times New Roman" w:cs="Times New Roman"/>
                <w:bCs/>
                <w:snapToGrid w:val="0"/>
                <w:color w:val="auto"/>
                <w:sz w:val="24"/>
                <w:highlight w:val="none"/>
                <w:lang w:val="en-US" w:eastAsia="zh-CN"/>
              </w:rPr>
              <w:t>6</w:t>
            </w:r>
            <w:r>
              <w:rPr>
                <w:rFonts w:hint="default" w:ascii="Times New Roman" w:hAnsi="Times New Roman" w:cs="Times New Roman"/>
                <w:bCs/>
                <w:snapToGrid w:val="0"/>
                <w:color w:val="auto"/>
                <w:sz w:val="24"/>
                <w:highlight w:val="none"/>
              </w:rPr>
              <w:t>个，面积占比为</w:t>
            </w:r>
            <w:r>
              <w:rPr>
                <w:rFonts w:hint="eastAsia" w:ascii="Times New Roman" w:hAnsi="Times New Roman" w:cs="Times New Roman"/>
                <w:bCs/>
                <w:snapToGrid w:val="0"/>
                <w:color w:val="auto"/>
                <w:sz w:val="24"/>
                <w:highlight w:val="none"/>
                <w:lang w:val="en-US" w:eastAsia="zh-CN"/>
              </w:rPr>
              <w:t>28.10</w:t>
            </w:r>
            <w:r>
              <w:rPr>
                <w:rFonts w:hint="default" w:ascii="Times New Roman" w:hAnsi="Times New Roman" w:cs="Times New Roman"/>
                <w:bCs/>
                <w:snapToGrid w:val="0"/>
                <w:color w:val="auto"/>
                <w:sz w:val="24"/>
                <w:highlight w:val="none"/>
              </w:rPr>
              <w:t>%，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w:t>
            </w:r>
          </w:p>
          <w:p w14:paraId="32C3A6F3">
            <w:pPr>
              <w:spacing w:line="360" w:lineRule="auto"/>
              <w:ind w:firstLine="480" w:firstLineChars="200"/>
              <w:rPr>
                <w:rFonts w:hint="default" w:ascii="Times New Roman" w:hAnsi="Times New Roman" w:eastAsia="宋体" w:cs="Times New Roman"/>
                <w:bCs/>
                <w:snapToGrid w:val="0"/>
                <w:color w:val="auto"/>
                <w:sz w:val="24"/>
                <w:highlight w:val="none"/>
              </w:rPr>
            </w:pPr>
            <w:r>
              <w:rPr>
                <w:rFonts w:hint="default" w:ascii="Times New Roman" w:hAnsi="Times New Roman" w:eastAsia="宋体" w:cs="Times New Roman"/>
                <w:bCs/>
                <w:snapToGrid w:val="0"/>
                <w:color w:val="auto"/>
                <w:sz w:val="24"/>
                <w:highlight w:val="none"/>
              </w:rPr>
              <w:t>一般管控单元</w:t>
            </w:r>
            <w:r>
              <w:rPr>
                <w:rFonts w:hint="eastAsia" w:ascii="Times New Roman" w:hAnsi="Times New Roman" w:cs="Times New Roman"/>
                <w:bCs/>
                <w:snapToGrid w:val="0"/>
                <w:color w:val="auto"/>
                <w:sz w:val="24"/>
                <w:highlight w:val="none"/>
                <w:lang w:eastAsia="zh-CN"/>
              </w:rPr>
              <w:t>：</w:t>
            </w:r>
            <w:r>
              <w:rPr>
                <w:rFonts w:hint="default" w:ascii="Times New Roman" w:hAnsi="Times New Roman" w:eastAsia="宋体" w:cs="Times New Roman"/>
                <w:bCs/>
                <w:snapToGrid w:val="0"/>
                <w:color w:val="auto"/>
                <w:sz w:val="24"/>
                <w:highlight w:val="none"/>
              </w:rPr>
              <w:t>共</w:t>
            </w:r>
            <w:r>
              <w:rPr>
                <w:rFonts w:hint="eastAsia" w:ascii="Times New Roman" w:hAnsi="Times New Roman" w:cs="Times New Roman"/>
                <w:bCs/>
                <w:snapToGrid w:val="0"/>
                <w:color w:val="auto"/>
                <w:sz w:val="24"/>
                <w:highlight w:val="none"/>
                <w:lang w:val="en-US" w:eastAsia="zh-CN"/>
              </w:rPr>
              <w:t>9</w:t>
            </w:r>
            <w:r>
              <w:rPr>
                <w:rFonts w:hint="default" w:ascii="Times New Roman" w:hAnsi="Times New Roman" w:eastAsia="宋体" w:cs="Times New Roman"/>
                <w:bCs/>
                <w:snapToGrid w:val="0"/>
                <w:color w:val="auto"/>
                <w:sz w:val="24"/>
                <w:highlight w:val="none"/>
              </w:rPr>
              <w:t>个，面积占比为</w:t>
            </w:r>
            <w:r>
              <w:rPr>
                <w:rFonts w:hint="eastAsia" w:ascii="Times New Roman" w:hAnsi="Times New Roman" w:cs="Times New Roman"/>
                <w:bCs/>
                <w:snapToGrid w:val="0"/>
                <w:color w:val="auto"/>
                <w:sz w:val="24"/>
                <w:highlight w:val="none"/>
                <w:lang w:val="en-US" w:eastAsia="zh-CN"/>
              </w:rPr>
              <w:t>7.56</w:t>
            </w:r>
            <w:r>
              <w:rPr>
                <w:rFonts w:hint="default" w:ascii="Times New Roman" w:hAnsi="Times New Roman" w:eastAsia="宋体" w:cs="Times New Roman"/>
                <w:bCs/>
                <w:snapToGrid w:val="0"/>
                <w:color w:val="auto"/>
                <w:sz w:val="24"/>
                <w:highlight w:val="none"/>
              </w:rPr>
              <w:t>%，优先保护单元、重点管控单元之外为一般管控单元。该区域主要落实生态环境保护</w:t>
            </w:r>
          </w:p>
          <w:p w14:paraId="39E35385">
            <w:pPr>
              <w:spacing w:line="360" w:lineRule="auto"/>
              <w:ind w:left="0" w:leftChars="0" w:firstLine="0" w:firstLineChars="0"/>
              <w:rPr>
                <w:rFonts w:hint="default" w:ascii="Times New Roman" w:hAnsi="Times New Roman" w:eastAsia="宋体" w:cs="Times New Roman"/>
                <w:bCs/>
                <w:snapToGrid w:val="0"/>
                <w:color w:val="auto"/>
                <w:sz w:val="24"/>
                <w:highlight w:val="none"/>
              </w:rPr>
            </w:pPr>
            <w:r>
              <w:rPr>
                <w:rFonts w:hint="default" w:ascii="Times New Roman" w:hAnsi="Times New Roman" w:eastAsia="宋体" w:cs="Times New Roman"/>
                <w:bCs/>
                <w:snapToGrid w:val="0"/>
                <w:color w:val="auto"/>
                <w:sz w:val="24"/>
                <w:highlight w:val="none"/>
              </w:rPr>
              <w:t>基本要求。</w:t>
            </w:r>
          </w:p>
          <w:p w14:paraId="69B5C918">
            <w:pPr>
              <w:spacing w:line="360" w:lineRule="auto"/>
              <w:ind w:firstLine="480" w:firstLineChars="200"/>
              <w:rPr>
                <w:rFonts w:hint="default" w:ascii="Times New Roman" w:hAnsi="Times New Roman" w:eastAsia="宋体" w:cs="Times New Roman"/>
                <w:bCs/>
                <w:snapToGrid w:val="0"/>
                <w:color w:val="auto"/>
                <w:sz w:val="24"/>
                <w:highlight w:val="none"/>
              </w:rPr>
            </w:pPr>
            <w:r>
              <w:rPr>
                <w:rFonts w:hint="default" w:ascii="Times New Roman" w:hAnsi="Times New Roman" w:eastAsia="宋体" w:cs="Times New Roman"/>
                <w:bCs/>
                <w:snapToGrid w:val="0"/>
                <w:color w:val="auto"/>
                <w:sz w:val="24"/>
                <w:highlight w:val="none"/>
              </w:rPr>
              <w:t>基于生态保护红线、环境质量底线、资源利用上线，充分吸纳</w:t>
            </w:r>
          </w:p>
          <w:p w14:paraId="02D71CEF">
            <w:pPr>
              <w:spacing w:line="360" w:lineRule="auto"/>
              <w:ind w:left="0" w:leftChars="0" w:firstLine="0" w:firstLineChars="0"/>
              <w:rPr>
                <w:rFonts w:hint="default" w:ascii="Times New Roman" w:hAnsi="Times New Roman" w:eastAsia="宋体" w:cs="Times New Roman"/>
                <w:bCs/>
                <w:snapToGrid w:val="0"/>
                <w:color w:val="auto"/>
                <w:sz w:val="24"/>
                <w:highlight w:val="none"/>
              </w:rPr>
            </w:pPr>
            <w:r>
              <w:rPr>
                <w:rFonts w:hint="default" w:ascii="Times New Roman" w:hAnsi="Times New Roman" w:eastAsia="宋体" w:cs="Times New Roman"/>
                <w:bCs/>
                <w:snapToGrid w:val="0"/>
                <w:color w:val="auto"/>
                <w:sz w:val="24"/>
                <w:highlight w:val="none"/>
              </w:rPr>
              <w:t>整合已有相关规划、功能区划、行动计划等要求，从空间布局约束、污染物排放管控、环境风险防控和资源利用效率等方面明确生态环境准入要求，建立两级生态环境准入清单管控体系（即1个鄂尔多斯市总体准入清单、171个环境管控单元准入清单）。</w:t>
            </w:r>
          </w:p>
          <w:p w14:paraId="2085FB69">
            <w:pPr>
              <w:spacing w:line="360" w:lineRule="auto"/>
              <w:ind w:firstLine="480" w:firstLineChars="200"/>
              <w:rPr>
                <w:rFonts w:hint="default" w:ascii="Times New Roman" w:hAnsi="Times New Roman" w:eastAsia="宋体" w:cs="Times New Roman"/>
                <w:bCs/>
                <w:snapToGrid w:val="0"/>
                <w:color w:val="auto"/>
                <w:sz w:val="24"/>
                <w:highlight w:val="none"/>
              </w:rPr>
            </w:pPr>
            <w:r>
              <w:rPr>
                <w:rFonts w:hint="default" w:ascii="Times New Roman" w:hAnsi="Times New Roman" w:eastAsia="宋体" w:cs="Times New Roman"/>
                <w:bCs/>
                <w:snapToGrid w:val="0"/>
                <w:color w:val="auto"/>
                <w:sz w:val="24"/>
                <w:highlight w:val="none"/>
              </w:rPr>
              <w:t>依据《关于以改善环境质量为核心加强环境影响评价管理的通</w:t>
            </w:r>
          </w:p>
          <w:p w14:paraId="7063F805">
            <w:pPr>
              <w:spacing w:line="360" w:lineRule="auto"/>
              <w:ind w:left="0" w:leftChars="0" w:firstLine="0" w:firstLineChars="0"/>
              <w:rPr>
                <w:rFonts w:hint="eastAsia" w:ascii="Times New Roman" w:hAnsi="Times New Roman" w:eastAsia="宋体" w:cs="Times New Roman"/>
                <w:bCs/>
                <w:snapToGrid w:val="0"/>
                <w:color w:val="auto"/>
                <w:sz w:val="24"/>
                <w:highlight w:val="none"/>
                <w:lang w:eastAsia="zh-CN"/>
              </w:rPr>
            </w:pPr>
            <w:r>
              <w:rPr>
                <w:rFonts w:hint="default" w:ascii="Times New Roman" w:hAnsi="Times New Roman" w:eastAsia="宋体" w:cs="Times New Roman"/>
                <w:bCs/>
                <w:snapToGrid w:val="0"/>
                <w:color w:val="auto"/>
                <w:sz w:val="24"/>
                <w:highlight w:val="none"/>
              </w:rPr>
              <w:t>知》（环环评〔2016〕150 号）、《内蒙古自治区人民政府关于实施“三线一单”生态环境分区管控的意见》（内政发〔2020〕24 号）、《鄂尔多斯市人民政府关于“三线一单”生态环境分区管控的实施意见》（鄂府发〔2021〕218号）及《鄂尔多斯市生态环境分区管控动态更新成果</w:t>
            </w:r>
            <w:r>
              <w:rPr>
                <w:rFonts w:hint="eastAsia" w:cs="Times New Roman"/>
                <w:bCs/>
                <w:snapToGrid w:val="0"/>
                <w:color w:val="auto"/>
                <w:sz w:val="24"/>
                <w:highlight w:val="none"/>
                <w:lang w:eastAsia="zh-CN"/>
              </w:rPr>
              <w:t>（</w:t>
            </w:r>
            <w:r>
              <w:rPr>
                <w:rFonts w:hint="default" w:ascii="Times New Roman" w:hAnsi="Times New Roman" w:eastAsia="宋体" w:cs="Times New Roman"/>
                <w:bCs/>
                <w:snapToGrid w:val="0"/>
                <w:color w:val="auto"/>
                <w:sz w:val="24"/>
                <w:highlight w:val="none"/>
              </w:rPr>
              <w:t>2023年版</w:t>
            </w:r>
            <w:r>
              <w:rPr>
                <w:rFonts w:hint="eastAsia" w:cs="Times New Roman"/>
                <w:bCs/>
                <w:snapToGrid w:val="0"/>
                <w:color w:val="auto"/>
                <w:sz w:val="24"/>
                <w:highlight w:val="none"/>
                <w:lang w:eastAsia="zh-CN"/>
              </w:rPr>
              <w:t>）</w:t>
            </w:r>
            <w:r>
              <w:rPr>
                <w:rFonts w:hint="default" w:ascii="Times New Roman" w:hAnsi="Times New Roman" w:eastAsia="宋体" w:cs="Times New Roman"/>
                <w:bCs/>
                <w:snapToGrid w:val="0"/>
                <w:color w:val="auto"/>
                <w:sz w:val="24"/>
                <w:highlight w:val="none"/>
              </w:rPr>
              <w:t>》，以及其他相关政策，分析项目</w:t>
            </w:r>
            <w:r>
              <w:rPr>
                <w:rFonts w:hint="eastAsia" w:cs="Times New Roman"/>
                <w:bCs/>
                <w:snapToGrid w:val="0"/>
                <w:color w:val="auto"/>
                <w:sz w:val="24"/>
                <w:highlight w:val="none"/>
                <w:lang w:eastAsia="zh-CN"/>
              </w:rPr>
              <w:t>“</w:t>
            </w:r>
            <w:r>
              <w:rPr>
                <w:rFonts w:hint="default" w:ascii="Times New Roman" w:hAnsi="Times New Roman" w:eastAsia="宋体" w:cs="Times New Roman"/>
                <w:bCs/>
                <w:snapToGrid w:val="0"/>
                <w:color w:val="auto"/>
                <w:sz w:val="24"/>
                <w:highlight w:val="none"/>
              </w:rPr>
              <w:t>三线一单</w:t>
            </w:r>
            <w:r>
              <w:rPr>
                <w:rFonts w:hint="eastAsia" w:cs="Times New Roman"/>
                <w:bCs/>
                <w:snapToGrid w:val="0"/>
                <w:color w:val="auto"/>
                <w:sz w:val="24"/>
                <w:highlight w:val="none"/>
                <w:lang w:eastAsia="zh-CN"/>
              </w:rPr>
              <w:t>”</w:t>
            </w:r>
            <w:r>
              <w:rPr>
                <w:rFonts w:hint="default" w:ascii="Times New Roman" w:hAnsi="Times New Roman" w:eastAsia="宋体" w:cs="Times New Roman"/>
                <w:bCs/>
                <w:snapToGrid w:val="0"/>
                <w:color w:val="auto"/>
                <w:sz w:val="24"/>
                <w:highlight w:val="none"/>
              </w:rPr>
              <w:t>符合性分析具体如下</w:t>
            </w:r>
            <w:r>
              <w:rPr>
                <w:rFonts w:hint="eastAsia" w:cs="Times New Roman"/>
                <w:bCs/>
                <w:snapToGrid w:val="0"/>
                <w:color w:val="auto"/>
                <w:sz w:val="24"/>
                <w:highlight w:val="none"/>
                <w:lang w:eastAsia="zh-CN"/>
              </w:rPr>
              <w:t>：</w:t>
            </w:r>
          </w:p>
          <w:p w14:paraId="75FDA757">
            <w:pPr>
              <w:spacing w:line="360" w:lineRule="auto"/>
              <w:ind w:firstLine="480" w:firstLineChars="200"/>
              <w:rPr>
                <w:rFonts w:hint="default" w:ascii="Times New Roman" w:hAnsi="Times New Roman" w:cs="Times New Roman"/>
                <w:bCs/>
                <w:snapToGrid w:val="0"/>
                <w:color w:val="auto"/>
                <w:sz w:val="24"/>
                <w:highlight w:val="none"/>
              </w:rPr>
            </w:pPr>
            <w:r>
              <w:rPr>
                <w:rFonts w:hint="default" w:ascii="Times New Roman" w:hAnsi="Times New Roman" w:cs="Times New Roman"/>
                <w:bCs/>
                <w:snapToGrid w:val="0"/>
                <w:color w:val="auto"/>
                <w:sz w:val="24"/>
                <w:highlight w:val="none"/>
              </w:rPr>
              <w:t>（1）生态保护红线</w:t>
            </w:r>
          </w:p>
          <w:p w14:paraId="057C7183">
            <w:pPr>
              <w:ind w:firstLine="480"/>
              <w:rPr>
                <w:rFonts w:hint="default" w:ascii="Times New Roman" w:hAnsi="Times New Roman" w:cs="Times New Roman"/>
                <w:color w:val="auto"/>
                <w:highlight w:val="none"/>
              </w:rPr>
            </w:pPr>
            <w:r>
              <w:rPr>
                <w:rFonts w:hint="default" w:ascii="Times New Roman" w:hAnsi="Times New Roman" w:cs="Times New Roman"/>
                <w:bCs/>
                <w:snapToGrid w:val="0"/>
                <w:color w:val="auto"/>
                <w:sz w:val="24"/>
                <w:highlight w:val="none"/>
              </w:rPr>
              <w:t>全市生态空间总面积为54408.94平方公里，占全市国土面积的62.63%。其中：生态保护红线面积22900.81平方公里，占全市国土面积的26.36%；一</w:t>
            </w:r>
            <w:r>
              <w:rPr>
                <w:rFonts w:hint="eastAsia" w:cs="Times New Roman"/>
                <w:bCs/>
                <w:snapToGrid w:val="0"/>
                <w:color w:val="auto"/>
                <w:sz w:val="24"/>
                <w:highlight w:val="none"/>
                <w:lang w:eastAsia="zh-CN"/>
              </w:rPr>
              <w:t>般生</w:t>
            </w:r>
            <w:r>
              <w:rPr>
                <w:rFonts w:hint="default" w:ascii="Times New Roman" w:hAnsi="Times New Roman" w:cs="Times New Roman"/>
                <w:bCs/>
                <w:snapToGrid w:val="0"/>
                <w:color w:val="auto"/>
                <w:sz w:val="24"/>
                <w:highlight w:val="none"/>
              </w:rPr>
              <w:t>态空间面积31508.13平方公里，占全市国土面积的36.27%。生态空间面积根据国家和自治区最新批复动态调整。</w:t>
            </w:r>
          </w:p>
          <w:p w14:paraId="08E79FD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本项目位于</w:t>
            </w:r>
            <w:r>
              <w:rPr>
                <w:rFonts w:hint="default" w:ascii="Times New Roman" w:hAnsi="Times New Roman" w:eastAsia="宋体" w:cs="Times New Roman"/>
                <w:color w:val="auto"/>
                <w:sz w:val="24"/>
                <w:szCs w:val="24"/>
                <w:highlight w:val="none"/>
                <w:lang w:val="en-US" w:eastAsia="zh-CN"/>
              </w:rPr>
              <w:t>内蒙古自治区鄂尔多斯市东胜区罕合镇</w:t>
            </w:r>
            <w:r>
              <w:rPr>
                <w:rFonts w:hint="eastAsia" w:ascii="Times New Roman" w:hAnsi="Times New Roman" w:cs="Times New Roman"/>
                <w:color w:val="auto"/>
                <w:sz w:val="24"/>
                <w:szCs w:val="24"/>
                <w:highlight w:val="none"/>
                <w:lang w:val="en-US" w:eastAsia="zh-CN"/>
              </w:rPr>
              <w:t>袁家梁商砼园区B7地块</w:t>
            </w:r>
            <w:r>
              <w:rPr>
                <w:rFonts w:hint="default" w:ascii="Times New Roman" w:hAnsi="Times New Roman" w:cs="Times New Roman"/>
                <w:color w:val="auto"/>
                <w:highlight w:val="none"/>
              </w:rPr>
              <w:t>，属于东胜区大气环境高排放重点管控区，编号为ZH15060220001，为重点管控单元，</w:t>
            </w:r>
            <w:r>
              <w:rPr>
                <w:color w:val="auto"/>
                <w:sz w:val="24"/>
              </w:rPr>
              <w:t>不属于国家</w:t>
            </w:r>
            <w:r>
              <w:rPr>
                <w:rFonts w:hint="eastAsia"/>
                <w:color w:val="auto"/>
                <w:sz w:val="24"/>
                <w:lang w:eastAsia="zh-CN"/>
              </w:rPr>
              <w:t>法律法规</w:t>
            </w:r>
            <w:r>
              <w:rPr>
                <w:color w:val="auto"/>
                <w:sz w:val="24"/>
              </w:rPr>
              <w:t>、规章和规划确定或县级以上人民政府规定的自然保护区、风景名胜区、基本农田保护区和其他需要特别保护的区域内，不属于生态红线保护区。因此项目建设符合生态保护红线管控要求。</w:t>
            </w:r>
          </w:p>
          <w:p w14:paraId="3150FC28">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s">
                  <w:drawing>
                    <wp:anchor distT="0" distB="0" distL="114300" distR="114300" simplePos="0" relativeHeight="251660288" behindDoc="0" locked="1" layoutInCell="1" allowOverlap="1">
                      <wp:simplePos x="0" y="0"/>
                      <wp:positionH relativeFrom="column">
                        <wp:posOffset>2854960</wp:posOffset>
                      </wp:positionH>
                      <wp:positionV relativeFrom="paragraph">
                        <wp:posOffset>973455</wp:posOffset>
                      </wp:positionV>
                      <wp:extent cx="1009015" cy="365760"/>
                      <wp:effectExtent l="381635" t="4445" r="19050" b="239395"/>
                      <wp:wrapNone/>
                      <wp:docPr id="4" name="矩形标注 4"/>
                      <wp:cNvGraphicFramePr/>
                      <a:graphic xmlns:a="http://schemas.openxmlformats.org/drawingml/2006/main">
                        <a:graphicData uri="http://schemas.microsoft.com/office/word/2010/wordprocessingShape">
                          <wps:wsp>
                            <wps:cNvSpPr/>
                            <wps:spPr>
                              <a:xfrm>
                                <a:off x="0" y="0"/>
                                <a:ext cx="1009015" cy="365760"/>
                              </a:xfrm>
                              <a:prstGeom prst="wedgeRectCallout">
                                <a:avLst>
                                  <a:gd name="adj1" fmla="val -84172"/>
                                  <a:gd name="adj2" fmla="val 107291"/>
                                </a:avLst>
                              </a:prstGeom>
                              <a:solidFill>
                                <a:srgbClr val="4F81BD"/>
                              </a:solidFill>
                              <a:ln w="9525" cap="flat" cmpd="sng">
                                <a:solidFill>
                                  <a:srgbClr val="000000"/>
                                </a:solidFill>
                                <a:prstDash val="solid"/>
                                <a:miter/>
                                <a:headEnd type="none" w="med" len="med"/>
                                <a:tailEnd type="none" w="med" len="med"/>
                              </a:ln>
                            </wps:spPr>
                            <wps:txbx>
                              <w:txbxContent>
                                <w:p w14:paraId="0E8E578A">
                                  <w:pPr>
                                    <w:ind w:firstLine="0" w:firstLineChars="0"/>
                                  </w:pPr>
                                  <w:r>
                                    <w:rPr>
                                      <w:rFonts w:hint="eastAsia"/>
                                      <w:b/>
                                      <w:bCs/>
                                    </w:rPr>
                                    <w:t>本项目位置</w:t>
                                  </w:r>
                                </w:p>
                              </w:txbxContent>
                            </wps:txbx>
                            <wps:bodyPr upright="1"/>
                          </wps:wsp>
                        </a:graphicData>
                      </a:graphic>
                    </wp:anchor>
                  </w:drawing>
                </mc:Choice>
                <mc:Fallback>
                  <w:pict>
                    <v:shape id="_x0000_s1026" o:spid="_x0000_s1026" o:spt="61" type="#_x0000_t61" style="position:absolute;left:0pt;margin-left:224.8pt;margin-top:76.65pt;height:28.8pt;width:79.45pt;z-index:251660288;mso-width-relative:page;mso-height-relative:page;" fillcolor="#4F81BD" filled="t" stroked="t" coordsize="21600,21600" o:gfxdata="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ND1Vf9kAAAALAQAADwAAAAAAAAABACAAAAAiAAAAZHJz&#10;L2Rvd25yZXYueG1sUEsBAhQAFAAAAAgAh07iQCBkhPc8AgAAjgQAAA4AAAAAAAAAAQAgAAAAKAEA&#10;AGRycy9lMm9Eb2MueG1sUEsFBgAAAAAGAAYAWQEAANYFAAAAAA==&#10;" adj="-7381,33975">
                      <v:fill on="t" focussize="0,0"/>
                      <v:stroke color="#000000" joinstyle="miter"/>
                      <v:imagedata o:title=""/>
                      <o:lock v:ext="edit" aspectratio="f"/>
                      <v:textbox>
                        <w:txbxContent>
                          <w:p w14:paraId="0E8E578A">
                            <w:pPr>
                              <w:ind w:firstLine="0" w:firstLineChars="0"/>
                            </w:pPr>
                            <w:r>
                              <w:rPr>
                                <w:rFonts w:hint="eastAsia"/>
                                <w:b/>
                                <w:bCs/>
                              </w:rPr>
                              <w:t>本项目位置</w:t>
                            </w:r>
                          </w:p>
                        </w:txbxContent>
                      </v:textbox>
                      <w10:anchorlock/>
                    </v:shape>
                  </w:pict>
                </mc:Fallback>
              </mc:AlternateContent>
            </w:r>
            <w:r>
              <w:rPr>
                <w:rFonts w:hint="default" w:ascii="Times New Roman" w:hAnsi="Times New Roman" w:cs="Times New Roman"/>
                <w:color w:val="auto"/>
              </w:rPr>
              <w:drawing>
                <wp:inline distT="0" distB="0" distL="114300" distR="114300">
                  <wp:extent cx="4438015" cy="3197225"/>
                  <wp:effectExtent l="0" t="0" r="635" b="3175"/>
                  <wp:docPr id="4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0"/>
                          <pic:cNvPicPr>
                            <a:picLocks noChangeAspect="1"/>
                          </pic:cNvPicPr>
                        </pic:nvPicPr>
                        <pic:blipFill>
                          <a:blip r:embed="rId12"/>
                          <a:stretch>
                            <a:fillRect/>
                          </a:stretch>
                        </pic:blipFill>
                        <pic:spPr>
                          <a:xfrm>
                            <a:off x="0" y="0"/>
                            <a:ext cx="4438015" cy="3197225"/>
                          </a:xfrm>
                          <a:prstGeom prst="rect">
                            <a:avLst/>
                          </a:prstGeom>
                          <a:noFill/>
                          <a:ln>
                            <a:noFill/>
                          </a:ln>
                        </pic:spPr>
                      </pic:pic>
                    </a:graphicData>
                  </a:graphic>
                </wp:inline>
              </w:drawing>
            </w:r>
          </w:p>
          <w:p w14:paraId="354C5BC1">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图1-1  鄂尔多斯市生态保护红线分布图</w:t>
            </w:r>
          </w:p>
          <w:p w14:paraId="10C50B85">
            <w:pPr>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（2）环境质量底线</w:t>
            </w:r>
          </w:p>
          <w:p w14:paraId="353D6BE1">
            <w:pPr>
              <w:keepNext w:val="0"/>
              <w:keepLines w:val="0"/>
              <w:widowControl/>
              <w:suppressLineNumbers w:val="0"/>
              <w:jc w:val="left"/>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环境质量底线是国家和地方设置的大气、水和土壤环境质量目标，也是改善环境质量的基准线。据内蒙古自治区生态环境厅发布的《2023年内蒙古自治区生态环境状况公报》（2024年6月3日）中鄂尔多斯市的环境空气质量监测数据，鄂尔多斯市属于环境空气质量达标地区；经现状监测，敏感点</w:t>
            </w:r>
            <w:r>
              <w:rPr>
                <w:rFonts w:hint="default" w:ascii="Times New Roman" w:hAnsi="Times New Roman" w:cs="Times New Roman"/>
                <w:color w:val="auto"/>
                <w:kern w:val="0"/>
                <w:sz w:val="24"/>
                <w:szCs w:val="24"/>
                <w:highlight w:val="none"/>
                <w:lang w:val="en-US" w:eastAsia="zh-CN" w:bidi="ar"/>
              </w:rPr>
              <w:t>大气（TSP）</w:t>
            </w:r>
            <w:r>
              <w:rPr>
                <w:rFonts w:hint="default" w:ascii="Times New Roman" w:hAnsi="Times New Roman" w:eastAsia="宋体" w:cs="Times New Roman"/>
                <w:color w:val="auto"/>
                <w:kern w:val="0"/>
                <w:sz w:val="24"/>
                <w:szCs w:val="24"/>
                <w:highlight w:val="none"/>
                <w:lang w:val="en-US" w:eastAsia="zh-CN" w:bidi="ar"/>
              </w:rPr>
              <w:t>现状测量值</w:t>
            </w:r>
            <w:r>
              <w:rPr>
                <w:rFonts w:hint="default" w:ascii="Times New Roman" w:hAnsi="Times New Roman" w:cs="Times New Roman"/>
                <w:color w:val="auto"/>
                <w:highlight w:val="none"/>
              </w:rPr>
              <w:t>满足《环境空气质量》（GB3095-2012）二级标准要求</w:t>
            </w:r>
            <w:r>
              <w:rPr>
                <w:rFonts w:hint="default" w:ascii="Times New Roman" w:hAnsi="Times New Roman" w:eastAsia="宋体" w:cs="Times New Roman"/>
                <w:color w:val="auto"/>
                <w:kern w:val="0"/>
                <w:sz w:val="24"/>
                <w:szCs w:val="24"/>
                <w:highlight w:val="none"/>
                <w:lang w:val="en-US" w:eastAsia="zh-CN" w:bidi="ar"/>
              </w:rPr>
              <w:t xml:space="preserve">，说明区域环境质量整体良好。 </w:t>
            </w:r>
          </w:p>
          <w:p w14:paraId="58CB6DE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本项目运营期废气经处理后，均达标排放；生活污水排入厂区自建的防渗化粪池，</w:t>
            </w:r>
            <w:r>
              <w:rPr>
                <w:rFonts w:hint="default" w:ascii="Times New Roman" w:hAnsi="Times New Roman" w:cs="Times New Roman"/>
                <w:color w:val="auto"/>
                <w:highlight w:val="none"/>
                <w:lang w:val="en-US" w:eastAsia="zh-CN"/>
              </w:rPr>
              <w:t>最终拉运至附近污水处理厂处置</w:t>
            </w:r>
            <w:r>
              <w:rPr>
                <w:rFonts w:hint="default" w:ascii="Times New Roman" w:hAnsi="Times New Roman" w:cs="Times New Roman"/>
                <w:color w:val="auto"/>
                <w:highlight w:val="none"/>
              </w:rPr>
              <w:t>；生产废水经沉淀池沉淀后，循环使用不外排。厂界噪声预测值满足相关标准，对周围声环境影响较小；固废全部</w:t>
            </w:r>
            <w:r>
              <w:rPr>
                <w:rFonts w:hint="default" w:ascii="Times New Roman" w:hAnsi="Times New Roman" w:cs="Times New Roman"/>
                <w:color w:val="auto"/>
                <w:highlight w:val="none"/>
                <w:lang w:eastAsia="zh-CN"/>
              </w:rPr>
              <w:t>得到</w:t>
            </w:r>
            <w:r>
              <w:rPr>
                <w:rFonts w:hint="default" w:ascii="Times New Roman" w:hAnsi="Times New Roman" w:cs="Times New Roman"/>
                <w:color w:val="auto"/>
                <w:highlight w:val="none"/>
              </w:rPr>
              <w:t>妥善处置，对周围环境影响较小。综上，从环保角度，项目选址合理。</w:t>
            </w:r>
          </w:p>
          <w:p w14:paraId="5C3682D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因此，项目实施后不会对项目所在地的环境质量造成不利影响；项目所在地环境质量可维持现有水平，新建项目符合环境质量底线要求。</w:t>
            </w:r>
          </w:p>
          <w:p w14:paraId="68D4FAA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（3）资源利用</w:t>
            </w:r>
            <w:r>
              <w:rPr>
                <w:rFonts w:hint="eastAsia" w:cs="Times New Roman"/>
                <w:color w:val="auto"/>
                <w:highlight w:val="none"/>
                <w:lang w:eastAsia="zh-CN"/>
              </w:rPr>
              <w:t>上限</w:t>
            </w:r>
          </w:p>
          <w:p w14:paraId="0F25E07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建成运行后通过内部管理、设备选择、原辅材料的选用和管理、废物综合利用、污染治理等多方面采取可行的防治措施，以“节能、降耗、减污”为目标，有效地控制污染，项目的水、电等资源不会突破区域的资源利用上线。</w:t>
            </w:r>
          </w:p>
          <w:p w14:paraId="3F7AF39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（4）生态环境准入清单</w:t>
            </w:r>
          </w:p>
          <w:p w14:paraId="0DDAE70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本项目位于</w:t>
            </w:r>
            <w:r>
              <w:rPr>
                <w:rFonts w:hint="default" w:ascii="Times New Roman" w:hAnsi="Times New Roman" w:eastAsia="宋体" w:cs="Times New Roman"/>
                <w:color w:val="auto"/>
                <w:sz w:val="24"/>
                <w:szCs w:val="24"/>
                <w:highlight w:val="none"/>
                <w:lang w:val="en-US" w:eastAsia="zh-CN"/>
              </w:rPr>
              <w:t>内蒙古自治区鄂尔多斯市东胜区罕合镇</w:t>
            </w:r>
            <w:r>
              <w:rPr>
                <w:rFonts w:hint="eastAsia" w:ascii="Times New Roman" w:hAnsi="Times New Roman" w:cs="Times New Roman"/>
                <w:color w:val="auto"/>
                <w:sz w:val="24"/>
                <w:szCs w:val="24"/>
                <w:highlight w:val="none"/>
                <w:lang w:val="en-US" w:eastAsia="zh-CN"/>
              </w:rPr>
              <w:t>袁家梁商砼园区B7地块</w:t>
            </w:r>
            <w:r>
              <w:rPr>
                <w:rFonts w:hint="default" w:ascii="Times New Roman" w:hAnsi="Times New Roman" w:cs="Times New Roman"/>
                <w:color w:val="auto"/>
                <w:highlight w:val="none"/>
              </w:rPr>
              <w:t>，属于东胜区</w:t>
            </w:r>
            <w:r>
              <w:rPr>
                <w:rFonts w:hint="default" w:ascii="Times New Roman" w:hAnsi="Times New Roman" w:cs="Times New Roman"/>
                <w:color w:val="auto"/>
                <w:highlight w:val="none"/>
                <w:lang w:val="en-US" w:eastAsia="zh-CN"/>
              </w:rPr>
              <w:t>城镇边界</w:t>
            </w:r>
            <w:r>
              <w:rPr>
                <w:rFonts w:hint="default" w:ascii="Times New Roman" w:hAnsi="Times New Roman" w:cs="Times New Roman"/>
                <w:color w:val="auto"/>
                <w:highlight w:val="none"/>
              </w:rPr>
              <w:t>重点管控区，编号为ZH15060220001，为重点管控单元。本项目的生态环境准入清单符合性见下表。</w:t>
            </w:r>
          </w:p>
          <w:p w14:paraId="3693553F">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表1-</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鄂尔多斯市生态环境准入清单符合性分析表</w:t>
            </w:r>
          </w:p>
          <w:tbl>
            <w:tblPr>
              <w:tblStyle w:val="23"/>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63"/>
              <w:gridCol w:w="659"/>
              <w:gridCol w:w="544"/>
              <w:gridCol w:w="2718"/>
              <w:gridCol w:w="1942"/>
              <w:gridCol w:w="396"/>
            </w:tblGrid>
            <w:tr w14:paraId="432FFB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663" w:type="dxa"/>
                  <w:vAlign w:val="center"/>
                </w:tcPr>
                <w:p w14:paraId="07F49D88">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环境管控单元编码</w:t>
                  </w:r>
                </w:p>
              </w:tc>
              <w:tc>
                <w:tcPr>
                  <w:tcW w:w="659" w:type="dxa"/>
                  <w:vAlign w:val="center"/>
                </w:tcPr>
                <w:p w14:paraId="2F56B62E">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环境管控单元名称</w:t>
                  </w:r>
                </w:p>
              </w:tc>
              <w:tc>
                <w:tcPr>
                  <w:tcW w:w="3262" w:type="dxa"/>
                  <w:gridSpan w:val="2"/>
                  <w:vAlign w:val="center"/>
                </w:tcPr>
                <w:p w14:paraId="4517F26A">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管控要求</w:t>
                  </w:r>
                </w:p>
              </w:tc>
              <w:tc>
                <w:tcPr>
                  <w:tcW w:w="1942" w:type="dxa"/>
                  <w:vAlign w:val="center"/>
                </w:tcPr>
                <w:p w14:paraId="260A7D55">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项目落实情况</w:t>
                  </w:r>
                </w:p>
              </w:tc>
              <w:tc>
                <w:tcPr>
                  <w:tcW w:w="396" w:type="dxa"/>
                  <w:vAlign w:val="center"/>
                </w:tcPr>
                <w:p w14:paraId="354E42B0">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符合性</w:t>
                  </w:r>
                </w:p>
              </w:tc>
            </w:tr>
            <w:tr w14:paraId="145155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3" w:type="dxa"/>
                  <w:vMerge w:val="restart"/>
                  <w:vAlign w:val="center"/>
                </w:tcPr>
                <w:p w14:paraId="379E4DA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ZH15060220001</w:t>
                  </w:r>
                </w:p>
              </w:tc>
              <w:tc>
                <w:tcPr>
                  <w:tcW w:w="659" w:type="dxa"/>
                  <w:vMerge w:val="restart"/>
                  <w:vAlign w:val="center"/>
                </w:tcPr>
                <w:p w14:paraId="7394C77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东胜区大气环境高排放重点管控区</w:t>
                  </w:r>
                </w:p>
              </w:tc>
              <w:tc>
                <w:tcPr>
                  <w:tcW w:w="544" w:type="dxa"/>
                  <w:vAlign w:val="center"/>
                </w:tcPr>
                <w:p w14:paraId="5961E49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空间布局约束</w:t>
                  </w:r>
                </w:p>
              </w:tc>
              <w:tc>
                <w:tcPr>
                  <w:tcW w:w="2718" w:type="dxa"/>
                  <w:vAlign w:val="center"/>
                </w:tcPr>
                <w:p w14:paraId="0CD5A044">
                  <w:pPr>
                    <w:pStyle w:val="46"/>
                    <w:numPr>
                      <w:ilvl w:val="0"/>
                      <w:numId w:val="0"/>
                    </w:numPr>
                    <w:ind w:left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城市建成区禁止新建35蒸吨/小时以下燃煤锅炉。</w:t>
                  </w:r>
                </w:p>
                <w:p w14:paraId="5E8E401D">
                  <w:pPr>
                    <w:pStyle w:val="46"/>
                    <w:numPr>
                      <w:ilvl w:val="0"/>
                      <w:numId w:val="0"/>
                    </w:numPr>
                    <w:ind w:left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禁止在居民区和学校、医院、疗养院、养老院等单位周边新建、改建、扩建可能造成土壤污染的建设项目。禁止在人口聚居区域内新</w:t>
                  </w:r>
                  <w:r>
                    <w:rPr>
                      <w:rFonts w:hint="eastAsia" w:cs="Times New Roman"/>
                      <w:color w:val="auto"/>
                      <w:highlight w:val="none"/>
                      <w:lang w:eastAsia="zh-CN"/>
                    </w:rPr>
                    <w:t>（</w:t>
                  </w:r>
                  <w:r>
                    <w:rPr>
                      <w:rFonts w:hint="default" w:ascii="Times New Roman" w:hAnsi="Times New Roman" w:cs="Times New Roman"/>
                      <w:color w:val="auto"/>
                      <w:highlight w:val="none"/>
                    </w:rPr>
                    <w:t>改、扩</w:t>
                  </w:r>
                  <w:r>
                    <w:rPr>
                      <w:rFonts w:hint="eastAsia" w:cs="Times New Roman"/>
                      <w:color w:val="auto"/>
                      <w:highlight w:val="none"/>
                      <w:lang w:eastAsia="zh-CN"/>
                    </w:rPr>
                    <w:t>）</w:t>
                  </w:r>
                  <w:r>
                    <w:rPr>
                      <w:rFonts w:hint="default" w:ascii="Times New Roman" w:hAnsi="Times New Roman" w:cs="Times New Roman"/>
                      <w:color w:val="auto"/>
                      <w:highlight w:val="none"/>
                    </w:rPr>
                    <w:t>建涉重金属及恶臭气体排放企业。</w:t>
                  </w:r>
                </w:p>
                <w:p w14:paraId="38A9A085">
                  <w:pPr>
                    <w:pStyle w:val="46"/>
                    <w:numPr>
                      <w:ilvl w:val="0"/>
                      <w:numId w:val="0"/>
                    </w:numPr>
                    <w:ind w:left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3.有计划关闭超采区已批自备水井，禁止超采区工农业生产及服务业新增取用地下水。</w:t>
                  </w:r>
                </w:p>
              </w:tc>
              <w:tc>
                <w:tcPr>
                  <w:tcW w:w="1942" w:type="dxa"/>
                  <w:vAlign w:val="center"/>
                </w:tcPr>
                <w:p w14:paraId="0621BDDC">
                  <w:pPr>
                    <w:pStyle w:val="46"/>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1.本项目</w:t>
                  </w:r>
                  <w:r>
                    <w:rPr>
                      <w:rFonts w:hint="default" w:ascii="Times New Roman" w:hAnsi="Times New Roman" w:cs="Times New Roman"/>
                      <w:color w:val="auto"/>
                      <w:highlight w:val="none"/>
                      <w:lang w:val="en-US" w:eastAsia="zh-CN"/>
                    </w:rPr>
                    <w:t>不新建</w:t>
                  </w:r>
                  <w:r>
                    <w:rPr>
                      <w:rFonts w:hint="default" w:ascii="Times New Roman" w:hAnsi="Times New Roman" w:cs="Times New Roman"/>
                      <w:color w:val="auto"/>
                      <w:highlight w:val="none"/>
                    </w:rPr>
                    <w:t>35蒸吨/小时以下燃煤锅炉。</w:t>
                  </w:r>
                </w:p>
                <w:p w14:paraId="5CF49150">
                  <w:pPr>
                    <w:pStyle w:val="46"/>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2.本项目</w:t>
                  </w:r>
                  <w:r>
                    <w:rPr>
                      <w:rFonts w:hint="default" w:ascii="Times New Roman" w:hAnsi="Times New Roman" w:cs="Times New Roman"/>
                      <w:color w:val="auto"/>
                      <w:highlight w:val="none"/>
                      <w:lang w:val="en-US" w:eastAsia="zh-CN"/>
                    </w:rPr>
                    <w:t>不在</w:t>
                  </w:r>
                  <w:r>
                    <w:rPr>
                      <w:rFonts w:hint="default" w:ascii="Times New Roman" w:hAnsi="Times New Roman" w:cs="Times New Roman"/>
                      <w:color w:val="auto"/>
                      <w:highlight w:val="none"/>
                    </w:rPr>
                    <w:t>居民区和学校、医院、疗养院、养老院等单位周边</w:t>
                  </w:r>
                  <w:r>
                    <w:rPr>
                      <w:rFonts w:hint="default" w:ascii="Times New Roman" w:hAnsi="Times New Roman" w:cs="Times New Roman"/>
                      <w:color w:val="auto"/>
                      <w:highlight w:val="none"/>
                      <w:lang w:val="en-US" w:eastAsia="zh-CN"/>
                    </w:rPr>
                    <w:t>建设</w:t>
                  </w:r>
                  <w:r>
                    <w:rPr>
                      <w:rFonts w:hint="default" w:ascii="Times New Roman" w:hAnsi="Times New Roman" w:cs="Times New Roman"/>
                      <w:color w:val="auto"/>
                      <w:highlight w:val="none"/>
                    </w:rPr>
                    <w:t>。</w:t>
                  </w:r>
                </w:p>
                <w:p w14:paraId="29AB4489">
                  <w:pPr>
                    <w:pStyle w:val="46"/>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3.本项目</w:t>
                  </w:r>
                  <w:r>
                    <w:rPr>
                      <w:rFonts w:hint="default" w:ascii="Times New Roman" w:hAnsi="Times New Roman" w:cs="Times New Roman"/>
                      <w:color w:val="auto"/>
                      <w:highlight w:val="none"/>
                      <w:lang w:val="en-US" w:eastAsia="zh-CN"/>
                    </w:rPr>
                    <w:t>生产用水</w:t>
                  </w:r>
                  <w:r>
                    <w:rPr>
                      <w:rFonts w:hint="eastAsia" w:cs="Times New Roman"/>
                      <w:color w:val="auto"/>
                      <w:szCs w:val="21"/>
                      <w:highlight w:val="none"/>
                      <w:lang w:val="en-US" w:eastAsia="zh-CN"/>
                    </w:rPr>
                    <w:t>使用鄂尔多斯市东胜区洁通排水产业有限责任公司再生水</w:t>
                  </w:r>
                  <w:r>
                    <w:rPr>
                      <w:rFonts w:hint="eastAsia" w:cs="Times New Roman"/>
                      <w:color w:val="auto"/>
                      <w:highlight w:val="none"/>
                      <w:lang w:eastAsia="zh-CN"/>
                    </w:rPr>
                    <w:t>，</w:t>
                  </w:r>
                  <w:r>
                    <w:rPr>
                      <w:rFonts w:hint="default" w:ascii="Times New Roman" w:hAnsi="Times New Roman" w:cs="Times New Roman"/>
                      <w:color w:val="auto"/>
                      <w:highlight w:val="none"/>
                    </w:rPr>
                    <w:t>生活用水采用桶装水</w:t>
                  </w:r>
                  <w:r>
                    <w:rPr>
                      <w:rFonts w:hint="eastAsia" w:cs="Times New Roman"/>
                      <w:color w:val="auto"/>
                      <w:highlight w:val="none"/>
                      <w:lang w:eastAsia="zh-CN"/>
                    </w:rPr>
                    <w:t>，</w:t>
                  </w:r>
                  <w:r>
                    <w:rPr>
                      <w:rFonts w:hint="default" w:ascii="Times New Roman" w:hAnsi="Times New Roman" w:cs="Times New Roman"/>
                      <w:color w:val="auto"/>
                      <w:highlight w:val="none"/>
                    </w:rPr>
                    <w:t>不</w:t>
                  </w:r>
                  <w:r>
                    <w:rPr>
                      <w:rFonts w:hint="default" w:ascii="Times New Roman" w:hAnsi="Times New Roman" w:cs="Times New Roman"/>
                      <w:color w:val="auto"/>
                      <w:highlight w:val="none"/>
                      <w:lang w:val="en-US" w:eastAsia="zh-CN"/>
                    </w:rPr>
                    <w:t>开采地下水</w:t>
                  </w:r>
                  <w:r>
                    <w:rPr>
                      <w:rFonts w:hint="default" w:ascii="Times New Roman" w:hAnsi="Times New Roman" w:cs="Times New Roman"/>
                      <w:color w:val="auto"/>
                      <w:highlight w:val="none"/>
                    </w:rPr>
                    <w:t>。</w:t>
                  </w:r>
                </w:p>
              </w:tc>
              <w:tc>
                <w:tcPr>
                  <w:tcW w:w="396" w:type="dxa"/>
                  <w:vAlign w:val="center"/>
                </w:tcPr>
                <w:p w14:paraId="702A8E8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0C0F04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3" w:type="dxa"/>
                  <w:vMerge w:val="continue"/>
                  <w:vAlign w:val="center"/>
                </w:tcPr>
                <w:p w14:paraId="51B18AFC">
                  <w:pPr>
                    <w:pStyle w:val="46"/>
                    <w:jc w:val="center"/>
                    <w:rPr>
                      <w:rFonts w:hint="default" w:ascii="Times New Roman" w:hAnsi="Times New Roman" w:cs="Times New Roman"/>
                      <w:color w:val="auto"/>
                      <w:highlight w:val="none"/>
                    </w:rPr>
                  </w:pPr>
                </w:p>
              </w:tc>
              <w:tc>
                <w:tcPr>
                  <w:tcW w:w="659" w:type="dxa"/>
                  <w:vMerge w:val="continue"/>
                  <w:vAlign w:val="center"/>
                </w:tcPr>
                <w:p w14:paraId="6C5B1B99">
                  <w:pPr>
                    <w:pStyle w:val="46"/>
                    <w:jc w:val="center"/>
                    <w:rPr>
                      <w:rFonts w:hint="default" w:ascii="Times New Roman" w:hAnsi="Times New Roman" w:cs="Times New Roman"/>
                      <w:color w:val="auto"/>
                      <w:highlight w:val="none"/>
                    </w:rPr>
                  </w:pPr>
                </w:p>
              </w:tc>
              <w:tc>
                <w:tcPr>
                  <w:tcW w:w="544" w:type="dxa"/>
                  <w:vAlign w:val="center"/>
                </w:tcPr>
                <w:p w14:paraId="22A7C63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污染物排放管控</w:t>
                  </w:r>
                </w:p>
              </w:tc>
              <w:tc>
                <w:tcPr>
                  <w:tcW w:w="2718" w:type="dxa"/>
                  <w:vAlign w:val="center"/>
                </w:tcPr>
                <w:p w14:paraId="3C6F570A">
                  <w:pPr>
                    <w:pStyle w:val="46"/>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1.提升城镇生活污水收集管网覆盖率，逐步实施雨污管网分流改造、管网更新、破损修复</w:t>
                  </w:r>
                  <w:r>
                    <w:rPr>
                      <w:rFonts w:hint="eastAsia" w:cs="Times New Roman"/>
                      <w:color w:val="auto"/>
                      <w:highlight w:val="none"/>
                      <w:lang w:eastAsia="zh-CN"/>
                    </w:rPr>
                    <w:t>改造</w:t>
                  </w:r>
                  <w:r>
                    <w:rPr>
                      <w:rFonts w:hint="default" w:ascii="Times New Roman" w:hAnsi="Times New Roman" w:cs="Times New Roman"/>
                      <w:color w:val="auto"/>
                      <w:highlight w:val="none"/>
                    </w:rPr>
                    <w:t>、中水回用等工程。城镇生活污水实现“应收尽收、应处尽处”</w:t>
                  </w:r>
                </w:p>
              </w:tc>
              <w:tc>
                <w:tcPr>
                  <w:tcW w:w="1942" w:type="dxa"/>
                  <w:vAlign w:val="center"/>
                </w:tcPr>
                <w:p w14:paraId="3C402876">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396" w:type="dxa"/>
                  <w:vAlign w:val="center"/>
                </w:tcPr>
                <w:p w14:paraId="3B43EBED">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w:t>
                  </w:r>
                </w:p>
              </w:tc>
            </w:tr>
            <w:tr w14:paraId="6A80F4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3" w:type="dxa"/>
                  <w:vMerge w:val="continue"/>
                  <w:vAlign w:val="center"/>
                </w:tcPr>
                <w:p w14:paraId="67B3496F">
                  <w:pPr>
                    <w:pStyle w:val="46"/>
                    <w:jc w:val="center"/>
                    <w:rPr>
                      <w:rFonts w:hint="default" w:ascii="Times New Roman" w:hAnsi="Times New Roman" w:cs="Times New Roman"/>
                      <w:color w:val="auto"/>
                      <w:highlight w:val="none"/>
                    </w:rPr>
                  </w:pPr>
                </w:p>
              </w:tc>
              <w:tc>
                <w:tcPr>
                  <w:tcW w:w="659" w:type="dxa"/>
                  <w:vMerge w:val="continue"/>
                  <w:vAlign w:val="center"/>
                </w:tcPr>
                <w:p w14:paraId="35FCBAF6">
                  <w:pPr>
                    <w:pStyle w:val="46"/>
                    <w:jc w:val="center"/>
                    <w:rPr>
                      <w:rFonts w:hint="default" w:ascii="Times New Roman" w:hAnsi="Times New Roman" w:cs="Times New Roman"/>
                      <w:color w:val="auto"/>
                      <w:highlight w:val="none"/>
                    </w:rPr>
                  </w:pPr>
                </w:p>
              </w:tc>
              <w:tc>
                <w:tcPr>
                  <w:tcW w:w="544" w:type="dxa"/>
                  <w:vAlign w:val="center"/>
                </w:tcPr>
                <w:p w14:paraId="46FFFEC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资源开发效率</w:t>
                  </w:r>
                </w:p>
              </w:tc>
              <w:tc>
                <w:tcPr>
                  <w:tcW w:w="2718" w:type="dxa"/>
                  <w:vAlign w:val="center"/>
                </w:tcPr>
                <w:p w14:paraId="084BA2AA">
                  <w:pPr>
                    <w:pStyle w:val="46"/>
                    <w:numPr>
                      <w:ilvl w:val="0"/>
                      <w:numId w:val="0"/>
                    </w:numPr>
                    <w:jc w:val="left"/>
                    <w:rPr>
                      <w:rFonts w:hint="default" w:ascii="Times New Roman" w:hAnsi="Times New Roman" w:cs="Times New Roman"/>
                      <w:color w:val="auto"/>
                    </w:rPr>
                  </w:pPr>
                  <w:r>
                    <w:rPr>
                      <w:rFonts w:hint="default" w:ascii="Times New Roman" w:hAnsi="Times New Roman" w:cs="Times New Roman"/>
                      <w:color w:val="auto"/>
                    </w:rPr>
                    <w:t>1.强化水资源论证管理，优化水源配置，鼓励优先配置利用非常规水源。</w:t>
                  </w:r>
                </w:p>
                <w:p w14:paraId="6B14C7FC">
                  <w:pPr>
                    <w:pStyle w:val="46"/>
                    <w:numPr>
                      <w:ilvl w:val="0"/>
                      <w:numId w:val="0"/>
                    </w:numPr>
                    <w:jc w:val="left"/>
                    <w:rPr>
                      <w:rFonts w:hint="default" w:ascii="Times New Roman" w:hAnsi="Times New Roman" w:cs="Times New Roman"/>
                      <w:color w:val="auto"/>
                      <w:highlight w:val="none"/>
                    </w:rPr>
                  </w:pPr>
                  <w:r>
                    <w:rPr>
                      <w:rFonts w:hint="default" w:ascii="Times New Roman" w:hAnsi="Times New Roman" w:cs="Times New Roman"/>
                      <w:color w:val="auto"/>
                    </w:rPr>
                    <w:t>2.严控地下水超采，执行地下水“五控”制度。</w:t>
                  </w:r>
                </w:p>
              </w:tc>
              <w:tc>
                <w:tcPr>
                  <w:tcW w:w="1942" w:type="dxa"/>
                  <w:vAlign w:val="center"/>
                </w:tcPr>
                <w:p w14:paraId="7E53B53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lang w:val="en-US" w:eastAsia="zh-CN"/>
                    </w:rPr>
                    <w:t>本项目</w:t>
                  </w:r>
                  <w:r>
                    <w:rPr>
                      <w:rFonts w:hint="default" w:ascii="Times New Roman" w:hAnsi="Times New Roman" w:cs="Times New Roman"/>
                      <w:color w:val="auto"/>
                      <w:highlight w:val="none"/>
                      <w:lang w:val="en-US" w:eastAsia="zh-CN"/>
                    </w:rPr>
                    <w:t>生产用水</w:t>
                  </w:r>
                  <w:r>
                    <w:rPr>
                      <w:rFonts w:hint="eastAsia" w:cs="Times New Roman"/>
                      <w:color w:val="auto"/>
                      <w:szCs w:val="21"/>
                      <w:highlight w:val="none"/>
                      <w:lang w:val="en-US" w:eastAsia="zh-CN"/>
                    </w:rPr>
                    <w:t>使用鄂尔多斯市东胜区洁通排水产业有限责任公司再生水</w:t>
                  </w:r>
                  <w:r>
                    <w:rPr>
                      <w:rFonts w:hint="eastAsia" w:cs="Times New Roman"/>
                      <w:color w:val="auto"/>
                      <w:highlight w:val="none"/>
                      <w:lang w:eastAsia="zh-CN"/>
                    </w:rPr>
                    <w:t>，</w:t>
                  </w:r>
                  <w:r>
                    <w:rPr>
                      <w:rFonts w:hint="default" w:ascii="Times New Roman" w:hAnsi="Times New Roman" w:cs="Times New Roman"/>
                      <w:color w:val="auto"/>
                      <w:highlight w:val="none"/>
                    </w:rPr>
                    <w:t>生活用水采用桶装水。</w:t>
                  </w:r>
                </w:p>
              </w:tc>
              <w:tc>
                <w:tcPr>
                  <w:tcW w:w="396" w:type="dxa"/>
                  <w:vAlign w:val="center"/>
                </w:tcPr>
                <w:p w14:paraId="75CD742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bl>
          <w:p w14:paraId="18AA252F">
            <w:pPr>
              <w:ind w:firstLine="48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综上所述，本项目符合“三线一单”管控要求。</w:t>
            </w:r>
          </w:p>
        </w:tc>
      </w:tr>
    </w:tbl>
    <w:p w14:paraId="70027C22">
      <w:pPr>
        <w:pStyle w:val="3"/>
        <w:ind w:firstLine="640"/>
        <w:rPr>
          <w:rFonts w:hint="default" w:ascii="Times New Roman" w:hAnsi="Times New Roman" w:cs="Times New Roman"/>
          <w:snapToGrid w:val="0"/>
          <w:color w:val="auto"/>
          <w:highlight w:val="none"/>
        </w:rPr>
        <w:sectPr>
          <w:pgSz w:w="11906" w:h="16838"/>
          <w:pgMar w:top="1440" w:right="1800" w:bottom="1440" w:left="1800" w:header="992" w:footer="992" w:gutter="0"/>
          <w:pgBorders>
            <w:top w:val="none" w:sz="0" w:space="0"/>
            <w:left w:val="none" w:sz="0" w:space="0"/>
            <w:bottom w:val="none" w:sz="0" w:space="0"/>
            <w:right w:val="none" w:sz="0" w:space="0"/>
          </w:pgBorders>
          <w:pgNumType w:start="1"/>
          <w:cols w:space="425" w:num="1"/>
          <w:docGrid w:type="lines" w:linePitch="312" w:charSpace="0"/>
        </w:sectPr>
      </w:pPr>
    </w:p>
    <w:p w14:paraId="63645586">
      <w:pPr>
        <w:pStyle w:val="3"/>
        <w:ind w:firstLine="321" w:firstLineChars="100"/>
        <w:jc w:val="center"/>
        <w:rPr>
          <w:rFonts w:hint="default" w:ascii="Times New Roman" w:hAnsi="Times New Roman" w:cs="Times New Roman"/>
          <w:snapToGrid w:val="0"/>
          <w:color w:val="auto"/>
          <w:highlight w:val="none"/>
        </w:rPr>
      </w:pPr>
      <w:bookmarkStart w:id="4" w:name="_Toc144507126"/>
      <w:r>
        <w:rPr>
          <w:rFonts w:hint="default" w:ascii="Times New Roman" w:hAnsi="Times New Roman" w:cs="Times New Roman"/>
          <w:snapToGrid w:val="0"/>
          <w:color w:val="auto"/>
          <w:highlight w:val="none"/>
        </w:rPr>
        <w:t>二、建设项目工程分析</w:t>
      </w:r>
      <w:bookmarkEnd w:id="4"/>
    </w:p>
    <w:tbl>
      <w:tblPr>
        <w:tblStyle w:val="23"/>
        <w:tblW w:w="861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2"/>
        <w:gridCol w:w="7771"/>
      </w:tblGrid>
      <w:tr w14:paraId="3E15AD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2" w:type="dxa"/>
            <w:vAlign w:val="center"/>
          </w:tcPr>
          <w:p w14:paraId="0D885AB9">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建设内容</w:t>
            </w:r>
          </w:p>
        </w:tc>
        <w:tc>
          <w:tcPr>
            <w:tcW w:w="7771" w:type="dxa"/>
          </w:tcPr>
          <w:p w14:paraId="69EA075B">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1.项目建设内容及规模</w:t>
            </w:r>
          </w:p>
          <w:p w14:paraId="226A45F2">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1.1项目基本情况</w:t>
            </w:r>
          </w:p>
          <w:p w14:paraId="4D5F097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（1）项目名称：</w:t>
            </w:r>
            <w:r>
              <w:rPr>
                <w:rFonts w:hint="default" w:ascii="Times New Roman" w:hAnsi="Times New Roman" w:eastAsia="宋体" w:cs="Times New Roman"/>
                <w:color w:val="auto"/>
                <w:highlight w:val="none"/>
                <w:lang w:eastAsia="zh-CN"/>
              </w:rPr>
              <w:t>鄂尔多斯市君龙商砼有限责任公司商品混凝土搅拌站项目</w:t>
            </w:r>
          </w:p>
          <w:p w14:paraId="024223D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（2）建设性质：新建</w:t>
            </w:r>
          </w:p>
          <w:p w14:paraId="1E74A34F">
            <w:pPr>
              <w:ind w:firstLine="48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（3）建设</w:t>
            </w:r>
            <w:r>
              <w:rPr>
                <w:rFonts w:hint="default" w:ascii="Times New Roman" w:hAnsi="Times New Roman" w:eastAsia="宋体" w:cs="Times New Roman"/>
                <w:color w:val="auto"/>
                <w:highlight w:val="none"/>
              </w:rPr>
              <w:t>单位：</w:t>
            </w:r>
            <w:r>
              <w:rPr>
                <w:rFonts w:hint="default" w:ascii="Times New Roman" w:hAnsi="Times New Roman" w:eastAsia="宋体" w:cs="Times New Roman"/>
                <w:color w:val="auto"/>
                <w:highlight w:val="none"/>
                <w:lang w:eastAsia="zh-CN"/>
              </w:rPr>
              <w:t>鄂尔多斯市君龙商砼有限责任公司</w:t>
            </w:r>
          </w:p>
          <w:p w14:paraId="3D659FE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（4）建设地点：</w:t>
            </w:r>
            <w:r>
              <w:rPr>
                <w:rFonts w:hint="default" w:ascii="Times New Roman" w:hAnsi="Times New Roman" w:eastAsia="宋体" w:cs="Times New Roman"/>
                <w:color w:val="auto"/>
                <w:sz w:val="24"/>
                <w:szCs w:val="24"/>
                <w:highlight w:val="none"/>
                <w:lang w:val="en-US" w:eastAsia="zh-CN"/>
              </w:rPr>
              <w:t>内蒙古自治区鄂尔多斯市东胜区罕合镇</w:t>
            </w:r>
            <w:r>
              <w:rPr>
                <w:rFonts w:hint="eastAsia" w:ascii="Times New Roman" w:hAnsi="Times New Roman" w:cs="Times New Roman"/>
                <w:color w:val="auto"/>
                <w:sz w:val="24"/>
                <w:szCs w:val="24"/>
                <w:highlight w:val="none"/>
                <w:lang w:val="en-US" w:eastAsia="zh-CN"/>
              </w:rPr>
              <w:t>袁家梁商砼园区B7地块</w:t>
            </w:r>
            <w:r>
              <w:rPr>
                <w:rFonts w:hint="default" w:ascii="Times New Roman" w:hAnsi="Times New Roman" w:cs="Times New Roman"/>
                <w:color w:val="auto"/>
                <w:highlight w:val="none"/>
              </w:rPr>
              <w:t>，项目区中心坐标为</w:t>
            </w:r>
            <w:r>
              <w:rPr>
                <w:rFonts w:hint="default" w:ascii="Times New Roman" w:hAnsi="Times New Roman" w:cs="Times New Roman"/>
                <w:color w:val="auto"/>
                <w:sz w:val="24"/>
                <w:szCs w:val="24"/>
                <w:highlight w:val="none"/>
              </w:rPr>
              <w:t>N：39°44′20.650″，E：109°57′25.442″</w:t>
            </w:r>
            <w:r>
              <w:rPr>
                <w:rFonts w:hint="default" w:ascii="Times New Roman" w:hAnsi="Times New Roman" w:cs="Times New Roman"/>
                <w:color w:val="auto"/>
                <w:highlight w:val="none"/>
              </w:rPr>
              <w:t>，地理位置图见附图1。</w:t>
            </w:r>
          </w:p>
          <w:p w14:paraId="4CD97232">
            <w:pPr>
              <w:ind w:firstLine="480"/>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（5）项目投资：本项目总投资为</w:t>
            </w:r>
            <w:r>
              <w:rPr>
                <w:rFonts w:hint="eastAsia" w:cs="Times New Roman"/>
                <w:color w:val="auto"/>
                <w:highlight w:val="none"/>
                <w:lang w:val="en-US" w:eastAsia="zh-CN"/>
              </w:rPr>
              <w:t>2451.98</w:t>
            </w:r>
            <w:r>
              <w:rPr>
                <w:rFonts w:hint="default" w:ascii="Times New Roman" w:hAnsi="Times New Roman" w:cs="Times New Roman"/>
                <w:color w:val="auto"/>
                <w:highlight w:val="none"/>
              </w:rPr>
              <w:t>万元，其中环保投资</w:t>
            </w:r>
            <w:r>
              <w:rPr>
                <w:rFonts w:hint="eastAsia" w:cs="Times New Roman"/>
                <w:color w:val="auto"/>
                <w:highlight w:val="none"/>
                <w:lang w:val="en-US" w:eastAsia="zh-CN"/>
              </w:rPr>
              <w:t>174.5</w:t>
            </w:r>
            <w:r>
              <w:rPr>
                <w:rFonts w:hint="default" w:ascii="Times New Roman" w:hAnsi="Times New Roman" w:cs="Times New Roman"/>
                <w:color w:val="auto"/>
                <w:highlight w:val="none"/>
              </w:rPr>
              <w:t>万元，占总投资的</w:t>
            </w:r>
            <w:r>
              <w:rPr>
                <w:rFonts w:hint="eastAsia" w:cs="Times New Roman"/>
                <w:color w:val="auto"/>
                <w:highlight w:val="none"/>
                <w:lang w:val="en-US" w:eastAsia="zh-CN"/>
              </w:rPr>
              <w:t>7.11</w:t>
            </w:r>
            <w:r>
              <w:rPr>
                <w:rFonts w:hint="default" w:ascii="Times New Roman" w:hAnsi="Times New Roman" w:cs="Times New Roman"/>
                <w:color w:val="auto"/>
                <w:highlight w:val="none"/>
              </w:rPr>
              <w:t>%</w:t>
            </w:r>
            <w:r>
              <w:rPr>
                <w:rFonts w:hint="eastAsia" w:cs="Times New Roman"/>
                <w:color w:val="auto"/>
                <w:highlight w:val="none"/>
                <w:lang w:val="en-US" w:eastAsia="zh-CN"/>
              </w:rPr>
              <w:t>.</w:t>
            </w:r>
          </w:p>
          <w:p w14:paraId="69037CAA">
            <w:pPr>
              <w:ind w:firstLine="480"/>
              <w:rPr>
                <w:rFonts w:hint="default" w:ascii="Times New Roman" w:hAnsi="Times New Roman"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6</w:t>
            </w:r>
            <w:r>
              <w:rPr>
                <w:rFonts w:hint="eastAsia" w:cs="Times New Roman"/>
                <w:color w:val="auto"/>
                <w:highlight w:val="none"/>
                <w:lang w:eastAsia="zh-CN"/>
              </w:rPr>
              <w:t>）运行时间：</w:t>
            </w:r>
            <w:r>
              <w:rPr>
                <w:rFonts w:hint="default" w:ascii="Times New Roman" w:hAnsi="Times New Roman" w:cs="Times New Roman"/>
                <w:color w:val="auto"/>
                <w:highlight w:val="none"/>
              </w:rPr>
              <w:t>项目年</w:t>
            </w:r>
            <w:r>
              <w:rPr>
                <w:rFonts w:hint="eastAsia" w:cs="Times New Roman"/>
                <w:color w:val="auto"/>
                <w:highlight w:val="none"/>
                <w:lang w:eastAsia="zh-CN"/>
              </w:rPr>
              <w:t>运行</w:t>
            </w:r>
            <w:r>
              <w:rPr>
                <w:rFonts w:hint="default" w:ascii="Times New Roman" w:hAnsi="Times New Roman" w:cs="Times New Roman"/>
                <w:color w:val="auto"/>
                <w:highlight w:val="none"/>
              </w:rPr>
              <w:t>天数为150d，每天</w:t>
            </w:r>
            <w:r>
              <w:rPr>
                <w:rFonts w:hint="eastAsia" w:cs="Times New Roman"/>
                <w:color w:val="auto"/>
                <w:highlight w:val="none"/>
                <w:lang w:eastAsia="zh-CN"/>
              </w:rPr>
              <w:t>运行</w:t>
            </w:r>
            <w:r>
              <w:rPr>
                <w:rFonts w:hint="default" w:ascii="Times New Roman" w:hAnsi="Times New Roman" w:cs="Times New Roman"/>
                <w:color w:val="auto"/>
                <w:highlight w:val="none"/>
              </w:rPr>
              <w:t>8h。</w:t>
            </w:r>
          </w:p>
          <w:p w14:paraId="1F897502">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w:t>
            </w:r>
            <w:r>
              <w:rPr>
                <w:rFonts w:hint="eastAsia" w:cs="Times New Roman"/>
                <w:b/>
                <w:bCs/>
                <w:color w:val="auto"/>
                <w:highlight w:val="none"/>
                <w:lang w:val="en-US" w:eastAsia="zh-CN"/>
              </w:rPr>
              <w:t>2</w:t>
            </w:r>
            <w:r>
              <w:rPr>
                <w:rFonts w:hint="default" w:ascii="Times New Roman" w:hAnsi="Times New Roman" w:cs="Times New Roman"/>
                <w:b/>
                <w:bCs/>
                <w:color w:val="auto"/>
                <w:highlight w:val="none"/>
              </w:rPr>
              <w:t>项目建设内容</w:t>
            </w:r>
          </w:p>
          <w:p w14:paraId="1911D69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本项目占地面积约</w:t>
            </w:r>
            <w:r>
              <w:rPr>
                <w:rFonts w:hint="default" w:ascii="Times New Roman" w:hAnsi="Times New Roman" w:cs="Times New Roman"/>
                <w:color w:val="auto"/>
                <w:highlight w:val="none"/>
                <w:lang w:val="en-US" w:eastAsia="zh-CN"/>
              </w:rPr>
              <w:t>17486.1</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r>
              <w:rPr>
                <w:rFonts w:hint="eastAsia"/>
                <w:bCs/>
                <w:color w:val="auto"/>
                <w:sz w:val="24"/>
                <w:highlight w:val="none"/>
                <w:lang w:val="en-US" w:eastAsia="zh-CN"/>
              </w:rPr>
              <w:t>建设内容主要</w:t>
            </w:r>
            <w:r>
              <w:rPr>
                <w:rFonts w:hint="default" w:ascii="Times New Roman" w:hAnsi="Times New Roman" w:cs="Times New Roman"/>
                <w:color w:val="auto"/>
                <w:highlight w:val="none"/>
              </w:rPr>
              <w:t>包括</w:t>
            </w:r>
            <w:r>
              <w:rPr>
                <w:rFonts w:hint="eastAsia"/>
                <w:bCs/>
                <w:color w:val="auto"/>
                <w:sz w:val="24"/>
                <w:highlight w:val="none"/>
                <w:lang w:val="en-US" w:eastAsia="zh-CN"/>
              </w:rPr>
              <w:t>两条180混凝土生产线及配套</w:t>
            </w:r>
            <w:r>
              <w:rPr>
                <w:rFonts w:hint="default" w:ascii="Times New Roman" w:hAnsi="Times New Roman" w:cs="Times New Roman"/>
                <w:color w:val="auto"/>
                <w:highlight w:val="none"/>
              </w:rPr>
              <w:t>储运工程</w:t>
            </w:r>
            <w:r>
              <w:rPr>
                <w:rFonts w:hint="eastAsia" w:cs="Times New Roman"/>
                <w:color w:val="auto"/>
                <w:highlight w:val="none"/>
                <w:lang w:eastAsia="zh-CN"/>
              </w:rPr>
              <w:t>、</w:t>
            </w:r>
            <w:r>
              <w:rPr>
                <w:rFonts w:hint="eastAsia"/>
                <w:bCs/>
                <w:color w:val="auto"/>
                <w:sz w:val="24"/>
                <w:highlight w:val="none"/>
                <w:lang w:val="en-US" w:eastAsia="zh-CN"/>
              </w:rPr>
              <w:t>办公及生活配套设施等</w:t>
            </w:r>
            <w:r>
              <w:rPr>
                <w:rFonts w:hint="default" w:ascii="Times New Roman" w:hAnsi="Times New Roman" w:cs="Times New Roman"/>
                <w:color w:val="auto"/>
                <w:highlight w:val="none"/>
              </w:rPr>
              <w:t>。</w:t>
            </w:r>
          </w:p>
          <w:p w14:paraId="30BAC39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项目组成见下表2-</w:t>
            </w:r>
            <w:r>
              <w:rPr>
                <w:rFonts w:hint="eastAsia" w:cs="Times New Roman"/>
                <w:color w:val="auto"/>
                <w:highlight w:val="none"/>
                <w:lang w:val="en-US" w:eastAsia="zh-CN"/>
              </w:rPr>
              <w:t>1</w:t>
            </w:r>
            <w:r>
              <w:rPr>
                <w:rFonts w:hint="default" w:ascii="Times New Roman" w:hAnsi="Times New Roman" w:cs="Times New Roman"/>
                <w:color w:val="auto"/>
                <w:highlight w:val="none"/>
              </w:rPr>
              <w:t>。</w:t>
            </w:r>
          </w:p>
          <w:p w14:paraId="54D1A6E5">
            <w:pPr>
              <w:pStyle w:val="27"/>
              <w:rPr>
                <w:rFonts w:hint="default" w:ascii="Times New Roman" w:hAnsi="Times New Roman" w:cs="Times New Roman"/>
                <w:color w:val="auto"/>
                <w:highlight w:val="none"/>
              </w:rPr>
            </w:pPr>
          </w:p>
          <w:p w14:paraId="77AFFF6F">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表2-</w:t>
            </w:r>
            <w:r>
              <w:rPr>
                <w:rFonts w:hint="eastAsia" w:cs="Times New Roman"/>
                <w:color w:val="auto"/>
                <w:highlight w:val="none"/>
                <w:lang w:val="en-US" w:eastAsia="zh-CN"/>
              </w:rPr>
              <w:t>1</w:t>
            </w:r>
            <w:r>
              <w:rPr>
                <w:rFonts w:hint="default" w:ascii="Times New Roman" w:hAnsi="Times New Roman" w:cs="Times New Roman"/>
                <w:color w:val="auto"/>
                <w:highlight w:val="none"/>
              </w:rPr>
              <w:t xml:space="preserve">  项目组成一览表</w:t>
            </w:r>
          </w:p>
          <w:tbl>
            <w:tblPr>
              <w:tblStyle w:val="23"/>
              <w:tblW w:w="497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4"/>
              <w:gridCol w:w="319"/>
              <w:gridCol w:w="1152"/>
              <w:gridCol w:w="4562"/>
              <w:gridCol w:w="752"/>
            </w:tblGrid>
            <w:tr w14:paraId="4FE2DA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Align w:val="center"/>
                </w:tcPr>
                <w:p w14:paraId="540AE6EF">
                  <w:pPr>
                    <w:pStyle w:val="46"/>
                    <w:jc w:val="center"/>
                    <w:rPr>
                      <w:rFonts w:hint="default" w:ascii="Times New Roman" w:hAnsi="Times New Roman" w:cs="Times New Roman"/>
                      <w:b/>
                      <w:bCs/>
                      <w:color w:val="auto"/>
                      <w:sz w:val="21"/>
                      <w:szCs w:val="21"/>
                      <w:highlight w:val="none"/>
                    </w:rPr>
                  </w:pPr>
                  <w:bookmarkStart w:id="5" w:name="_Hlk161504630"/>
                  <w:r>
                    <w:rPr>
                      <w:rFonts w:hint="default" w:ascii="Times New Roman" w:hAnsi="Times New Roman" w:cs="Times New Roman"/>
                      <w:b/>
                      <w:bCs/>
                      <w:color w:val="auto"/>
                      <w:sz w:val="21"/>
                      <w:szCs w:val="21"/>
                      <w:highlight w:val="none"/>
                    </w:rPr>
                    <w:t>工程</w:t>
                  </w:r>
                </w:p>
                <w:p w14:paraId="53050200">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名称</w:t>
                  </w:r>
                </w:p>
              </w:tc>
              <w:tc>
                <w:tcPr>
                  <w:tcW w:w="1471" w:type="dxa"/>
                  <w:gridSpan w:val="2"/>
                  <w:vAlign w:val="center"/>
                </w:tcPr>
                <w:p w14:paraId="053DA993">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项目组</w:t>
                  </w:r>
                </w:p>
              </w:tc>
              <w:tc>
                <w:tcPr>
                  <w:tcW w:w="4562" w:type="dxa"/>
                  <w:vAlign w:val="center"/>
                </w:tcPr>
                <w:p w14:paraId="41E4B6D9">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建设内容</w:t>
                  </w:r>
                </w:p>
              </w:tc>
              <w:tc>
                <w:tcPr>
                  <w:tcW w:w="752" w:type="dxa"/>
                  <w:vAlign w:val="center"/>
                </w:tcPr>
                <w:p w14:paraId="428B2264">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备注</w:t>
                  </w:r>
                </w:p>
              </w:tc>
            </w:tr>
            <w:tr w14:paraId="4D46A3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4" w:type="dxa"/>
                  <w:vAlign w:val="center"/>
                </w:tcPr>
                <w:p w14:paraId="7F9E7DC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主体工程</w:t>
                  </w:r>
                </w:p>
              </w:tc>
              <w:tc>
                <w:tcPr>
                  <w:tcW w:w="1471" w:type="dxa"/>
                  <w:gridSpan w:val="2"/>
                  <w:vAlign w:val="center"/>
                </w:tcPr>
                <w:p w14:paraId="76F25176">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生产线</w:t>
                  </w:r>
                </w:p>
              </w:tc>
              <w:tc>
                <w:tcPr>
                  <w:tcW w:w="4562" w:type="dxa"/>
                  <w:vAlign w:val="center"/>
                </w:tcPr>
                <w:p w14:paraId="3B11CA1F">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共</w:t>
                  </w:r>
                  <w:r>
                    <w:rPr>
                      <w:rFonts w:hint="default" w:ascii="Times New Roman" w:hAnsi="Times New Roman" w:cs="Times New Roman"/>
                      <w:color w:val="auto"/>
                      <w:sz w:val="21"/>
                      <w:szCs w:val="21"/>
                      <w:highlight w:val="none"/>
                    </w:rPr>
                    <w:t>设</w:t>
                  </w:r>
                  <w:r>
                    <w:rPr>
                      <w:rFonts w:hint="default"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rPr>
                    <w:t>条混凝土生产线</w:t>
                  </w:r>
                  <w:r>
                    <w:rPr>
                      <w:rFonts w:hint="eastAsia"/>
                      <w:color w:val="auto"/>
                      <w:sz w:val="21"/>
                      <w:szCs w:val="21"/>
                      <w:highlight w:val="none"/>
                      <w:vertAlign w:val="baseline"/>
                      <w:lang w:eastAsia="zh-CN"/>
                    </w:rPr>
                    <w:t>。</w:t>
                  </w:r>
                  <w:r>
                    <w:rPr>
                      <w:color w:val="auto"/>
                      <w:sz w:val="21"/>
                      <w:szCs w:val="21"/>
                      <w:highlight w:val="none"/>
                    </w:rPr>
                    <w:t>钢结构全封闭</w:t>
                  </w:r>
                  <w:r>
                    <w:rPr>
                      <w:rFonts w:hint="eastAsia"/>
                      <w:color w:val="auto"/>
                      <w:sz w:val="21"/>
                      <w:szCs w:val="21"/>
                      <w:highlight w:val="none"/>
                    </w:rPr>
                    <w:t>搅拌</w:t>
                  </w:r>
                  <w:r>
                    <w:rPr>
                      <w:rFonts w:hint="eastAsia"/>
                      <w:color w:val="auto"/>
                      <w:sz w:val="21"/>
                      <w:szCs w:val="21"/>
                      <w:highlight w:val="none"/>
                      <w:lang w:eastAsia="zh-CN"/>
                    </w:rPr>
                    <w:t>楼</w:t>
                  </w:r>
                  <w:r>
                    <w:rPr>
                      <w:rFonts w:hint="eastAsia" w:cs="Times New Roman"/>
                      <w:bCs/>
                      <w:color w:val="auto"/>
                      <w:sz w:val="21"/>
                      <w:szCs w:val="21"/>
                      <w:highlight w:val="none"/>
                      <w:lang w:val="en-US" w:eastAsia="zh-CN"/>
                    </w:rPr>
                    <w:t>2</w:t>
                  </w:r>
                  <w:r>
                    <w:rPr>
                      <w:rFonts w:hint="default" w:ascii="Times New Roman" w:hAnsi="Times New Roman" w:cs="Times New Roman"/>
                      <w:bCs/>
                      <w:color w:val="auto"/>
                      <w:sz w:val="21"/>
                      <w:szCs w:val="21"/>
                      <w:highlight w:val="none"/>
                    </w:rPr>
                    <w:t>座</w:t>
                  </w:r>
                  <w:r>
                    <w:rPr>
                      <w:rFonts w:hint="eastAsia" w:cs="Times New Roman"/>
                      <w:bCs/>
                      <w:color w:val="auto"/>
                      <w:sz w:val="21"/>
                      <w:szCs w:val="21"/>
                      <w:highlight w:val="none"/>
                      <w:lang w:eastAsia="zh-CN"/>
                    </w:rPr>
                    <w:t>，每栋搅拌楼里各设置</w:t>
                  </w:r>
                  <w:r>
                    <w:rPr>
                      <w:rFonts w:hint="eastAsia" w:cs="Times New Roman"/>
                      <w:bCs/>
                      <w:color w:val="auto"/>
                      <w:sz w:val="21"/>
                      <w:szCs w:val="21"/>
                      <w:highlight w:val="none"/>
                      <w:lang w:val="en-US" w:eastAsia="zh-CN"/>
                    </w:rPr>
                    <w:t>1台180型</w:t>
                  </w:r>
                  <w:r>
                    <w:rPr>
                      <w:rFonts w:hint="default" w:ascii="Times New Roman" w:hAnsi="Times New Roman" w:cs="Times New Roman"/>
                      <w:bCs/>
                      <w:color w:val="auto"/>
                      <w:sz w:val="21"/>
                      <w:szCs w:val="21"/>
                      <w:highlight w:val="none"/>
                    </w:rPr>
                    <w:t>搅拌机</w:t>
                  </w:r>
                  <w:r>
                    <w:rPr>
                      <w:rFonts w:hint="eastAsia" w:cs="Times New Roman"/>
                      <w:bCs/>
                      <w:color w:val="auto"/>
                      <w:sz w:val="21"/>
                      <w:szCs w:val="21"/>
                      <w:highlight w:val="none"/>
                      <w:lang w:eastAsia="zh-CN"/>
                    </w:rPr>
                    <w:t>以及</w:t>
                  </w:r>
                  <w:r>
                    <w:rPr>
                      <w:rFonts w:hint="default" w:ascii="Times New Roman" w:hAnsi="Times New Roman" w:cs="Times New Roman"/>
                      <w:bCs/>
                      <w:color w:val="auto"/>
                      <w:sz w:val="21"/>
                      <w:szCs w:val="21"/>
                      <w:highlight w:val="none"/>
                    </w:rPr>
                    <w:t>搅拌机</w:t>
                  </w:r>
                  <w:r>
                    <w:rPr>
                      <w:rFonts w:hint="eastAsia" w:cs="Times New Roman"/>
                      <w:bCs/>
                      <w:color w:val="auto"/>
                      <w:sz w:val="21"/>
                      <w:szCs w:val="21"/>
                      <w:highlight w:val="none"/>
                      <w:lang w:eastAsia="zh-CN"/>
                    </w:rPr>
                    <w:t>操作室及配套装置</w:t>
                  </w:r>
                  <w:r>
                    <w:rPr>
                      <w:rFonts w:hint="default" w:ascii="Times New Roman" w:hAnsi="Times New Roman" w:cs="Times New Roman"/>
                      <w:color w:val="auto"/>
                      <w:sz w:val="21"/>
                      <w:szCs w:val="21"/>
                      <w:highlight w:val="none"/>
                    </w:rPr>
                    <w:t>。</w:t>
                  </w:r>
                </w:p>
              </w:tc>
              <w:tc>
                <w:tcPr>
                  <w:tcW w:w="752" w:type="dxa"/>
                  <w:vAlign w:val="center"/>
                </w:tcPr>
                <w:p w14:paraId="6184663C">
                  <w:pPr>
                    <w:pStyle w:val="46"/>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已建</w:t>
                  </w:r>
                </w:p>
              </w:tc>
            </w:tr>
            <w:tr w14:paraId="5A3CBF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4" w:type="dxa"/>
                  <w:vMerge w:val="restart"/>
                  <w:vAlign w:val="center"/>
                </w:tcPr>
                <w:p w14:paraId="3113E3C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储运工程</w:t>
                  </w:r>
                </w:p>
              </w:tc>
              <w:tc>
                <w:tcPr>
                  <w:tcW w:w="1471" w:type="dxa"/>
                  <w:gridSpan w:val="2"/>
                  <w:vAlign w:val="center"/>
                </w:tcPr>
                <w:p w14:paraId="0D0B071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运输系统</w:t>
                  </w:r>
                </w:p>
                <w:p w14:paraId="07FC253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（车辆）</w:t>
                  </w:r>
                </w:p>
              </w:tc>
              <w:tc>
                <w:tcPr>
                  <w:tcW w:w="4562" w:type="dxa"/>
                  <w:vAlign w:val="center"/>
                </w:tcPr>
                <w:p w14:paraId="14DB6D8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厂区围绕搅拌楼和原料堆场设置运输通道，运输道路厂内约200m，均进行</w:t>
                  </w:r>
                  <w:r>
                    <w:rPr>
                      <w:rFonts w:hint="default" w:ascii="Times New Roman" w:hAnsi="Times New Roman" w:cs="Times New Roman"/>
                      <w:color w:val="auto"/>
                      <w:sz w:val="21"/>
                      <w:szCs w:val="21"/>
                      <w:highlight w:val="none"/>
                      <w:lang w:eastAsia="zh-CN"/>
                    </w:rPr>
                    <w:t>了</w:t>
                  </w:r>
                  <w:r>
                    <w:rPr>
                      <w:rFonts w:hint="default" w:ascii="Times New Roman" w:hAnsi="Times New Roman" w:cs="Times New Roman"/>
                      <w:color w:val="auto"/>
                      <w:sz w:val="21"/>
                      <w:szCs w:val="21"/>
                      <w:highlight w:val="none"/>
                    </w:rPr>
                    <w:t>硬化，硬化面积约1990m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；原料进厂、产品出厂均由汽车运输。</w:t>
                  </w:r>
                </w:p>
              </w:tc>
              <w:tc>
                <w:tcPr>
                  <w:tcW w:w="752" w:type="dxa"/>
                  <w:vAlign w:val="center"/>
                </w:tcPr>
                <w:p w14:paraId="04881874">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7A1CD8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4" w:type="dxa"/>
                  <w:vMerge w:val="continue"/>
                  <w:vAlign w:val="center"/>
                </w:tcPr>
                <w:p w14:paraId="44B39E59">
                  <w:pPr>
                    <w:pStyle w:val="46"/>
                    <w:jc w:val="center"/>
                    <w:rPr>
                      <w:rFonts w:hint="default" w:ascii="Times New Roman" w:hAnsi="Times New Roman" w:cs="Times New Roman"/>
                      <w:color w:val="auto"/>
                      <w:sz w:val="21"/>
                      <w:szCs w:val="21"/>
                      <w:highlight w:val="none"/>
                    </w:rPr>
                  </w:pPr>
                </w:p>
              </w:tc>
              <w:tc>
                <w:tcPr>
                  <w:tcW w:w="1471" w:type="dxa"/>
                  <w:gridSpan w:val="2"/>
                  <w:vAlign w:val="center"/>
                </w:tcPr>
                <w:p w14:paraId="7A3B4E7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皮带运输</w:t>
                  </w:r>
                </w:p>
              </w:tc>
              <w:tc>
                <w:tcPr>
                  <w:tcW w:w="4562" w:type="dxa"/>
                  <w:vAlign w:val="center"/>
                </w:tcPr>
                <w:p w14:paraId="797F49D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砂、碎石密闭皮带输送系统，由皮带输送至搅拌机，竖皮带长16m，设置在</w:t>
                  </w:r>
                  <w:r>
                    <w:rPr>
                      <w:rFonts w:hint="eastAsia" w:cs="Times New Roman"/>
                      <w:color w:val="auto"/>
                      <w:sz w:val="21"/>
                      <w:szCs w:val="21"/>
                      <w:highlight w:val="none"/>
                      <w:lang w:eastAsia="zh-CN"/>
                    </w:rPr>
                    <w:t>砂石料棚里</w:t>
                  </w:r>
                  <w:r>
                    <w:rPr>
                      <w:rFonts w:hint="default" w:ascii="Times New Roman" w:hAnsi="Times New Roman" w:cs="Times New Roman"/>
                      <w:color w:val="auto"/>
                      <w:sz w:val="21"/>
                      <w:szCs w:val="21"/>
                      <w:highlight w:val="none"/>
                    </w:rPr>
                    <w:t>面，斜皮带长49m。</w:t>
                  </w:r>
                </w:p>
              </w:tc>
              <w:tc>
                <w:tcPr>
                  <w:tcW w:w="752" w:type="dxa"/>
                  <w:vAlign w:val="center"/>
                </w:tcPr>
                <w:p w14:paraId="1249CF6E">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3D202F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3EB7F161">
                  <w:pPr>
                    <w:pStyle w:val="46"/>
                    <w:jc w:val="center"/>
                    <w:rPr>
                      <w:rFonts w:hint="default" w:ascii="Times New Roman" w:hAnsi="Times New Roman" w:cs="Times New Roman"/>
                      <w:color w:val="auto"/>
                      <w:sz w:val="21"/>
                      <w:szCs w:val="21"/>
                      <w:highlight w:val="none"/>
                    </w:rPr>
                  </w:pPr>
                </w:p>
              </w:tc>
              <w:tc>
                <w:tcPr>
                  <w:tcW w:w="1471" w:type="dxa"/>
                  <w:gridSpan w:val="2"/>
                  <w:vMerge w:val="restart"/>
                  <w:vAlign w:val="center"/>
                </w:tcPr>
                <w:p w14:paraId="0785411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储料系统</w:t>
                  </w:r>
                </w:p>
              </w:tc>
              <w:tc>
                <w:tcPr>
                  <w:tcW w:w="4562" w:type="dxa"/>
                  <w:vAlign w:val="center"/>
                </w:tcPr>
                <w:p w14:paraId="5BC8D095">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项目共</w:t>
                  </w:r>
                  <w:r>
                    <w:rPr>
                      <w:rFonts w:hint="eastAsia" w:cs="Times New Roman"/>
                      <w:color w:val="auto"/>
                      <w:sz w:val="21"/>
                      <w:szCs w:val="21"/>
                      <w:highlight w:val="none"/>
                      <w:lang w:val="en-US" w:eastAsia="zh-CN"/>
                    </w:rPr>
                    <w:t>设4个水泥筒仓，4个粉煤灰筒仓。</w:t>
                  </w:r>
                  <w:r>
                    <w:rPr>
                      <w:rFonts w:hint="eastAsia" w:cs="Times New Roman"/>
                      <w:color w:val="auto"/>
                      <w:sz w:val="21"/>
                      <w:szCs w:val="21"/>
                      <w:highlight w:val="none"/>
                      <w:lang w:eastAsia="zh-CN"/>
                    </w:rPr>
                    <w:t>每条生产线配备</w:t>
                  </w:r>
                  <w:r>
                    <w:rPr>
                      <w:rFonts w:hint="default" w:ascii="Times New Roman" w:hAnsi="Times New Roman" w:cs="Times New Roman"/>
                      <w:color w:val="auto"/>
                      <w:sz w:val="21"/>
                      <w:szCs w:val="21"/>
                      <w:highlight w:val="none"/>
                    </w:rPr>
                    <w:t>水泥筒仓2个，单个200t</w:t>
                  </w:r>
                  <w:r>
                    <w:rPr>
                      <w:rFonts w:hint="eastAsia" w:cs="Times New Roman"/>
                      <w:color w:val="auto"/>
                      <w:sz w:val="21"/>
                      <w:szCs w:val="21"/>
                      <w:highlight w:val="none"/>
                      <w:lang w:eastAsia="zh-CN"/>
                    </w:rPr>
                    <w:t>，项目总存储量为</w:t>
                  </w:r>
                  <w:r>
                    <w:rPr>
                      <w:rFonts w:hint="eastAsia" w:cs="Times New Roman"/>
                      <w:color w:val="auto"/>
                      <w:sz w:val="21"/>
                      <w:szCs w:val="21"/>
                      <w:highlight w:val="none"/>
                      <w:lang w:val="en-US" w:eastAsia="zh-CN"/>
                    </w:rPr>
                    <w:t>800t，</w:t>
                  </w:r>
                  <w:r>
                    <w:rPr>
                      <w:rFonts w:hint="default" w:ascii="Times New Roman" w:hAnsi="Times New Roman" w:eastAsia="宋体" w:cs="Times New Roman"/>
                      <w:color w:val="auto"/>
                      <w:sz w:val="21"/>
                      <w:szCs w:val="21"/>
                    </w:rPr>
                    <w:t>为项目</w:t>
                  </w:r>
                  <w:r>
                    <w:rPr>
                      <w:rFonts w:hint="eastAsia" w:cs="Times New Roman"/>
                      <w:color w:val="auto"/>
                      <w:sz w:val="21"/>
                      <w:szCs w:val="21"/>
                      <w:lang w:val="en-US" w:eastAsia="zh-CN"/>
                    </w:rPr>
                    <w:t>1.5</w:t>
                  </w:r>
                  <w:r>
                    <w:rPr>
                      <w:rFonts w:hint="default" w:ascii="Times New Roman" w:hAnsi="Times New Roman" w:eastAsia="宋体" w:cs="Times New Roman"/>
                      <w:color w:val="auto"/>
                      <w:sz w:val="21"/>
                      <w:szCs w:val="21"/>
                    </w:rPr>
                    <w:t>天储量</w:t>
                  </w:r>
                  <w:r>
                    <w:rPr>
                      <w:rFonts w:hint="default" w:ascii="Times New Roman" w:hAnsi="Times New Roman" w:cs="Times New Roman"/>
                      <w:color w:val="auto"/>
                      <w:sz w:val="21"/>
                      <w:szCs w:val="21"/>
                      <w:highlight w:val="none"/>
                    </w:rPr>
                    <w:t>；粉煤灰筒仓2个，单个200t</w:t>
                  </w:r>
                  <w:r>
                    <w:rPr>
                      <w:rFonts w:hint="eastAsia" w:cs="Times New Roman"/>
                      <w:color w:val="auto"/>
                      <w:sz w:val="21"/>
                      <w:szCs w:val="21"/>
                      <w:highlight w:val="none"/>
                      <w:lang w:eastAsia="zh-CN"/>
                    </w:rPr>
                    <w:t>，总存储量为</w:t>
                  </w:r>
                  <w:r>
                    <w:rPr>
                      <w:rFonts w:hint="eastAsia" w:cs="Times New Roman"/>
                      <w:color w:val="auto"/>
                      <w:sz w:val="21"/>
                      <w:szCs w:val="21"/>
                      <w:highlight w:val="none"/>
                      <w:lang w:val="en-US" w:eastAsia="zh-CN"/>
                    </w:rPr>
                    <w:t>800t，</w:t>
                  </w:r>
                  <w:r>
                    <w:rPr>
                      <w:rFonts w:hint="default" w:ascii="Times New Roman" w:hAnsi="Times New Roman" w:eastAsia="宋体" w:cs="Times New Roman"/>
                      <w:color w:val="auto"/>
                      <w:sz w:val="21"/>
                      <w:szCs w:val="21"/>
                    </w:rPr>
                    <w:t>为项目</w:t>
                  </w:r>
                  <w:r>
                    <w:rPr>
                      <w:rFonts w:hint="eastAsia" w:cs="Times New Roman"/>
                      <w:color w:val="auto"/>
                      <w:sz w:val="21"/>
                      <w:szCs w:val="21"/>
                      <w:lang w:val="en-US" w:eastAsia="zh-CN"/>
                    </w:rPr>
                    <w:t>4</w:t>
                  </w:r>
                  <w:r>
                    <w:rPr>
                      <w:rFonts w:hint="default" w:ascii="Times New Roman" w:hAnsi="Times New Roman" w:eastAsia="宋体" w:cs="Times New Roman"/>
                      <w:color w:val="auto"/>
                      <w:sz w:val="21"/>
                      <w:szCs w:val="21"/>
                    </w:rPr>
                    <w:t>天储量</w:t>
                  </w:r>
                  <w:r>
                    <w:rPr>
                      <w:rFonts w:hint="default" w:ascii="Times New Roman" w:hAnsi="Times New Roman" w:cs="Times New Roman"/>
                      <w:color w:val="auto"/>
                      <w:sz w:val="21"/>
                      <w:szCs w:val="21"/>
                      <w:highlight w:val="none"/>
                    </w:rPr>
                    <w:t>。规格均为直径5m，罐高14m，总高度21m。</w:t>
                  </w:r>
                </w:p>
              </w:tc>
              <w:tc>
                <w:tcPr>
                  <w:tcW w:w="752" w:type="dxa"/>
                  <w:vAlign w:val="center"/>
                </w:tcPr>
                <w:p w14:paraId="42430177">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327601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4F41521E">
                  <w:pPr>
                    <w:pStyle w:val="46"/>
                    <w:jc w:val="center"/>
                    <w:rPr>
                      <w:rFonts w:hint="default" w:ascii="Times New Roman" w:hAnsi="Times New Roman" w:cs="Times New Roman"/>
                      <w:color w:val="auto"/>
                      <w:sz w:val="21"/>
                      <w:szCs w:val="21"/>
                      <w:highlight w:val="none"/>
                    </w:rPr>
                  </w:pPr>
                </w:p>
              </w:tc>
              <w:tc>
                <w:tcPr>
                  <w:tcW w:w="1471" w:type="dxa"/>
                  <w:gridSpan w:val="2"/>
                  <w:vMerge w:val="continue"/>
                  <w:vAlign w:val="center"/>
                </w:tcPr>
                <w:p w14:paraId="481015CA">
                  <w:pPr>
                    <w:pStyle w:val="46"/>
                    <w:jc w:val="center"/>
                    <w:rPr>
                      <w:rFonts w:hint="default" w:ascii="Times New Roman" w:hAnsi="Times New Roman" w:cs="Times New Roman"/>
                      <w:color w:val="auto"/>
                      <w:sz w:val="21"/>
                      <w:szCs w:val="21"/>
                      <w:highlight w:val="none"/>
                    </w:rPr>
                  </w:pPr>
                </w:p>
              </w:tc>
              <w:tc>
                <w:tcPr>
                  <w:tcW w:w="4562" w:type="dxa"/>
                  <w:vAlign w:val="center"/>
                </w:tcPr>
                <w:p w14:paraId="372DCDCB">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项目共</w:t>
                  </w:r>
                  <w:r>
                    <w:rPr>
                      <w:rFonts w:hint="eastAsia" w:cs="Times New Roman"/>
                      <w:color w:val="auto"/>
                      <w:sz w:val="21"/>
                      <w:szCs w:val="21"/>
                      <w:highlight w:val="none"/>
                      <w:lang w:val="en-US" w:eastAsia="zh-CN"/>
                    </w:rPr>
                    <w:t>设4个外加剂储罐，</w:t>
                  </w:r>
                  <w:r>
                    <w:rPr>
                      <w:rFonts w:hint="eastAsia" w:cs="Times New Roman"/>
                      <w:color w:val="auto"/>
                      <w:sz w:val="21"/>
                      <w:szCs w:val="21"/>
                      <w:highlight w:val="none"/>
                      <w:lang w:eastAsia="zh-CN"/>
                    </w:rPr>
                    <w:t>每条生产线配备</w:t>
                  </w:r>
                  <w:r>
                    <w:rPr>
                      <w:rFonts w:hint="default" w:ascii="Times New Roman" w:hAnsi="Times New Roman" w:cs="Times New Roman"/>
                      <w:color w:val="auto"/>
                      <w:sz w:val="21"/>
                      <w:szCs w:val="21"/>
                      <w:highlight w:val="none"/>
                    </w:rPr>
                    <w:t>外加剂储罐2个，每个10t，</w:t>
                  </w:r>
                  <w:r>
                    <w:rPr>
                      <w:rFonts w:hint="eastAsia" w:cs="Times New Roman"/>
                      <w:color w:val="auto"/>
                      <w:sz w:val="21"/>
                      <w:szCs w:val="21"/>
                      <w:highlight w:val="none"/>
                      <w:lang w:eastAsia="zh-CN"/>
                    </w:rPr>
                    <w:t>总存储量为</w:t>
                  </w:r>
                  <w:r>
                    <w:rPr>
                      <w:rFonts w:hint="eastAsia" w:cs="Times New Roman"/>
                      <w:color w:val="auto"/>
                      <w:sz w:val="21"/>
                      <w:szCs w:val="21"/>
                      <w:highlight w:val="none"/>
                      <w:lang w:val="en-US" w:eastAsia="zh-CN"/>
                    </w:rPr>
                    <w:t>40t，</w:t>
                  </w:r>
                  <w:r>
                    <w:rPr>
                      <w:rFonts w:hint="default" w:ascii="Times New Roman" w:hAnsi="Times New Roman" w:eastAsia="宋体" w:cs="Times New Roman"/>
                      <w:color w:val="auto"/>
                      <w:sz w:val="21"/>
                      <w:szCs w:val="21"/>
                    </w:rPr>
                    <w:t>为项目</w:t>
                  </w: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rPr>
                    <w:t>天储量</w:t>
                  </w:r>
                  <w:r>
                    <w:rPr>
                      <w:rFonts w:hint="eastAsia" w:cs="Times New Roman"/>
                      <w:color w:val="auto"/>
                      <w:sz w:val="21"/>
                      <w:szCs w:val="21"/>
                      <w:lang w:eastAsia="zh-CN"/>
                    </w:rPr>
                    <w:t>。</w:t>
                  </w:r>
                  <w:r>
                    <w:rPr>
                      <w:rFonts w:hint="default" w:ascii="Times New Roman" w:hAnsi="Times New Roman" w:cs="Times New Roman"/>
                      <w:color w:val="auto"/>
                      <w:sz w:val="21"/>
                      <w:szCs w:val="21"/>
                      <w:highlight w:val="none"/>
                    </w:rPr>
                    <w:t>直径</w:t>
                  </w:r>
                  <w:r>
                    <w:rPr>
                      <w:rFonts w:hint="default" w:ascii="Times New Roman" w:hAnsi="Times New Roman" w:cs="Times New Roman"/>
                      <w:color w:val="auto"/>
                      <w:sz w:val="21"/>
                      <w:szCs w:val="21"/>
                      <w:highlight w:val="none"/>
                      <w:lang w:eastAsia="zh-CN"/>
                    </w:rPr>
                    <w:t>为</w:t>
                  </w:r>
                  <w:r>
                    <w:rPr>
                      <w:rFonts w:hint="default" w:ascii="Times New Roman" w:hAnsi="Times New Roman" w:cs="Times New Roman"/>
                      <w:color w:val="auto"/>
                      <w:sz w:val="21"/>
                      <w:szCs w:val="21"/>
                      <w:highlight w:val="none"/>
                    </w:rPr>
                    <w:t>2.3m，罐高2.35m，高度</w:t>
                  </w:r>
                  <w:r>
                    <w:rPr>
                      <w:rFonts w:hint="default" w:ascii="Times New Roman" w:hAnsi="Times New Roman" w:cs="Times New Roman"/>
                      <w:color w:val="auto"/>
                      <w:sz w:val="21"/>
                      <w:szCs w:val="21"/>
                      <w:highlight w:val="none"/>
                      <w:lang w:eastAsia="zh-CN"/>
                    </w:rPr>
                    <w:t>为</w:t>
                  </w:r>
                  <w:r>
                    <w:rPr>
                      <w:rFonts w:hint="default" w:ascii="Times New Roman" w:hAnsi="Times New Roman" w:cs="Times New Roman"/>
                      <w:color w:val="auto"/>
                      <w:sz w:val="21"/>
                      <w:szCs w:val="21"/>
                      <w:highlight w:val="none"/>
                    </w:rPr>
                    <w:t>2.6m；防渗采取水泥结晶型防渗材料防渗，渗透系数小于10</w:t>
                  </w:r>
                  <w:r>
                    <w:rPr>
                      <w:rFonts w:hint="default" w:ascii="Times New Roman" w:hAnsi="Times New Roman" w:cs="Times New Roman"/>
                      <w:color w:val="auto"/>
                      <w:sz w:val="21"/>
                      <w:szCs w:val="21"/>
                      <w:highlight w:val="none"/>
                      <w:vertAlign w:val="superscript"/>
                    </w:rPr>
                    <w:t>-7</w:t>
                  </w:r>
                  <w:r>
                    <w:rPr>
                      <w:rFonts w:hint="default" w:ascii="Times New Roman" w:hAnsi="Times New Roman" w:cs="Times New Roman"/>
                      <w:color w:val="auto"/>
                      <w:sz w:val="21"/>
                      <w:szCs w:val="21"/>
                      <w:highlight w:val="none"/>
                    </w:rPr>
                    <w:t>cm/s</w:t>
                  </w:r>
                </w:p>
              </w:tc>
              <w:tc>
                <w:tcPr>
                  <w:tcW w:w="752" w:type="dxa"/>
                  <w:vAlign w:val="center"/>
                </w:tcPr>
                <w:p w14:paraId="53E093AB">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1A5326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49025EE9">
                  <w:pPr>
                    <w:pStyle w:val="46"/>
                    <w:jc w:val="center"/>
                    <w:rPr>
                      <w:rFonts w:hint="default" w:ascii="Times New Roman" w:hAnsi="Times New Roman" w:cs="Times New Roman"/>
                      <w:color w:val="auto"/>
                      <w:sz w:val="21"/>
                      <w:szCs w:val="21"/>
                      <w:highlight w:val="none"/>
                    </w:rPr>
                  </w:pPr>
                </w:p>
              </w:tc>
              <w:tc>
                <w:tcPr>
                  <w:tcW w:w="1471" w:type="dxa"/>
                  <w:gridSpan w:val="2"/>
                  <w:vMerge w:val="continue"/>
                  <w:vAlign w:val="center"/>
                </w:tcPr>
                <w:p w14:paraId="01530B5F">
                  <w:pPr>
                    <w:pStyle w:val="46"/>
                    <w:jc w:val="center"/>
                    <w:rPr>
                      <w:rFonts w:hint="default" w:ascii="Times New Roman" w:hAnsi="Times New Roman" w:cs="Times New Roman"/>
                      <w:color w:val="auto"/>
                      <w:sz w:val="21"/>
                      <w:szCs w:val="21"/>
                      <w:highlight w:val="none"/>
                    </w:rPr>
                  </w:pPr>
                </w:p>
              </w:tc>
              <w:tc>
                <w:tcPr>
                  <w:tcW w:w="4562" w:type="dxa"/>
                  <w:vAlign w:val="center"/>
                </w:tcPr>
                <w:p w14:paraId="488EF191">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40</w:t>
                  </w:r>
                  <w:r>
                    <w:rPr>
                      <w:rFonts w:hint="default" w:ascii="Times New Roman" w:hAnsi="Times New Roman" w:cs="Times New Roman"/>
                      <w:color w:val="auto"/>
                      <w:sz w:val="21"/>
                      <w:szCs w:val="21"/>
                      <w:highlight w:val="none"/>
                    </w:rPr>
                    <w:t>t储水</w:t>
                  </w:r>
                  <w:r>
                    <w:rPr>
                      <w:rFonts w:hint="default" w:ascii="Times New Roman" w:hAnsi="Times New Roman" w:cs="Times New Roman"/>
                      <w:color w:val="auto"/>
                      <w:sz w:val="21"/>
                      <w:szCs w:val="21"/>
                      <w:highlight w:val="none"/>
                      <w:lang w:val="en-US" w:eastAsia="zh-CN"/>
                    </w:rPr>
                    <w:t>箱</w:t>
                  </w:r>
                  <w:r>
                    <w:rPr>
                      <w:rFonts w:hint="eastAsia" w:cs="Times New Roman"/>
                      <w:color w:val="auto"/>
                      <w:sz w:val="21"/>
                      <w:szCs w:val="21"/>
                      <w:highlight w:val="none"/>
                      <w:lang w:val="en-US" w:eastAsia="zh-CN"/>
                    </w:rPr>
                    <w:t>2</w:t>
                  </w:r>
                  <w:r>
                    <w:rPr>
                      <w:rFonts w:hint="default" w:ascii="Times New Roman" w:hAnsi="Times New Roman" w:cs="Times New Roman"/>
                      <w:color w:val="auto"/>
                      <w:sz w:val="21"/>
                      <w:szCs w:val="21"/>
                      <w:highlight w:val="none"/>
                    </w:rPr>
                    <w:t>个，</w:t>
                  </w:r>
                  <w:r>
                    <w:rPr>
                      <w:rFonts w:hint="eastAsia" w:cs="Times New Roman"/>
                      <w:color w:val="auto"/>
                      <w:sz w:val="21"/>
                      <w:szCs w:val="21"/>
                      <w:highlight w:val="none"/>
                      <w:lang w:eastAsia="zh-CN"/>
                    </w:rPr>
                    <w:t>用于储存生产用水</w:t>
                  </w:r>
                  <w:r>
                    <w:rPr>
                      <w:rFonts w:hint="default" w:ascii="Times New Roman" w:hAnsi="Times New Roman" w:cs="Times New Roman"/>
                      <w:color w:val="auto"/>
                      <w:sz w:val="21"/>
                      <w:szCs w:val="21"/>
                      <w:highlight w:val="none"/>
                    </w:rPr>
                    <w:t>。</w:t>
                  </w:r>
                </w:p>
              </w:tc>
              <w:tc>
                <w:tcPr>
                  <w:tcW w:w="752" w:type="dxa"/>
                  <w:vAlign w:val="center"/>
                </w:tcPr>
                <w:p w14:paraId="34ABEF52">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411CED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6DE9B906">
                  <w:pPr>
                    <w:pStyle w:val="46"/>
                    <w:jc w:val="center"/>
                    <w:rPr>
                      <w:rFonts w:hint="default" w:ascii="Times New Roman" w:hAnsi="Times New Roman" w:cs="Times New Roman"/>
                      <w:color w:val="auto"/>
                      <w:sz w:val="21"/>
                      <w:szCs w:val="21"/>
                      <w:highlight w:val="none"/>
                    </w:rPr>
                  </w:pPr>
                </w:p>
              </w:tc>
              <w:tc>
                <w:tcPr>
                  <w:tcW w:w="1471" w:type="dxa"/>
                  <w:gridSpan w:val="2"/>
                  <w:vAlign w:val="center"/>
                </w:tcPr>
                <w:p w14:paraId="5482C8F6">
                  <w:pPr>
                    <w:pStyle w:val="46"/>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砂石料棚</w:t>
                  </w:r>
                </w:p>
              </w:tc>
              <w:tc>
                <w:tcPr>
                  <w:tcW w:w="4562" w:type="dxa"/>
                  <w:vAlign w:val="center"/>
                </w:tcPr>
                <w:p w14:paraId="4BB60692">
                  <w:pPr>
                    <w:pStyle w:val="46"/>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栋</w:t>
                  </w:r>
                  <w:r>
                    <w:rPr>
                      <w:rFonts w:hint="default" w:ascii="Times New Roman" w:hAnsi="Times New Roman" w:eastAsia="宋体" w:cs="Times New Roman"/>
                      <w:color w:val="auto"/>
                      <w:sz w:val="21"/>
                      <w:szCs w:val="21"/>
                    </w:rPr>
                    <w:t>彩钢结构</w:t>
                  </w:r>
                  <w:r>
                    <w:rPr>
                      <w:rFonts w:hint="eastAsia" w:cs="Times New Roman"/>
                      <w:color w:val="auto"/>
                      <w:sz w:val="21"/>
                      <w:szCs w:val="21"/>
                      <w:lang w:eastAsia="zh-CN"/>
                    </w:rPr>
                    <w:t>全</w:t>
                  </w:r>
                  <w:r>
                    <w:rPr>
                      <w:rFonts w:hint="default" w:ascii="Times New Roman" w:hAnsi="Times New Roman" w:eastAsia="宋体" w:cs="Times New Roman"/>
                      <w:color w:val="auto"/>
                      <w:sz w:val="21"/>
                      <w:szCs w:val="21"/>
                    </w:rPr>
                    <w:t>封闭储棚</w:t>
                  </w:r>
                  <w:r>
                    <w:rPr>
                      <w:rFonts w:hint="eastAsia" w:cs="Times New Roman"/>
                      <w:color w:val="auto"/>
                      <w:sz w:val="21"/>
                      <w:szCs w:val="21"/>
                      <w:highlight w:val="none"/>
                      <w:lang w:eastAsia="zh-CN"/>
                    </w:rPr>
                    <w:t>储存砂石料，</w:t>
                  </w:r>
                  <w:r>
                    <w:rPr>
                      <w:rFonts w:hint="default" w:ascii="Times New Roman" w:hAnsi="Times New Roman" w:eastAsia="宋体" w:cs="Times New Roman"/>
                      <w:color w:val="auto"/>
                      <w:sz w:val="21"/>
                      <w:szCs w:val="21"/>
                    </w:rPr>
                    <w:t>长</w:t>
                  </w:r>
                  <w:r>
                    <w:rPr>
                      <w:rFonts w:hint="eastAsia" w:cs="Times New Roman"/>
                      <w:color w:val="auto"/>
                      <w:sz w:val="21"/>
                      <w:szCs w:val="21"/>
                      <w:lang w:val="en-US" w:eastAsia="zh-CN"/>
                    </w:rPr>
                    <w:t>50</w:t>
                  </w:r>
                  <w:r>
                    <w:rPr>
                      <w:rFonts w:hint="default" w:ascii="Times New Roman" w:hAnsi="Times New Roman" w:eastAsia="宋体" w:cs="Times New Roman"/>
                      <w:color w:val="auto"/>
                      <w:sz w:val="21"/>
                      <w:szCs w:val="21"/>
                    </w:rPr>
                    <w:t>m，宽</w:t>
                  </w:r>
                  <w:r>
                    <w:rPr>
                      <w:rFonts w:hint="eastAsia" w:cs="Times New Roman"/>
                      <w:color w:val="auto"/>
                      <w:sz w:val="21"/>
                      <w:szCs w:val="21"/>
                      <w:lang w:val="en-US" w:eastAsia="zh-CN"/>
                    </w:rPr>
                    <w:t>20</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lang w:eastAsia="zh-CN"/>
                    </w:rPr>
                    <w:t>，</w:t>
                  </w:r>
                  <w:r>
                    <w:rPr>
                      <w:rFonts w:hint="eastAsia" w:cs="Times New Roman"/>
                      <w:color w:val="auto"/>
                      <w:sz w:val="21"/>
                      <w:szCs w:val="21"/>
                      <w:highlight w:val="none"/>
                      <w:vertAlign w:val="baseline"/>
                      <w:lang w:eastAsia="zh-CN"/>
                    </w:rPr>
                    <w:t>占地面积为</w:t>
                  </w:r>
                  <w:r>
                    <w:rPr>
                      <w:rFonts w:hint="eastAsia" w:cs="Times New Roman"/>
                      <w:color w:val="auto"/>
                      <w:sz w:val="21"/>
                      <w:szCs w:val="21"/>
                      <w:highlight w:val="none"/>
                      <w:vertAlign w:val="baseline"/>
                      <w:lang w:val="en-US" w:eastAsia="zh-CN"/>
                    </w:rPr>
                    <w:t>1000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eastAsia" w:cs="Times New Roman"/>
                      <w:color w:val="auto"/>
                      <w:sz w:val="21"/>
                      <w:szCs w:val="21"/>
                      <w:highlight w:val="none"/>
                      <w:vertAlign w:val="baseline"/>
                      <w:lang w:eastAsia="zh-CN"/>
                    </w:rPr>
                    <w:t>。</w:t>
                  </w:r>
                  <w:r>
                    <w:rPr>
                      <w:rFonts w:hint="eastAsia" w:cs="Times New Roman"/>
                      <w:color w:val="auto"/>
                      <w:sz w:val="21"/>
                      <w:szCs w:val="21"/>
                      <w:highlight w:val="none"/>
                      <w:lang w:eastAsia="zh-CN"/>
                    </w:rPr>
                    <w:t>砂石料</w:t>
                  </w:r>
                  <w:r>
                    <w:rPr>
                      <w:rFonts w:hint="default" w:ascii="Times New Roman" w:hAnsi="Times New Roman" w:eastAsia="宋体" w:cs="Times New Roman"/>
                      <w:color w:val="auto"/>
                      <w:sz w:val="21"/>
                      <w:szCs w:val="21"/>
                    </w:rPr>
                    <w:t>堆高</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rPr>
                    <w:t>m，可储</w:t>
                  </w:r>
                  <w:r>
                    <w:rPr>
                      <w:rFonts w:hint="eastAsia" w:cs="Times New Roman"/>
                      <w:color w:val="auto"/>
                      <w:sz w:val="21"/>
                      <w:szCs w:val="21"/>
                      <w:lang w:val="en-US" w:eastAsia="zh-CN"/>
                    </w:rPr>
                    <w:t>4800</w:t>
                  </w:r>
                  <w:r>
                    <w:rPr>
                      <w:rFonts w:hint="default" w:ascii="Times New Roman" w:hAnsi="Times New Roman" w:eastAsia="宋体" w:cs="Times New Roman"/>
                      <w:color w:val="auto"/>
                      <w:sz w:val="21"/>
                      <w:szCs w:val="21"/>
                    </w:rPr>
                    <w:t>t</w:t>
                  </w:r>
                  <w:r>
                    <w:rPr>
                      <w:rFonts w:hint="eastAsia" w:ascii="Times New Roman" w:hAnsi="Times New Roman" w:eastAsia="宋体" w:cs="Times New Roman"/>
                      <w:color w:val="auto"/>
                      <w:sz w:val="21"/>
                      <w:szCs w:val="21"/>
                      <w:lang w:eastAsia="zh-CN"/>
                    </w:rPr>
                    <w:t>砂石料</w:t>
                  </w:r>
                  <w:r>
                    <w:rPr>
                      <w:rFonts w:hint="default" w:ascii="Times New Roman" w:hAnsi="Times New Roman" w:eastAsia="宋体" w:cs="Times New Roman"/>
                      <w:color w:val="auto"/>
                      <w:sz w:val="21"/>
                      <w:szCs w:val="21"/>
                    </w:rPr>
                    <w:t>，为项目</w:t>
                  </w:r>
                  <w:r>
                    <w:rPr>
                      <w:rFonts w:hint="eastAsia" w:cs="Times New Roman"/>
                      <w:color w:val="auto"/>
                      <w:sz w:val="21"/>
                      <w:szCs w:val="21"/>
                      <w:lang w:val="en-US" w:eastAsia="zh-CN"/>
                    </w:rPr>
                    <w:t>1.5</w:t>
                  </w:r>
                  <w:r>
                    <w:rPr>
                      <w:rFonts w:hint="default" w:ascii="Times New Roman" w:hAnsi="Times New Roman" w:eastAsia="宋体" w:cs="Times New Roman"/>
                      <w:color w:val="auto"/>
                      <w:sz w:val="21"/>
                      <w:szCs w:val="21"/>
                    </w:rPr>
                    <w:t>天储量</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eastAsia="zh-CN"/>
                    </w:rPr>
                    <w:t>砂石料厂与本项目同一园区，运距短，暂存量可行。</w:t>
                  </w:r>
                </w:p>
              </w:tc>
              <w:tc>
                <w:tcPr>
                  <w:tcW w:w="752" w:type="dxa"/>
                  <w:vAlign w:val="center"/>
                </w:tcPr>
                <w:p w14:paraId="70A67A1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新建</w:t>
                  </w:r>
                </w:p>
              </w:tc>
            </w:tr>
            <w:tr w14:paraId="5F8A93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34" w:type="dxa"/>
                  <w:vMerge w:val="restart"/>
                  <w:vAlign w:val="center"/>
                </w:tcPr>
                <w:p w14:paraId="410B430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辅助工程</w:t>
                  </w:r>
                </w:p>
              </w:tc>
              <w:tc>
                <w:tcPr>
                  <w:tcW w:w="1471" w:type="dxa"/>
                  <w:gridSpan w:val="2"/>
                  <w:vAlign w:val="center"/>
                </w:tcPr>
                <w:p w14:paraId="0F32ED5C">
                  <w:pPr>
                    <w:pStyle w:val="46"/>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办公</w:t>
                  </w:r>
                  <w:r>
                    <w:rPr>
                      <w:rFonts w:hint="eastAsia" w:cs="Times New Roman"/>
                      <w:color w:val="auto"/>
                      <w:sz w:val="21"/>
                      <w:szCs w:val="21"/>
                      <w:highlight w:val="none"/>
                      <w:lang w:eastAsia="zh-CN"/>
                    </w:rPr>
                    <w:t>楼</w:t>
                  </w:r>
                </w:p>
              </w:tc>
              <w:tc>
                <w:tcPr>
                  <w:tcW w:w="4562" w:type="dxa"/>
                  <w:vAlign w:val="center"/>
                </w:tcPr>
                <w:p w14:paraId="697DADDE">
                  <w:pPr>
                    <w:pStyle w:val="46"/>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二层砖混结构</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eastAsia="zh-CN"/>
                    </w:rPr>
                    <w:t>长</w:t>
                  </w:r>
                  <w:r>
                    <w:rPr>
                      <w:rFonts w:hint="eastAsia" w:cs="Times New Roman"/>
                      <w:color w:val="auto"/>
                      <w:sz w:val="21"/>
                      <w:szCs w:val="21"/>
                      <w:highlight w:val="none"/>
                      <w:lang w:val="en-US" w:eastAsia="zh-CN"/>
                    </w:rPr>
                    <w:t>76.6m，宽13.9m，</w:t>
                  </w:r>
                  <w:r>
                    <w:rPr>
                      <w:rFonts w:hint="default" w:ascii="Times New Roman" w:hAnsi="Times New Roman" w:cs="Times New Roman"/>
                      <w:color w:val="auto"/>
                      <w:sz w:val="21"/>
                      <w:szCs w:val="21"/>
                      <w:highlight w:val="none"/>
                    </w:rPr>
                    <w:t>占地</w:t>
                  </w:r>
                  <w:r>
                    <w:rPr>
                      <w:rFonts w:hint="eastAsia" w:cs="Times New Roman"/>
                      <w:color w:val="auto"/>
                      <w:sz w:val="21"/>
                      <w:szCs w:val="21"/>
                      <w:highlight w:val="none"/>
                      <w:lang w:val="en-US" w:eastAsia="zh-CN"/>
                    </w:rPr>
                    <w:t>1064.74</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，1栋</w:t>
                  </w:r>
                  <w:r>
                    <w:rPr>
                      <w:rFonts w:hint="eastAsia" w:cs="Times New Roman"/>
                      <w:color w:val="auto"/>
                      <w:sz w:val="21"/>
                      <w:szCs w:val="21"/>
                      <w:highlight w:val="none"/>
                      <w:lang w:val="en-US" w:eastAsia="zh-CN"/>
                    </w:rPr>
                    <w:t>2</w:t>
                  </w:r>
                  <w:r>
                    <w:rPr>
                      <w:rFonts w:hint="default" w:ascii="Times New Roman" w:hAnsi="Times New Roman" w:cs="Times New Roman"/>
                      <w:color w:val="auto"/>
                      <w:sz w:val="21"/>
                      <w:szCs w:val="21"/>
                      <w:highlight w:val="none"/>
                    </w:rPr>
                    <w:t>层，</w:t>
                  </w:r>
                  <w:r>
                    <w:rPr>
                      <w:rFonts w:hint="eastAsia" w:cs="Times New Roman"/>
                      <w:color w:val="auto"/>
                      <w:sz w:val="21"/>
                      <w:szCs w:val="21"/>
                      <w:highlight w:val="none"/>
                      <w:lang w:eastAsia="zh-CN"/>
                    </w:rPr>
                    <w:t>包含</w:t>
                  </w:r>
                  <w:r>
                    <w:rPr>
                      <w:rFonts w:hint="default" w:ascii="Times New Roman" w:hAnsi="Times New Roman" w:cs="Times New Roman"/>
                      <w:color w:val="auto"/>
                      <w:sz w:val="21"/>
                      <w:szCs w:val="21"/>
                      <w:highlight w:val="none"/>
                    </w:rPr>
                    <w:t>化验室</w:t>
                  </w:r>
                  <w:r>
                    <w:rPr>
                      <w:rFonts w:hint="eastAsia" w:cs="Times New Roman"/>
                      <w:color w:val="auto"/>
                      <w:sz w:val="21"/>
                      <w:szCs w:val="21"/>
                      <w:highlight w:val="none"/>
                      <w:lang w:eastAsia="zh-CN"/>
                    </w:rPr>
                    <w:t>及办公室。其中</w:t>
                  </w:r>
                  <w:r>
                    <w:rPr>
                      <w:rFonts w:hint="default" w:ascii="Times New Roman" w:hAnsi="Times New Roman" w:cs="Times New Roman"/>
                      <w:color w:val="auto"/>
                      <w:sz w:val="21"/>
                      <w:szCs w:val="21"/>
                      <w:highlight w:val="none"/>
                    </w:rPr>
                    <w:t>化验室占地</w:t>
                  </w:r>
                  <w:r>
                    <w:rPr>
                      <w:rFonts w:hint="eastAsia" w:cs="Times New Roman"/>
                      <w:color w:val="auto"/>
                      <w:sz w:val="21"/>
                      <w:szCs w:val="21"/>
                      <w:highlight w:val="none"/>
                      <w:lang w:val="en-US" w:eastAsia="zh-CN"/>
                    </w:rPr>
                    <w:t>250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，位于</w:t>
                  </w:r>
                  <w:r>
                    <w:rPr>
                      <w:rFonts w:hint="eastAsia" w:cs="Times New Roman"/>
                      <w:color w:val="auto"/>
                      <w:sz w:val="21"/>
                      <w:szCs w:val="21"/>
                      <w:highlight w:val="none"/>
                      <w:lang w:eastAsia="zh-CN"/>
                    </w:rPr>
                    <w:t>办公楼一楼</w:t>
                  </w:r>
                  <w:r>
                    <w:rPr>
                      <w:rFonts w:hint="eastAsia" w:cs="Times New Roman"/>
                      <w:color w:val="auto"/>
                      <w:sz w:val="21"/>
                      <w:szCs w:val="21"/>
                      <w:highlight w:val="none"/>
                      <w:lang w:val="en-US" w:eastAsia="zh-CN"/>
                    </w:rPr>
                    <w:t>，</w:t>
                  </w:r>
                  <w:r>
                    <w:rPr>
                      <w:color w:val="auto"/>
                      <w:sz w:val="21"/>
                      <w:szCs w:val="21"/>
                    </w:rPr>
                    <w:t>用于对商品混凝土的强度进行测试。</w:t>
                  </w:r>
                </w:p>
              </w:tc>
              <w:tc>
                <w:tcPr>
                  <w:tcW w:w="752" w:type="dxa"/>
                  <w:vAlign w:val="center"/>
                </w:tcPr>
                <w:p w14:paraId="6B85B129">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4B2EA0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34" w:type="dxa"/>
                  <w:vMerge w:val="continue"/>
                  <w:vAlign w:val="center"/>
                </w:tcPr>
                <w:p w14:paraId="0F271E79">
                  <w:pPr>
                    <w:pStyle w:val="46"/>
                    <w:jc w:val="center"/>
                    <w:rPr>
                      <w:rFonts w:hint="default" w:ascii="Times New Roman" w:hAnsi="Times New Roman" w:cs="Times New Roman"/>
                      <w:color w:val="auto"/>
                      <w:sz w:val="21"/>
                      <w:szCs w:val="21"/>
                      <w:highlight w:val="none"/>
                    </w:rPr>
                  </w:pPr>
                </w:p>
              </w:tc>
              <w:tc>
                <w:tcPr>
                  <w:tcW w:w="1471" w:type="dxa"/>
                  <w:gridSpan w:val="2"/>
                  <w:vAlign w:val="center"/>
                </w:tcPr>
                <w:p w14:paraId="6D3794B4">
                  <w:pPr>
                    <w:pStyle w:val="46"/>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磅房</w:t>
                  </w:r>
                </w:p>
              </w:tc>
              <w:tc>
                <w:tcPr>
                  <w:tcW w:w="4562" w:type="dxa"/>
                  <w:vAlign w:val="center"/>
                </w:tcPr>
                <w:p w14:paraId="615ABFB5">
                  <w:pPr>
                    <w:pStyle w:val="46"/>
                    <w:jc w:val="center"/>
                    <w:rPr>
                      <w:rFonts w:hint="eastAsia" w:ascii="Times New Roman" w:hAnsi="Times New Roman" w:eastAsia="宋体" w:cs="Times New Roman"/>
                      <w:color w:val="auto"/>
                      <w:sz w:val="21"/>
                      <w:szCs w:val="21"/>
                      <w:highlight w:val="none"/>
                      <w:vertAlign w:val="baseline"/>
                      <w:lang w:eastAsia="zh-CN"/>
                    </w:rPr>
                  </w:pPr>
                  <w:r>
                    <w:rPr>
                      <w:rFonts w:hint="eastAsia" w:cs="Times New Roman"/>
                      <w:color w:val="auto"/>
                      <w:sz w:val="21"/>
                      <w:szCs w:val="21"/>
                      <w:highlight w:val="none"/>
                      <w:lang w:eastAsia="zh-CN"/>
                    </w:rPr>
                    <w:t>单层砖混结构</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eastAsia="zh-CN"/>
                    </w:rPr>
                    <w:t>长</w:t>
                  </w:r>
                  <w:r>
                    <w:rPr>
                      <w:rFonts w:hint="eastAsia" w:cs="Times New Roman"/>
                      <w:color w:val="auto"/>
                      <w:sz w:val="21"/>
                      <w:szCs w:val="21"/>
                      <w:highlight w:val="none"/>
                      <w:lang w:val="en-US" w:eastAsia="zh-CN"/>
                    </w:rPr>
                    <w:t>13.3m，宽7.2m，</w:t>
                  </w:r>
                  <w:r>
                    <w:rPr>
                      <w:rFonts w:hint="default" w:ascii="Times New Roman" w:hAnsi="Times New Roman" w:cs="Times New Roman"/>
                      <w:color w:val="auto"/>
                      <w:sz w:val="21"/>
                      <w:szCs w:val="21"/>
                      <w:highlight w:val="none"/>
                    </w:rPr>
                    <w:t>占地</w:t>
                  </w:r>
                  <w:r>
                    <w:rPr>
                      <w:rFonts w:hint="eastAsia" w:cs="Times New Roman"/>
                      <w:color w:val="auto"/>
                      <w:sz w:val="21"/>
                      <w:szCs w:val="21"/>
                      <w:highlight w:val="none"/>
                      <w:lang w:val="en-US" w:eastAsia="zh-CN"/>
                    </w:rPr>
                    <w:t>95.76</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eastAsia" w:cs="Times New Roman"/>
                      <w:color w:val="auto"/>
                      <w:sz w:val="21"/>
                      <w:szCs w:val="21"/>
                      <w:highlight w:val="none"/>
                      <w:vertAlign w:val="baseline"/>
                      <w:lang w:eastAsia="zh-CN"/>
                    </w:rPr>
                    <w:t>。</w:t>
                  </w:r>
                </w:p>
              </w:tc>
              <w:tc>
                <w:tcPr>
                  <w:tcW w:w="752" w:type="dxa"/>
                  <w:vAlign w:val="center"/>
                </w:tcPr>
                <w:p w14:paraId="162A03BB">
                  <w:pPr>
                    <w:pStyle w:val="46"/>
                    <w:jc w:val="center"/>
                    <w:rPr>
                      <w:rFonts w:hint="eastAsia" w:cs="Times New Roman"/>
                      <w:color w:val="auto"/>
                      <w:sz w:val="21"/>
                      <w:szCs w:val="21"/>
                      <w:highlight w:val="none"/>
                      <w:lang w:eastAsia="zh-CN"/>
                    </w:rPr>
                  </w:pPr>
                  <w:r>
                    <w:rPr>
                      <w:rFonts w:hint="eastAsia" w:cs="Times New Roman"/>
                      <w:color w:val="auto"/>
                      <w:sz w:val="21"/>
                      <w:szCs w:val="21"/>
                      <w:highlight w:val="none"/>
                      <w:lang w:eastAsia="zh-CN"/>
                    </w:rPr>
                    <w:t>已建</w:t>
                  </w:r>
                </w:p>
              </w:tc>
            </w:tr>
            <w:tr w14:paraId="5B4696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734" w:type="dxa"/>
                  <w:vMerge w:val="continue"/>
                  <w:vAlign w:val="center"/>
                </w:tcPr>
                <w:p w14:paraId="776E4CD1">
                  <w:pPr>
                    <w:pStyle w:val="46"/>
                    <w:jc w:val="center"/>
                    <w:rPr>
                      <w:rFonts w:hint="default" w:ascii="Times New Roman" w:hAnsi="Times New Roman" w:cs="Times New Roman"/>
                      <w:color w:val="auto"/>
                      <w:sz w:val="21"/>
                      <w:szCs w:val="21"/>
                      <w:highlight w:val="none"/>
                    </w:rPr>
                  </w:pPr>
                </w:p>
              </w:tc>
              <w:tc>
                <w:tcPr>
                  <w:tcW w:w="1471" w:type="dxa"/>
                  <w:gridSpan w:val="2"/>
                  <w:vAlign w:val="center"/>
                </w:tcPr>
                <w:p w14:paraId="543111AA">
                  <w:pPr>
                    <w:pStyle w:val="46"/>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库房</w:t>
                  </w:r>
                </w:p>
              </w:tc>
              <w:tc>
                <w:tcPr>
                  <w:tcW w:w="4562" w:type="dxa"/>
                  <w:vAlign w:val="center"/>
                </w:tcPr>
                <w:p w14:paraId="1E05C621">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单层砖混结构</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eastAsia="zh-CN"/>
                    </w:rPr>
                    <w:t>长</w:t>
                  </w:r>
                  <w:r>
                    <w:rPr>
                      <w:rFonts w:hint="eastAsia" w:cs="Times New Roman"/>
                      <w:color w:val="auto"/>
                      <w:sz w:val="21"/>
                      <w:szCs w:val="21"/>
                      <w:highlight w:val="none"/>
                      <w:lang w:val="en-US" w:eastAsia="zh-CN"/>
                    </w:rPr>
                    <w:t>65m，宽5m，</w:t>
                  </w:r>
                  <w:r>
                    <w:rPr>
                      <w:rFonts w:hint="default" w:ascii="Times New Roman" w:hAnsi="Times New Roman" w:cs="Times New Roman"/>
                      <w:color w:val="auto"/>
                      <w:sz w:val="21"/>
                      <w:szCs w:val="21"/>
                      <w:highlight w:val="none"/>
                    </w:rPr>
                    <w:t>占地</w:t>
                  </w:r>
                  <w:r>
                    <w:rPr>
                      <w:rFonts w:hint="eastAsia" w:cs="Times New Roman"/>
                      <w:color w:val="auto"/>
                      <w:sz w:val="21"/>
                      <w:szCs w:val="21"/>
                      <w:highlight w:val="none"/>
                      <w:lang w:val="en-US" w:eastAsia="zh-CN"/>
                    </w:rPr>
                    <w:t>325</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eastAsia" w:cs="Times New Roman"/>
                      <w:color w:val="auto"/>
                      <w:sz w:val="21"/>
                      <w:szCs w:val="21"/>
                      <w:highlight w:val="none"/>
                      <w:vertAlign w:val="baseline"/>
                      <w:lang w:eastAsia="zh-CN"/>
                    </w:rPr>
                    <w:t>。</w:t>
                  </w:r>
                </w:p>
              </w:tc>
              <w:tc>
                <w:tcPr>
                  <w:tcW w:w="752" w:type="dxa"/>
                  <w:vAlign w:val="center"/>
                </w:tcPr>
                <w:p w14:paraId="623B5289">
                  <w:pPr>
                    <w:pStyle w:val="46"/>
                    <w:jc w:val="center"/>
                    <w:rPr>
                      <w:rFonts w:hint="eastAsia" w:cs="Times New Roman"/>
                      <w:color w:val="auto"/>
                      <w:sz w:val="21"/>
                      <w:szCs w:val="21"/>
                      <w:highlight w:val="none"/>
                      <w:lang w:eastAsia="zh-CN"/>
                    </w:rPr>
                  </w:pPr>
                  <w:r>
                    <w:rPr>
                      <w:rFonts w:hint="eastAsia" w:cs="Times New Roman"/>
                      <w:color w:val="auto"/>
                      <w:sz w:val="21"/>
                      <w:szCs w:val="21"/>
                      <w:highlight w:val="none"/>
                      <w:lang w:eastAsia="zh-CN"/>
                    </w:rPr>
                    <w:t>已建</w:t>
                  </w:r>
                </w:p>
              </w:tc>
            </w:tr>
            <w:tr w14:paraId="432A2A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34" w:type="dxa"/>
                  <w:vMerge w:val="continue"/>
                  <w:vAlign w:val="center"/>
                </w:tcPr>
                <w:p w14:paraId="29D2E1C4">
                  <w:pPr>
                    <w:pStyle w:val="46"/>
                    <w:jc w:val="center"/>
                    <w:rPr>
                      <w:rFonts w:hint="default" w:ascii="Times New Roman" w:hAnsi="Times New Roman" w:cs="Times New Roman"/>
                      <w:color w:val="auto"/>
                      <w:sz w:val="21"/>
                      <w:szCs w:val="21"/>
                      <w:highlight w:val="none"/>
                    </w:rPr>
                  </w:pPr>
                </w:p>
              </w:tc>
              <w:tc>
                <w:tcPr>
                  <w:tcW w:w="1471" w:type="dxa"/>
                  <w:gridSpan w:val="2"/>
                  <w:vAlign w:val="center"/>
                </w:tcPr>
                <w:p w14:paraId="069901D7">
                  <w:pPr>
                    <w:pStyle w:val="46"/>
                    <w:jc w:val="center"/>
                    <w:rPr>
                      <w:rFonts w:hint="eastAsia" w:cs="Times New Roman"/>
                      <w:color w:val="auto"/>
                      <w:sz w:val="21"/>
                      <w:szCs w:val="21"/>
                      <w:highlight w:val="none"/>
                      <w:lang w:eastAsia="zh-CN"/>
                    </w:rPr>
                  </w:pPr>
                  <w:r>
                    <w:rPr>
                      <w:rFonts w:hint="eastAsia" w:cs="Times New Roman"/>
                      <w:color w:val="auto"/>
                      <w:sz w:val="21"/>
                      <w:szCs w:val="21"/>
                      <w:highlight w:val="none"/>
                      <w:lang w:eastAsia="zh-CN"/>
                    </w:rPr>
                    <w:t>泵房</w:t>
                  </w:r>
                </w:p>
              </w:tc>
              <w:tc>
                <w:tcPr>
                  <w:tcW w:w="4562" w:type="dxa"/>
                  <w:vAlign w:val="center"/>
                </w:tcPr>
                <w:p w14:paraId="210CDD12">
                  <w:pPr>
                    <w:pStyle w:val="46"/>
                    <w:jc w:val="center"/>
                    <w:rPr>
                      <w:rFonts w:hint="eastAsia" w:cs="Times New Roman"/>
                      <w:color w:val="auto"/>
                      <w:sz w:val="21"/>
                      <w:szCs w:val="21"/>
                      <w:highlight w:val="none"/>
                      <w:lang w:eastAsia="zh-CN"/>
                    </w:rPr>
                  </w:pPr>
                  <w:r>
                    <w:rPr>
                      <w:rFonts w:hint="eastAsia" w:cs="Times New Roman"/>
                      <w:color w:val="auto"/>
                      <w:sz w:val="21"/>
                      <w:szCs w:val="21"/>
                      <w:highlight w:val="none"/>
                      <w:lang w:eastAsia="zh-CN"/>
                    </w:rPr>
                    <w:t>单层砖混结构</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eastAsia="zh-CN"/>
                    </w:rPr>
                    <w:t>长</w:t>
                  </w:r>
                  <w:r>
                    <w:rPr>
                      <w:rFonts w:hint="eastAsia" w:cs="Times New Roman"/>
                      <w:color w:val="auto"/>
                      <w:sz w:val="21"/>
                      <w:szCs w:val="21"/>
                      <w:highlight w:val="none"/>
                      <w:lang w:val="en-US" w:eastAsia="zh-CN"/>
                    </w:rPr>
                    <w:t>42.2m，宽7.1m，</w:t>
                  </w:r>
                  <w:r>
                    <w:rPr>
                      <w:rFonts w:hint="default" w:ascii="Times New Roman" w:hAnsi="Times New Roman" w:cs="Times New Roman"/>
                      <w:color w:val="auto"/>
                      <w:sz w:val="21"/>
                      <w:szCs w:val="21"/>
                      <w:highlight w:val="none"/>
                    </w:rPr>
                    <w:t>占地</w:t>
                  </w:r>
                  <w:r>
                    <w:rPr>
                      <w:rFonts w:hint="eastAsia" w:cs="Times New Roman"/>
                      <w:color w:val="auto"/>
                      <w:sz w:val="21"/>
                      <w:szCs w:val="21"/>
                      <w:highlight w:val="none"/>
                      <w:lang w:val="en-US" w:eastAsia="zh-CN"/>
                    </w:rPr>
                    <w:t>299.62</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eastAsia" w:cs="Times New Roman"/>
                      <w:color w:val="auto"/>
                      <w:sz w:val="21"/>
                      <w:szCs w:val="21"/>
                      <w:highlight w:val="none"/>
                      <w:vertAlign w:val="baseline"/>
                      <w:lang w:eastAsia="zh-CN"/>
                    </w:rPr>
                    <w:t>。</w:t>
                  </w:r>
                </w:p>
              </w:tc>
              <w:tc>
                <w:tcPr>
                  <w:tcW w:w="752" w:type="dxa"/>
                  <w:vAlign w:val="center"/>
                </w:tcPr>
                <w:p w14:paraId="5A5D4BAD">
                  <w:pPr>
                    <w:pStyle w:val="46"/>
                    <w:jc w:val="center"/>
                    <w:rPr>
                      <w:rFonts w:hint="eastAsia" w:cs="Times New Roman"/>
                      <w:color w:val="auto"/>
                      <w:sz w:val="21"/>
                      <w:szCs w:val="21"/>
                      <w:highlight w:val="none"/>
                      <w:lang w:eastAsia="zh-CN"/>
                    </w:rPr>
                  </w:pPr>
                  <w:r>
                    <w:rPr>
                      <w:rFonts w:hint="eastAsia" w:cs="Times New Roman"/>
                      <w:color w:val="auto"/>
                      <w:sz w:val="21"/>
                      <w:szCs w:val="21"/>
                      <w:highlight w:val="none"/>
                      <w:lang w:eastAsia="zh-CN"/>
                    </w:rPr>
                    <w:t>已建</w:t>
                  </w:r>
                </w:p>
              </w:tc>
            </w:tr>
            <w:tr w14:paraId="45747F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734" w:type="dxa"/>
                  <w:vMerge w:val="continue"/>
                  <w:vAlign w:val="center"/>
                </w:tcPr>
                <w:p w14:paraId="49811E7E">
                  <w:pPr>
                    <w:pStyle w:val="46"/>
                    <w:jc w:val="center"/>
                    <w:rPr>
                      <w:rFonts w:hint="default" w:ascii="Times New Roman" w:hAnsi="Times New Roman" w:cs="Times New Roman"/>
                      <w:color w:val="auto"/>
                      <w:sz w:val="21"/>
                      <w:szCs w:val="21"/>
                      <w:highlight w:val="none"/>
                    </w:rPr>
                  </w:pPr>
                </w:p>
              </w:tc>
              <w:tc>
                <w:tcPr>
                  <w:tcW w:w="1471" w:type="dxa"/>
                  <w:gridSpan w:val="2"/>
                  <w:vAlign w:val="center"/>
                </w:tcPr>
                <w:p w14:paraId="12824A3D">
                  <w:pPr>
                    <w:pStyle w:val="46"/>
                    <w:jc w:val="center"/>
                    <w:rPr>
                      <w:rFonts w:hint="eastAsia" w:cs="Times New Roman"/>
                      <w:color w:val="auto"/>
                      <w:sz w:val="21"/>
                      <w:szCs w:val="21"/>
                      <w:highlight w:val="none"/>
                      <w:lang w:eastAsia="zh-CN"/>
                    </w:rPr>
                  </w:pPr>
                  <w:r>
                    <w:rPr>
                      <w:rFonts w:hint="eastAsia" w:cs="Times New Roman"/>
                      <w:color w:val="auto"/>
                      <w:sz w:val="21"/>
                      <w:szCs w:val="21"/>
                      <w:highlight w:val="none"/>
                      <w:lang w:eastAsia="zh-CN"/>
                    </w:rPr>
                    <w:t>发电机房</w:t>
                  </w:r>
                </w:p>
              </w:tc>
              <w:tc>
                <w:tcPr>
                  <w:tcW w:w="4562" w:type="dxa"/>
                  <w:vAlign w:val="center"/>
                </w:tcPr>
                <w:p w14:paraId="40CAD586">
                  <w:pPr>
                    <w:pStyle w:val="46"/>
                    <w:jc w:val="center"/>
                    <w:rPr>
                      <w:rFonts w:hint="eastAsia" w:cs="Times New Roman"/>
                      <w:color w:val="auto"/>
                      <w:sz w:val="21"/>
                      <w:szCs w:val="21"/>
                      <w:highlight w:val="none"/>
                      <w:lang w:eastAsia="zh-CN"/>
                    </w:rPr>
                  </w:pPr>
                  <w:r>
                    <w:rPr>
                      <w:rFonts w:hint="eastAsia" w:cs="Times New Roman"/>
                      <w:color w:val="auto"/>
                      <w:sz w:val="21"/>
                      <w:szCs w:val="21"/>
                      <w:highlight w:val="none"/>
                      <w:lang w:eastAsia="zh-CN"/>
                    </w:rPr>
                    <w:t>单层砖混结构</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eastAsia="zh-CN"/>
                    </w:rPr>
                    <w:t>长</w:t>
                  </w:r>
                  <w:r>
                    <w:rPr>
                      <w:rFonts w:hint="eastAsia" w:cs="Times New Roman"/>
                      <w:color w:val="auto"/>
                      <w:sz w:val="21"/>
                      <w:szCs w:val="21"/>
                      <w:highlight w:val="none"/>
                      <w:lang w:val="en-US" w:eastAsia="zh-CN"/>
                    </w:rPr>
                    <w:t>24.5m，宽6m，</w:t>
                  </w:r>
                  <w:r>
                    <w:rPr>
                      <w:rFonts w:hint="default" w:ascii="Times New Roman" w:hAnsi="Times New Roman" w:cs="Times New Roman"/>
                      <w:color w:val="auto"/>
                      <w:sz w:val="21"/>
                      <w:szCs w:val="21"/>
                      <w:highlight w:val="none"/>
                    </w:rPr>
                    <w:t>占地</w:t>
                  </w:r>
                  <w:r>
                    <w:rPr>
                      <w:rFonts w:hint="eastAsia" w:cs="Times New Roman"/>
                      <w:color w:val="auto"/>
                      <w:sz w:val="21"/>
                      <w:szCs w:val="21"/>
                      <w:highlight w:val="none"/>
                      <w:lang w:val="en-US" w:eastAsia="zh-CN"/>
                    </w:rPr>
                    <w:t>147</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eastAsia" w:cs="Times New Roman"/>
                      <w:color w:val="auto"/>
                      <w:sz w:val="21"/>
                      <w:szCs w:val="21"/>
                      <w:highlight w:val="none"/>
                      <w:vertAlign w:val="baseline"/>
                      <w:lang w:eastAsia="zh-CN"/>
                    </w:rPr>
                    <w:t>。配备柴油发电机，厂内</w:t>
                  </w:r>
                  <w:r>
                    <w:rPr>
                      <w:rFonts w:hint="eastAsia"/>
                      <w:color w:val="auto"/>
                      <w:lang w:val="en-US" w:eastAsia="zh-CN"/>
                    </w:rPr>
                    <w:t>不设柴油罐，每次需要直接购买柴油添加，不储存</w:t>
                  </w:r>
                  <w:r>
                    <w:rPr>
                      <w:rFonts w:hint="eastAsia" w:cs="Times New Roman"/>
                      <w:color w:val="auto"/>
                      <w:sz w:val="21"/>
                      <w:szCs w:val="21"/>
                      <w:highlight w:val="none"/>
                      <w:vertAlign w:val="baseline"/>
                      <w:lang w:eastAsia="zh-CN"/>
                    </w:rPr>
                    <w:t>。</w:t>
                  </w:r>
                </w:p>
              </w:tc>
              <w:tc>
                <w:tcPr>
                  <w:tcW w:w="752" w:type="dxa"/>
                  <w:vAlign w:val="center"/>
                </w:tcPr>
                <w:p w14:paraId="36BDEFED">
                  <w:pPr>
                    <w:pStyle w:val="46"/>
                    <w:jc w:val="center"/>
                    <w:rPr>
                      <w:rFonts w:hint="eastAsia" w:cs="Times New Roman"/>
                      <w:color w:val="auto"/>
                      <w:sz w:val="21"/>
                      <w:szCs w:val="21"/>
                      <w:highlight w:val="none"/>
                      <w:lang w:eastAsia="zh-CN"/>
                    </w:rPr>
                  </w:pPr>
                  <w:r>
                    <w:rPr>
                      <w:rFonts w:hint="eastAsia" w:cs="Times New Roman"/>
                      <w:color w:val="auto"/>
                      <w:sz w:val="21"/>
                      <w:szCs w:val="21"/>
                      <w:highlight w:val="none"/>
                      <w:lang w:eastAsia="zh-CN"/>
                    </w:rPr>
                    <w:t>已建</w:t>
                  </w:r>
                </w:p>
              </w:tc>
            </w:tr>
            <w:tr w14:paraId="4C0174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restart"/>
                  <w:vAlign w:val="center"/>
                </w:tcPr>
                <w:p w14:paraId="4D45F95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公用</w:t>
                  </w:r>
                </w:p>
                <w:p w14:paraId="486BA8C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工程</w:t>
                  </w:r>
                </w:p>
              </w:tc>
              <w:tc>
                <w:tcPr>
                  <w:tcW w:w="1471" w:type="dxa"/>
                  <w:gridSpan w:val="2"/>
                  <w:vAlign w:val="center"/>
                </w:tcPr>
                <w:p w14:paraId="6B82EFE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供水</w:t>
                  </w:r>
                </w:p>
              </w:tc>
              <w:tc>
                <w:tcPr>
                  <w:tcW w:w="4562" w:type="dxa"/>
                  <w:vAlign w:val="center"/>
                </w:tcPr>
                <w:p w14:paraId="489EA95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生产用水</w:t>
                  </w:r>
                  <w:r>
                    <w:rPr>
                      <w:rFonts w:hint="eastAsia" w:cs="Times New Roman"/>
                      <w:color w:val="auto"/>
                      <w:sz w:val="21"/>
                      <w:szCs w:val="21"/>
                      <w:highlight w:val="none"/>
                      <w:lang w:val="en-US" w:eastAsia="zh-CN"/>
                    </w:rPr>
                    <w:t>使用鄂尔多斯市东胜区洁通排水产业有限责任公司再生水，由输水管道输送项目厂区</w:t>
                  </w:r>
                  <w:r>
                    <w:rPr>
                      <w:rFonts w:hint="default" w:ascii="Times New Roman" w:hAnsi="Times New Roman" w:cs="Times New Roman"/>
                      <w:color w:val="auto"/>
                      <w:sz w:val="21"/>
                      <w:szCs w:val="21"/>
                      <w:highlight w:val="none"/>
                    </w:rPr>
                    <w:t>。生活用水采用桶装水。</w:t>
                  </w:r>
                </w:p>
              </w:tc>
              <w:tc>
                <w:tcPr>
                  <w:tcW w:w="752" w:type="dxa"/>
                  <w:vAlign w:val="center"/>
                </w:tcPr>
                <w:p w14:paraId="15469115">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eastAsia="zh-CN"/>
                    </w:rPr>
                    <w:t>已建</w:t>
                  </w:r>
                </w:p>
              </w:tc>
            </w:tr>
            <w:tr w14:paraId="113C96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4" w:type="dxa"/>
                  <w:vMerge w:val="continue"/>
                  <w:vAlign w:val="center"/>
                </w:tcPr>
                <w:p w14:paraId="028D8D7A">
                  <w:pPr>
                    <w:pStyle w:val="46"/>
                    <w:jc w:val="center"/>
                    <w:rPr>
                      <w:rFonts w:hint="default" w:ascii="Times New Roman" w:hAnsi="Times New Roman" w:cs="Times New Roman"/>
                      <w:color w:val="auto"/>
                      <w:sz w:val="21"/>
                      <w:szCs w:val="21"/>
                      <w:highlight w:val="none"/>
                    </w:rPr>
                  </w:pPr>
                </w:p>
              </w:tc>
              <w:tc>
                <w:tcPr>
                  <w:tcW w:w="1471" w:type="dxa"/>
                  <w:gridSpan w:val="2"/>
                  <w:vMerge w:val="restart"/>
                  <w:vAlign w:val="center"/>
                </w:tcPr>
                <w:p w14:paraId="727E3D9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排水</w:t>
                  </w:r>
                </w:p>
              </w:tc>
              <w:tc>
                <w:tcPr>
                  <w:tcW w:w="4562" w:type="dxa"/>
                  <w:vAlign w:val="center"/>
                </w:tcPr>
                <w:p w14:paraId="441C845E">
                  <w:pPr>
                    <w:pStyle w:val="46"/>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生活污水经化粪池（5m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eastAsia="zh-CN"/>
                    </w:rPr>
                    <w:t>收集沉淀</w:t>
                  </w:r>
                  <w:r>
                    <w:rPr>
                      <w:rFonts w:hint="default" w:ascii="Times New Roman" w:hAnsi="Times New Roman" w:cs="Times New Roman"/>
                      <w:color w:val="auto"/>
                      <w:sz w:val="21"/>
                      <w:szCs w:val="21"/>
                      <w:highlight w:val="none"/>
                    </w:rPr>
                    <w:t>后，</w:t>
                  </w:r>
                  <w:r>
                    <w:rPr>
                      <w:rFonts w:hint="default" w:ascii="Times New Roman" w:hAnsi="Times New Roman" w:cs="Times New Roman"/>
                      <w:color w:val="auto"/>
                      <w:sz w:val="21"/>
                      <w:szCs w:val="21"/>
                      <w:highlight w:val="none"/>
                      <w:lang w:val="en-US" w:eastAsia="zh-CN"/>
                    </w:rPr>
                    <w:t>拉运至附近污水处理厂处置</w:t>
                  </w:r>
                  <w:r>
                    <w:rPr>
                      <w:rFonts w:hint="default" w:ascii="Times New Roman" w:hAnsi="Times New Roman" w:cs="Times New Roman"/>
                      <w:color w:val="auto"/>
                      <w:sz w:val="21"/>
                      <w:szCs w:val="21"/>
                      <w:highlight w:val="none"/>
                      <w:lang w:eastAsia="zh-CN"/>
                    </w:rPr>
                    <w:t>。</w:t>
                  </w:r>
                </w:p>
              </w:tc>
              <w:tc>
                <w:tcPr>
                  <w:tcW w:w="752" w:type="dxa"/>
                  <w:vAlign w:val="center"/>
                </w:tcPr>
                <w:p w14:paraId="568A9DB2">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42D086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455C9873">
                  <w:pPr>
                    <w:pStyle w:val="46"/>
                    <w:jc w:val="center"/>
                    <w:rPr>
                      <w:rFonts w:hint="default" w:ascii="Times New Roman" w:hAnsi="Times New Roman" w:cs="Times New Roman"/>
                      <w:color w:val="auto"/>
                      <w:sz w:val="21"/>
                      <w:szCs w:val="21"/>
                      <w:highlight w:val="none"/>
                    </w:rPr>
                  </w:pPr>
                </w:p>
              </w:tc>
              <w:tc>
                <w:tcPr>
                  <w:tcW w:w="1471" w:type="dxa"/>
                  <w:gridSpan w:val="2"/>
                  <w:vMerge w:val="continue"/>
                  <w:vAlign w:val="center"/>
                </w:tcPr>
                <w:p w14:paraId="47F0A4E2">
                  <w:pPr>
                    <w:pStyle w:val="46"/>
                    <w:jc w:val="center"/>
                    <w:rPr>
                      <w:rFonts w:hint="default" w:ascii="Times New Roman" w:hAnsi="Times New Roman" w:cs="Times New Roman"/>
                      <w:color w:val="auto"/>
                      <w:sz w:val="21"/>
                      <w:szCs w:val="21"/>
                      <w:highlight w:val="none"/>
                    </w:rPr>
                  </w:pPr>
                </w:p>
              </w:tc>
              <w:tc>
                <w:tcPr>
                  <w:tcW w:w="4562" w:type="dxa"/>
                  <w:vAlign w:val="center"/>
                </w:tcPr>
                <w:p w14:paraId="3D2834F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设备清洗废水</w:t>
                  </w:r>
                  <w:r>
                    <w:rPr>
                      <w:rFonts w:hint="default" w:ascii="Times New Roman" w:hAnsi="Times New Roman" w:cs="Times New Roman"/>
                      <w:color w:val="auto"/>
                      <w:sz w:val="21"/>
                      <w:szCs w:val="21"/>
                      <w:highlight w:val="none"/>
                      <w:lang w:eastAsia="zh-CN"/>
                    </w:rPr>
                    <w:t>、</w:t>
                  </w:r>
                  <w:r>
                    <w:rPr>
                      <w:rFonts w:hint="eastAsia" w:cs="Times New Roman"/>
                      <w:color w:val="auto"/>
                      <w:sz w:val="21"/>
                      <w:szCs w:val="21"/>
                      <w:highlight w:val="none"/>
                      <w:lang w:val="en-US" w:eastAsia="zh-CN"/>
                    </w:rPr>
                    <w:t>洗砂机</w:t>
                  </w:r>
                  <w:r>
                    <w:rPr>
                      <w:rFonts w:hint="default" w:ascii="Times New Roman" w:hAnsi="Times New Roman" w:cs="Times New Roman"/>
                      <w:color w:val="auto"/>
                      <w:sz w:val="21"/>
                      <w:szCs w:val="21"/>
                      <w:highlight w:val="none"/>
                      <w:lang w:val="en-US" w:eastAsia="zh-CN"/>
                    </w:rPr>
                    <w:t>废水</w:t>
                  </w:r>
                  <w:r>
                    <w:rPr>
                      <w:rFonts w:hint="default" w:ascii="Times New Roman" w:hAnsi="Times New Roman" w:cs="Times New Roman"/>
                      <w:color w:val="auto"/>
                      <w:sz w:val="21"/>
                      <w:szCs w:val="21"/>
                      <w:highlight w:val="none"/>
                    </w:rPr>
                    <w:t>及地面冲洗废水经沉淀池（10m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）沉淀后循环利用</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不外排。</w:t>
                  </w:r>
                </w:p>
              </w:tc>
              <w:tc>
                <w:tcPr>
                  <w:tcW w:w="752" w:type="dxa"/>
                  <w:vAlign w:val="center"/>
                </w:tcPr>
                <w:p w14:paraId="4D6427CC">
                  <w:pPr>
                    <w:pStyle w:val="46"/>
                    <w:jc w:val="center"/>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已建</w:t>
                  </w:r>
                </w:p>
              </w:tc>
            </w:tr>
            <w:tr w14:paraId="7F4647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11E4C8B7">
                  <w:pPr>
                    <w:pStyle w:val="46"/>
                    <w:jc w:val="center"/>
                    <w:rPr>
                      <w:rFonts w:hint="default" w:ascii="Times New Roman" w:hAnsi="Times New Roman" w:cs="Times New Roman"/>
                      <w:color w:val="auto"/>
                      <w:sz w:val="21"/>
                      <w:szCs w:val="21"/>
                      <w:highlight w:val="none"/>
                    </w:rPr>
                  </w:pPr>
                </w:p>
              </w:tc>
              <w:tc>
                <w:tcPr>
                  <w:tcW w:w="1471" w:type="dxa"/>
                  <w:gridSpan w:val="2"/>
                  <w:vAlign w:val="center"/>
                </w:tcPr>
                <w:p w14:paraId="18CABBCE">
                  <w:pPr>
                    <w:pStyle w:val="46"/>
                    <w:ind w:firstLine="420" w:firstLineChars="20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供电</w:t>
                  </w:r>
                </w:p>
              </w:tc>
              <w:tc>
                <w:tcPr>
                  <w:tcW w:w="4562" w:type="dxa"/>
                  <w:vAlign w:val="center"/>
                </w:tcPr>
                <w:p w14:paraId="0DDC231B">
                  <w:pPr>
                    <w:pStyle w:val="46"/>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项目用电</w:t>
                  </w:r>
                  <w:r>
                    <w:rPr>
                      <w:rFonts w:hint="default" w:ascii="Times New Roman" w:hAnsi="Times New Roman" w:cs="Times New Roman"/>
                      <w:color w:val="auto"/>
                      <w:sz w:val="21"/>
                      <w:szCs w:val="21"/>
                      <w:highlight w:val="none"/>
                      <w:lang w:val="en-US" w:eastAsia="zh-CN"/>
                    </w:rPr>
                    <w:t>依托附近电网</w:t>
                  </w:r>
                  <w:r>
                    <w:rPr>
                      <w:rFonts w:hint="default" w:ascii="Times New Roman" w:hAnsi="Times New Roman" w:cs="Times New Roman"/>
                      <w:color w:val="auto"/>
                      <w:sz w:val="21"/>
                      <w:szCs w:val="21"/>
                      <w:highlight w:val="none"/>
                      <w:lang w:eastAsia="zh-CN"/>
                    </w:rPr>
                    <w:t>。</w:t>
                  </w:r>
                </w:p>
              </w:tc>
              <w:tc>
                <w:tcPr>
                  <w:tcW w:w="752" w:type="dxa"/>
                  <w:vAlign w:val="center"/>
                </w:tcPr>
                <w:p w14:paraId="4B0F33AB">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735235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4280686C">
                  <w:pPr>
                    <w:pStyle w:val="46"/>
                    <w:jc w:val="center"/>
                    <w:rPr>
                      <w:rFonts w:hint="default" w:ascii="Times New Roman" w:hAnsi="Times New Roman" w:cs="Times New Roman"/>
                      <w:color w:val="auto"/>
                      <w:sz w:val="21"/>
                      <w:szCs w:val="21"/>
                      <w:highlight w:val="none"/>
                    </w:rPr>
                  </w:pPr>
                </w:p>
              </w:tc>
              <w:tc>
                <w:tcPr>
                  <w:tcW w:w="1471" w:type="dxa"/>
                  <w:gridSpan w:val="2"/>
                  <w:vAlign w:val="center"/>
                </w:tcPr>
                <w:p w14:paraId="0F57D5F0">
                  <w:pPr>
                    <w:pStyle w:val="46"/>
                    <w:ind w:firstLine="420" w:firstLineChars="20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供暖</w:t>
                  </w:r>
                </w:p>
              </w:tc>
              <w:tc>
                <w:tcPr>
                  <w:tcW w:w="4562" w:type="dxa"/>
                  <w:vAlign w:val="center"/>
                </w:tcPr>
                <w:p w14:paraId="69C541C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本项目冬季采暖方式为电采暖</w:t>
                  </w:r>
                  <w:r>
                    <w:rPr>
                      <w:rFonts w:hint="eastAsia" w:cs="Times New Roman"/>
                      <w:color w:val="auto"/>
                      <w:sz w:val="21"/>
                      <w:szCs w:val="21"/>
                      <w:highlight w:val="none"/>
                      <w:lang w:eastAsia="zh-CN"/>
                    </w:rPr>
                    <w:t>，为驻站人员冬季采暖使用</w:t>
                  </w:r>
                  <w:r>
                    <w:rPr>
                      <w:rFonts w:hint="default" w:ascii="Times New Roman" w:hAnsi="Times New Roman" w:cs="Times New Roman"/>
                      <w:color w:val="auto"/>
                      <w:sz w:val="21"/>
                      <w:szCs w:val="21"/>
                      <w:highlight w:val="none"/>
                    </w:rPr>
                    <w:t>。</w:t>
                  </w:r>
                </w:p>
              </w:tc>
              <w:tc>
                <w:tcPr>
                  <w:tcW w:w="752" w:type="dxa"/>
                  <w:vAlign w:val="center"/>
                </w:tcPr>
                <w:p w14:paraId="1625512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新建</w:t>
                  </w:r>
                </w:p>
              </w:tc>
            </w:tr>
            <w:tr w14:paraId="768BC6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restart"/>
                  <w:vAlign w:val="center"/>
                </w:tcPr>
                <w:p w14:paraId="2BF86F8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环保</w:t>
                  </w:r>
                </w:p>
                <w:p w14:paraId="2ACA4EE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工程</w:t>
                  </w:r>
                </w:p>
              </w:tc>
              <w:tc>
                <w:tcPr>
                  <w:tcW w:w="319" w:type="dxa"/>
                  <w:vMerge w:val="restart"/>
                  <w:vAlign w:val="center"/>
                </w:tcPr>
                <w:p w14:paraId="33BED6B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w:t>
                  </w:r>
                </w:p>
              </w:tc>
              <w:tc>
                <w:tcPr>
                  <w:tcW w:w="1152" w:type="dxa"/>
                  <w:vMerge w:val="restart"/>
                  <w:vAlign w:val="center"/>
                </w:tcPr>
                <w:p w14:paraId="6AEFE1E7">
                  <w:pPr>
                    <w:pStyle w:val="46"/>
                    <w:jc w:val="center"/>
                    <w:rPr>
                      <w:rFonts w:hint="default" w:ascii="Times New Roman" w:hAnsi="Times New Roman" w:cs="Times New Roman"/>
                      <w:color w:val="auto"/>
                      <w:sz w:val="21"/>
                      <w:szCs w:val="21"/>
                      <w:highlight w:val="none"/>
                    </w:rPr>
                  </w:pPr>
                  <w:r>
                    <w:rPr>
                      <w:snapToGrid w:val="0"/>
                      <w:color w:val="auto"/>
                      <w:sz w:val="21"/>
                      <w:szCs w:val="21"/>
                    </w:rPr>
                    <w:t>物料堆存装卸粉尘</w:t>
                  </w:r>
                </w:p>
              </w:tc>
              <w:tc>
                <w:tcPr>
                  <w:tcW w:w="4562" w:type="dxa"/>
                  <w:vAlign w:val="center"/>
                </w:tcPr>
                <w:p w14:paraId="0C18E71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每个水泥、粉煤灰筒仓顶部配置1台袋式除尘</w:t>
                  </w:r>
                  <w:r>
                    <w:rPr>
                      <w:rFonts w:hint="default" w:ascii="Times New Roman" w:hAnsi="Times New Roman" w:cs="Times New Roman"/>
                      <w:color w:val="auto"/>
                      <w:sz w:val="21"/>
                      <w:szCs w:val="21"/>
                      <w:highlight w:val="none"/>
                      <w:lang w:eastAsia="zh-CN"/>
                    </w:rPr>
                    <w:t>器</w:t>
                  </w:r>
                  <w:r>
                    <w:rPr>
                      <w:rFonts w:hint="default" w:ascii="Times New Roman" w:hAnsi="Times New Roman" w:cs="Times New Roman"/>
                      <w:color w:val="auto"/>
                      <w:sz w:val="21"/>
                      <w:szCs w:val="21"/>
                      <w:highlight w:val="none"/>
                    </w:rPr>
                    <w:t>（共</w:t>
                  </w:r>
                  <w:r>
                    <w:rPr>
                      <w:rFonts w:hint="eastAsia" w:cs="Times New Roman"/>
                      <w:color w:val="auto"/>
                      <w:sz w:val="21"/>
                      <w:szCs w:val="21"/>
                      <w:highlight w:val="none"/>
                      <w:lang w:val="en-US" w:eastAsia="zh-CN"/>
                    </w:rPr>
                    <w:t>8</w:t>
                  </w:r>
                  <w:r>
                    <w:rPr>
                      <w:rFonts w:hint="default" w:ascii="Times New Roman" w:hAnsi="Times New Roman" w:cs="Times New Roman"/>
                      <w:color w:val="auto"/>
                      <w:sz w:val="21"/>
                      <w:szCs w:val="21"/>
                      <w:highlight w:val="none"/>
                    </w:rPr>
                    <w:t>台），处理仓内粉尘，除尘效率99.</w:t>
                  </w:r>
                  <w:r>
                    <w:rPr>
                      <w:rFonts w:hint="default"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rPr>
                    <w:t>%。</w:t>
                  </w:r>
                </w:p>
              </w:tc>
              <w:tc>
                <w:tcPr>
                  <w:tcW w:w="752" w:type="dxa"/>
                  <w:vAlign w:val="center"/>
                </w:tcPr>
                <w:p w14:paraId="7A73052B">
                  <w:pPr>
                    <w:ind w:left="0" w:leftChars="0" w:firstLine="0" w:firstLineChars="0"/>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4CB379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2A38BC10">
                  <w:pPr>
                    <w:pStyle w:val="46"/>
                    <w:jc w:val="center"/>
                    <w:rPr>
                      <w:rFonts w:hint="default" w:ascii="Times New Roman" w:hAnsi="Times New Roman" w:cs="Times New Roman"/>
                      <w:color w:val="auto"/>
                      <w:sz w:val="21"/>
                      <w:szCs w:val="21"/>
                      <w:highlight w:val="none"/>
                    </w:rPr>
                  </w:pPr>
                </w:p>
              </w:tc>
              <w:tc>
                <w:tcPr>
                  <w:tcW w:w="319" w:type="dxa"/>
                  <w:vMerge w:val="continue"/>
                  <w:vAlign w:val="center"/>
                </w:tcPr>
                <w:p w14:paraId="52118B11">
                  <w:pPr>
                    <w:pStyle w:val="46"/>
                    <w:jc w:val="center"/>
                    <w:rPr>
                      <w:rFonts w:hint="default" w:ascii="Times New Roman" w:hAnsi="Times New Roman" w:cs="Times New Roman"/>
                      <w:color w:val="auto"/>
                      <w:sz w:val="21"/>
                      <w:szCs w:val="21"/>
                      <w:highlight w:val="none"/>
                    </w:rPr>
                  </w:pPr>
                </w:p>
              </w:tc>
              <w:tc>
                <w:tcPr>
                  <w:tcW w:w="1152" w:type="dxa"/>
                  <w:vMerge w:val="continue"/>
                  <w:vAlign w:val="center"/>
                </w:tcPr>
                <w:p w14:paraId="1367C313">
                  <w:pPr>
                    <w:pStyle w:val="46"/>
                    <w:jc w:val="center"/>
                    <w:rPr>
                      <w:rFonts w:hint="default" w:ascii="Times New Roman" w:hAnsi="Times New Roman" w:cs="Times New Roman"/>
                      <w:color w:val="auto"/>
                      <w:sz w:val="21"/>
                      <w:szCs w:val="21"/>
                      <w:highlight w:val="none"/>
                    </w:rPr>
                  </w:pPr>
                </w:p>
              </w:tc>
              <w:tc>
                <w:tcPr>
                  <w:tcW w:w="4562" w:type="dxa"/>
                  <w:vAlign w:val="center"/>
                </w:tcPr>
                <w:p w14:paraId="5A5B3CB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砂石料库采取全封闭、地面硬化+洒水车（1辆）定期洒水，以减少堆存粉尘。</w:t>
                  </w:r>
                </w:p>
              </w:tc>
              <w:tc>
                <w:tcPr>
                  <w:tcW w:w="752" w:type="dxa"/>
                  <w:vAlign w:val="center"/>
                </w:tcPr>
                <w:p w14:paraId="2A9121ED">
                  <w:pPr>
                    <w:ind w:left="0" w:leftChars="0"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eastAsia="zh-CN"/>
                    </w:rPr>
                    <w:t>已建</w:t>
                  </w:r>
                </w:p>
              </w:tc>
            </w:tr>
            <w:tr w14:paraId="7701C0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6BE8FEAD">
                  <w:pPr>
                    <w:pStyle w:val="46"/>
                    <w:jc w:val="center"/>
                    <w:rPr>
                      <w:rFonts w:hint="default" w:ascii="Times New Roman" w:hAnsi="Times New Roman" w:cs="Times New Roman"/>
                      <w:color w:val="auto"/>
                      <w:sz w:val="21"/>
                      <w:szCs w:val="21"/>
                      <w:highlight w:val="none"/>
                    </w:rPr>
                  </w:pPr>
                </w:p>
              </w:tc>
              <w:tc>
                <w:tcPr>
                  <w:tcW w:w="319" w:type="dxa"/>
                  <w:vMerge w:val="continue"/>
                  <w:vAlign w:val="center"/>
                </w:tcPr>
                <w:p w14:paraId="36ECEF34">
                  <w:pPr>
                    <w:pStyle w:val="46"/>
                    <w:jc w:val="center"/>
                    <w:rPr>
                      <w:rFonts w:hint="default" w:ascii="Times New Roman" w:hAnsi="Times New Roman" w:cs="Times New Roman"/>
                      <w:color w:val="auto"/>
                      <w:sz w:val="21"/>
                      <w:szCs w:val="21"/>
                      <w:highlight w:val="none"/>
                    </w:rPr>
                  </w:pPr>
                </w:p>
              </w:tc>
              <w:tc>
                <w:tcPr>
                  <w:tcW w:w="1152" w:type="dxa"/>
                  <w:vAlign w:val="center"/>
                </w:tcPr>
                <w:p w14:paraId="667047C1">
                  <w:pPr>
                    <w:pStyle w:val="46"/>
                    <w:jc w:val="center"/>
                    <w:rPr>
                      <w:rFonts w:hint="default" w:ascii="Times New Roman" w:hAnsi="Times New Roman" w:cs="Times New Roman"/>
                      <w:color w:val="auto"/>
                      <w:sz w:val="21"/>
                      <w:szCs w:val="21"/>
                      <w:highlight w:val="none"/>
                    </w:rPr>
                  </w:pPr>
                  <w:r>
                    <w:rPr>
                      <w:snapToGrid w:val="0"/>
                      <w:color w:val="auto"/>
                      <w:sz w:val="21"/>
                      <w:szCs w:val="21"/>
                    </w:rPr>
                    <w:t>物料混合搅拌粉尘</w:t>
                  </w:r>
                </w:p>
              </w:tc>
              <w:tc>
                <w:tcPr>
                  <w:tcW w:w="4562" w:type="dxa"/>
                  <w:vAlign w:val="center"/>
                </w:tcPr>
                <w:p w14:paraId="19E9085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全封闭结构，搅拌</w:t>
                  </w:r>
                  <w:r>
                    <w:rPr>
                      <w:rFonts w:hint="eastAsia" w:cs="Times New Roman"/>
                      <w:color w:val="auto"/>
                      <w:sz w:val="21"/>
                      <w:szCs w:val="21"/>
                      <w:highlight w:val="none"/>
                      <w:lang w:eastAsia="zh-CN"/>
                    </w:rPr>
                    <w:t>粉尘经布袋</w:t>
                  </w:r>
                  <w:r>
                    <w:rPr>
                      <w:rFonts w:hint="default" w:ascii="Times New Roman" w:hAnsi="Times New Roman" w:cs="Times New Roman"/>
                      <w:color w:val="auto"/>
                      <w:sz w:val="21"/>
                      <w:szCs w:val="21"/>
                      <w:highlight w:val="none"/>
                    </w:rPr>
                    <w:t>除尘器</w:t>
                  </w:r>
                  <w:r>
                    <w:rPr>
                      <w:rFonts w:hint="eastAsia" w:cs="Times New Roman"/>
                      <w:color w:val="auto"/>
                      <w:sz w:val="21"/>
                      <w:szCs w:val="21"/>
                      <w:highlight w:val="none"/>
                      <w:lang w:eastAsia="zh-CN"/>
                    </w:rPr>
                    <w:t>（共两台）处理后少量粉尘在搅拌</w:t>
                  </w:r>
                  <w:r>
                    <w:rPr>
                      <w:rFonts w:hint="eastAsia" w:cs="Times New Roman"/>
                      <w:color w:val="auto"/>
                      <w:sz w:val="21"/>
                      <w:szCs w:val="21"/>
                      <w:highlight w:val="none"/>
                      <w:lang w:val="en-US" w:eastAsia="zh-CN"/>
                    </w:rPr>
                    <w:t>机排口</w:t>
                  </w:r>
                  <w:r>
                    <w:rPr>
                      <w:rFonts w:hint="eastAsia" w:cs="Times New Roman"/>
                      <w:color w:val="auto"/>
                      <w:sz w:val="21"/>
                      <w:szCs w:val="21"/>
                      <w:highlight w:val="none"/>
                      <w:lang w:eastAsia="zh-CN"/>
                    </w:rPr>
                    <w:t>排放，</w:t>
                  </w:r>
                  <w:r>
                    <w:rPr>
                      <w:rFonts w:hint="eastAsia" w:cs="Times New Roman"/>
                      <w:color w:val="auto"/>
                      <w:sz w:val="21"/>
                      <w:szCs w:val="21"/>
                      <w:highlight w:val="none"/>
                      <w:lang w:val="en-US" w:eastAsia="zh-CN"/>
                    </w:rPr>
                    <w:t>搅拌机在全封闭搅拌楼内，</w:t>
                  </w:r>
                  <w:r>
                    <w:rPr>
                      <w:rFonts w:hint="default" w:ascii="Times New Roman" w:hAnsi="Times New Roman" w:cs="Times New Roman"/>
                      <w:color w:val="auto"/>
                      <w:sz w:val="21"/>
                      <w:szCs w:val="21"/>
                      <w:highlight w:val="none"/>
                    </w:rPr>
                    <w:t>除尘效率</w:t>
                  </w:r>
                  <w:r>
                    <w:rPr>
                      <w:rFonts w:hint="eastAsia" w:cs="Times New Roman"/>
                      <w:color w:val="auto"/>
                      <w:sz w:val="21"/>
                      <w:szCs w:val="21"/>
                      <w:highlight w:val="none"/>
                      <w:lang w:val="en-US" w:eastAsia="zh-CN"/>
                    </w:rPr>
                    <w:t>为</w:t>
                  </w:r>
                  <w:r>
                    <w:rPr>
                      <w:rFonts w:hint="default" w:ascii="Times New Roman" w:hAnsi="Times New Roman" w:cs="Times New Roman"/>
                      <w:color w:val="auto"/>
                      <w:sz w:val="21"/>
                      <w:szCs w:val="21"/>
                      <w:highlight w:val="none"/>
                    </w:rPr>
                    <w:t>99.</w:t>
                  </w:r>
                  <w:r>
                    <w:rPr>
                      <w:rFonts w:hint="eastAsia" w:cs="Times New Roman"/>
                      <w:color w:val="auto"/>
                      <w:sz w:val="21"/>
                      <w:szCs w:val="21"/>
                      <w:highlight w:val="none"/>
                      <w:lang w:val="en-US" w:eastAsia="zh-CN"/>
                    </w:rPr>
                    <w:t>7</w:t>
                  </w:r>
                  <w:r>
                    <w:rPr>
                      <w:rFonts w:hint="default" w:ascii="Times New Roman" w:hAnsi="Times New Roman" w:cs="Times New Roman"/>
                      <w:color w:val="auto"/>
                      <w:sz w:val="21"/>
                      <w:szCs w:val="21"/>
                      <w:highlight w:val="none"/>
                    </w:rPr>
                    <w:t>%。</w:t>
                  </w:r>
                </w:p>
              </w:tc>
              <w:tc>
                <w:tcPr>
                  <w:tcW w:w="752" w:type="dxa"/>
                  <w:vAlign w:val="center"/>
                </w:tcPr>
                <w:p w14:paraId="751FD0B0">
                  <w:pPr>
                    <w:ind w:left="0" w:leftChars="0" w:firstLine="0" w:firstLineChars="0"/>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386523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4F8A0034">
                  <w:pPr>
                    <w:pStyle w:val="46"/>
                    <w:jc w:val="center"/>
                    <w:rPr>
                      <w:rFonts w:hint="default" w:ascii="Times New Roman" w:hAnsi="Times New Roman" w:cs="Times New Roman"/>
                      <w:color w:val="auto"/>
                      <w:sz w:val="21"/>
                      <w:szCs w:val="21"/>
                      <w:highlight w:val="none"/>
                    </w:rPr>
                  </w:pPr>
                </w:p>
              </w:tc>
              <w:tc>
                <w:tcPr>
                  <w:tcW w:w="319" w:type="dxa"/>
                  <w:vMerge w:val="continue"/>
                  <w:vAlign w:val="center"/>
                </w:tcPr>
                <w:p w14:paraId="1B63D125">
                  <w:pPr>
                    <w:pStyle w:val="46"/>
                    <w:jc w:val="center"/>
                    <w:rPr>
                      <w:rFonts w:hint="default" w:ascii="Times New Roman" w:hAnsi="Times New Roman" w:cs="Times New Roman"/>
                      <w:color w:val="auto"/>
                      <w:sz w:val="21"/>
                      <w:szCs w:val="21"/>
                      <w:highlight w:val="none"/>
                    </w:rPr>
                  </w:pPr>
                </w:p>
              </w:tc>
              <w:tc>
                <w:tcPr>
                  <w:tcW w:w="1152" w:type="dxa"/>
                  <w:vAlign w:val="center"/>
                </w:tcPr>
                <w:p w14:paraId="4D8C3EF2">
                  <w:pPr>
                    <w:pStyle w:val="46"/>
                    <w:jc w:val="center"/>
                    <w:rPr>
                      <w:rFonts w:hint="default" w:ascii="Times New Roman" w:hAnsi="Times New Roman" w:cs="Times New Roman"/>
                      <w:color w:val="auto"/>
                      <w:sz w:val="21"/>
                      <w:szCs w:val="21"/>
                      <w:highlight w:val="none"/>
                    </w:rPr>
                  </w:pPr>
                  <w:r>
                    <w:rPr>
                      <w:snapToGrid w:val="0"/>
                      <w:color w:val="auto"/>
                      <w:sz w:val="21"/>
                      <w:szCs w:val="21"/>
                    </w:rPr>
                    <w:t>物料输送储存粉尘</w:t>
                  </w:r>
                </w:p>
              </w:tc>
              <w:tc>
                <w:tcPr>
                  <w:tcW w:w="4562" w:type="dxa"/>
                  <w:vAlign w:val="center"/>
                </w:tcPr>
                <w:p w14:paraId="25092FF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砂石材料配料斗、投料斗均为</w:t>
                  </w:r>
                  <w:r>
                    <w:rPr>
                      <w:rFonts w:hint="default" w:ascii="Times New Roman" w:hAnsi="Times New Roman" w:cs="Times New Roman"/>
                      <w:color w:val="auto"/>
                      <w:sz w:val="21"/>
                      <w:szCs w:val="21"/>
                      <w:highlight w:val="none"/>
                      <w:lang w:val="en-US" w:eastAsia="zh-CN"/>
                    </w:rPr>
                    <w:t>半</w:t>
                  </w:r>
                  <w:r>
                    <w:rPr>
                      <w:rFonts w:hint="default" w:ascii="Times New Roman" w:hAnsi="Times New Roman" w:cs="Times New Roman"/>
                      <w:color w:val="auto"/>
                      <w:sz w:val="21"/>
                      <w:szCs w:val="21"/>
                      <w:highlight w:val="none"/>
                    </w:rPr>
                    <w:t>密闭，并设有1台雾炮，用于洒水抑尘，在配料仓的料斗上方设置彩钢板遮挡，抑尘效率可达到80%，最后经密闭皮带输送至搅拌站主机仓内。</w:t>
                  </w:r>
                </w:p>
              </w:tc>
              <w:tc>
                <w:tcPr>
                  <w:tcW w:w="752" w:type="dxa"/>
                  <w:vAlign w:val="center"/>
                </w:tcPr>
                <w:p w14:paraId="078CCD29">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08271D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5C65681E">
                  <w:pPr>
                    <w:pStyle w:val="46"/>
                    <w:jc w:val="center"/>
                    <w:rPr>
                      <w:rFonts w:hint="default" w:ascii="Times New Roman" w:hAnsi="Times New Roman" w:cs="Times New Roman"/>
                      <w:color w:val="auto"/>
                      <w:sz w:val="21"/>
                      <w:szCs w:val="21"/>
                      <w:highlight w:val="none"/>
                    </w:rPr>
                  </w:pPr>
                </w:p>
              </w:tc>
              <w:tc>
                <w:tcPr>
                  <w:tcW w:w="319" w:type="dxa"/>
                  <w:vMerge w:val="continue"/>
                  <w:vAlign w:val="center"/>
                </w:tcPr>
                <w:p w14:paraId="2976AB01">
                  <w:pPr>
                    <w:pStyle w:val="46"/>
                    <w:jc w:val="center"/>
                    <w:rPr>
                      <w:rFonts w:hint="default" w:ascii="Times New Roman" w:hAnsi="Times New Roman" w:cs="Times New Roman"/>
                      <w:color w:val="auto"/>
                      <w:sz w:val="21"/>
                      <w:szCs w:val="21"/>
                      <w:highlight w:val="none"/>
                    </w:rPr>
                  </w:pPr>
                </w:p>
              </w:tc>
              <w:tc>
                <w:tcPr>
                  <w:tcW w:w="1152" w:type="dxa"/>
                  <w:vAlign w:val="center"/>
                </w:tcPr>
                <w:p w14:paraId="3A24672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运输车辆</w:t>
                  </w:r>
                </w:p>
              </w:tc>
              <w:tc>
                <w:tcPr>
                  <w:tcW w:w="4562" w:type="dxa"/>
                  <w:vAlign w:val="center"/>
                </w:tcPr>
                <w:p w14:paraId="325EE61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运输道路使用道路洒水车辆（1辆）</w:t>
                  </w:r>
                  <w:r>
                    <w:rPr>
                      <w:rFonts w:hint="default" w:ascii="Times New Roman" w:hAnsi="Times New Roman" w:cs="Times New Roman"/>
                      <w:color w:val="auto"/>
                      <w:sz w:val="21"/>
                      <w:szCs w:val="21"/>
                      <w:highlight w:val="none"/>
                      <w:lang w:eastAsia="zh-CN"/>
                    </w:rPr>
                    <w:t>进行</w:t>
                  </w:r>
                  <w:r>
                    <w:rPr>
                      <w:rFonts w:hint="default" w:ascii="Times New Roman" w:hAnsi="Times New Roman" w:cs="Times New Roman"/>
                      <w:color w:val="auto"/>
                      <w:sz w:val="21"/>
                      <w:szCs w:val="21"/>
                      <w:highlight w:val="none"/>
                    </w:rPr>
                    <w:t>不定时洒水，以减少道路扬尘。</w:t>
                  </w:r>
                </w:p>
              </w:tc>
              <w:tc>
                <w:tcPr>
                  <w:tcW w:w="752" w:type="dxa"/>
                  <w:vAlign w:val="center"/>
                </w:tcPr>
                <w:p w14:paraId="4F910417">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1AB627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30A0E9F2">
                  <w:pPr>
                    <w:pStyle w:val="46"/>
                    <w:jc w:val="center"/>
                    <w:rPr>
                      <w:rFonts w:hint="default" w:ascii="Times New Roman" w:hAnsi="Times New Roman" w:cs="Times New Roman"/>
                      <w:color w:val="auto"/>
                      <w:sz w:val="21"/>
                      <w:szCs w:val="21"/>
                      <w:highlight w:val="none"/>
                    </w:rPr>
                  </w:pPr>
                </w:p>
              </w:tc>
              <w:tc>
                <w:tcPr>
                  <w:tcW w:w="1471" w:type="dxa"/>
                  <w:gridSpan w:val="2"/>
                  <w:vAlign w:val="center"/>
                </w:tcPr>
                <w:p w14:paraId="019D0F9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4562" w:type="dxa"/>
                  <w:vAlign w:val="center"/>
                </w:tcPr>
                <w:p w14:paraId="3F25965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化粪池（5m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）1座，生活污水经化粪池</w:t>
                  </w:r>
                  <w:r>
                    <w:rPr>
                      <w:rFonts w:hint="eastAsia" w:cs="Times New Roman"/>
                      <w:color w:val="auto"/>
                      <w:sz w:val="21"/>
                      <w:szCs w:val="21"/>
                      <w:highlight w:val="none"/>
                      <w:lang w:eastAsia="zh-CN"/>
                    </w:rPr>
                    <w:t>沉淀</w:t>
                  </w:r>
                  <w:r>
                    <w:rPr>
                      <w:rFonts w:hint="default" w:ascii="Times New Roman" w:hAnsi="Times New Roman" w:cs="Times New Roman"/>
                      <w:color w:val="auto"/>
                      <w:sz w:val="21"/>
                      <w:szCs w:val="21"/>
                      <w:highlight w:val="none"/>
                    </w:rPr>
                    <w:t>后，拉运至</w:t>
                  </w:r>
                  <w:r>
                    <w:rPr>
                      <w:rFonts w:hint="default" w:ascii="Times New Roman" w:hAnsi="Times New Roman" w:cs="Times New Roman"/>
                      <w:color w:val="auto"/>
                      <w:sz w:val="21"/>
                      <w:szCs w:val="21"/>
                      <w:highlight w:val="none"/>
                      <w:lang w:val="en-US" w:eastAsia="zh-CN"/>
                    </w:rPr>
                    <w:t>附近</w:t>
                  </w:r>
                  <w:r>
                    <w:rPr>
                      <w:rFonts w:hint="default" w:ascii="Times New Roman" w:hAnsi="Times New Roman" w:cs="Times New Roman"/>
                      <w:color w:val="auto"/>
                      <w:sz w:val="21"/>
                      <w:szCs w:val="21"/>
                      <w:highlight w:val="none"/>
                    </w:rPr>
                    <w:t>污水处理厂</w:t>
                  </w:r>
                  <w:r>
                    <w:rPr>
                      <w:rFonts w:hint="default" w:ascii="Times New Roman" w:hAnsi="Times New Roman" w:cs="Times New Roman"/>
                      <w:color w:val="auto"/>
                      <w:sz w:val="21"/>
                      <w:szCs w:val="21"/>
                      <w:highlight w:val="none"/>
                      <w:lang w:eastAsia="zh-CN"/>
                    </w:rPr>
                    <w:t>进行处理</w:t>
                  </w:r>
                  <w:r>
                    <w:rPr>
                      <w:rFonts w:hint="default" w:ascii="Times New Roman" w:hAnsi="Times New Roman" w:cs="Times New Roman"/>
                      <w:color w:val="auto"/>
                      <w:sz w:val="21"/>
                      <w:szCs w:val="21"/>
                      <w:highlight w:val="none"/>
                    </w:rPr>
                    <w:t>；</w:t>
                  </w:r>
                </w:p>
                <w:p w14:paraId="2DD0949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沉淀池（10m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）1座，清洗及冲洗废水经沉淀池沉淀后循环利用</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不外排；</w:t>
                  </w:r>
                </w:p>
              </w:tc>
              <w:tc>
                <w:tcPr>
                  <w:tcW w:w="752" w:type="dxa"/>
                  <w:vAlign w:val="center"/>
                </w:tcPr>
                <w:p w14:paraId="4696B8D8">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274878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7C614B10">
                  <w:pPr>
                    <w:pStyle w:val="46"/>
                    <w:jc w:val="center"/>
                    <w:rPr>
                      <w:rFonts w:hint="default" w:ascii="Times New Roman" w:hAnsi="Times New Roman" w:cs="Times New Roman"/>
                      <w:color w:val="auto"/>
                      <w:sz w:val="21"/>
                      <w:szCs w:val="21"/>
                      <w:highlight w:val="none"/>
                    </w:rPr>
                  </w:pPr>
                </w:p>
              </w:tc>
              <w:tc>
                <w:tcPr>
                  <w:tcW w:w="1471" w:type="dxa"/>
                  <w:gridSpan w:val="2"/>
                  <w:vAlign w:val="center"/>
                </w:tcPr>
                <w:p w14:paraId="570A81F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w:t>
                  </w:r>
                </w:p>
              </w:tc>
              <w:tc>
                <w:tcPr>
                  <w:tcW w:w="4562" w:type="dxa"/>
                  <w:vAlign w:val="center"/>
                </w:tcPr>
                <w:p w14:paraId="68CA521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采用低噪声设备，采取有效的隔声、减震等防噪措施。</w:t>
                  </w:r>
                </w:p>
              </w:tc>
              <w:tc>
                <w:tcPr>
                  <w:tcW w:w="752" w:type="dxa"/>
                  <w:vAlign w:val="center"/>
                </w:tcPr>
                <w:p w14:paraId="62891631">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286D5C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39934AB9">
                  <w:pPr>
                    <w:pStyle w:val="46"/>
                    <w:jc w:val="center"/>
                    <w:rPr>
                      <w:rFonts w:hint="default" w:ascii="Times New Roman" w:hAnsi="Times New Roman" w:cs="Times New Roman"/>
                      <w:color w:val="auto"/>
                      <w:sz w:val="21"/>
                      <w:szCs w:val="21"/>
                      <w:highlight w:val="none"/>
                    </w:rPr>
                  </w:pPr>
                </w:p>
              </w:tc>
              <w:tc>
                <w:tcPr>
                  <w:tcW w:w="319" w:type="dxa"/>
                  <w:vMerge w:val="restart"/>
                  <w:vAlign w:val="center"/>
                </w:tcPr>
                <w:p w14:paraId="1FA56F8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固废</w:t>
                  </w:r>
                </w:p>
              </w:tc>
              <w:tc>
                <w:tcPr>
                  <w:tcW w:w="1152" w:type="dxa"/>
                  <w:vAlign w:val="center"/>
                </w:tcPr>
                <w:p w14:paraId="7177696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生活垃圾</w:t>
                  </w:r>
                </w:p>
              </w:tc>
              <w:tc>
                <w:tcPr>
                  <w:tcW w:w="4562" w:type="dxa"/>
                  <w:vAlign w:val="center"/>
                </w:tcPr>
                <w:p w14:paraId="2ECAED1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生活垃圾</w:t>
                  </w:r>
                  <w:r>
                    <w:rPr>
                      <w:snapToGrid w:val="0"/>
                      <w:color w:val="auto"/>
                      <w:sz w:val="21"/>
                      <w:szCs w:val="21"/>
                    </w:rPr>
                    <w:t>集中收集至垃圾箱后，定期由环卫部门统一处置。</w:t>
                  </w:r>
                </w:p>
              </w:tc>
              <w:tc>
                <w:tcPr>
                  <w:tcW w:w="752" w:type="dxa"/>
                  <w:vAlign w:val="center"/>
                </w:tcPr>
                <w:p w14:paraId="054D8B0A">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572C56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6AC291B5">
                  <w:pPr>
                    <w:pStyle w:val="46"/>
                    <w:jc w:val="center"/>
                    <w:rPr>
                      <w:rFonts w:hint="default" w:ascii="Times New Roman" w:hAnsi="Times New Roman" w:cs="Times New Roman"/>
                      <w:color w:val="auto"/>
                      <w:sz w:val="21"/>
                      <w:szCs w:val="21"/>
                      <w:highlight w:val="none"/>
                    </w:rPr>
                  </w:pPr>
                </w:p>
              </w:tc>
              <w:tc>
                <w:tcPr>
                  <w:tcW w:w="319" w:type="dxa"/>
                  <w:vMerge w:val="continue"/>
                  <w:vAlign w:val="center"/>
                </w:tcPr>
                <w:p w14:paraId="29B63B1F">
                  <w:pPr>
                    <w:pStyle w:val="46"/>
                    <w:jc w:val="center"/>
                    <w:rPr>
                      <w:rFonts w:hint="default" w:ascii="Times New Roman" w:hAnsi="Times New Roman" w:cs="Times New Roman"/>
                      <w:color w:val="auto"/>
                      <w:sz w:val="21"/>
                      <w:szCs w:val="21"/>
                      <w:highlight w:val="none"/>
                    </w:rPr>
                  </w:pPr>
                </w:p>
              </w:tc>
              <w:tc>
                <w:tcPr>
                  <w:tcW w:w="1152" w:type="dxa"/>
                  <w:vMerge w:val="restart"/>
                  <w:vAlign w:val="center"/>
                </w:tcPr>
                <w:p w14:paraId="586E42B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生产固废</w:t>
                  </w:r>
                </w:p>
              </w:tc>
              <w:tc>
                <w:tcPr>
                  <w:tcW w:w="4562" w:type="dxa"/>
                  <w:vAlign w:val="center"/>
                </w:tcPr>
                <w:p w14:paraId="1F7D208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除尘器收集的粉尘</w:t>
                  </w:r>
                  <w:r>
                    <w:rPr>
                      <w:rFonts w:hint="default" w:ascii="Times New Roman" w:hAnsi="Times New Roman" w:cs="Times New Roman"/>
                      <w:color w:val="auto"/>
                      <w:sz w:val="21"/>
                      <w:szCs w:val="21"/>
                      <w:highlight w:val="none"/>
                      <w:lang w:eastAsia="zh-CN"/>
                    </w:rPr>
                    <w:t>收集</w:t>
                  </w:r>
                  <w:r>
                    <w:rPr>
                      <w:rFonts w:hint="default" w:ascii="Times New Roman" w:hAnsi="Times New Roman" w:cs="Times New Roman"/>
                      <w:color w:val="auto"/>
                      <w:sz w:val="21"/>
                      <w:szCs w:val="21"/>
                      <w:highlight w:val="none"/>
                    </w:rPr>
                    <w:t>后</w:t>
                  </w:r>
                  <w:r>
                    <w:rPr>
                      <w:rFonts w:hint="default" w:ascii="Times New Roman" w:hAnsi="Times New Roman" w:cs="Times New Roman"/>
                      <w:color w:val="auto"/>
                      <w:sz w:val="21"/>
                      <w:szCs w:val="21"/>
                      <w:highlight w:val="none"/>
                      <w:lang w:eastAsia="zh-CN"/>
                    </w:rPr>
                    <w:t>回</w:t>
                  </w:r>
                  <w:r>
                    <w:rPr>
                      <w:rFonts w:hint="default" w:ascii="Times New Roman" w:hAnsi="Times New Roman" w:cs="Times New Roman"/>
                      <w:color w:val="auto"/>
                      <w:sz w:val="21"/>
                      <w:szCs w:val="21"/>
                      <w:highlight w:val="none"/>
                    </w:rPr>
                    <w:t>用于生产。</w:t>
                  </w:r>
                </w:p>
              </w:tc>
              <w:tc>
                <w:tcPr>
                  <w:tcW w:w="752" w:type="dxa"/>
                  <w:vAlign w:val="center"/>
                </w:tcPr>
                <w:p w14:paraId="50DDFC92">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77203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56001973">
                  <w:pPr>
                    <w:pStyle w:val="46"/>
                    <w:jc w:val="center"/>
                    <w:rPr>
                      <w:rFonts w:hint="default" w:ascii="Times New Roman" w:hAnsi="Times New Roman" w:cs="Times New Roman"/>
                      <w:color w:val="auto"/>
                      <w:sz w:val="21"/>
                      <w:szCs w:val="21"/>
                      <w:highlight w:val="none"/>
                    </w:rPr>
                  </w:pPr>
                </w:p>
              </w:tc>
              <w:tc>
                <w:tcPr>
                  <w:tcW w:w="319" w:type="dxa"/>
                  <w:vMerge w:val="continue"/>
                  <w:vAlign w:val="center"/>
                </w:tcPr>
                <w:p w14:paraId="327E514C">
                  <w:pPr>
                    <w:pStyle w:val="46"/>
                    <w:jc w:val="center"/>
                    <w:rPr>
                      <w:rFonts w:hint="default" w:ascii="Times New Roman" w:hAnsi="Times New Roman" w:cs="Times New Roman"/>
                      <w:color w:val="auto"/>
                      <w:sz w:val="21"/>
                      <w:szCs w:val="21"/>
                      <w:highlight w:val="none"/>
                    </w:rPr>
                  </w:pPr>
                </w:p>
              </w:tc>
              <w:tc>
                <w:tcPr>
                  <w:tcW w:w="1152" w:type="dxa"/>
                  <w:vMerge w:val="continue"/>
                  <w:vAlign w:val="center"/>
                </w:tcPr>
                <w:p w14:paraId="7496F470">
                  <w:pPr>
                    <w:pStyle w:val="46"/>
                    <w:jc w:val="center"/>
                    <w:rPr>
                      <w:rFonts w:hint="default" w:ascii="Times New Roman" w:hAnsi="Times New Roman" w:cs="Times New Roman"/>
                      <w:color w:val="auto"/>
                      <w:sz w:val="21"/>
                      <w:szCs w:val="21"/>
                      <w:highlight w:val="none"/>
                    </w:rPr>
                  </w:pPr>
                </w:p>
              </w:tc>
              <w:tc>
                <w:tcPr>
                  <w:tcW w:w="4562" w:type="dxa"/>
                  <w:vAlign w:val="center"/>
                </w:tcPr>
                <w:p w14:paraId="08E715C4">
                  <w:pPr>
                    <w:pStyle w:val="46"/>
                    <w:jc w:val="center"/>
                    <w:rPr>
                      <w:rFonts w:hint="default" w:ascii="Times New Roman" w:hAnsi="Times New Roman" w:cs="Times New Roman"/>
                      <w:color w:val="auto"/>
                      <w:sz w:val="21"/>
                      <w:szCs w:val="21"/>
                      <w:highlight w:val="none"/>
                    </w:rPr>
                  </w:pPr>
                  <w:r>
                    <w:rPr>
                      <w:snapToGrid w:val="0"/>
                      <w:color w:val="auto"/>
                      <w:sz w:val="21"/>
                      <w:szCs w:val="21"/>
                    </w:rPr>
                    <w:t>废滤袋由厂家更换时回收。</w:t>
                  </w:r>
                </w:p>
              </w:tc>
              <w:tc>
                <w:tcPr>
                  <w:tcW w:w="752" w:type="dxa"/>
                  <w:vAlign w:val="center"/>
                </w:tcPr>
                <w:p w14:paraId="22C13D29">
                  <w:pPr>
                    <w:pStyle w:val="46"/>
                    <w:jc w:val="center"/>
                    <w:rPr>
                      <w:rFonts w:hint="eastAsia" w:cs="Times New Roman"/>
                      <w:color w:val="auto"/>
                      <w:sz w:val="21"/>
                      <w:szCs w:val="21"/>
                      <w:highlight w:val="none"/>
                      <w:lang w:val="en-US" w:eastAsia="zh-CN"/>
                    </w:rPr>
                  </w:pPr>
                  <w:r>
                    <w:rPr>
                      <w:rFonts w:hint="eastAsia" w:cs="Times New Roman"/>
                      <w:color w:val="auto"/>
                      <w:sz w:val="21"/>
                      <w:szCs w:val="21"/>
                      <w:highlight w:val="none"/>
                      <w:lang w:eastAsia="zh-CN"/>
                    </w:rPr>
                    <w:t>已建</w:t>
                  </w:r>
                </w:p>
              </w:tc>
            </w:tr>
            <w:tr w14:paraId="6FCD73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4" w:type="dxa"/>
                  <w:vMerge w:val="continue"/>
                  <w:vAlign w:val="center"/>
                </w:tcPr>
                <w:p w14:paraId="624AF5BE">
                  <w:pPr>
                    <w:pStyle w:val="46"/>
                    <w:jc w:val="center"/>
                    <w:rPr>
                      <w:rFonts w:hint="default" w:ascii="Times New Roman" w:hAnsi="Times New Roman" w:cs="Times New Roman"/>
                      <w:color w:val="auto"/>
                      <w:sz w:val="21"/>
                      <w:szCs w:val="21"/>
                      <w:highlight w:val="none"/>
                    </w:rPr>
                  </w:pPr>
                </w:p>
              </w:tc>
              <w:tc>
                <w:tcPr>
                  <w:tcW w:w="319" w:type="dxa"/>
                  <w:vMerge w:val="continue"/>
                  <w:vAlign w:val="center"/>
                </w:tcPr>
                <w:p w14:paraId="28E313DE">
                  <w:pPr>
                    <w:pStyle w:val="46"/>
                    <w:jc w:val="center"/>
                    <w:rPr>
                      <w:rFonts w:hint="default" w:ascii="Times New Roman" w:hAnsi="Times New Roman" w:cs="Times New Roman"/>
                      <w:color w:val="auto"/>
                      <w:sz w:val="21"/>
                      <w:szCs w:val="21"/>
                      <w:highlight w:val="none"/>
                    </w:rPr>
                  </w:pPr>
                </w:p>
              </w:tc>
              <w:tc>
                <w:tcPr>
                  <w:tcW w:w="1152" w:type="dxa"/>
                  <w:vMerge w:val="continue"/>
                  <w:vAlign w:val="center"/>
                </w:tcPr>
                <w:p w14:paraId="635994BB">
                  <w:pPr>
                    <w:pStyle w:val="46"/>
                    <w:jc w:val="center"/>
                    <w:rPr>
                      <w:rFonts w:hint="default" w:ascii="Times New Roman" w:hAnsi="Times New Roman" w:cs="Times New Roman"/>
                      <w:color w:val="auto"/>
                      <w:sz w:val="21"/>
                      <w:szCs w:val="21"/>
                      <w:highlight w:val="none"/>
                    </w:rPr>
                  </w:pPr>
                </w:p>
              </w:tc>
              <w:tc>
                <w:tcPr>
                  <w:tcW w:w="4562" w:type="dxa"/>
                  <w:vAlign w:val="center"/>
                </w:tcPr>
                <w:p w14:paraId="5A02CB09">
                  <w:pPr>
                    <w:pStyle w:val="46"/>
                    <w:jc w:val="center"/>
                    <w:rPr>
                      <w:snapToGrid w:val="0"/>
                      <w:color w:val="auto"/>
                      <w:sz w:val="21"/>
                      <w:szCs w:val="21"/>
                    </w:rPr>
                  </w:pPr>
                  <w:r>
                    <w:rPr>
                      <w:rFonts w:hint="eastAsia" w:cs="Times New Roman"/>
                      <w:color w:val="auto"/>
                      <w:sz w:val="21"/>
                      <w:szCs w:val="21"/>
                      <w:highlight w:val="none"/>
                      <w:lang w:eastAsia="zh-CN"/>
                    </w:rPr>
                    <w:t>抽检后产生的</w:t>
                  </w:r>
                  <w:r>
                    <w:rPr>
                      <w:rFonts w:hint="default" w:ascii="Times New Roman" w:hAnsi="Times New Roman" w:cs="Times New Roman"/>
                      <w:color w:val="auto"/>
                      <w:sz w:val="21"/>
                      <w:szCs w:val="21"/>
                      <w:highlight w:val="none"/>
                    </w:rPr>
                    <w:t>废混凝土集中收集暂存于原料库一侧，作为原料回用到生产中</w:t>
                  </w:r>
                  <w:r>
                    <w:rPr>
                      <w:snapToGrid w:val="0"/>
                      <w:color w:val="auto"/>
                      <w:sz w:val="21"/>
                      <w:szCs w:val="21"/>
                    </w:rPr>
                    <w:t>。</w:t>
                  </w:r>
                </w:p>
              </w:tc>
              <w:tc>
                <w:tcPr>
                  <w:tcW w:w="752" w:type="dxa"/>
                  <w:vAlign w:val="center"/>
                </w:tcPr>
                <w:p w14:paraId="0FEC0A7B">
                  <w:pPr>
                    <w:pStyle w:val="46"/>
                    <w:jc w:val="center"/>
                    <w:rPr>
                      <w:rFonts w:hint="default" w:cs="Times New Roman"/>
                      <w:color w:val="auto"/>
                      <w:sz w:val="21"/>
                      <w:szCs w:val="21"/>
                      <w:highlight w:val="none"/>
                      <w:lang w:val="en-US" w:eastAsia="zh-CN"/>
                    </w:rPr>
                  </w:pPr>
                  <w:r>
                    <w:rPr>
                      <w:rFonts w:hint="eastAsia" w:cs="Times New Roman"/>
                      <w:color w:val="auto"/>
                      <w:sz w:val="21"/>
                      <w:szCs w:val="21"/>
                      <w:highlight w:val="none"/>
                      <w:lang w:eastAsia="zh-CN"/>
                    </w:rPr>
                    <w:t>已建</w:t>
                  </w:r>
                </w:p>
              </w:tc>
            </w:tr>
            <w:tr w14:paraId="4EB8C7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Merge w:val="continue"/>
                  <w:vAlign w:val="center"/>
                </w:tcPr>
                <w:p w14:paraId="59C846BF">
                  <w:pPr>
                    <w:pStyle w:val="46"/>
                    <w:jc w:val="center"/>
                    <w:rPr>
                      <w:rFonts w:hint="default" w:ascii="Times New Roman" w:hAnsi="Times New Roman" w:cs="Times New Roman"/>
                      <w:color w:val="auto"/>
                      <w:sz w:val="21"/>
                      <w:szCs w:val="21"/>
                      <w:highlight w:val="none"/>
                    </w:rPr>
                  </w:pPr>
                </w:p>
              </w:tc>
              <w:tc>
                <w:tcPr>
                  <w:tcW w:w="319" w:type="dxa"/>
                  <w:vMerge w:val="continue"/>
                  <w:vAlign w:val="center"/>
                </w:tcPr>
                <w:p w14:paraId="5C444F0E">
                  <w:pPr>
                    <w:pStyle w:val="46"/>
                    <w:jc w:val="center"/>
                    <w:rPr>
                      <w:rFonts w:hint="default" w:ascii="Times New Roman" w:hAnsi="Times New Roman" w:cs="Times New Roman"/>
                      <w:color w:val="auto"/>
                      <w:sz w:val="21"/>
                      <w:szCs w:val="21"/>
                      <w:highlight w:val="none"/>
                    </w:rPr>
                  </w:pPr>
                </w:p>
              </w:tc>
              <w:tc>
                <w:tcPr>
                  <w:tcW w:w="1152" w:type="dxa"/>
                  <w:vMerge w:val="continue"/>
                  <w:vAlign w:val="center"/>
                </w:tcPr>
                <w:p w14:paraId="3C6A7F50">
                  <w:pPr>
                    <w:pStyle w:val="46"/>
                    <w:jc w:val="center"/>
                    <w:rPr>
                      <w:rFonts w:hint="default" w:ascii="Times New Roman" w:hAnsi="Times New Roman" w:cs="Times New Roman"/>
                      <w:color w:val="auto"/>
                      <w:sz w:val="21"/>
                      <w:szCs w:val="21"/>
                      <w:highlight w:val="none"/>
                    </w:rPr>
                  </w:pPr>
                </w:p>
              </w:tc>
              <w:tc>
                <w:tcPr>
                  <w:tcW w:w="4562" w:type="dxa"/>
                  <w:vAlign w:val="center"/>
                </w:tcPr>
                <w:p w14:paraId="0A848D4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沉淀池</w:t>
                  </w:r>
                  <w:r>
                    <w:rPr>
                      <w:rFonts w:hint="eastAsia" w:cs="Times New Roman"/>
                      <w:color w:val="auto"/>
                      <w:sz w:val="21"/>
                      <w:szCs w:val="21"/>
                      <w:highlight w:val="none"/>
                      <w:lang w:eastAsia="zh-CN"/>
                    </w:rPr>
                    <w:t>泥沙</w:t>
                  </w:r>
                  <w:r>
                    <w:rPr>
                      <w:snapToGrid w:val="0"/>
                      <w:color w:val="auto"/>
                      <w:sz w:val="21"/>
                      <w:szCs w:val="21"/>
                    </w:rPr>
                    <w:t>回用于生产工序。</w:t>
                  </w:r>
                </w:p>
              </w:tc>
              <w:tc>
                <w:tcPr>
                  <w:tcW w:w="752" w:type="dxa"/>
                  <w:vAlign w:val="center"/>
                </w:tcPr>
                <w:p w14:paraId="02A6B236">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已建</w:t>
                  </w:r>
                </w:p>
              </w:tc>
            </w:tr>
            <w:tr w14:paraId="22F6BF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34" w:type="dxa"/>
                  <w:vAlign w:val="center"/>
                </w:tcPr>
                <w:p w14:paraId="65B1F697">
                  <w:pPr>
                    <w:pStyle w:val="46"/>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防渗</w:t>
                  </w:r>
                </w:p>
              </w:tc>
              <w:tc>
                <w:tcPr>
                  <w:tcW w:w="6785" w:type="dxa"/>
                  <w:gridSpan w:val="4"/>
                  <w:vAlign w:val="center"/>
                </w:tcPr>
                <w:p w14:paraId="39269408">
                  <w:pPr>
                    <w:pStyle w:val="46"/>
                    <w:jc w:val="center"/>
                    <w:rPr>
                      <w:rFonts w:hint="eastAsia"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厂区为简单防渗：</w:t>
                  </w:r>
                  <w:r>
                    <w:rPr>
                      <w:rFonts w:hint="default" w:ascii="Times New Roman" w:hAnsi="Times New Roman" w:eastAsia="宋体" w:cs="Times New Roman"/>
                      <w:color w:val="auto"/>
                      <w:sz w:val="21"/>
                      <w:szCs w:val="21"/>
                      <w:lang w:val="en-US" w:eastAsia="zh-CN"/>
                    </w:rPr>
                    <w:t>办公区、厂区道路、</w:t>
                  </w:r>
                  <w:r>
                    <w:rPr>
                      <w:rFonts w:hint="eastAsia" w:cs="Times New Roman"/>
                      <w:color w:val="auto"/>
                      <w:sz w:val="21"/>
                      <w:szCs w:val="21"/>
                      <w:lang w:val="en-US" w:eastAsia="zh-CN"/>
                    </w:rPr>
                    <w:t>砂石料棚</w:t>
                  </w:r>
                  <w:r>
                    <w:rPr>
                      <w:rFonts w:hint="default" w:ascii="Times New Roman" w:hAnsi="Times New Roman" w:eastAsia="宋体" w:cs="Times New Roman"/>
                      <w:color w:val="auto"/>
                      <w:sz w:val="21"/>
                      <w:szCs w:val="21"/>
                      <w:lang w:val="en-US" w:eastAsia="zh-CN"/>
                    </w:rPr>
                    <w:t>、搅拌机主楼、化验室</w:t>
                  </w:r>
                  <w:r>
                    <w:rPr>
                      <w:rFonts w:hint="eastAsia" w:cs="Times New Roman"/>
                      <w:color w:val="auto"/>
                      <w:sz w:val="21"/>
                      <w:szCs w:val="21"/>
                      <w:highlight w:val="none"/>
                      <w:lang w:val="en-US" w:eastAsia="zh-CN"/>
                    </w:rPr>
                    <w:t>进行硬化处理，C30抗渗等级为P6的混凝土</w:t>
                  </w:r>
                  <w:r>
                    <w:rPr>
                      <w:rFonts w:hint="default" w:ascii="Times New Roman" w:hAnsi="Times New Roman" w:eastAsia="宋体" w:cs="Times New Roman"/>
                      <w:color w:val="auto"/>
                      <w:sz w:val="21"/>
                      <w:szCs w:val="21"/>
                    </w:rPr>
                    <w:t>铺设15cm水泥地面</w:t>
                  </w:r>
                  <w:r>
                    <w:rPr>
                      <w:rFonts w:hint="eastAsia" w:cs="Times New Roman"/>
                      <w:color w:val="auto"/>
                      <w:sz w:val="21"/>
                      <w:szCs w:val="21"/>
                      <w:highlight w:val="none"/>
                      <w:lang w:val="en-US" w:eastAsia="zh-CN"/>
                    </w:rPr>
                    <w:t>，等效黏土防渗层Mb≥1.5m（渗透系数≤10</w:t>
                  </w:r>
                  <w:r>
                    <w:rPr>
                      <w:rFonts w:hint="eastAsia" w:cs="Times New Roman"/>
                      <w:color w:val="auto"/>
                      <w:sz w:val="21"/>
                      <w:szCs w:val="21"/>
                      <w:highlight w:val="none"/>
                      <w:vertAlign w:val="superscript"/>
                      <w:lang w:val="en-US" w:eastAsia="zh-CN"/>
                    </w:rPr>
                    <w:t>-7</w:t>
                  </w:r>
                  <w:r>
                    <w:rPr>
                      <w:rFonts w:hint="eastAsia" w:cs="Times New Roman"/>
                      <w:color w:val="auto"/>
                      <w:sz w:val="21"/>
                      <w:szCs w:val="21"/>
                      <w:highlight w:val="none"/>
                      <w:lang w:val="en-US" w:eastAsia="zh-CN"/>
                    </w:rPr>
                    <w:t>cm/s）。化粪池、沉淀池为一般防渗：</w:t>
                  </w:r>
                  <w:r>
                    <w:rPr>
                      <w:rFonts w:hint="default" w:ascii="Times New Roman" w:hAnsi="Times New Roman" w:cs="Times New Roman"/>
                      <w:color w:val="auto"/>
                      <w:sz w:val="21"/>
                      <w:szCs w:val="21"/>
                      <w:highlight w:val="none"/>
                    </w:rPr>
                    <w:t>化粪池、沉淀池</w:t>
                  </w:r>
                  <w:r>
                    <w:rPr>
                      <w:rFonts w:hint="eastAsia" w:cs="Times New Roman"/>
                      <w:color w:val="auto"/>
                      <w:sz w:val="21"/>
                      <w:szCs w:val="21"/>
                      <w:highlight w:val="none"/>
                      <w:lang w:eastAsia="zh-CN"/>
                    </w:rPr>
                    <w:t>主体为</w:t>
                  </w:r>
                  <w:r>
                    <w:rPr>
                      <w:rFonts w:hint="eastAsia" w:cs="Times New Roman"/>
                      <w:color w:val="auto"/>
                      <w:sz w:val="21"/>
                      <w:szCs w:val="21"/>
                      <w:highlight w:val="none"/>
                      <w:lang w:val="en-US" w:eastAsia="zh-CN"/>
                    </w:rPr>
                    <w:t>30cm厚的C30抗渗等级为P6的混凝土结构，内部抹防水砂浆，等效黏土防渗层Mb≥6.0m（渗透系数≤10</w:t>
                  </w:r>
                  <w:r>
                    <w:rPr>
                      <w:rFonts w:hint="eastAsia" w:cs="Times New Roman"/>
                      <w:color w:val="auto"/>
                      <w:sz w:val="21"/>
                      <w:szCs w:val="21"/>
                      <w:highlight w:val="none"/>
                      <w:vertAlign w:val="superscript"/>
                      <w:lang w:val="en-US" w:eastAsia="zh-CN"/>
                    </w:rPr>
                    <w:t>-7</w:t>
                  </w:r>
                  <w:r>
                    <w:rPr>
                      <w:rFonts w:hint="eastAsia" w:cs="Times New Roman"/>
                      <w:color w:val="auto"/>
                      <w:sz w:val="21"/>
                      <w:szCs w:val="21"/>
                      <w:highlight w:val="none"/>
                      <w:lang w:val="en-US" w:eastAsia="zh-CN"/>
                    </w:rPr>
                    <w:t>cm/s）</w:t>
                  </w:r>
                  <w:r>
                    <w:rPr>
                      <w:rFonts w:hint="eastAsia" w:cs="Times New Roman"/>
                      <w:color w:val="auto"/>
                      <w:sz w:val="21"/>
                      <w:szCs w:val="21"/>
                      <w:highlight w:val="none"/>
                      <w:lang w:eastAsia="zh-CN"/>
                    </w:rPr>
                    <w:t>。</w:t>
                  </w:r>
                </w:p>
              </w:tc>
            </w:tr>
            <w:bookmarkEnd w:id="5"/>
          </w:tbl>
          <w:p w14:paraId="09F7E64F">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2.主要生产设备</w:t>
            </w:r>
          </w:p>
          <w:p w14:paraId="4B531D89">
            <w:pPr>
              <w:ind w:firstLine="480"/>
              <w:rPr>
                <w:rFonts w:hint="default" w:ascii="Times New Roman" w:hAnsi="Times New Roman" w:cs="Times New Roman"/>
                <w:b/>
                <w:bCs/>
                <w:color w:val="auto"/>
                <w:highlight w:val="none"/>
              </w:rPr>
            </w:pPr>
            <w:r>
              <w:rPr>
                <w:rFonts w:hint="default" w:ascii="Times New Roman" w:hAnsi="Times New Roman" w:cs="Times New Roman"/>
                <w:color w:val="auto"/>
                <w:highlight w:val="none"/>
              </w:rPr>
              <w:t>本项目主要生产设备见表2-</w:t>
            </w:r>
            <w:r>
              <w:rPr>
                <w:rFonts w:hint="eastAsia" w:cs="Times New Roman"/>
                <w:color w:val="auto"/>
                <w:highlight w:val="none"/>
                <w:lang w:val="en-US" w:eastAsia="zh-CN"/>
              </w:rPr>
              <w:t>2</w:t>
            </w:r>
            <w:r>
              <w:rPr>
                <w:rFonts w:hint="default" w:ascii="Times New Roman" w:hAnsi="Times New Roman" w:cs="Times New Roman"/>
                <w:color w:val="auto"/>
                <w:highlight w:val="none"/>
              </w:rPr>
              <w:t>。</w:t>
            </w:r>
          </w:p>
          <w:p w14:paraId="44E62175">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表2-</w:t>
            </w:r>
            <w:r>
              <w:rPr>
                <w:rFonts w:hint="eastAsia" w:cs="Times New Roman"/>
                <w:color w:val="auto"/>
                <w:highlight w:val="none"/>
                <w:lang w:val="en-US" w:eastAsia="zh-CN"/>
              </w:rPr>
              <w:t>2</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主要设备一览表</w:t>
            </w:r>
          </w:p>
          <w:tbl>
            <w:tblPr>
              <w:tblStyle w:val="23"/>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566"/>
              <w:gridCol w:w="1973"/>
              <w:gridCol w:w="1814"/>
              <w:gridCol w:w="1048"/>
              <w:gridCol w:w="1071"/>
              <w:gridCol w:w="1080"/>
            </w:tblGrid>
            <w:tr w14:paraId="00F76F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7675C88B">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序号</w:t>
                  </w:r>
                </w:p>
              </w:tc>
              <w:tc>
                <w:tcPr>
                  <w:tcW w:w="1973" w:type="dxa"/>
                  <w:vAlign w:val="center"/>
                </w:tcPr>
                <w:p w14:paraId="5B42329A">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设备名称</w:t>
                  </w:r>
                </w:p>
              </w:tc>
              <w:tc>
                <w:tcPr>
                  <w:tcW w:w="1814" w:type="dxa"/>
                  <w:vAlign w:val="center"/>
                </w:tcPr>
                <w:p w14:paraId="68ED3EDF">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规格型号</w:t>
                  </w:r>
                </w:p>
              </w:tc>
              <w:tc>
                <w:tcPr>
                  <w:tcW w:w="1048" w:type="dxa"/>
                  <w:vAlign w:val="center"/>
                </w:tcPr>
                <w:p w14:paraId="7A40EF69">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单位</w:t>
                  </w:r>
                </w:p>
              </w:tc>
              <w:tc>
                <w:tcPr>
                  <w:tcW w:w="1071" w:type="dxa"/>
                  <w:vAlign w:val="center"/>
                </w:tcPr>
                <w:p w14:paraId="5C42F806">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数量</w:t>
                  </w:r>
                </w:p>
              </w:tc>
              <w:tc>
                <w:tcPr>
                  <w:tcW w:w="1080" w:type="dxa"/>
                  <w:vAlign w:val="center"/>
                </w:tcPr>
                <w:p w14:paraId="32716038">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备注</w:t>
                  </w:r>
                </w:p>
              </w:tc>
            </w:tr>
            <w:tr w14:paraId="50FBD3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7552" w:type="dxa"/>
                  <w:gridSpan w:val="6"/>
                  <w:vAlign w:val="center"/>
                </w:tcPr>
                <w:p w14:paraId="6FD3C2C0">
                  <w:pPr>
                    <w:pStyle w:val="46"/>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混凝土生产线</w:t>
                  </w:r>
                </w:p>
              </w:tc>
            </w:tr>
            <w:tr w14:paraId="2BB44B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6E28194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973" w:type="dxa"/>
                  <w:vAlign w:val="center"/>
                </w:tcPr>
                <w:p w14:paraId="47AC7E1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混凝土搅拌系统</w:t>
                  </w:r>
                </w:p>
              </w:tc>
              <w:tc>
                <w:tcPr>
                  <w:tcW w:w="1814" w:type="dxa"/>
                  <w:vAlign w:val="center"/>
                </w:tcPr>
                <w:p w14:paraId="75917D3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HZS180</w:t>
                  </w:r>
                </w:p>
              </w:tc>
              <w:tc>
                <w:tcPr>
                  <w:tcW w:w="1048" w:type="dxa"/>
                  <w:vAlign w:val="center"/>
                </w:tcPr>
                <w:p w14:paraId="53123E8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套</w:t>
                  </w:r>
                </w:p>
              </w:tc>
              <w:tc>
                <w:tcPr>
                  <w:tcW w:w="1071" w:type="dxa"/>
                  <w:vAlign w:val="center"/>
                </w:tcPr>
                <w:p w14:paraId="75BB281D">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2</w:t>
                  </w:r>
                </w:p>
              </w:tc>
              <w:tc>
                <w:tcPr>
                  <w:tcW w:w="1080" w:type="dxa"/>
                  <w:vAlign w:val="center"/>
                </w:tcPr>
                <w:p w14:paraId="5E8A55E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5F6881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7EE9276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973" w:type="dxa"/>
                  <w:vAlign w:val="center"/>
                </w:tcPr>
                <w:p w14:paraId="393DC24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输送带</w:t>
                  </w:r>
                </w:p>
              </w:tc>
              <w:tc>
                <w:tcPr>
                  <w:tcW w:w="1814" w:type="dxa"/>
                  <w:vAlign w:val="center"/>
                </w:tcPr>
                <w:p w14:paraId="3473A4E9">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49m</w:t>
                  </w:r>
                  <w:r>
                    <w:rPr>
                      <w:rFonts w:hint="eastAsia" w:cs="Times New Roman"/>
                      <w:color w:val="auto"/>
                      <w:highlight w:val="none"/>
                      <w:lang w:eastAsia="zh-CN"/>
                    </w:rPr>
                    <w:t>、</w:t>
                  </w:r>
                  <w:r>
                    <w:rPr>
                      <w:rFonts w:hint="eastAsia" w:cs="Times New Roman"/>
                      <w:color w:val="auto"/>
                      <w:highlight w:val="none"/>
                      <w:lang w:val="en-US" w:eastAsia="zh-CN"/>
                    </w:rPr>
                    <w:t>16m</w:t>
                  </w:r>
                </w:p>
              </w:tc>
              <w:tc>
                <w:tcPr>
                  <w:tcW w:w="1048" w:type="dxa"/>
                  <w:vAlign w:val="center"/>
                </w:tcPr>
                <w:p w14:paraId="25C3129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条</w:t>
                  </w:r>
                </w:p>
              </w:tc>
              <w:tc>
                <w:tcPr>
                  <w:tcW w:w="1071" w:type="dxa"/>
                  <w:vAlign w:val="center"/>
                </w:tcPr>
                <w:p w14:paraId="1B47897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07554EF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48893E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0852709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1973" w:type="dxa"/>
                  <w:vAlign w:val="center"/>
                </w:tcPr>
                <w:p w14:paraId="3E05418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水泥筒仓</w:t>
                  </w:r>
                </w:p>
              </w:tc>
              <w:tc>
                <w:tcPr>
                  <w:tcW w:w="1814" w:type="dxa"/>
                  <w:vAlign w:val="center"/>
                </w:tcPr>
                <w:p w14:paraId="2218189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容积300m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、200t</w:t>
                  </w:r>
                </w:p>
              </w:tc>
              <w:tc>
                <w:tcPr>
                  <w:tcW w:w="1048" w:type="dxa"/>
                  <w:vAlign w:val="center"/>
                </w:tcPr>
                <w:p w14:paraId="5146C20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个</w:t>
                  </w:r>
                </w:p>
              </w:tc>
              <w:tc>
                <w:tcPr>
                  <w:tcW w:w="1071" w:type="dxa"/>
                  <w:vAlign w:val="center"/>
                </w:tcPr>
                <w:p w14:paraId="0E7D8BE2">
                  <w:pPr>
                    <w:pStyle w:val="46"/>
                    <w:jc w:val="center"/>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4</w:t>
                  </w:r>
                </w:p>
              </w:tc>
              <w:tc>
                <w:tcPr>
                  <w:tcW w:w="1080" w:type="dxa"/>
                  <w:vAlign w:val="center"/>
                </w:tcPr>
                <w:p w14:paraId="564FEFC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79B4FD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71404250">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1973" w:type="dxa"/>
                  <w:vAlign w:val="center"/>
                </w:tcPr>
                <w:p w14:paraId="0307483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粉煤灰筒仓</w:t>
                  </w:r>
                </w:p>
              </w:tc>
              <w:tc>
                <w:tcPr>
                  <w:tcW w:w="1814" w:type="dxa"/>
                  <w:vAlign w:val="center"/>
                </w:tcPr>
                <w:p w14:paraId="0595DFD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容积300m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、200t</w:t>
                  </w:r>
                </w:p>
              </w:tc>
              <w:tc>
                <w:tcPr>
                  <w:tcW w:w="1048" w:type="dxa"/>
                  <w:vAlign w:val="center"/>
                </w:tcPr>
                <w:p w14:paraId="5F5F1D2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个</w:t>
                  </w:r>
                </w:p>
              </w:tc>
              <w:tc>
                <w:tcPr>
                  <w:tcW w:w="1071" w:type="dxa"/>
                  <w:vAlign w:val="center"/>
                </w:tcPr>
                <w:p w14:paraId="70DF7430">
                  <w:pPr>
                    <w:pStyle w:val="46"/>
                    <w:jc w:val="center"/>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4</w:t>
                  </w:r>
                </w:p>
              </w:tc>
              <w:tc>
                <w:tcPr>
                  <w:tcW w:w="1080" w:type="dxa"/>
                  <w:vAlign w:val="center"/>
                </w:tcPr>
                <w:p w14:paraId="3D5CEFC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326580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079C0DC0">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5</w:t>
                  </w:r>
                </w:p>
              </w:tc>
              <w:tc>
                <w:tcPr>
                  <w:tcW w:w="1973" w:type="dxa"/>
                  <w:vAlign w:val="center"/>
                </w:tcPr>
                <w:p w14:paraId="0E30E1B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外加剂储罐</w:t>
                  </w:r>
                </w:p>
              </w:tc>
              <w:tc>
                <w:tcPr>
                  <w:tcW w:w="1814" w:type="dxa"/>
                  <w:vAlign w:val="center"/>
                </w:tcPr>
                <w:p w14:paraId="43A0215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10t</w:t>
                  </w:r>
                </w:p>
              </w:tc>
              <w:tc>
                <w:tcPr>
                  <w:tcW w:w="1048" w:type="dxa"/>
                  <w:vAlign w:val="center"/>
                </w:tcPr>
                <w:p w14:paraId="3CF61C1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个</w:t>
                  </w:r>
                </w:p>
              </w:tc>
              <w:tc>
                <w:tcPr>
                  <w:tcW w:w="1071" w:type="dxa"/>
                  <w:vAlign w:val="center"/>
                </w:tcPr>
                <w:p w14:paraId="433A7305">
                  <w:pPr>
                    <w:pStyle w:val="46"/>
                    <w:jc w:val="center"/>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4</w:t>
                  </w:r>
                </w:p>
              </w:tc>
              <w:tc>
                <w:tcPr>
                  <w:tcW w:w="1080" w:type="dxa"/>
                  <w:vAlign w:val="center"/>
                </w:tcPr>
                <w:p w14:paraId="28D96C2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3EC34E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587C8E2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1973" w:type="dxa"/>
                  <w:vAlign w:val="center"/>
                </w:tcPr>
                <w:p w14:paraId="46E62B9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储水罐</w:t>
                  </w:r>
                </w:p>
              </w:tc>
              <w:tc>
                <w:tcPr>
                  <w:tcW w:w="1814" w:type="dxa"/>
                  <w:vAlign w:val="center"/>
                </w:tcPr>
                <w:p w14:paraId="7A0EF919">
                  <w:pPr>
                    <w:pStyle w:val="46"/>
                    <w:jc w:val="center"/>
                    <w:rPr>
                      <w:rFonts w:hint="default" w:ascii="Times New Roman" w:hAnsi="Times New Roman" w:cs="Times New Roman"/>
                      <w:color w:val="auto"/>
                      <w:highlight w:val="none"/>
                    </w:rPr>
                  </w:pPr>
                  <w:r>
                    <w:rPr>
                      <w:rFonts w:hint="eastAsia" w:cs="Times New Roman"/>
                      <w:color w:val="auto"/>
                      <w:highlight w:val="none"/>
                      <w:lang w:val="en-US" w:eastAsia="zh-CN"/>
                    </w:rPr>
                    <w:t>40</w:t>
                  </w:r>
                  <w:r>
                    <w:rPr>
                      <w:rFonts w:hint="default" w:ascii="Times New Roman" w:hAnsi="Times New Roman" w:cs="Times New Roman"/>
                      <w:color w:val="auto"/>
                      <w:highlight w:val="none"/>
                    </w:rPr>
                    <w:t>t</w:t>
                  </w:r>
                </w:p>
              </w:tc>
              <w:tc>
                <w:tcPr>
                  <w:tcW w:w="1048" w:type="dxa"/>
                  <w:vAlign w:val="center"/>
                </w:tcPr>
                <w:p w14:paraId="77F86B9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个</w:t>
                  </w:r>
                </w:p>
              </w:tc>
              <w:tc>
                <w:tcPr>
                  <w:tcW w:w="1071" w:type="dxa"/>
                  <w:vAlign w:val="center"/>
                </w:tcPr>
                <w:p w14:paraId="4749744D">
                  <w:pPr>
                    <w:pStyle w:val="46"/>
                    <w:jc w:val="center"/>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2</w:t>
                  </w:r>
                </w:p>
              </w:tc>
              <w:tc>
                <w:tcPr>
                  <w:tcW w:w="1080" w:type="dxa"/>
                  <w:vAlign w:val="center"/>
                </w:tcPr>
                <w:p w14:paraId="53BFC1D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4C3A44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4C84C97F">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7</w:t>
                  </w:r>
                </w:p>
              </w:tc>
              <w:tc>
                <w:tcPr>
                  <w:tcW w:w="1973" w:type="dxa"/>
                  <w:vAlign w:val="center"/>
                </w:tcPr>
                <w:p w14:paraId="27A9B50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称量装置</w:t>
                  </w:r>
                </w:p>
              </w:tc>
              <w:tc>
                <w:tcPr>
                  <w:tcW w:w="1814" w:type="dxa"/>
                  <w:vAlign w:val="center"/>
                </w:tcPr>
                <w:p w14:paraId="1E83469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048" w:type="dxa"/>
                  <w:vAlign w:val="center"/>
                </w:tcPr>
                <w:p w14:paraId="14C37BC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套</w:t>
                  </w:r>
                </w:p>
              </w:tc>
              <w:tc>
                <w:tcPr>
                  <w:tcW w:w="1071" w:type="dxa"/>
                  <w:vAlign w:val="center"/>
                </w:tcPr>
                <w:p w14:paraId="4D35F637">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w:t>
                  </w:r>
                </w:p>
              </w:tc>
              <w:tc>
                <w:tcPr>
                  <w:tcW w:w="1080" w:type="dxa"/>
                  <w:vAlign w:val="center"/>
                </w:tcPr>
                <w:p w14:paraId="795F876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095686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48777160">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8</w:t>
                  </w:r>
                </w:p>
              </w:tc>
              <w:tc>
                <w:tcPr>
                  <w:tcW w:w="1973" w:type="dxa"/>
                  <w:vAlign w:val="center"/>
                </w:tcPr>
                <w:p w14:paraId="180D2A6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混凝土运输车辆</w:t>
                  </w:r>
                </w:p>
              </w:tc>
              <w:tc>
                <w:tcPr>
                  <w:tcW w:w="1814" w:type="dxa"/>
                  <w:vAlign w:val="center"/>
                </w:tcPr>
                <w:p w14:paraId="1436DFC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048" w:type="dxa"/>
                  <w:vAlign w:val="center"/>
                </w:tcPr>
                <w:p w14:paraId="7AECA2F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辆</w:t>
                  </w:r>
                </w:p>
              </w:tc>
              <w:tc>
                <w:tcPr>
                  <w:tcW w:w="1071" w:type="dxa"/>
                  <w:vAlign w:val="center"/>
                </w:tcPr>
                <w:p w14:paraId="150707B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1080" w:type="dxa"/>
                  <w:vAlign w:val="center"/>
                </w:tcPr>
                <w:p w14:paraId="1C0DF35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16B7E1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0D699248">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9</w:t>
                  </w:r>
                </w:p>
              </w:tc>
              <w:tc>
                <w:tcPr>
                  <w:tcW w:w="1973" w:type="dxa"/>
                  <w:vAlign w:val="center"/>
                </w:tcPr>
                <w:p w14:paraId="757D134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泵车</w:t>
                  </w:r>
                </w:p>
              </w:tc>
              <w:tc>
                <w:tcPr>
                  <w:tcW w:w="1814" w:type="dxa"/>
                  <w:vAlign w:val="center"/>
                </w:tcPr>
                <w:p w14:paraId="2A17FC9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048" w:type="dxa"/>
                  <w:vAlign w:val="center"/>
                </w:tcPr>
                <w:p w14:paraId="79EC54E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071" w:type="dxa"/>
                  <w:vAlign w:val="center"/>
                </w:tcPr>
                <w:p w14:paraId="76DC06C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7DA139B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462F92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7E458D90">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1973" w:type="dxa"/>
                  <w:vAlign w:val="center"/>
                </w:tcPr>
                <w:p w14:paraId="12CE833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铲车</w:t>
                  </w:r>
                </w:p>
              </w:tc>
              <w:tc>
                <w:tcPr>
                  <w:tcW w:w="1814" w:type="dxa"/>
                  <w:vAlign w:val="center"/>
                </w:tcPr>
                <w:p w14:paraId="37702E2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50型</w:t>
                  </w:r>
                </w:p>
              </w:tc>
              <w:tc>
                <w:tcPr>
                  <w:tcW w:w="1048" w:type="dxa"/>
                  <w:vAlign w:val="center"/>
                </w:tcPr>
                <w:p w14:paraId="5A65071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辆</w:t>
                  </w:r>
                </w:p>
              </w:tc>
              <w:tc>
                <w:tcPr>
                  <w:tcW w:w="1071" w:type="dxa"/>
                  <w:vAlign w:val="center"/>
                </w:tcPr>
                <w:p w14:paraId="3E4D83A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6BFC5C8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2594CE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1E9AF0B3">
                  <w:pPr>
                    <w:pStyle w:val="46"/>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1973" w:type="dxa"/>
                  <w:vAlign w:val="center"/>
                </w:tcPr>
                <w:p w14:paraId="690CEE78">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洗砂机</w:t>
                  </w:r>
                </w:p>
              </w:tc>
              <w:tc>
                <w:tcPr>
                  <w:tcW w:w="1814" w:type="dxa"/>
                  <w:vAlign w:val="center"/>
                </w:tcPr>
                <w:p w14:paraId="2191424E">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048" w:type="dxa"/>
                  <w:vAlign w:val="center"/>
                </w:tcPr>
                <w:p w14:paraId="3C3EE04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071" w:type="dxa"/>
                  <w:vAlign w:val="center"/>
                </w:tcPr>
                <w:p w14:paraId="0E735D8C">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080" w:type="dxa"/>
                  <w:vAlign w:val="center"/>
                </w:tcPr>
                <w:p w14:paraId="73300D3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19B4D7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7552" w:type="dxa"/>
                  <w:gridSpan w:val="6"/>
                  <w:vAlign w:val="center"/>
                </w:tcPr>
                <w:p w14:paraId="1362BA3B">
                  <w:pPr>
                    <w:pStyle w:val="46"/>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化验室</w:t>
                  </w:r>
                </w:p>
              </w:tc>
            </w:tr>
            <w:tr w14:paraId="5F8D33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706D31C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973" w:type="dxa"/>
                  <w:vAlign w:val="center"/>
                </w:tcPr>
                <w:p w14:paraId="09251A8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压力机</w:t>
                  </w:r>
                </w:p>
              </w:tc>
              <w:tc>
                <w:tcPr>
                  <w:tcW w:w="1814" w:type="dxa"/>
                  <w:vAlign w:val="center"/>
                </w:tcPr>
                <w:p w14:paraId="05B7CEE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DYE-2000型</w:t>
                  </w:r>
                </w:p>
              </w:tc>
              <w:tc>
                <w:tcPr>
                  <w:tcW w:w="1048" w:type="dxa"/>
                  <w:vAlign w:val="center"/>
                </w:tcPr>
                <w:p w14:paraId="0A18902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071" w:type="dxa"/>
                  <w:vAlign w:val="center"/>
                </w:tcPr>
                <w:p w14:paraId="025433C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3EB1164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218F7D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4259121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973" w:type="dxa"/>
                  <w:vAlign w:val="center"/>
                </w:tcPr>
                <w:p w14:paraId="10CEC9C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压力机</w:t>
                  </w:r>
                </w:p>
              </w:tc>
              <w:tc>
                <w:tcPr>
                  <w:tcW w:w="1814" w:type="dxa"/>
                  <w:vAlign w:val="center"/>
                </w:tcPr>
                <w:p w14:paraId="0E92B98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DYE-300型</w:t>
                  </w:r>
                </w:p>
              </w:tc>
              <w:tc>
                <w:tcPr>
                  <w:tcW w:w="1048" w:type="dxa"/>
                  <w:vAlign w:val="center"/>
                </w:tcPr>
                <w:p w14:paraId="0E72115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071" w:type="dxa"/>
                  <w:vAlign w:val="center"/>
                </w:tcPr>
                <w:p w14:paraId="330DE5C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2063B3C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166EBC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641E2AB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1973" w:type="dxa"/>
                  <w:vAlign w:val="center"/>
                </w:tcPr>
                <w:p w14:paraId="36C0DA2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水泥净浆搅拌机</w:t>
                  </w:r>
                </w:p>
              </w:tc>
              <w:tc>
                <w:tcPr>
                  <w:tcW w:w="1814" w:type="dxa"/>
                  <w:vAlign w:val="center"/>
                </w:tcPr>
                <w:p w14:paraId="4BE444A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NJ-160</w:t>
                  </w:r>
                </w:p>
              </w:tc>
              <w:tc>
                <w:tcPr>
                  <w:tcW w:w="1048" w:type="dxa"/>
                  <w:vAlign w:val="center"/>
                </w:tcPr>
                <w:p w14:paraId="58785D7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071" w:type="dxa"/>
                  <w:vAlign w:val="center"/>
                </w:tcPr>
                <w:p w14:paraId="3712248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19F1DE5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67EDBD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25B8112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1973" w:type="dxa"/>
                  <w:vAlign w:val="center"/>
                </w:tcPr>
                <w:p w14:paraId="6901C44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胶砂试体成型振实机</w:t>
                  </w:r>
                </w:p>
              </w:tc>
              <w:tc>
                <w:tcPr>
                  <w:tcW w:w="1814" w:type="dxa"/>
                  <w:vAlign w:val="center"/>
                </w:tcPr>
                <w:p w14:paraId="77D8F68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JJ-5</w:t>
                  </w:r>
                </w:p>
              </w:tc>
              <w:tc>
                <w:tcPr>
                  <w:tcW w:w="1048" w:type="dxa"/>
                  <w:vAlign w:val="center"/>
                </w:tcPr>
                <w:p w14:paraId="59B3F81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071" w:type="dxa"/>
                  <w:vAlign w:val="center"/>
                </w:tcPr>
                <w:p w14:paraId="4080C2A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7651222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332EBA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56B6F87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1973" w:type="dxa"/>
                  <w:vAlign w:val="center"/>
                </w:tcPr>
                <w:p w14:paraId="283EF3E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水泥细度负压筛析仪</w:t>
                  </w:r>
                </w:p>
              </w:tc>
              <w:tc>
                <w:tcPr>
                  <w:tcW w:w="1814" w:type="dxa"/>
                  <w:vAlign w:val="center"/>
                </w:tcPr>
                <w:p w14:paraId="5052F94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FSY-15</w:t>
                  </w:r>
                </w:p>
              </w:tc>
              <w:tc>
                <w:tcPr>
                  <w:tcW w:w="1048" w:type="dxa"/>
                  <w:vAlign w:val="center"/>
                </w:tcPr>
                <w:p w14:paraId="68BED7E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071" w:type="dxa"/>
                  <w:vAlign w:val="center"/>
                </w:tcPr>
                <w:p w14:paraId="6DE225D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72EDDD7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1E3AD2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473A419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w:t>
                  </w:r>
                </w:p>
              </w:tc>
              <w:tc>
                <w:tcPr>
                  <w:tcW w:w="1973" w:type="dxa"/>
                  <w:vAlign w:val="center"/>
                </w:tcPr>
                <w:p w14:paraId="7A48E67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雷氏煮沸箱</w:t>
                  </w:r>
                </w:p>
              </w:tc>
              <w:tc>
                <w:tcPr>
                  <w:tcW w:w="1814" w:type="dxa"/>
                  <w:vAlign w:val="center"/>
                </w:tcPr>
                <w:p w14:paraId="1D45CF0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FZ-31A</w:t>
                  </w:r>
                </w:p>
              </w:tc>
              <w:tc>
                <w:tcPr>
                  <w:tcW w:w="1048" w:type="dxa"/>
                  <w:vAlign w:val="center"/>
                </w:tcPr>
                <w:p w14:paraId="5D508B1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071" w:type="dxa"/>
                  <w:vAlign w:val="center"/>
                </w:tcPr>
                <w:p w14:paraId="3E0DED3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547C84E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3FB108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2D7130A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7</w:t>
                  </w:r>
                </w:p>
              </w:tc>
              <w:tc>
                <w:tcPr>
                  <w:tcW w:w="1973" w:type="dxa"/>
                  <w:vAlign w:val="center"/>
                </w:tcPr>
                <w:p w14:paraId="3C1C348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全自动准养护箱</w:t>
                  </w:r>
                </w:p>
              </w:tc>
              <w:tc>
                <w:tcPr>
                  <w:tcW w:w="1814" w:type="dxa"/>
                  <w:vAlign w:val="center"/>
                </w:tcPr>
                <w:p w14:paraId="673AA46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HY-40B</w:t>
                  </w:r>
                </w:p>
              </w:tc>
              <w:tc>
                <w:tcPr>
                  <w:tcW w:w="1048" w:type="dxa"/>
                  <w:vAlign w:val="center"/>
                </w:tcPr>
                <w:p w14:paraId="68D963A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071" w:type="dxa"/>
                  <w:vAlign w:val="center"/>
                </w:tcPr>
                <w:p w14:paraId="5B87C8D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55C5681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003471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6318876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8</w:t>
                  </w:r>
                </w:p>
              </w:tc>
              <w:tc>
                <w:tcPr>
                  <w:tcW w:w="1973" w:type="dxa"/>
                  <w:vAlign w:val="center"/>
                </w:tcPr>
                <w:p w14:paraId="701CAD3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电热鼓风干燥箱</w:t>
                  </w:r>
                </w:p>
              </w:tc>
              <w:tc>
                <w:tcPr>
                  <w:tcW w:w="1814" w:type="dxa"/>
                  <w:vAlign w:val="center"/>
                </w:tcPr>
                <w:p w14:paraId="5A875C6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101-1</w:t>
                  </w:r>
                </w:p>
              </w:tc>
              <w:tc>
                <w:tcPr>
                  <w:tcW w:w="1048" w:type="dxa"/>
                  <w:vAlign w:val="center"/>
                </w:tcPr>
                <w:p w14:paraId="415DC3D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071" w:type="dxa"/>
                  <w:vAlign w:val="center"/>
                </w:tcPr>
                <w:p w14:paraId="68CAB3E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0241A5E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7A6454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26238AA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9</w:t>
                  </w:r>
                </w:p>
              </w:tc>
              <w:tc>
                <w:tcPr>
                  <w:tcW w:w="1973" w:type="dxa"/>
                  <w:vAlign w:val="center"/>
                </w:tcPr>
                <w:p w14:paraId="1E9F5F4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电子天平</w:t>
                  </w:r>
                </w:p>
              </w:tc>
              <w:tc>
                <w:tcPr>
                  <w:tcW w:w="1814" w:type="dxa"/>
                  <w:vAlign w:val="center"/>
                </w:tcPr>
                <w:p w14:paraId="697B843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5kg/0.1g</w:t>
                  </w:r>
                </w:p>
              </w:tc>
              <w:tc>
                <w:tcPr>
                  <w:tcW w:w="1048" w:type="dxa"/>
                  <w:vAlign w:val="center"/>
                </w:tcPr>
                <w:p w14:paraId="64B892B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071" w:type="dxa"/>
                  <w:vAlign w:val="center"/>
                </w:tcPr>
                <w:p w14:paraId="4E16577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1479B0D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r w14:paraId="4349BF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566" w:type="dxa"/>
                  <w:vAlign w:val="center"/>
                </w:tcPr>
                <w:p w14:paraId="5E7A03C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c>
                <w:tcPr>
                  <w:tcW w:w="1973" w:type="dxa"/>
                  <w:vAlign w:val="center"/>
                </w:tcPr>
                <w:p w14:paraId="235CB98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全自动养护室控温控湿设备</w:t>
                  </w:r>
                </w:p>
              </w:tc>
              <w:tc>
                <w:tcPr>
                  <w:tcW w:w="1814" w:type="dxa"/>
                  <w:vAlign w:val="center"/>
                </w:tcPr>
                <w:p w14:paraId="2BF52AB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60型压缩机式</w:t>
                  </w:r>
                </w:p>
              </w:tc>
              <w:tc>
                <w:tcPr>
                  <w:tcW w:w="1048" w:type="dxa"/>
                  <w:vAlign w:val="center"/>
                </w:tcPr>
                <w:p w14:paraId="2E04F3B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台</w:t>
                  </w:r>
                </w:p>
              </w:tc>
              <w:tc>
                <w:tcPr>
                  <w:tcW w:w="1071" w:type="dxa"/>
                  <w:vAlign w:val="center"/>
                </w:tcPr>
                <w:p w14:paraId="23C1E92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080" w:type="dxa"/>
                  <w:vAlign w:val="center"/>
                </w:tcPr>
                <w:p w14:paraId="5CA5499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外购</w:t>
                  </w:r>
                </w:p>
              </w:tc>
            </w:tr>
          </w:tbl>
          <w:p w14:paraId="2D0552EC">
            <w:pPr>
              <w:ind w:firstLine="482"/>
              <w:rPr>
                <w:rFonts w:hint="eastAsia" w:ascii="Times New Roman" w:hAnsi="Times New Roman" w:eastAsia="宋体" w:cs="Times New Roman"/>
                <w:color w:val="auto"/>
                <w:highlight w:val="none"/>
                <w:lang w:eastAsia="zh-CN"/>
              </w:rPr>
            </w:pPr>
            <w:r>
              <w:rPr>
                <w:rFonts w:hint="default" w:ascii="Times New Roman" w:hAnsi="Times New Roman" w:cs="Times New Roman"/>
                <w:b/>
                <w:color w:val="auto"/>
                <w:highlight w:val="none"/>
              </w:rPr>
              <w:t>3.原材料及</w:t>
            </w:r>
            <w:r>
              <w:rPr>
                <w:rFonts w:hint="eastAsia" w:cs="Times New Roman"/>
                <w:b/>
                <w:color w:val="auto"/>
                <w:highlight w:val="none"/>
                <w:lang w:eastAsia="zh-CN"/>
              </w:rPr>
              <w:t>能源消耗</w:t>
            </w:r>
          </w:p>
          <w:p w14:paraId="4BAD504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本项目建设规模为年产</w:t>
            </w:r>
            <w:r>
              <w:rPr>
                <w:rFonts w:hint="eastAsia" w:cs="Times New Roman"/>
                <w:color w:val="auto"/>
                <w:highlight w:val="none"/>
                <w:lang w:val="en-US" w:eastAsia="zh-CN"/>
              </w:rPr>
              <w:t>30</w:t>
            </w:r>
            <w:r>
              <w:rPr>
                <w:rFonts w:hint="default" w:ascii="Times New Roman" w:hAnsi="Times New Roman" w:cs="Times New Roman"/>
                <w:color w:val="auto"/>
                <w:highlight w:val="none"/>
              </w:rPr>
              <w:t>万</w:t>
            </w:r>
            <w:r>
              <w:rPr>
                <w:rFonts w:hint="default" w:ascii="Times New Roman" w:hAnsi="Times New Roman" w:cs="Times New Roman"/>
                <w:color w:val="auto"/>
                <w:highlight w:val="none"/>
                <w:lang w:eastAsia="zh-CN"/>
              </w:rPr>
              <w:t>立方</w:t>
            </w:r>
            <w:r>
              <w:rPr>
                <w:rFonts w:hint="default" w:ascii="Times New Roman" w:hAnsi="Times New Roman" w:cs="Times New Roman"/>
                <w:color w:val="auto"/>
                <w:highlight w:val="none"/>
              </w:rPr>
              <w:t>商砼，产品标号</w:t>
            </w:r>
            <w:r>
              <w:rPr>
                <w:rFonts w:hint="default" w:ascii="Times New Roman" w:hAnsi="Times New Roman" w:cs="Times New Roman"/>
                <w:color w:val="auto"/>
                <w:highlight w:val="none"/>
                <w:lang w:eastAsia="zh-CN"/>
              </w:rPr>
              <w:t>为</w:t>
            </w:r>
            <w:r>
              <w:rPr>
                <w:rFonts w:hint="default" w:ascii="Times New Roman" w:hAnsi="Times New Roman" w:cs="Times New Roman"/>
                <w:color w:val="auto"/>
                <w:highlight w:val="none"/>
              </w:rPr>
              <w:t>C15-</w:t>
            </w:r>
            <w:r>
              <w:rPr>
                <w:rFonts w:hint="eastAsia" w:cs="Times New Roman"/>
                <w:color w:val="auto"/>
                <w:highlight w:val="none"/>
                <w:lang w:eastAsia="zh-CN"/>
              </w:rPr>
              <w:t>C60</w:t>
            </w:r>
            <w:r>
              <w:rPr>
                <w:rFonts w:hint="default" w:ascii="Times New Roman" w:hAnsi="Times New Roman" w:cs="Times New Roman"/>
                <w:color w:val="auto"/>
                <w:highlight w:val="none"/>
              </w:rPr>
              <w:t>。详见下表。</w:t>
            </w:r>
          </w:p>
          <w:p w14:paraId="00AE6079">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表2-</w:t>
            </w:r>
            <w:r>
              <w:rPr>
                <w:rFonts w:hint="eastAsia" w:cs="Times New Roman"/>
                <w:color w:val="auto"/>
                <w:highlight w:val="none"/>
                <w:lang w:val="en-US" w:eastAsia="zh-CN"/>
              </w:rPr>
              <w:t>3</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项目产品方案</w:t>
            </w:r>
          </w:p>
          <w:tbl>
            <w:tblPr>
              <w:tblStyle w:val="2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649"/>
              <w:gridCol w:w="2085"/>
              <w:gridCol w:w="1590"/>
              <w:gridCol w:w="1893"/>
            </w:tblGrid>
            <w:tr w14:paraId="555F00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35" w:type="dxa"/>
                  <w:vAlign w:val="center"/>
                </w:tcPr>
                <w:p w14:paraId="01468C8B">
                  <w:pPr>
                    <w:pStyle w:val="46"/>
                    <w:jc w:val="center"/>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产品名称</w:t>
                  </w:r>
                </w:p>
              </w:tc>
              <w:tc>
                <w:tcPr>
                  <w:tcW w:w="649" w:type="dxa"/>
                  <w:vAlign w:val="center"/>
                </w:tcPr>
                <w:p w14:paraId="0FFABC40">
                  <w:pPr>
                    <w:pStyle w:val="46"/>
                    <w:jc w:val="center"/>
                    <w:rPr>
                      <w:rFonts w:hint="eastAsia" w:ascii="Times New Roman" w:hAnsi="Times New Roman" w:eastAsia="宋体" w:cs="Times New Roman"/>
                      <w:b/>
                      <w:bCs/>
                      <w:color w:val="auto"/>
                      <w:highlight w:val="none"/>
                      <w:lang w:eastAsia="zh-CN"/>
                    </w:rPr>
                  </w:pPr>
                  <w:r>
                    <w:rPr>
                      <w:rFonts w:hint="eastAsia" w:cs="Times New Roman"/>
                      <w:b/>
                      <w:bCs/>
                      <w:color w:val="auto"/>
                      <w:highlight w:val="none"/>
                      <w:lang w:eastAsia="zh-CN"/>
                    </w:rPr>
                    <w:t>规格</w:t>
                  </w:r>
                </w:p>
              </w:tc>
              <w:tc>
                <w:tcPr>
                  <w:tcW w:w="2085" w:type="dxa"/>
                  <w:vAlign w:val="center"/>
                </w:tcPr>
                <w:p w14:paraId="1B50A947">
                  <w:pPr>
                    <w:pStyle w:val="46"/>
                    <w:jc w:val="center"/>
                    <w:rPr>
                      <w:rFonts w:hint="eastAsia" w:cs="Times New Roman"/>
                      <w:b/>
                      <w:bCs/>
                      <w:color w:val="auto"/>
                      <w:highlight w:val="none"/>
                      <w:lang w:val="en-US" w:eastAsia="zh-CN"/>
                    </w:rPr>
                  </w:pPr>
                  <w:r>
                    <w:rPr>
                      <w:rFonts w:hint="eastAsia" w:cs="Times New Roman"/>
                      <w:b/>
                      <w:bCs/>
                      <w:color w:val="auto"/>
                      <w:highlight w:val="none"/>
                      <w:lang w:val="en-US" w:eastAsia="zh-CN"/>
                    </w:rPr>
                    <w:t>水泥</w:t>
                  </w:r>
                  <w:r>
                    <w:rPr>
                      <w:rFonts w:hint="default" w:ascii="Times New Roman" w:hAnsi="Times New Roman" w:cs="Times New Roman"/>
                      <w:color w:val="auto"/>
                      <w:highlight w:val="none"/>
                    </w:rPr>
                    <w:t>:</w:t>
                  </w:r>
                  <w:r>
                    <w:rPr>
                      <w:rFonts w:hint="eastAsia" w:cs="Times New Roman"/>
                      <w:b/>
                      <w:bCs/>
                      <w:color w:val="auto"/>
                      <w:highlight w:val="none"/>
                      <w:lang w:val="en-US" w:eastAsia="zh-CN"/>
                    </w:rPr>
                    <w:t>砂</w:t>
                  </w:r>
                  <w:r>
                    <w:rPr>
                      <w:rFonts w:hint="default" w:ascii="Times New Roman" w:hAnsi="Times New Roman" w:cs="Times New Roman"/>
                      <w:color w:val="auto"/>
                      <w:highlight w:val="none"/>
                    </w:rPr>
                    <w:t>:</w:t>
                  </w:r>
                  <w:r>
                    <w:rPr>
                      <w:rFonts w:hint="eastAsia" w:cs="Times New Roman"/>
                      <w:b/>
                      <w:bCs/>
                      <w:color w:val="auto"/>
                      <w:highlight w:val="none"/>
                      <w:lang w:val="en-US" w:eastAsia="zh-CN"/>
                    </w:rPr>
                    <w:t>石子</w:t>
                  </w:r>
                  <w:r>
                    <w:rPr>
                      <w:rFonts w:hint="default" w:ascii="Times New Roman" w:hAnsi="Times New Roman" w:cs="Times New Roman"/>
                      <w:color w:val="auto"/>
                      <w:highlight w:val="none"/>
                    </w:rPr>
                    <w:t>:</w:t>
                  </w:r>
                  <w:r>
                    <w:rPr>
                      <w:rFonts w:hint="eastAsia" w:cs="Times New Roman"/>
                      <w:b/>
                      <w:bCs/>
                      <w:color w:val="auto"/>
                      <w:highlight w:val="none"/>
                      <w:lang w:val="en-US" w:eastAsia="zh-CN"/>
                    </w:rPr>
                    <w:t>水</w:t>
                  </w:r>
                </w:p>
                <w:p w14:paraId="4F7D11F4">
                  <w:pPr>
                    <w:pStyle w:val="46"/>
                    <w:jc w:val="center"/>
                    <w:rPr>
                      <w:rFonts w:hint="eastAsia" w:eastAsia="宋体" w:cs="Times New Roman"/>
                      <w:b/>
                      <w:bCs/>
                      <w:color w:val="auto"/>
                      <w:highlight w:val="none"/>
                      <w:lang w:val="en-US" w:eastAsia="zh-CN"/>
                    </w:rPr>
                  </w:pPr>
                  <w:r>
                    <w:rPr>
                      <w:rFonts w:hint="eastAsia" w:cs="Times New Roman"/>
                      <w:b/>
                      <w:bCs/>
                      <w:color w:val="auto"/>
                      <w:highlight w:val="none"/>
                      <w:lang w:val="en-US" w:eastAsia="zh-CN"/>
                    </w:rPr>
                    <w:t>配合比</w:t>
                  </w:r>
                </w:p>
              </w:tc>
              <w:tc>
                <w:tcPr>
                  <w:tcW w:w="1590" w:type="dxa"/>
                  <w:vAlign w:val="center"/>
                </w:tcPr>
                <w:p w14:paraId="123E13AA">
                  <w:pPr>
                    <w:pStyle w:val="46"/>
                    <w:jc w:val="center"/>
                    <w:rPr>
                      <w:rFonts w:hint="default" w:ascii="Times New Roman" w:hAnsi="Times New Roman" w:cs="Times New Roman"/>
                      <w:b/>
                      <w:bCs/>
                      <w:color w:val="auto"/>
                      <w:highlight w:val="none"/>
                    </w:rPr>
                  </w:pPr>
                  <w:r>
                    <w:rPr>
                      <w:rFonts w:hint="eastAsia" w:cs="Times New Roman"/>
                      <w:b/>
                      <w:bCs/>
                      <w:color w:val="auto"/>
                      <w:highlight w:val="none"/>
                      <w:lang w:eastAsia="zh-CN"/>
                    </w:rPr>
                    <w:t>生产</w:t>
                  </w:r>
                  <w:r>
                    <w:rPr>
                      <w:rFonts w:hint="default" w:ascii="Times New Roman" w:hAnsi="Times New Roman" w:cs="Times New Roman"/>
                      <w:b/>
                      <w:bCs/>
                      <w:color w:val="auto"/>
                      <w:highlight w:val="none"/>
                    </w:rPr>
                    <w:t>规模</w:t>
                  </w:r>
                </w:p>
              </w:tc>
              <w:tc>
                <w:tcPr>
                  <w:tcW w:w="1893" w:type="dxa"/>
                  <w:vAlign w:val="center"/>
                </w:tcPr>
                <w:p w14:paraId="6A51A788">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备注</w:t>
                  </w:r>
                </w:p>
              </w:tc>
            </w:tr>
            <w:tr w14:paraId="65C7E5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1335" w:type="dxa"/>
                  <w:vMerge w:val="restart"/>
                  <w:vAlign w:val="center"/>
                </w:tcPr>
                <w:p w14:paraId="75BF29A9">
                  <w:pPr>
                    <w:pStyle w:val="46"/>
                    <w:jc w:val="center"/>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商品混凝土</w:t>
                  </w:r>
                </w:p>
              </w:tc>
              <w:tc>
                <w:tcPr>
                  <w:tcW w:w="649" w:type="dxa"/>
                  <w:vAlign w:val="center"/>
                </w:tcPr>
                <w:p w14:paraId="36012EE0">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C15</w:t>
                  </w:r>
                </w:p>
              </w:tc>
              <w:tc>
                <w:tcPr>
                  <w:tcW w:w="2085" w:type="dxa"/>
                  <w:vAlign w:val="center"/>
                </w:tcPr>
                <w:p w14:paraId="103CEE4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1:3.12:4.87:0.71</w:t>
                  </w:r>
                </w:p>
              </w:tc>
              <w:tc>
                <w:tcPr>
                  <w:tcW w:w="1590" w:type="dxa"/>
                  <w:vMerge w:val="restart"/>
                  <w:vAlign w:val="center"/>
                </w:tcPr>
                <w:p w14:paraId="2F6EC0B3">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300000m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/a</w:t>
                  </w:r>
                </w:p>
              </w:tc>
              <w:tc>
                <w:tcPr>
                  <w:tcW w:w="1893" w:type="dxa"/>
                  <w:vMerge w:val="restart"/>
                  <w:vAlign w:val="center"/>
                </w:tcPr>
                <w:p w14:paraId="3897066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根据购买方的需求进行不同标号的混凝土生产</w:t>
                  </w:r>
                </w:p>
              </w:tc>
            </w:tr>
            <w:tr w14:paraId="4A23CD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1335" w:type="dxa"/>
                  <w:vMerge w:val="continue"/>
                  <w:vAlign w:val="center"/>
                </w:tcPr>
                <w:p w14:paraId="55B41FAF">
                  <w:pPr>
                    <w:pStyle w:val="46"/>
                    <w:jc w:val="center"/>
                    <w:rPr>
                      <w:rFonts w:hint="eastAsia" w:cs="Times New Roman"/>
                      <w:color w:val="auto"/>
                      <w:highlight w:val="none"/>
                      <w:lang w:eastAsia="zh-CN"/>
                    </w:rPr>
                  </w:pPr>
                </w:p>
              </w:tc>
              <w:tc>
                <w:tcPr>
                  <w:tcW w:w="649" w:type="dxa"/>
                  <w:vAlign w:val="center"/>
                </w:tcPr>
                <w:p w14:paraId="515B0B5D">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C20</w:t>
                  </w:r>
                </w:p>
              </w:tc>
              <w:tc>
                <w:tcPr>
                  <w:tcW w:w="2085" w:type="dxa"/>
                  <w:vAlign w:val="center"/>
                </w:tcPr>
                <w:p w14:paraId="782E1F68">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1:</w:t>
                  </w:r>
                  <w:r>
                    <w:rPr>
                      <w:rFonts w:hint="eastAsia" w:cs="Times New Roman"/>
                      <w:color w:val="auto"/>
                      <w:highlight w:val="none"/>
                      <w:lang w:val="en-US" w:eastAsia="zh-CN"/>
                    </w:rPr>
                    <w:t>1.56</w:t>
                  </w:r>
                  <w:r>
                    <w:rPr>
                      <w:rFonts w:hint="default" w:ascii="Times New Roman" w:hAnsi="Times New Roman" w:cs="Times New Roman"/>
                      <w:color w:val="auto"/>
                      <w:highlight w:val="none"/>
                    </w:rPr>
                    <w:t>:</w:t>
                  </w:r>
                  <w:r>
                    <w:rPr>
                      <w:rFonts w:hint="eastAsia" w:cs="Times New Roman"/>
                      <w:color w:val="auto"/>
                      <w:highlight w:val="none"/>
                      <w:lang w:val="en-US" w:eastAsia="zh-CN"/>
                    </w:rPr>
                    <w:t>2.89</w:t>
                  </w:r>
                  <w:r>
                    <w:rPr>
                      <w:rFonts w:hint="default" w:ascii="Times New Roman" w:hAnsi="Times New Roman" w:cs="Times New Roman"/>
                      <w:color w:val="auto"/>
                      <w:highlight w:val="none"/>
                    </w:rPr>
                    <w:t>:</w:t>
                  </w:r>
                  <w:r>
                    <w:rPr>
                      <w:rFonts w:hint="eastAsia" w:cs="Times New Roman"/>
                      <w:color w:val="auto"/>
                      <w:highlight w:val="none"/>
                      <w:lang w:val="en-US" w:eastAsia="zh-CN"/>
                    </w:rPr>
                    <w:t>0.51</w:t>
                  </w:r>
                </w:p>
              </w:tc>
              <w:tc>
                <w:tcPr>
                  <w:tcW w:w="1590" w:type="dxa"/>
                  <w:vMerge w:val="continue"/>
                  <w:vAlign w:val="center"/>
                </w:tcPr>
                <w:p w14:paraId="586449D6">
                  <w:pPr>
                    <w:pStyle w:val="46"/>
                    <w:jc w:val="center"/>
                    <w:rPr>
                      <w:rFonts w:hint="default" w:ascii="Times New Roman" w:hAnsi="Times New Roman" w:cs="Times New Roman"/>
                      <w:color w:val="auto"/>
                      <w:highlight w:val="none"/>
                      <w:lang w:val="en-US" w:eastAsia="zh-CN"/>
                    </w:rPr>
                  </w:pPr>
                </w:p>
              </w:tc>
              <w:tc>
                <w:tcPr>
                  <w:tcW w:w="1893" w:type="dxa"/>
                  <w:vMerge w:val="continue"/>
                  <w:vAlign w:val="center"/>
                </w:tcPr>
                <w:p w14:paraId="5A840A67">
                  <w:pPr>
                    <w:pStyle w:val="46"/>
                    <w:jc w:val="center"/>
                    <w:rPr>
                      <w:rFonts w:hint="default" w:ascii="Times New Roman" w:hAnsi="Times New Roman" w:cs="Times New Roman"/>
                      <w:color w:val="auto"/>
                      <w:highlight w:val="none"/>
                    </w:rPr>
                  </w:pPr>
                </w:p>
              </w:tc>
            </w:tr>
            <w:tr w14:paraId="24D472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1335" w:type="dxa"/>
                  <w:vMerge w:val="continue"/>
                  <w:vAlign w:val="center"/>
                </w:tcPr>
                <w:p w14:paraId="62D892C2">
                  <w:pPr>
                    <w:pStyle w:val="46"/>
                    <w:jc w:val="center"/>
                    <w:rPr>
                      <w:rFonts w:hint="eastAsia" w:cs="Times New Roman"/>
                      <w:color w:val="auto"/>
                      <w:highlight w:val="none"/>
                      <w:lang w:eastAsia="zh-CN"/>
                    </w:rPr>
                  </w:pPr>
                </w:p>
              </w:tc>
              <w:tc>
                <w:tcPr>
                  <w:tcW w:w="649" w:type="dxa"/>
                  <w:vAlign w:val="center"/>
                </w:tcPr>
                <w:p w14:paraId="034C070C">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C25</w:t>
                  </w:r>
                </w:p>
              </w:tc>
              <w:tc>
                <w:tcPr>
                  <w:tcW w:w="2085" w:type="dxa"/>
                  <w:vAlign w:val="center"/>
                </w:tcPr>
                <w:p w14:paraId="3CBE9FC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eastAsia" w:cs="Times New Roman"/>
                      <w:color w:val="auto"/>
                      <w:highlight w:val="none"/>
                      <w:lang w:val="en-US" w:eastAsia="zh-CN"/>
                    </w:rPr>
                    <w:t>2.01</w:t>
                  </w:r>
                  <w:r>
                    <w:rPr>
                      <w:rFonts w:hint="default" w:ascii="Times New Roman" w:hAnsi="Times New Roman" w:cs="Times New Roman"/>
                      <w:color w:val="auto"/>
                      <w:highlight w:val="none"/>
                    </w:rPr>
                    <w:t>:</w:t>
                  </w:r>
                  <w:r>
                    <w:rPr>
                      <w:rFonts w:hint="eastAsia" w:cs="Times New Roman"/>
                      <w:color w:val="auto"/>
                      <w:highlight w:val="none"/>
                      <w:lang w:val="en-US" w:eastAsia="zh-CN"/>
                    </w:rPr>
                    <w:t>3.81</w:t>
                  </w:r>
                  <w:r>
                    <w:rPr>
                      <w:rFonts w:hint="default" w:ascii="Times New Roman" w:hAnsi="Times New Roman" w:cs="Times New Roman"/>
                      <w:color w:val="auto"/>
                      <w:highlight w:val="none"/>
                    </w:rPr>
                    <w:t>:</w:t>
                  </w:r>
                  <w:r>
                    <w:rPr>
                      <w:rFonts w:hint="eastAsia" w:cs="Times New Roman"/>
                      <w:color w:val="auto"/>
                      <w:highlight w:val="none"/>
                      <w:lang w:val="en-US" w:eastAsia="zh-CN"/>
                    </w:rPr>
                    <w:t>0.52</w:t>
                  </w:r>
                </w:p>
              </w:tc>
              <w:tc>
                <w:tcPr>
                  <w:tcW w:w="1590" w:type="dxa"/>
                  <w:vMerge w:val="continue"/>
                  <w:vAlign w:val="center"/>
                </w:tcPr>
                <w:p w14:paraId="405AE889">
                  <w:pPr>
                    <w:pStyle w:val="46"/>
                    <w:jc w:val="center"/>
                    <w:rPr>
                      <w:rFonts w:hint="default" w:ascii="Times New Roman" w:hAnsi="Times New Roman" w:cs="Times New Roman"/>
                      <w:color w:val="auto"/>
                      <w:highlight w:val="none"/>
                      <w:lang w:val="en-US" w:eastAsia="zh-CN"/>
                    </w:rPr>
                  </w:pPr>
                </w:p>
              </w:tc>
              <w:tc>
                <w:tcPr>
                  <w:tcW w:w="1893" w:type="dxa"/>
                  <w:vMerge w:val="continue"/>
                  <w:vAlign w:val="center"/>
                </w:tcPr>
                <w:p w14:paraId="74B3B0EA">
                  <w:pPr>
                    <w:pStyle w:val="46"/>
                    <w:jc w:val="center"/>
                    <w:rPr>
                      <w:rFonts w:hint="default" w:ascii="Times New Roman" w:hAnsi="Times New Roman" w:cs="Times New Roman"/>
                      <w:color w:val="auto"/>
                      <w:highlight w:val="none"/>
                    </w:rPr>
                  </w:pPr>
                </w:p>
              </w:tc>
            </w:tr>
            <w:tr w14:paraId="72840A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1335" w:type="dxa"/>
                  <w:vMerge w:val="continue"/>
                  <w:vAlign w:val="center"/>
                </w:tcPr>
                <w:p w14:paraId="1F8F1539">
                  <w:pPr>
                    <w:pStyle w:val="46"/>
                    <w:jc w:val="center"/>
                    <w:rPr>
                      <w:rFonts w:hint="eastAsia" w:cs="Times New Roman"/>
                      <w:color w:val="auto"/>
                      <w:highlight w:val="none"/>
                      <w:lang w:eastAsia="zh-CN"/>
                    </w:rPr>
                  </w:pPr>
                </w:p>
              </w:tc>
              <w:tc>
                <w:tcPr>
                  <w:tcW w:w="649" w:type="dxa"/>
                  <w:vAlign w:val="center"/>
                </w:tcPr>
                <w:p w14:paraId="1F20EF01">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C30</w:t>
                  </w:r>
                </w:p>
              </w:tc>
              <w:tc>
                <w:tcPr>
                  <w:tcW w:w="2085" w:type="dxa"/>
                  <w:vAlign w:val="center"/>
                </w:tcPr>
                <w:p w14:paraId="37A8AD62">
                  <w:pPr>
                    <w:pStyle w:val="46"/>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rPr>
                    <w:t>1:</w:t>
                  </w:r>
                  <w:r>
                    <w:rPr>
                      <w:rFonts w:hint="eastAsia" w:cs="Times New Roman"/>
                      <w:color w:val="auto"/>
                      <w:highlight w:val="none"/>
                      <w:lang w:val="en-US" w:eastAsia="zh-CN"/>
                    </w:rPr>
                    <w:t>1.11</w:t>
                  </w:r>
                  <w:r>
                    <w:rPr>
                      <w:rFonts w:hint="default" w:ascii="Times New Roman" w:hAnsi="Times New Roman" w:cs="Times New Roman"/>
                      <w:color w:val="auto"/>
                      <w:highlight w:val="none"/>
                    </w:rPr>
                    <w:t>:</w:t>
                  </w:r>
                  <w:r>
                    <w:rPr>
                      <w:rFonts w:hint="eastAsia" w:cs="Times New Roman"/>
                      <w:color w:val="auto"/>
                      <w:highlight w:val="none"/>
                      <w:lang w:val="en-US" w:eastAsia="zh-CN"/>
                    </w:rPr>
                    <w:t>2.72</w:t>
                  </w:r>
                  <w:r>
                    <w:rPr>
                      <w:rFonts w:hint="default" w:ascii="Times New Roman" w:hAnsi="Times New Roman" w:cs="Times New Roman"/>
                      <w:color w:val="auto"/>
                      <w:highlight w:val="none"/>
                    </w:rPr>
                    <w:t>:</w:t>
                  </w:r>
                  <w:r>
                    <w:rPr>
                      <w:rFonts w:hint="eastAsia" w:cs="Times New Roman"/>
                      <w:color w:val="auto"/>
                      <w:highlight w:val="none"/>
                      <w:lang w:val="en-US" w:eastAsia="zh-CN"/>
                    </w:rPr>
                    <w:t>0.38</w:t>
                  </w:r>
                </w:p>
              </w:tc>
              <w:tc>
                <w:tcPr>
                  <w:tcW w:w="1590" w:type="dxa"/>
                  <w:vMerge w:val="continue"/>
                  <w:vAlign w:val="center"/>
                </w:tcPr>
                <w:p w14:paraId="44B8764C">
                  <w:pPr>
                    <w:pStyle w:val="46"/>
                    <w:jc w:val="center"/>
                    <w:rPr>
                      <w:rFonts w:hint="default" w:ascii="Times New Roman" w:hAnsi="Times New Roman" w:cs="Times New Roman"/>
                      <w:color w:val="auto"/>
                      <w:highlight w:val="none"/>
                      <w:lang w:val="en-US" w:eastAsia="zh-CN"/>
                    </w:rPr>
                  </w:pPr>
                </w:p>
              </w:tc>
              <w:tc>
                <w:tcPr>
                  <w:tcW w:w="1893" w:type="dxa"/>
                  <w:vMerge w:val="continue"/>
                  <w:vAlign w:val="center"/>
                </w:tcPr>
                <w:p w14:paraId="1A908B13">
                  <w:pPr>
                    <w:pStyle w:val="46"/>
                    <w:jc w:val="center"/>
                    <w:rPr>
                      <w:rFonts w:hint="default" w:ascii="Times New Roman" w:hAnsi="Times New Roman" w:cs="Times New Roman"/>
                      <w:color w:val="auto"/>
                      <w:highlight w:val="none"/>
                    </w:rPr>
                  </w:pPr>
                </w:p>
              </w:tc>
            </w:tr>
            <w:tr w14:paraId="37F72D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1335" w:type="dxa"/>
                  <w:vMerge w:val="continue"/>
                  <w:vAlign w:val="center"/>
                </w:tcPr>
                <w:p w14:paraId="533D5A44">
                  <w:pPr>
                    <w:pStyle w:val="46"/>
                    <w:jc w:val="center"/>
                    <w:rPr>
                      <w:rFonts w:hint="eastAsia" w:cs="Times New Roman"/>
                      <w:color w:val="auto"/>
                      <w:highlight w:val="none"/>
                      <w:lang w:eastAsia="zh-CN"/>
                    </w:rPr>
                  </w:pPr>
                </w:p>
              </w:tc>
              <w:tc>
                <w:tcPr>
                  <w:tcW w:w="649" w:type="dxa"/>
                  <w:vAlign w:val="center"/>
                </w:tcPr>
                <w:p w14:paraId="52B049A0">
                  <w:pPr>
                    <w:pStyle w:val="46"/>
                    <w:jc w:val="center"/>
                    <w:rPr>
                      <w:rFonts w:hint="default" w:cs="Times New Roman"/>
                      <w:color w:val="auto"/>
                      <w:highlight w:val="none"/>
                      <w:lang w:val="en-US" w:eastAsia="zh-CN"/>
                    </w:rPr>
                  </w:pPr>
                  <w:r>
                    <w:rPr>
                      <w:rFonts w:hint="eastAsia" w:cs="Times New Roman"/>
                      <w:color w:val="auto"/>
                      <w:highlight w:val="none"/>
                      <w:lang w:val="en-US" w:eastAsia="zh-CN"/>
                    </w:rPr>
                    <w:t>C35</w:t>
                  </w:r>
                </w:p>
              </w:tc>
              <w:tc>
                <w:tcPr>
                  <w:tcW w:w="2085" w:type="dxa"/>
                  <w:vAlign w:val="center"/>
                </w:tcPr>
                <w:p w14:paraId="686DD80C">
                  <w:pPr>
                    <w:pStyle w:val="46"/>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rPr>
                    <w:t>1:</w:t>
                  </w:r>
                  <w:r>
                    <w:rPr>
                      <w:rFonts w:hint="eastAsia" w:cs="Times New Roman"/>
                      <w:color w:val="auto"/>
                      <w:highlight w:val="none"/>
                      <w:lang w:val="en-US" w:eastAsia="zh-CN"/>
                    </w:rPr>
                    <w:t>1.22</w:t>
                  </w:r>
                  <w:r>
                    <w:rPr>
                      <w:rFonts w:hint="default" w:ascii="Times New Roman" w:hAnsi="Times New Roman" w:cs="Times New Roman"/>
                      <w:color w:val="auto"/>
                      <w:highlight w:val="none"/>
                    </w:rPr>
                    <w:t>:</w:t>
                  </w:r>
                  <w:r>
                    <w:rPr>
                      <w:rFonts w:hint="eastAsia" w:cs="Times New Roman"/>
                      <w:color w:val="auto"/>
                      <w:highlight w:val="none"/>
                      <w:lang w:val="en-US" w:eastAsia="zh-CN"/>
                    </w:rPr>
                    <w:t>2.48</w:t>
                  </w:r>
                  <w:r>
                    <w:rPr>
                      <w:rFonts w:hint="default" w:ascii="Times New Roman" w:hAnsi="Times New Roman" w:cs="Times New Roman"/>
                      <w:color w:val="auto"/>
                      <w:highlight w:val="none"/>
                    </w:rPr>
                    <w:t>:</w:t>
                  </w:r>
                  <w:r>
                    <w:rPr>
                      <w:rFonts w:hint="eastAsia" w:cs="Times New Roman"/>
                      <w:color w:val="auto"/>
                      <w:highlight w:val="none"/>
                      <w:lang w:val="en-US" w:eastAsia="zh-CN"/>
                    </w:rPr>
                    <w:t>0.44</w:t>
                  </w:r>
                </w:p>
              </w:tc>
              <w:tc>
                <w:tcPr>
                  <w:tcW w:w="1590" w:type="dxa"/>
                  <w:vMerge w:val="continue"/>
                  <w:vAlign w:val="center"/>
                </w:tcPr>
                <w:p w14:paraId="212CBEF3">
                  <w:pPr>
                    <w:pStyle w:val="46"/>
                    <w:jc w:val="center"/>
                    <w:rPr>
                      <w:rFonts w:hint="default" w:ascii="Times New Roman" w:hAnsi="Times New Roman" w:cs="Times New Roman"/>
                      <w:color w:val="auto"/>
                      <w:highlight w:val="none"/>
                      <w:lang w:val="en-US" w:eastAsia="zh-CN"/>
                    </w:rPr>
                  </w:pPr>
                </w:p>
              </w:tc>
              <w:tc>
                <w:tcPr>
                  <w:tcW w:w="1893" w:type="dxa"/>
                  <w:vMerge w:val="continue"/>
                  <w:vAlign w:val="center"/>
                </w:tcPr>
                <w:p w14:paraId="4E2DCDA1">
                  <w:pPr>
                    <w:pStyle w:val="46"/>
                    <w:jc w:val="center"/>
                    <w:rPr>
                      <w:rFonts w:hint="default" w:ascii="Times New Roman" w:hAnsi="Times New Roman" w:cs="Times New Roman"/>
                      <w:color w:val="auto"/>
                      <w:highlight w:val="none"/>
                    </w:rPr>
                  </w:pPr>
                </w:p>
              </w:tc>
            </w:tr>
            <w:tr w14:paraId="67A5DE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1335" w:type="dxa"/>
                  <w:vMerge w:val="continue"/>
                  <w:vAlign w:val="center"/>
                </w:tcPr>
                <w:p w14:paraId="06FF7DD5">
                  <w:pPr>
                    <w:pStyle w:val="46"/>
                    <w:jc w:val="center"/>
                    <w:rPr>
                      <w:rFonts w:hint="eastAsia" w:cs="Times New Roman"/>
                      <w:color w:val="auto"/>
                      <w:highlight w:val="none"/>
                      <w:lang w:eastAsia="zh-CN"/>
                    </w:rPr>
                  </w:pPr>
                </w:p>
              </w:tc>
              <w:tc>
                <w:tcPr>
                  <w:tcW w:w="649" w:type="dxa"/>
                  <w:vAlign w:val="center"/>
                </w:tcPr>
                <w:p w14:paraId="1D1AB56A">
                  <w:pPr>
                    <w:pStyle w:val="46"/>
                    <w:jc w:val="center"/>
                    <w:rPr>
                      <w:rFonts w:hint="default" w:cs="Times New Roman"/>
                      <w:color w:val="auto"/>
                      <w:highlight w:val="none"/>
                      <w:lang w:val="en-US" w:eastAsia="zh-CN"/>
                    </w:rPr>
                  </w:pPr>
                  <w:r>
                    <w:rPr>
                      <w:rFonts w:hint="eastAsia" w:cs="Times New Roman"/>
                      <w:color w:val="auto"/>
                      <w:highlight w:val="none"/>
                      <w:lang w:val="en-US" w:eastAsia="zh-CN"/>
                    </w:rPr>
                    <w:t>C40</w:t>
                  </w:r>
                </w:p>
              </w:tc>
              <w:tc>
                <w:tcPr>
                  <w:tcW w:w="2085" w:type="dxa"/>
                  <w:vAlign w:val="center"/>
                </w:tcPr>
                <w:p w14:paraId="27389F8A">
                  <w:pPr>
                    <w:pStyle w:val="46"/>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rPr>
                    <w:t>1:</w:t>
                  </w:r>
                  <w:r>
                    <w:rPr>
                      <w:rFonts w:hint="eastAsia" w:cs="Times New Roman"/>
                      <w:color w:val="auto"/>
                      <w:highlight w:val="none"/>
                      <w:lang w:val="en-US" w:eastAsia="zh-CN"/>
                    </w:rPr>
                    <w:t>1.34</w:t>
                  </w:r>
                  <w:r>
                    <w:rPr>
                      <w:rFonts w:hint="default" w:ascii="Times New Roman" w:hAnsi="Times New Roman" w:cs="Times New Roman"/>
                      <w:color w:val="auto"/>
                      <w:highlight w:val="none"/>
                    </w:rPr>
                    <w:t>:</w:t>
                  </w:r>
                  <w:r>
                    <w:rPr>
                      <w:rFonts w:hint="eastAsia" w:cs="Times New Roman"/>
                      <w:color w:val="auto"/>
                      <w:highlight w:val="none"/>
                      <w:lang w:val="en-US" w:eastAsia="zh-CN"/>
                    </w:rPr>
                    <w:t>3.12</w:t>
                  </w:r>
                  <w:r>
                    <w:rPr>
                      <w:rFonts w:hint="default" w:ascii="Times New Roman" w:hAnsi="Times New Roman" w:cs="Times New Roman"/>
                      <w:color w:val="auto"/>
                      <w:highlight w:val="none"/>
                    </w:rPr>
                    <w:t>:</w:t>
                  </w:r>
                  <w:r>
                    <w:rPr>
                      <w:rFonts w:hint="eastAsia" w:cs="Times New Roman"/>
                      <w:color w:val="auto"/>
                      <w:highlight w:val="none"/>
                      <w:lang w:val="en-US" w:eastAsia="zh-CN"/>
                    </w:rPr>
                    <w:t>0.48</w:t>
                  </w:r>
                </w:p>
              </w:tc>
              <w:tc>
                <w:tcPr>
                  <w:tcW w:w="1590" w:type="dxa"/>
                  <w:vMerge w:val="continue"/>
                  <w:vAlign w:val="center"/>
                </w:tcPr>
                <w:p w14:paraId="2B73B33C">
                  <w:pPr>
                    <w:pStyle w:val="46"/>
                    <w:jc w:val="center"/>
                    <w:rPr>
                      <w:rFonts w:hint="default" w:ascii="Times New Roman" w:hAnsi="Times New Roman" w:cs="Times New Roman"/>
                      <w:color w:val="auto"/>
                      <w:highlight w:val="none"/>
                      <w:lang w:val="en-US" w:eastAsia="zh-CN"/>
                    </w:rPr>
                  </w:pPr>
                </w:p>
              </w:tc>
              <w:tc>
                <w:tcPr>
                  <w:tcW w:w="1893" w:type="dxa"/>
                  <w:vMerge w:val="continue"/>
                  <w:vAlign w:val="center"/>
                </w:tcPr>
                <w:p w14:paraId="75230372">
                  <w:pPr>
                    <w:pStyle w:val="46"/>
                    <w:jc w:val="center"/>
                    <w:rPr>
                      <w:rFonts w:hint="default" w:ascii="Times New Roman" w:hAnsi="Times New Roman" w:cs="Times New Roman"/>
                      <w:color w:val="auto"/>
                      <w:highlight w:val="none"/>
                    </w:rPr>
                  </w:pPr>
                </w:p>
              </w:tc>
            </w:tr>
            <w:tr w14:paraId="03BF36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1335" w:type="dxa"/>
                  <w:vMerge w:val="continue"/>
                  <w:vAlign w:val="center"/>
                </w:tcPr>
                <w:p w14:paraId="5A88D1DA">
                  <w:pPr>
                    <w:pStyle w:val="46"/>
                    <w:jc w:val="center"/>
                    <w:rPr>
                      <w:rFonts w:hint="eastAsia" w:cs="Times New Roman"/>
                      <w:color w:val="auto"/>
                      <w:highlight w:val="none"/>
                      <w:lang w:eastAsia="zh-CN"/>
                    </w:rPr>
                  </w:pPr>
                </w:p>
              </w:tc>
              <w:tc>
                <w:tcPr>
                  <w:tcW w:w="649" w:type="dxa"/>
                  <w:vAlign w:val="center"/>
                </w:tcPr>
                <w:p w14:paraId="15C9E444">
                  <w:pPr>
                    <w:pStyle w:val="46"/>
                    <w:jc w:val="center"/>
                    <w:rPr>
                      <w:rFonts w:hint="default" w:cs="Times New Roman"/>
                      <w:color w:val="auto"/>
                      <w:highlight w:val="none"/>
                      <w:lang w:val="en-US" w:eastAsia="zh-CN"/>
                    </w:rPr>
                  </w:pPr>
                  <w:r>
                    <w:rPr>
                      <w:rFonts w:hint="eastAsia" w:cs="Times New Roman"/>
                      <w:color w:val="auto"/>
                      <w:highlight w:val="none"/>
                      <w:lang w:val="en-US" w:eastAsia="zh-CN"/>
                    </w:rPr>
                    <w:t>C45</w:t>
                  </w:r>
                </w:p>
              </w:tc>
              <w:tc>
                <w:tcPr>
                  <w:tcW w:w="2085" w:type="dxa"/>
                  <w:vAlign w:val="center"/>
                </w:tcPr>
                <w:p w14:paraId="4A1B1C3C">
                  <w:pPr>
                    <w:pStyle w:val="46"/>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rPr>
                    <w:t>1:</w:t>
                  </w:r>
                  <w:r>
                    <w:rPr>
                      <w:rFonts w:hint="eastAsia" w:cs="Times New Roman"/>
                      <w:color w:val="auto"/>
                      <w:highlight w:val="none"/>
                      <w:lang w:val="en-US" w:eastAsia="zh-CN"/>
                    </w:rPr>
                    <w:t>1.62</w:t>
                  </w:r>
                  <w:r>
                    <w:rPr>
                      <w:rFonts w:hint="default" w:ascii="Times New Roman" w:hAnsi="Times New Roman" w:cs="Times New Roman"/>
                      <w:color w:val="auto"/>
                      <w:highlight w:val="none"/>
                    </w:rPr>
                    <w:t>:</w:t>
                  </w:r>
                  <w:r>
                    <w:rPr>
                      <w:rFonts w:hint="eastAsia" w:cs="Times New Roman"/>
                      <w:color w:val="auto"/>
                      <w:highlight w:val="none"/>
                      <w:lang w:val="en-US" w:eastAsia="zh-CN"/>
                    </w:rPr>
                    <w:t>2.44</w:t>
                  </w:r>
                  <w:r>
                    <w:rPr>
                      <w:rFonts w:hint="default" w:ascii="Times New Roman" w:hAnsi="Times New Roman" w:cs="Times New Roman"/>
                      <w:color w:val="auto"/>
                      <w:highlight w:val="none"/>
                    </w:rPr>
                    <w:t>:</w:t>
                  </w:r>
                  <w:r>
                    <w:rPr>
                      <w:rFonts w:hint="eastAsia" w:cs="Times New Roman"/>
                      <w:color w:val="auto"/>
                      <w:highlight w:val="none"/>
                      <w:lang w:val="en-US" w:eastAsia="zh-CN"/>
                    </w:rPr>
                    <w:t>0.35</w:t>
                  </w:r>
                </w:p>
              </w:tc>
              <w:tc>
                <w:tcPr>
                  <w:tcW w:w="1590" w:type="dxa"/>
                  <w:vMerge w:val="continue"/>
                  <w:vAlign w:val="center"/>
                </w:tcPr>
                <w:p w14:paraId="33391946">
                  <w:pPr>
                    <w:pStyle w:val="46"/>
                    <w:jc w:val="center"/>
                    <w:rPr>
                      <w:rFonts w:hint="default" w:ascii="Times New Roman" w:hAnsi="Times New Roman" w:cs="Times New Roman"/>
                      <w:color w:val="auto"/>
                      <w:highlight w:val="none"/>
                      <w:lang w:val="en-US" w:eastAsia="zh-CN"/>
                    </w:rPr>
                  </w:pPr>
                </w:p>
              </w:tc>
              <w:tc>
                <w:tcPr>
                  <w:tcW w:w="1893" w:type="dxa"/>
                  <w:vMerge w:val="continue"/>
                  <w:vAlign w:val="center"/>
                </w:tcPr>
                <w:p w14:paraId="28FDA646">
                  <w:pPr>
                    <w:pStyle w:val="46"/>
                    <w:jc w:val="center"/>
                    <w:rPr>
                      <w:rFonts w:hint="default" w:ascii="Times New Roman" w:hAnsi="Times New Roman" w:cs="Times New Roman"/>
                      <w:color w:val="auto"/>
                      <w:highlight w:val="none"/>
                    </w:rPr>
                  </w:pPr>
                </w:p>
              </w:tc>
            </w:tr>
            <w:tr w14:paraId="79EA8C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1335" w:type="dxa"/>
                  <w:vMerge w:val="continue"/>
                  <w:vAlign w:val="center"/>
                </w:tcPr>
                <w:p w14:paraId="4C78E9CF">
                  <w:pPr>
                    <w:pStyle w:val="46"/>
                    <w:jc w:val="center"/>
                    <w:rPr>
                      <w:rFonts w:hint="eastAsia" w:cs="Times New Roman"/>
                      <w:color w:val="auto"/>
                      <w:highlight w:val="none"/>
                      <w:lang w:eastAsia="zh-CN"/>
                    </w:rPr>
                  </w:pPr>
                </w:p>
              </w:tc>
              <w:tc>
                <w:tcPr>
                  <w:tcW w:w="649" w:type="dxa"/>
                  <w:vAlign w:val="center"/>
                </w:tcPr>
                <w:p w14:paraId="18C4A66E">
                  <w:pPr>
                    <w:pStyle w:val="46"/>
                    <w:jc w:val="center"/>
                    <w:rPr>
                      <w:rFonts w:hint="default" w:cs="Times New Roman"/>
                      <w:color w:val="auto"/>
                      <w:highlight w:val="none"/>
                      <w:lang w:val="en-US" w:eastAsia="zh-CN"/>
                    </w:rPr>
                  </w:pPr>
                  <w:r>
                    <w:rPr>
                      <w:rFonts w:hint="eastAsia" w:cs="Times New Roman"/>
                      <w:color w:val="auto"/>
                      <w:highlight w:val="none"/>
                      <w:lang w:val="en-US" w:eastAsia="zh-CN"/>
                    </w:rPr>
                    <w:t>C50</w:t>
                  </w:r>
                </w:p>
              </w:tc>
              <w:tc>
                <w:tcPr>
                  <w:tcW w:w="2085" w:type="dxa"/>
                  <w:vAlign w:val="center"/>
                </w:tcPr>
                <w:p w14:paraId="1087228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eastAsia" w:cs="Times New Roman"/>
                      <w:color w:val="auto"/>
                      <w:highlight w:val="none"/>
                      <w:lang w:val="en-US" w:eastAsia="zh-CN"/>
                    </w:rPr>
                    <w:t>1.56</w:t>
                  </w:r>
                  <w:r>
                    <w:rPr>
                      <w:rFonts w:hint="default" w:ascii="Times New Roman" w:hAnsi="Times New Roman" w:cs="Times New Roman"/>
                      <w:color w:val="auto"/>
                      <w:highlight w:val="none"/>
                    </w:rPr>
                    <w:t>:</w:t>
                  </w:r>
                  <w:r>
                    <w:rPr>
                      <w:rFonts w:hint="eastAsia" w:cs="Times New Roman"/>
                      <w:color w:val="auto"/>
                      <w:highlight w:val="none"/>
                      <w:lang w:val="en-US" w:eastAsia="zh-CN"/>
                    </w:rPr>
                    <w:t>2.89</w:t>
                  </w:r>
                  <w:r>
                    <w:rPr>
                      <w:rFonts w:hint="default" w:ascii="Times New Roman" w:hAnsi="Times New Roman" w:cs="Times New Roman"/>
                      <w:color w:val="auto"/>
                      <w:highlight w:val="none"/>
                    </w:rPr>
                    <w:t>:</w:t>
                  </w:r>
                  <w:r>
                    <w:rPr>
                      <w:rFonts w:hint="eastAsia" w:cs="Times New Roman"/>
                      <w:color w:val="auto"/>
                      <w:highlight w:val="none"/>
                      <w:lang w:val="en-US" w:eastAsia="zh-CN"/>
                    </w:rPr>
                    <w:t>0.51</w:t>
                  </w:r>
                </w:p>
              </w:tc>
              <w:tc>
                <w:tcPr>
                  <w:tcW w:w="1590" w:type="dxa"/>
                  <w:vMerge w:val="continue"/>
                  <w:vAlign w:val="center"/>
                </w:tcPr>
                <w:p w14:paraId="0C0B61CB">
                  <w:pPr>
                    <w:pStyle w:val="46"/>
                    <w:jc w:val="center"/>
                    <w:rPr>
                      <w:rFonts w:hint="default" w:ascii="Times New Roman" w:hAnsi="Times New Roman" w:cs="Times New Roman"/>
                      <w:color w:val="auto"/>
                      <w:highlight w:val="none"/>
                      <w:lang w:val="en-US" w:eastAsia="zh-CN"/>
                    </w:rPr>
                  </w:pPr>
                </w:p>
              </w:tc>
              <w:tc>
                <w:tcPr>
                  <w:tcW w:w="1893" w:type="dxa"/>
                  <w:vMerge w:val="continue"/>
                  <w:vAlign w:val="center"/>
                </w:tcPr>
                <w:p w14:paraId="1C05AFA2">
                  <w:pPr>
                    <w:pStyle w:val="46"/>
                    <w:jc w:val="center"/>
                    <w:rPr>
                      <w:rFonts w:hint="default" w:ascii="Times New Roman" w:hAnsi="Times New Roman" w:cs="Times New Roman"/>
                      <w:color w:val="auto"/>
                      <w:highlight w:val="none"/>
                    </w:rPr>
                  </w:pPr>
                </w:p>
              </w:tc>
            </w:tr>
            <w:tr w14:paraId="080C55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1335" w:type="dxa"/>
                  <w:vMerge w:val="continue"/>
                  <w:vAlign w:val="center"/>
                </w:tcPr>
                <w:p w14:paraId="142FCBEE">
                  <w:pPr>
                    <w:pStyle w:val="46"/>
                    <w:jc w:val="center"/>
                    <w:rPr>
                      <w:rFonts w:hint="eastAsia" w:cs="Times New Roman"/>
                      <w:color w:val="auto"/>
                      <w:highlight w:val="none"/>
                      <w:lang w:eastAsia="zh-CN"/>
                    </w:rPr>
                  </w:pPr>
                </w:p>
              </w:tc>
              <w:tc>
                <w:tcPr>
                  <w:tcW w:w="649" w:type="dxa"/>
                  <w:vAlign w:val="center"/>
                </w:tcPr>
                <w:p w14:paraId="6510BBC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C</w:t>
                  </w:r>
                  <w:r>
                    <w:rPr>
                      <w:rFonts w:hint="eastAsia" w:cs="Times New Roman"/>
                      <w:color w:val="auto"/>
                      <w:highlight w:val="none"/>
                      <w:lang w:val="en-US" w:eastAsia="zh-CN"/>
                    </w:rPr>
                    <w:t>60</w:t>
                  </w:r>
                </w:p>
              </w:tc>
              <w:tc>
                <w:tcPr>
                  <w:tcW w:w="2085" w:type="dxa"/>
                  <w:vAlign w:val="center"/>
                </w:tcPr>
                <w:p w14:paraId="57836A75">
                  <w:pPr>
                    <w:pStyle w:val="46"/>
                    <w:jc w:val="center"/>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rPr>
                    <w:t>1:</w:t>
                  </w:r>
                  <w:r>
                    <w:rPr>
                      <w:rFonts w:hint="eastAsia" w:cs="Times New Roman"/>
                      <w:color w:val="auto"/>
                      <w:highlight w:val="none"/>
                      <w:lang w:val="en-US" w:eastAsia="zh-CN"/>
                    </w:rPr>
                    <w:t>1.52</w:t>
                  </w:r>
                  <w:r>
                    <w:rPr>
                      <w:rFonts w:hint="default" w:ascii="Times New Roman" w:hAnsi="Times New Roman" w:cs="Times New Roman"/>
                      <w:color w:val="auto"/>
                      <w:highlight w:val="none"/>
                    </w:rPr>
                    <w:t>:</w:t>
                  </w:r>
                  <w:r>
                    <w:rPr>
                      <w:rFonts w:hint="eastAsia" w:cs="Times New Roman"/>
                      <w:color w:val="auto"/>
                      <w:highlight w:val="none"/>
                      <w:lang w:val="en-US" w:eastAsia="zh-CN"/>
                    </w:rPr>
                    <w:t>2.47</w:t>
                  </w:r>
                  <w:r>
                    <w:rPr>
                      <w:rFonts w:hint="default" w:ascii="Times New Roman" w:hAnsi="Times New Roman" w:cs="Times New Roman"/>
                      <w:color w:val="auto"/>
                      <w:highlight w:val="none"/>
                    </w:rPr>
                    <w:t>:</w:t>
                  </w:r>
                  <w:r>
                    <w:rPr>
                      <w:rFonts w:hint="eastAsia" w:cs="Times New Roman"/>
                      <w:color w:val="auto"/>
                      <w:highlight w:val="none"/>
                      <w:lang w:val="en-US" w:eastAsia="zh-CN"/>
                    </w:rPr>
                    <w:t>0.33</w:t>
                  </w:r>
                </w:p>
              </w:tc>
              <w:tc>
                <w:tcPr>
                  <w:tcW w:w="1590" w:type="dxa"/>
                  <w:vMerge w:val="continue"/>
                  <w:vAlign w:val="center"/>
                </w:tcPr>
                <w:p w14:paraId="0E18F2E0">
                  <w:pPr>
                    <w:pStyle w:val="46"/>
                    <w:jc w:val="center"/>
                    <w:rPr>
                      <w:rFonts w:hint="default" w:ascii="Times New Roman" w:hAnsi="Times New Roman" w:cs="Times New Roman"/>
                      <w:color w:val="auto"/>
                      <w:highlight w:val="none"/>
                      <w:lang w:val="en-US" w:eastAsia="zh-CN"/>
                    </w:rPr>
                  </w:pPr>
                </w:p>
              </w:tc>
              <w:tc>
                <w:tcPr>
                  <w:tcW w:w="1893" w:type="dxa"/>
                  <w:vMerge w:val="continue"/>
                  <w:vAlign w:val="center"/>
                </w:tcPr>
                <w:p w14:paraId="5C09E597">
                  <w:pPr>
                    <w:pStyle w:val="46"/>
                    <w:jc w:val="center"/>
                    <w:rPr>
                      <w:rFonts w:hint="default" w:ascii="Times New Roman" w:hAnsi="Times New Roman" w:cs="Times New Roman"/>
                      <w:color w:val="auto"/>
                      <w:highlight w:val="none"/>
                    </w:rPr>
                  </w:pPr>
                </w:p>
              </w:tc>
            </w:tr>
          </w:tbl>
          <w:p w14:paraId="6BBC50A6">
            <w:pPr>
              <w:ind w:firstLine="480"/>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原辅材料及能源消耗情况见下表2-4。</w:t>
            </w:r>
          </w:p>
          <w:p w14:paraId="6B3C45BD">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表2-4</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原辅材料及能源消耗一览表</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12"/>
              <w:gridCol w:w="503"/>
              <w:gridCol w:w="1619"/>
              <w:gridCol w:w="745"/>
              <w:gridCol w:w="1022"/>
              <w:gridCol w:w="2754"/>
            </w:tblGrid>
            <w:tr w14:paraId="186D95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74" w:hRule="atLeast"/>
                <w:tblHeader/>
                <w:jc w:val="center"/>
              </w:trPr>
              <w:tc>
                <w:tcPr>
                  <w:tcW w:w="1415" w:type="dxa"/>
                  <w:gridSpan w:val="2"/>
                  <w:vAlign w:val="center"/>
                </w:tcPr>
                <w:p w14:paraId="2B77B29D">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序号</w:t>
                  </w:r>
                </w:p>
              </w:tc>
              <w:tc>
                <w:tcPr>
                  <w:tcW w:w="1619" w:type="dxa"/>
                  <w:vAlign w:val="center"/>
                </w:tcPr>
                <w:p w14:paraId="440732D4">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原辅材料</w:t>
                  </w:r>
                </w:p>
              </w:tc>
              <w:tc>
                <w:tcPr>
                  <w:tcW w:w="745" w:type="dxa"/>
                  <w:vAlign w:val="center"/>
                </w:tcPr>
                <w:p w14:paraId="5B8E6122">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单位</w:t>
                  </w:r>
                </w:p>
              </w:tc>
              <w:tc>
                <w:tcPr>
                  <w:tcW w:w="1022" w:type="dxa"/>
                  <w:vAlign w:val="center"/>
                </w:tcPr>
                <w:p w14:paraId="630D48B8">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年耗量</w:t>
                  </w:r>
                </w:p>
              </w:tc>
              <w:tc>
                <w:tcPr>
                  <w:tcW w:w="2754" w:type="dxa"/>
                  <w:vAlign w:val="center"/>
                </w:tcPr>
                <w:p w14:paraId="43E55D1C">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备注</w:t>
                  </w:r>
                </w:p>
              </w:tc>
            </w:tr>
            <w:tr w14:paraId="6D0D97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912" w:type="dxa"/>
                  <w:vMerge w:val="restart"/>
                  <w:vAlign w:val="center"/>
                </w:tcPr>
                <w:p w14:paraId="249E769F">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原辅料</w:t>
                  </w:r>
                </w:p>
              </w:tc>
              <w:tc>
                <w:tcPr>
                  <w:tcW w:w="503" w:type="dxa"/>
                  <w:vAlign w:val="center"/>
                </w:tcPr>
                <w:p w14:paraId="528E6ABB">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1619" w:type="dxa"/>
                  <w:vAlign w:val="center"/>
                </w:tcPr>
                <w:p w14:paraId="4D0D5F44">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水泥</w:t>
                  </w:r>
                </w:p>
              </w:tc>
              <w:tc>
                <w:tcPr>
                  <w:tcW w:w="745" w:type="dxa"/>
                  <w:vAlign w:val="center"/>
                </w:tcPr>
                <w:p w14:paraId="6BFC1D45">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t/a</w:t>
                  </w:r>
                </w:p>
              </w:tc>
              <w:tc>
                <w:tcPr>
                  <w:tcW w:w="1022" w:type="dxa"/>
                  <w:vAlign w:val="center"/>
                </w:tcPr>
                <w:p w14:paraId="24FEB0AE">
                  <w:pPr>
                    <w:pStyle w:val="46"/>
                    <w:jc w:val="center"/>
                    <w:rPr>
                      <w:rFonts w:hint="default" w:ascii="Times New Roman" w:hAnsi="Times New Roman" w:eastAsia="宋体" w:cs="Times New Roman"/>
                      <w:color w:val="auto"/>
                      <w:sz w:val="20"/>
                      <w:szCs w:val="20"/>
                      <w:highlight w:val="none"/>
                      <w:lang w:val="en-US" w:eastAsia="zh-CN"/>
                    </w:rPr>
                  </w:pPr>
                  <w:r>
                    <w:rPr>
                      <w:rFonts w:hint="eastAsia" w:cs="Times New Roman"/>
                      <w:color w:val="auto"/>
                      <w:sz w:val="20"/>
                      <w:szCs w:val="20"/>
                      <w:highlight w:val="none"/>
                      <w:lang w:val="en-US" w:eastAsia="zh-CN"/>
                    </w:rPr>
                    <w:t>90000</w:t>
                  </w:r>
                </w:p>
              </w:tc>
              <w:tc>
                <w:tcPr>
                  <w:tcW w:w="2754" w:type="dxa"/>
                  <w:vAlign w:val="center"/>
                </w:tcPr>
                <w:p w14:paraId="0C0444EC">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粉状、筒仓储存</w:t>
                  </w:r>
                </w:p>
              </w:tc>
            </w:tr>
            <w:tr w14:paraId="718864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912" w:type="dxa"/>
                  <w:vMerge w:val="continue"/>
                  <w:vAlign w:val="center"/>
                </w:tcPr>
                <w:p w14:paraId="3F8603FA">
                  <w:pPr>
                    <w:pStyle w:val="46"/>
                    <w:jc w:val="center"/>
                    <w:rPr>
                      <w:rFonts w:hint="default" w:ascii="Times New Roman" w:hAnsi="Times New Roman" w:cs="Times New Roman"/>
                      <w:color w:val="auto"/>
                      <w:sz w:val="20"/>
                      <w:szCs w:val="20"/>
                      <w:highlight w:val="none"/>
                    </w:rPr>
                  </w:pPr>
                </w:p>
              </w:tc>
              <w:tc>
                <w:tcPr>
                  <w:tcW w:w="503" w:type="dxa"/>
                  <w:vAlign w:val="center"/>
                </w:tcPr>
                <w:p w14:paraId="366D00F9">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1619" w:type="dxa"/>
                  <w:vAlign w:val="center"/>
                </w:tcPr>
                <w:p w14:paraId="63D361C6">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粉煤灰</w:t>
                  </w:r>
                </w:p>
              </w:tc>
              <w:tc>
                <w:tcPr>
                  <w:tcW w:w="745" w:type="dxa"/>
                  <w:vAlign w:val="center"/>
                </w:tcPr>
                <w:p w14:paraId="625AD5E2">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t/a</w:t>
                  </w:r>
                </w:p>
              </w:tc>
              <w:tc>
                <w:tcPr>
                  <w:tcW w:w="1022" w:type="dxa"/>
                  <w:vAlign w:val="center"/>
                </w:tcPr>
                <w:p w14:paraId="76F309CD">
                  <w:pPr>
                    <w:pStyle w:val="46"/>
                    <w:jc w:val="center"/>
                    <w:rPr>
                      <w:rFonts w:hint="default" w:ascii="Times New Roman" w:hAnsi="Times New Roman" w:eastAsia="宋体" w:cs="Times New Roman"/>
                      <w:color w:val="auto"/>
                      <w:sz w:val="20"/>
                      <w:szCs w:val="20"/>
                      <w:highlight w:val="none"/>
                      <w:lang w:val="en-US" w:eastAsia="zh-CN"/>
                    </w:rPr>
                  </w:pPr>
                  <w:r>
                    <w:rPr>
                      <w:rFonts w:hint="eastAsia" w:cs="Times New Roman"/>
                      <w:color w:val="auto"/>
                      <w:sz w:val="20"/>
                      <w:szCs w:val="20"/>
                      <w:highlight w:val="none"/>
                      <w:lang w:val="en-US" w:eastAsia="zh-CN"/>
                    </w:rPr>
                    <w:t>3</w:t>
                  </w:r>
                  <w:r>
                    <w:rPr>
                      <w:rFonts w:hint="default" w:ascii="Times New Roman" w:hAnsi="Times New Roman" w:cs="Times New Roman"/>
                      <w:color w:val="auto"/>
                      <w:sz w:val="20"/>
                      <w:szCs w:val="20"/>
                      <w:highlight w:val="none"/>
                      <w:lang w:val="en-US" w:eastAsia="zh-CN"/>
                    </w:rPr>
                    <w:t>000</w:t>
                  </w:r>
                  <w:r>
                    <w:rPr>
                      <w:rFonts w:hint="eastAsia" w:cs="Times New Roman"/>
                      <w:color w:val="auto"/>
                      <w:sz w:val="20"/>
                      <w:szCs w:val="20"/>
                      <w:highlight w:val="none"/>
                      <w:lang w:val="en-US" w:eastAsia="zh-CN"/>
                    </w:rPr>
                    <w:t>0</w:t>
                  </w:r>
                </w:p>
              </w:tc>
              <w:tc>
                <w:tcPr>
                  <w:tcW w:w="2754" w:type="dxa"/>
                  <w:vAlign w:val="center"/>
                </w:tcPr>
                <w:p w14:paraId="56B33B21">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粉状、筒仓储存</w:t>
                  </w:r>
                </w:p>
              </w:tc>
            </w:tr>
            <w:tr w14:paraId="150433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9" w:hRule="atLeast"/>
                <w:jc w:val="center"/>
              </w:trPr>
              <w:tc>
                <w:tcPr>
                  <w:tcW w:w="912" w:type="dxa"/>
                  <w:vMerge w:val="continue"/>
                  <w:vAlign w:val="center"/>
                </w:tcPr>
                <w:p w14:paraId="4DFE4E5E">
                  <w:pPr>
                    <w:pStyle w:val="46"/>
                    <w:jc w:val="center"/>
                    <w:rPr>
                      <w:rFonts w:hint="default" w:ascii="Times New Roman" w:hAnsi="Times New Roman" w:cs="Times New Roman"/>
                      <w:color w:val="auto"/>
                      <w:sz w:val="20"/>
                      <w:szCs w:val="20"/>
                      <w:highlight w:val="none"/>
                    </w:rPr>
                  </w:pPr>
                </w:p>
              </w:tc>
              <w:tc>
                <w:tcPr>
                  <w:tcW w:w="503" w:type="dxa"/>
                  <w:vAlign w:val="center"/>
                </w:tcPr>
                <w:p w14:paraId="71931BB8">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1619" w:type="dxa"/>
                  <w:vAlign w:val="center"/>
                </w:tcPr>
                <w:p w14:paraId="2871E1C1">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砂</w:t>
                  </w:r>
                </w:p>
              </w:tc>
              <w:tc>
                <w:tcPr>
                  <w:tcW w:w="745" w:type="dxa"/>
                  <w:vAlign w:val="center"/>
                </w:tcPr>
                <w:p w14:paraId="1EF764EA">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t/a</w:t>
                  </w:r>
                </w:p>
              </w:tc>
              <w:tc>
                <w:tcPr>
                  <w:tcW w:w="1022" w:type="dxa"/>
                  <w:vAlign w:val="center"/>
                </w:tcPr>
                <w:p w14:paraId="4184A24F">
                  <w:pPr>
                    <w:pStyle w:val="46"/>
                    <w:jc w:val="center"/>
                    <w:rPr>
                      <w:rFonts w:hint="default" w:cs="Times New Roman"/>
                      <w:color w:val="auto"/>
                      <w:sz w:val="20"/>
                      <w:szCs w:val="20"/>
                      <w:highlight w:val="none"/>
                      <w:lang w:val="en-US" w:eastAsia="zh-CN"/>
                    </w:rPr>
                  </w:pPr>
                  <w:r>
                    <w:rPr>
                      <w:rFonts w:hint="eastAsia" w:cs="Times New Roman"/>
                      <w:color w:val="auto"/>
                      <w:sz w:val="20"/>
                      <w:szCs w:val="20"/>
                      <w:highlight w:val="none"/>
                      <w:lang w:val="en-US" w:eastAsia="zh-CN"/>
                    </w:rPr>
                    <w:t>171124</w:t>
                  </w:r>
                </w:p>
              </w:tc>
              <w:tc>
                <w:tcPr>
                  <w:tcW w:w="2754" w:type="dxa"/>
                  <w:vAlign w:val="center"/>
                </w:tcPr>
                <w:p w14:paraId="5A402B72">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颗粒状、砂石料库</w:t>
                  </w:r>
                </w:p>
              </w:tc>
            </w:tr>
            <w:tr w14:paraId="1C9AE2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912" w:type="dxa"/>
                  <w:vMerge w:val="continue"/>
                  <w:vAlign w:val="center"/>
                </w:tcPr>
                <w:p w14:paraId="12341841">
                  <w:pPr>
                    <w:pStyle w:val="46"/>
                    <w:jc w:val="center"/>
                    <w:rPr>
                      <w:rFonts w:hint="default" w:ascii="Times New Roman" w:hAnsi="Times New Roman" w:cs="Times New Roman"/>
                      <w:color w:val="auto"/>
                      <w:sz w:val="20"/>
                      <w:szCs w:val="20"/>
                      <w:highlight w:val="none"/>
                    </w:rPr>
                  </w:pPr>
                </w:p>
              </w:tc>
              <w:tc>
                <w:tcPr>
                  <w:tcW w:w="503" w:type="dxa"/>
                  <w:vAlign w:val="center"/>
                </w:tcPr>
                <w:p w14:paraId="58E34ACC">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1619" w:type="dxa"/>
                  <w:vAlign w:val="center"/>
                </w:tcPr>
                <w:p w14:paraId="25C3978C">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碎石</w:t>
                  </w:r>
                </w:p>
              </w:tc>
              <w:tc>
                <w:tcPr>
                  <w:tcW w:w="745" w:type="dxa"/>
                  <w:vAlign w:val="center"/>
                </w:tcPr>
                <w:p w14:paraId="75B45AE4">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t/a</w:t>
                  </w:r>
                </w:p>
              </w:tc>
              <w:tc>
                <w:tcPr>
                  <w:tcW w:w="1022" w:type="dxa"/>
                  <w:vAlign w:val="center"/>
                </w:tcPr>
                <w:p w14:paraId="278769A3">
                  <w:pPr>
                    <w:pStyle w:val="46"/>
                    <w:jc w:val="center"/>
                    <w:rPr>
                      <w:rFonts w:hint="default" w:cs="Times New Roman"/>
                      <w:color w:val="auto"/>
                      <w:sz w:val="20"/>
                      <w:szCs w:val="20"/>
                      <w:highlight w:val="none"/>
                      <w:lang w:val="en-US" w:eastAsia="zh-CN"/>
                    </w:rPr>
                  </w:pPr>
                  <w:r>
                    <w:rPr>
                      <w:rFonts w:hint="eastAsia" w:cs="Times New Roman"/>
                      <w:color w:val="auto"/>
                      <w:sz w:val="20"/>
                      <w:szCs w:val="20"/>
                      <w:highlight w:val="none"/>
                      <w:lang w:val="en-US" w:eastAsia="zh-CN"/>
                    </w:rPr>
                    <w:t>396121</w:t>
                  </w:r>
                </w:p>
              </w:tc>
              <w:tc>
                <w:tcPr>
                  <w:tcW w:w="2754" w:type="dxa"/>
                  <w:vAlign w:val="center"/>
                </w:tcPr>
                <w:p w14:paraId="19DBE0D9">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块状、砂石料库</w:t>
                  </w:r>
                </w:p>
              </w:tc>
            </w:tr>
            <w:tr w14:paraId="44E55F1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912" w:type="dxa"/>
                  <w:vMerge w:val="continue"/>
                  <w:vAlign w:val="center"/>
                </w:tcPr>
                <w:p w14:paraId="70EFFB1E">
                  <w:pPr>
                    <w:pStyle w:val="46"/>
                    <w:jc w:val="center"/>
                    <w:rPr>
                      <w:rFonts w:hint="default" w:ascii="Times New Roman" w:hAnsi="Times New Roman" w:cs="Times New Roman"/>
                      <w:color w:val="auto"/>
                      <w:sz w:val="20"/>
                      <w:szCs w:val="20"/>
                      <w:highlight w:val="none"/>
                    </w:rPr>
                  </w:pPr>
                </w:p>
              </w:tc>
              <w:tc>
                <w:tcPr>
                  <w:tcW w:w="503" w:type="dxa"/>
                  <w:vAlign w:val="center"/>
                </w:tcPr>
                <w:p w14:paraId="3F043273">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1619" w:type="dxa"/>
                  <w:vAlign w:val="center"/>
                </w:tcPr>
                <w:p w14:paraId="1974B599">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外加剂</w:t>
                  </w:r>
                </w:p>
              </w:tc>
              <w:tc>
                <w:tcPr>
                  <w:tcW w:w="745" w:type="dxa"/>
                  <w:vAlign w:val="center"/>
                </w:tcPr>
                <w:p w14:paraId="07A7AADF">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t/a</w:t>
                  </w:r>
                </w:p>
              </w:tc>
              <w:tc>
                <w:tcPr>
                  <w:tcW w:w="1022" w:type="dxa"/>
                  <w:vAlign w:val="center"/>
                </w:tcPr>
                <w:p w14:paraId="68C374F1">
                  <w:pPr>
                    <w:pStyle w:val="46"/>
                    <w:jc w:val="center"/>
                    <w:rPr>
                      <w:rFonts w:hint="default" w:ascii="Times New Roman" w:hAnsi="Times New Roman" w:eastAsia="宋体" w:cs="Times New Roman"/>
                      <w:color w:val="auto"/>
                      <w:sz w:val="20"/>
                      <w:szCs w:val="20"/>
                      <w:highlight w:val="none"/>
                      <w:lang w:val="en-US" w:eastAsia="zh-CN"/>
                    </w:rPr>
                  </w:pPr>
                  <w:r>
                    <w:rPr>
                      <w:rFonts w:hint="eastAsia" w:cs="Times New Roman"/>
                      <w:color w:val="auto"/>
                      <w:sz w:val="20"/>
                      <w:szCs w:val="20"/>
                      <w:highlight w:val="none"/>
                      <w:lang w:val="en-US" w:eastAsia="zh-CN"/>
                    </w:rPr>
                    <w:t>3000</w:t>
                  </w:r>
                </w:p>
              </w:tc>
              <w:tc>
                <w:tcPr>
                  <w:tcW w:w="2754" w:type="dxa"/>
                  <w:vAlign w:val="center"/>
                </w:tcPr>
                <w:p w14:paraId="22AFFE05">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液状、储罐储存</w:t>
                  </w:r>
                </w:p>
              </w:tc>
            </w:tr>
            <w:tr w14:paraId="5C602E5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912" w:type="dxa"/>
                  <w:vMerge w:val="restart"/>
                  <w:vAlign w:val="center"/>
                </w:tcPr>
                <w:p w14:paraId="38E79199">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能源</w:t>
                  </w:r>
                </w:p>
              </w:tc>
              <w:tc>
                <w:tcPr>
                  <w:tcW w:w="503" w:type="dxa"/>
                  <w:vAlign w:val="center"/>
                </w:tcPr>
                <w:p w14:paraId="77BE2191">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1619" w:type="dxa"/>
                  <w:vAlign w:val="center"/>
                </w:tcPr>
                <w:p w14:paraId="62423D2D">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电</w:t>
                  </w:r>
                </w:p>
              </w:tc>
              <w:tc>
                <w:tcPr>
                  <w:tcW w:w="745" w:type="dxa"/>
                  <w:vAlign w:val="center"/>
                </w:tcPr>
                <w:p w14:paraId="1F43C8F3">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kwh</w:t>
                  </w:r>
                </w:p>
              </w:tc>
              <w:tc>
                <w:tcPr>
                  <w:tcW w:w="1022" w:type="dxa"/>
                  <w:vAlign w:val="center"/>
                </w:tcPr>
                <w:p w14:paraId="3E37EAFF">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60000</w:t>
                  </w:r>
                </w:p>
              </w:tc>
              <w:tc>
                <w:tcPr>
                  <w:tcW w:w="2754" w:type="dxa"/>
                  <w:vAlign w:val="center"/>
                </w:tcPr>
                <w:p w14:paraId="13F9D5F7">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专属变压器</w:t>
                  </w:r>
                </w:p>
              </w:tc>
            </w:tr>
            <w:tr w14:paraId="28108D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912" w:type="dxa"/>
                  <w:vMerge w:val="continue"/>
                  <w:vAlign w:val="center"/>
                </w:tcPr>
                <w:p w14:paraId="03E09EE4">
                  <w:pPr>
                    <w:pStyle w:val="46"/>
                    <w:jc w:val="center"/>
                    <w:rPr>
                      <w:rFonts w:hint="default" w:ascii="Times New Roman" w:hAnsi="Times New Roman" w:cs="Times New Roman"/>
                      <w:color w:val="auto"/>
                      <w:sz w:val="20"/>
                      <w:szCs w:val="20"/>
                      <w:highlight w:val="none"/>
                    </w:rPr>
                  </w:pPr>
                </w:p>
              </w:tc>
              <w:tc>
                <w:tcPr>
                  <w:tcW w:w="503" w:type="dxa"/>
                  <w:vAlign w:val="center"/>
                </w:tcPr>
                <w:p w14:paraId="157AE319">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1619" w:type="dxa"/>
                  <w:vAlign w:val="center"/>
                </w:tcPr>
                <w:p w14:paraId="41D7B064">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水</w:t>
                  </w:r>
                </w:p>
              </w:tc>
              <w:tc>
                <w:tcPr>
                  <w:tcW w:w="745" w:type="dxa"/>
                  <w:vAlign w:val="center"/>
                </w:tcPr>
                <w:p w14:paraId="288DFB2B">
                  <w:pPr>
                    <w:pStyle w:val="46"/>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m</w:t>
                  </w:r>
                  <w:r>
                    <w:rPr>
                      <w:rFonts w:hint="default" w:ascii="Times New Roman" w:hAnsi="Times New Roman" w:cs="Times New Roman"/>
                      <w:color w:val="auto"/>
                      <w:sz w:val="20"/>
                      <w:szCs w:val="20"/>
                      <w:highlight w:val="none"/>
                      <w:vertAlign w:val="superscript"/>
                    </w:rPr>
                    <w:t>3</w:t>
                  </w:r>
                  <w:r>
                    <w:rPr>
                      <w:rFonts w:hint="default" w:ascii="Times New Roman" w:hAnsi="Times New Roman" w:cs="Times New Roman"/>
                      <w:color w:val="auto"/>
                      <w:sz w:val="20"/>
                      <w:szCs w:val="20"/>
                      <w:highlight w:val="none"/>
                    </w:rPr>
                    <w:t>/a</w:t>
                  </w:r>
                </w:p>
              </w:tc>
              <w:tc>
                <w:tcPr>
                  <w:tcW w:w="1022" w:type="dxa"/>
                  <w:vAlign w:val="center"/>
                </w:tcPr>
                <w:p w14:paraId="425F5D7F">
                  <w:pPr>
                    <w:pStyle w:val="46"/>
                    <w:jc w:val="center"/>
                    <w:rPr>
                      <w:rFonts w:hint="default" w:ascii="Times New Roman" w:hAnsi="Times New Roman" w:eastAsia="宋体" w:cs="Times New Roman"/>
                      <w:color w:val="auto"/>
                      <w:sz w:val="20"/>
                      <w:szCs w:val="20"/>
                      <w:highlight w:val="none"/>
                      <w:lang w:val="en-US" w:eastAsia="zh-CN"/>
                    </w:rPr>
                  </w:pPr>
                  <w:r>
                    <w:rPr>
                      <w:rFonts w:hint="eastAsia" w:cs="Times New Roman"/>
                      <w:color w:val="auto"/>
                      <w:sz w:val="20"/>
                      <w:szCs w:val="20"/>
                      <w:highlight w:val="none"/>
                      <w:lang w:val="en-US" w:eastAsia="zh-CN"/>
                    </w:rPr>
                    <w:t>46050</w:t>
                  </w:r>
                </w:p>
              </w:tc>
              <w:tc>
                <w:tcPr>
                  <w:tcW w:w="2754" w:type="dxa"/>
                  <w:vAlign w:val="center"/>
                </w:tcPr>
                <w:p w14:paraId="61F322E8">
                  <w:pPr>
                    <w:pStyle w:val="46"/>
                    <w:jc w:val="center"/>
                    <w:rPr>
                      <w:rFonts w:hint="default" w:ascii="Times New Roman" w:hAnsi="Times New Roman" w:eastAsia="宋体" w:cs="Times New Roman"/>
                      <w:color w:val="auto"/>
                      <w:sz w:val="20"/>
                      <w:szCs w:val="20"/>
                      <w:highlight w:val="none"/>
                      <w:lang w:val="en-US" w:eastAsia="zh-CN"/>
                    </w:rPr>
                  </w:pPr>
                  <w:r>
                    <w:rPr>
                      <w:rFonts w:hint="eastAsia" w:cs="Times New Roman"/>
                      <w:color w:val="auto"/>
                      <w:sz w:val="20"/>
                      <w:szCs w:val="20"/>
                      <w:highlight w:val="none"/>
                      <w:lang w:val="en-US" w:eastAsia="zh-CN"/>
                    </w:rPr>
                    <w:t>鄂尔多斯市东胜区洁通排水产业有限责任公司再生水</w:t>
                  </w:r>
                  <w:r>
                    <w:rPr>
                      <w:rFonts w:hint="default" w:ascii="Times New Roman" w:hAnsi="Times New Roman" w:cs="Times New Roman"/>
                      <w:color w:val="auto"/>
                      <w:sz w:val="20"/>
                      <w:szCs w:val="20"/>
                      <w:highlight w:val="none"/>
                    </w:rPr>
                    <w:t>由罐车拉运</w:t>
                  </w:r>
                </w:p>
              </w:tc>
            </w:tr>
          </w:tbl>
          <w:p w14:paraId="72E21F8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项目部分原辅材料的成分和性质：</w:t>
            </w:r>
          </w:p>
          <w:p w14:paraId="169DF37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（1）水泥</w:t>
            </w:r>
          </w:p>
          <w:p w14:paraId="6DE0C96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泥品种是以水泥的性能为依据划分的。我国常用的水泥都是硅酸盐系列水泥，主要是通过调整硅酸盐水泥熟料，合理掺入不同品种、不同数量的混合材料划分的。硅酸盐水泥熟料中主要矿物有硅酸三钙、硅酸二钙、铝酸三钙和铁铝酸四钙四种。水泥的性质主要由熟料的矿物组成和矿物结构、混合材料的质量和数量以及石膏掺量和粉磨细度等因素决定。所以不同生产厂和不同生产方式的水泥，其性质是不同的。</w:t>
            </w:r>
          </w:p>
          <w:p w14:paraId="449DE48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（2）粉煤灰</w:t>
            </w:r>
          </w:p>
          <w:p w14:paraId="6EC37F6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粉煤灰是由煤粉炉排出的烟气中收集到的细颗粒白色粉末，是由矿化程度较低的褐煤燃烧后形成的残灰，它的氧化钙含量较高，具有胶凝性质。粉煤灰一般多呈球形，且富含玻璃体，含量在50%</w:t>
            </w:r>
            <w:r>
              <w:rPr>
                <w:rFonts w:hint="eastAsia" w:cs="Times New Roman"/>
                <w:color w:val="auto"/>
                <w:highlight w:val="none"/>
                <w:lang w:eastAsia="zh-CN"/>
              </w:rPr>
              <w:t>～</w:t>
            </w:r>
            <w:r>
              <w:rPr>
                <w:rFonts w:hint="default" w:ascii="Times New Roman" w:hAnsi="Times New Roman" w:cs="Times New Roman"/>
                <w:color w:val="auto"/>
                <w:highlight w:val="none"/>
              </w:rPr>
              <w:t>70%之间。晶体部分主要包括莫来石和石英，此外还有少量未燃尽炭，含量约为1%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22%。从化学成分看，粉煤灰主要含有SiO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（30%</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60%），Al</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（13%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20%），CaO（2%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5%），Fe</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10%）等。由于粉煤灰经高温熔融，所以其结构非常致密。</w:t>
            </w:r>
          </w:p>
          <w:p w14:paraId="6556B86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（3）外加剂</w:t>
            </w:r>
          </w:p>
          <w:p w14:paraId="7A74C4E1">
            <w:pPr>
              <w:ind w:firstLine="48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它是一种减水、缓凝和引气作用极小的混凝土外加剂。主要成分为萘系（NSF），它们分子结构单元中都含有磺酸基，最佳的分子结构一般</w:t>
            </w:r>
            <w:r>
              <w:rPr>
                <w:rFonts w:hint="default" w:ascii="Times New Roman" w:hAnsi="Times New Roman" w:eastAsia="宋体" w:cs="Times New Roman"/>
                <w:color w:val="auto"/>
                <w:highlight w:val="none"/>
              </w:rPr>
              <w:t>为线型主链，并同时有多个长支链，主要通过缩合反应得到。使用该外加剂可以大幅度降低混凝土用水量，从而提高混凝土强度，特别适用于制备高强或流态混凝土；同时，还能延长混凝土凝结时间，降低水泥水化热，适用于各种需要混凝土缓凝的场合。</w:t>
            </w:r>
          </w:p>
          <w:p w14:paraId="3688E91C">
            <w:pPr>
              <w:ind w:firstLine="482"/>
              <w:rPr>
                <w:rFonts w:hint="default" w:ascii="Times New Roman" w:hAnsi="Times New Roman" w:eastAsia="宋体" w:cs="Times New Roman"/>
                <w:b/>
                <w:color w:val="auto"/>
                <w:highlight w:val="none"/>
                <w:lang w:val="en-US" w:eastAsia="zh-CN"/>
              </w:rPr>
            </w:pPr>
            <w:r>
              <w:rPr>
                <w:rFonts w:hint="eastAsia" w:cs="Times New Roman"/>
                <w:b/>
                <w:color w:val="auto"/>
                <w:highlight w:val="none"/>
                <w:lang w:val="en-US" w:eastAsia="zh-CN"/>
              </w:rPr>
              <w:t>4</w:t>
            </w:r>
            <w:r>
              <w:rPr>
                <w:rFonts w:hint="default" w:ascii="Times New Roman" w:hAnsi="Times New Roman" w:eastAsia="宋体" w:cs="Times New Roman"/>
                <w:b/>
                <w:color w:val="auto"/>
                <w:highlight w:val="none"/>
                <w:lang w:val="en-US" w:eastAsia="zh-CN"/>
              </w:rPr>
              <w:t>.劳动定员及工作制度</w:t>
            </w:r>
          </w:p>
          <w:p w14:paraId="5E41E9A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项目劳动定员5人，年工作天数为150d，每天工作8h。</w:t>
            </w:r>
          </w:p>
          <w:p w14:paraId="62A2EA96">
            <w:pPr>
              <w:ind w:firstLine="482"/>
              <w:rPr>
                <w:rFonts w:hint="default" w:ascii="Times New Roman" w:hAnsi="Times New Roman" w:cs="Times New Roman"/>
                <w:b/>
                <w:color w:val="auto"/>
                <w:highlight w:val="none"/>
              </w:rPr>
            </w:pPr>
            <w:r>
              <w:rPr>
                <w:rFonts w:hint="eastAsia" w:cs="Times New Roman"/>
                <w:b/>
                <w:color w:val="auto"/>
                <w:highlight w:val="none"/>
                <w:lang w:val="en-US" w:eastAsia="zh-CN"/>
              </w:rPr>
              <w:t>5</w:t>
            </w:r>
            <w:r>
              <w:rPr>
                <w:rFonts w:hint="default" w:ascii="Times New Roman" w:hAnsi="Times New Roman" w:cs="Times New Roman"/>
                <w:b/>
                <w:color w:val="auto"/>
                <w:highlight w:val="none"/>
              </w:rPr>
              <w:t>.公用工程</w:t>
            </w:r>
          </w:p>
          <w:p w14:paraId="01B6F747">
            <w:pPr>
              <w:ind w:firstLine="482"/>
              <w:rPr>
                <w:rFonts w:hint="default" w:ascii="Times New Roman" w:hAnsi="Times New Roman" w:cs="Times New Roman"/>
                <w:b/>
                <w:bCs/>
                <w:color w:val="auto"/>
                <w:highlight w:val="none"/>
              </w:rPr>
            </w:pPr>
            <w:r>
              <w:rPr>
                <w:rFonts w:hint="eastAsia" w:cs="Times New Roman"/>
                <w:b/>
                <w:bCs/>
                <w:color w:val="auto"/>
                <w:highlight w:val="none"/>
                <w:lang w:val="en-US" w:eastAsia="zh-CN"/>
              </w:rPr>
              <w:t>5</w:t>
            </w:r>
            <w:r>
              <w:rPr>
                <w:rFonts w:hint="default" w:ascii="Times New Roman" w:hAnsi="Times New Roman" w:cs="Times New Roman"/>
                <w:b/>
                <w:bCs/>
                <w:color w:val="auto"/>
                <w:highlight w:val="none"/>
              </w:rPr>
              <w:t>.1给排水</w:t>
            </w:r>
          </w:p>
          <w:p w14:paraId="5DF41B3D">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w:t>
            </w:r>
            <w:r>
              <w:rPr>
                <w:rFonts w:hint="default" w:ascii="Times New Roman" w:hAnsi="Times New Roman" w:cs="Times New Roman"/>
                <w:color w:val="auto"/>
                <w:highlight w:val="none"/>
                <w:lang w:val="en-US" w:eastAsia="zh-CN"/>
              </w:rPr>
              <w:t>生产用水</w:t>
            </w:r>
            <w:r>
              <w:rPr>
                <w:rFonts w:hint="eastAsia" w:cs="Times New Roman"/>
                <w:color w:val="auto"/>
                <w:szCs w:val="21"/>
                <w:highlight w:val="none"/>
                <w:lang w:val="en-US" w:eastAsia="zh-CN"/>
              </w:rPr>
              <w:t>使用鄂尔多斯市东胜区洁通排水产业有限责任公司再生水</w:t>
            </w:r>
            <w:r>
              <w:rPr>
                <w:rFonts w:hint="eastAsia" w:cs="Times New Roman"/>
                <w:color w:val="auto"/>
                <w:highlight w:val="none"/>
                <w:lang w:eastAsia="zh-CN"/>
              </w:rPr>
              <w:t>，</w:t>
            </w:r>
            <w:r>
              <w:rPr>
                <w:rFonts w:hint="eastAsia" w:cs="Times New Roman"/>
                <w:color w:val="auto"/>
                <w:szCs w:val="21"/>
                <w:highlight w:val="none"/>
                <w:lang w:val="en-US" w:eastAsia="zh-CN"/>
              </w:rPr>
              <w:t>由输水管道输送项目厂区</w:t>
            </w:r>
            <w:r>
              <w:rPr>
                <w:rFonts w:hint="default" w:ascii="Times New Roman" w:hAnsi="Times New Roman" w:cs="Times New Roman"/>
                <w:color w:val="auto"/>
                <w:highlight w:val="none"/>
              </w:rPr>
              <w:t>。</w:t>
            </w:r>
            <w:r>
              <w:rPr>
                <w:rFonts w:hint="default" w:ascii="Times New Roman" w:hAnsi="Times New Roman" w:eastAsia="宋体" w:cs="Times New Roman"/>
                <w:color w:val="auto"/>
                <w:highlight w:val="none"/>
              </w:rPr>
              <w:t>员工生活用水</w:t>
            </w:r>
            <w:r>
              <w:rPr>
                <w:rFonts w:hint="default" w:ascii="Times New Roman" w:hAnsi="Times New Roman" w:cs="Times New Roman"/>
                <w:color w:val="auto"/>
              </w:rPr>
              <w:t>外购桶装水</w:t>
            </w:r>
            <w:r>
              <w:rPr>
                <w:rFonts w:hint="default" w:ascii="Times New Roman" w:hAnsi="Times New Roman" w:eastAsia="宋体" w:cs="Times New Roman"/>
                <w:color w:val="auto"/>
                <w:highlight w:val="none"/>
              </w:rPr>
              <w:t>。</w:t>
            </w:r>
          </w:p>
          <w:p w14:paraId="6ACDB05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（1）生产工艺</w:t>
            </w:r>
          </w:p>
          <w:p w14:paraId="2DA7FF79">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根据商品混凝土配合比要求，企业提供生产用水量约为</w:t>
            </w:r>
            <w:r>
              <w:rPr>
                <w:rFonts w:hint="eastAsia" w:cs="Times New Roman"/>
                <w:color w:val="auto"/>
                <w:highlight w:val="none"/>
                <w:lang w:val="en-US" w:eastAsia="zh-CN"/>
              </w:rPr>
              <w:t>4500</w:t>
            </w:r>
            <w:r>
              <w:rPr>
                <w:rFonts w:hint="default" w:ascii="Times New Roman" w:hAnsi="Times New Roman" w:eastAsia="宋体" w:cs="Times New Roman"/>
                <w:color w:val="auto"/>
                <w:highlight w:val="none"/>
              </w:rPr>
              <w:t>0m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w:t>
            </w:r>
            <w:r>
              <w:rPr>
                <w:rFonts w:hint="eastAsia" w:cs="Times New Roman"/>
                <w:color w:val="auto"/>
                <w:highlight w:val="none"/>
                <w:lang w:val="en-US" w:eastAsia="zh-CN"/>
              </w:rPr>
              <w:t>300</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/d），全部带入产品中，无废水产生。</w:t>
            </w:r>
          </w:p>
          <w:p w14:paraId="13FE2CE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（2）设备清洗</w:t>
            </w:r>
          </w:p>
          <w:p w14:paraId="4FEE664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项目搅拌机在暂时停止生产时必须冲洗干净。项目配备了一台搅拌机，每天工作完毕后对搅拌机进行冲洗</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每次冲洗水用量约为3m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/次</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台，全年冲洗次数为150次。因此，项目搅拌机全年冲洗水用量为450m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/a（3m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w:t>
            </w:r>
            <w:r>
              <w:rPr>
                <w:rFonts w:hint="eastAsia" w:cs="Times New Roman"/>
                <w:color w:val="auto"/>
                <w:highlight w:val="none"/>
                <w:lang w:eastAsia="zh-CN"/>
              </w:rPr>
              <w:t>，</w:t>
            </w:r>
            <w:r>
              <w:rPr>
                <w:rFonts w:hint="default" w:ascii="Times New Roman" w:hAnsi="Times New Roman" w:eastAsia="宋体" w:cs="Times New Roman"/>
                <w:color w:val="auto"/>
                <w:highlight w:val="none"/>
              </w:rPr>
              <w:t>产污系数按0.8计，</w:t>
            </w:r>
            <w:r>
              <w:rPr>
                <w:rFonts w:hint="eastAsia" w:cs="Times New Roman"/>
                <w:color w:val="auto"/>
                <w:highlight w:val="none"/>
                <w:lang w:eastAsia="zh-CN"/>
              </w:rPr>
              <w:t>则</w:t>
            </w:r>
            <w:r>
              <w:rPr>
                <w:rFonts w:hint="default" w:ascii="Times New Roman" w:hAnsi="Times New Roman" w:eastAsia="宋体" w:cs="Times New Roman"/>
                <w:color w:val="auto"/>
                <w:highlight w:val="none"/>
              </w:rPr>
              <w:t>设备清洗废水产生量为360m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/a（2.4m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/d）。设备清洗废水经沉淀处理后全部回用，不外排。</w:t>
            </w:r>
          </w:p>
          <w:p w14:paraId="34FF6FA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（3）场地冲洗</w:t>
            </w:r>
          </w:p>
          <w:p w14:paraId="39B9ADC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项目定期对搅拌楼周围场地进行冲洗，一年约冲洗75次，每次冲洗约2m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/次，即150m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/a（1m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/d）。产污系数按0.8计，场地冲洗废水产生量为120m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/a（0.8m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/d）。场地冲洗经沉淀处理后全部回用，不外排。</w:t>
            </w:r>
          </w:p>
          <w:p w14:paraId="4BEFD38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w:t>
            </w:r>
            <w:r>
              <w:rPr>
                <w:rFonts w:hint="default" w:ascii="Times New Roman" w:hAnsi="Times New Roman" w:eastAsia="宋体" w:cs="Times New Roman"/>
                <w:color w:val="auto"/>
                <w:highlight w:val="none"/>
                <w:lang w:eastAsia="zh-Hans"/>
              </w:rPr>
              <w:t>砂石</w:t>
            </w:r>
            <w:r>
              <w:rPr>
                <w:rFonts w:hint="default" w:ascii="Times New Roman" w:hAnsi="Times New Roman" w:eastAsia="宋体" w:cs="Times New Roman"/>
                <w:color w:val="auto"/>
                <w:highlight w:val="none"/>
              </w:rPr>
              <w:t>料库洒水</w:t>
            </w:r>
          </w:p>
          <w:p w14:paraId="7A135674">
            <w:pPr>
              <w:ind w:firstLine="480"/>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项目</w:t>
            </w:r>
            <w:r>
              <w:rPr>
                <w:rFonts w:hint="default" w:ascii="Times New Roman" w:hAnsi="Times New Roman" w:eastAsia="宋体" w:cs="Times New Roman"/>
                <w:color w:val="auto"/>
                <w:highlight w:val="none"/>
                <w:lang w:eastAsia="zh-Hans"/>
              </w:rPr>
              <w:t>砂石</w:t>
            </w:r>
            <w:r>
              <w:rPr>
                <w:rFonts w:hint="default" w:ascii="Times New Roman" w:hAnsi="Times New Roman" w:eastAsia="宋体" w:cs="Times New Roman"/>
                <w:color w:val="auto"/>
                <w:highlight w:val="none"/>
              </w:rPr>
              <w:t>料库占地</w:t>
            </w:r>
            <w:r>
              <w:rPr>
                <w:rFonts w:hint="eastAsia" w:cs="Times New Roman"/>
                <w:color w:val="auto"/>
                <w:highlight w:val="none"/>
                <w:lang w:val="en-US" w:eastAsia="zh-CN"/>
              </w:rPr>
              <w:t>1</w:t>
            </w:r>
            <w:r>
              <w:rPr>
                <w:rFonts w:hint="default" w:ascii="Times New Roman" w:hAnsi="Times New Roman" w:eastAsia="宋体" w:cs="Times New Roman"/>
                <w:color w:val="auto"/>
                <w:highlight w:val="none"/>
              </w:rPr>
              <w:t>00</w:t>
            </w:r>
            <w:r>
              <w:rPr>
                <w:rFonts w:hint="eastAsia" w:cs="Times New Roman"/>
                <w:color w:val="auto"/>
                <w:highlight w:val="none"/>
                <w:lang w:val="en-US" w:eastAsia="zh-CN"/>
              </w:rPr>
              <w:t>0</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，参照《内蒙古自治区行业用水定额标准》（20</w:t>
            </w:r>
            <w:r>
              <w:rPr>
                <w:rFonts w:hint="default" w:ascii="Times New Roman" w:hAnsi="Times New Roman" w:eastAsia="宋体" w:cs="Times New Roman"/>
                <w:color w:val="auto"/>
                <w:highlight w:val="none"/>
                <w:lang w:val="en-US" w:eastAsia="zh-CN"/>
              </w:rPr>
              <w:t>20</w:t>
            </w:r>
            <w:r>
              <w:rPr>
                <w:rFonts w:hint="default" w:ascii="Times New Roman" w:hAnsi="Times New Roman" w:eastAsia="宋体" w:cs="Times New Roman"/>
                <w:color w:val="auto"/>
                <w:highlight w:val="none"/>
              </w:rPr>
              <w:t>年版）</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城市环境卫生管理—场地、道路喷洒定额按2L/m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·d，项目每天洒水1次，用水量为</w:t>
            </w:r>
            <w:r>
              <w:rPr>
                <w:rFonts w:hint="eastAsia" w:cs="Times New Roman"/>
                <w:color w:val="auto"/>
                <w:highlight w:val="none"/>
                <w:lang w:val="en-US" w:eastAsia="zh-CN"/>
              </w:rPr>
              <w:t>2</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/d，服务期限共计150天，则项目洒</w:t>
            </w:r>
            <w:r>
              <w:rPr>
                <w:rFonts w:hint="default" w:ascii="Times New Roman" w:hAnsi="Times New Roman" w:cs="Times New Roman"/>
                <w:color w:val="auto"/>
                <w:highlight w:val="none"/>
              </w:rPr>
              <w:t>水降尘共计需要</w:t>
            </w:r>
            <w:r>
              <w:rPr>
                <w:rFonts w:hint="eastAsia" w:cs="Times New Roman"/>
                <w:color w:val="auto"/>
                <w:highlight w:val="none"/>
                <w:lang w:val="en-US" w:eastAsia="zh-CN"/>
              </w:rPr>
              <w:t>300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/a</w:t>
            </w:r>
            <w:r>
              <w:rPr>
                <w:rFonts w:hint="default" w:ascii="Times New Roman" w:hAnsi="Times New Roman" w:cs="Times New Roman"/>
                <w:color w:val="auto"/>
                <w:highlight w:val="none"/>
              </w:rPr>
              <w:t>，洒水全部自然蒸发损耗。</w:t>
            </w:r>
          </w:p>
          <w:p w14:paraId="7DF03512">
            <w:pPr>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（5）</w:t>
            </w:r>
            <w:r>
              <w:rPr>
                <w:rFonts w:hint="eastAsia" w:cs="Times New Roman"/>
                <w:color w:val="auto"/>
                <w:highlight w:val="none"/>
                <w:lang w:val="en-US" w:eastAsia="zh-CN"/>
              </w:rPr>
              <w:t>洗砂机补</w:t>
            </w:r>
            <w:r>
              <w:rPr>
                <w:rFonts w:hint="default" w:ascii="Times New Roman" w:hAnsi="Times New Roman" w:cs="Times New Roman"/>
                <w:color w:val="auto"/>
                <w:highlight w:val="none"/>
                <w:lang w:val="en-US" w:eastAsia="zh-CN"/>
              </w:rPr>
              <w:t>水</w:t>
            </w:r>
          </w:p>
          <w:p w14:paraId="3C809216">
            <w:pPr>
              <w:pStyle w:val="13"/>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项目设置</w:t>
            </w:r>
            <w:r>
              <w:rPr>
                <w:rFonts w:hint="eastAsia" w:cs="Times New Roman"/>
                <w:color w:val="auto"/>
                <w:highlight w:val="none"/>
                <w:lang w:val="en-US" w:eastAsia="zh-CN"/>
              </w:rPr>
              <w:t>洗砂机</w:t>
            </w:r>
            <w:r>
              <w:rPr>
                <w:rFonts w:hint="default" w:ascii="Times New Roman" w:hAnsi="Times New Roman" w:cs="Times New Roman"/>
                <w:color w:val="auto"/>
                <w:highlight w:val="none"/>
                <w:lang w:val="en-US" w:eastAsia="zh-CN"/>
              </w:rPr>
              <w:t>1台，</w:t>
            </w:r>
            <w:r>
              <w:rPr>
                <w:rFonts w:hint="eastAsia" w:cs="Times New Roman"/>
                <w:color w:val="auto"/>
                <w:highlight w:val="none"/>
                <w:lang w:val="en-US" w:eastAsia="zh-CN"/>
              </w:rPr>
              <w:t>根据建设方提供资料，</w:t>
            </w:r>
            <w:r>
              <w:rPr>
                <w:rFonts w:hint="eastAsia"/>
                <w:color w:val="auto"/>
                <w:lang w:eastAsia="zh-CN"/>
              </w:rPr>
              <w:t>根据建设方提供，仅</w:t>
            </w:r>
            <w:r>
              <w:rPr>
                <w:rFonts w:hint="eastAsia"/>
                <w:color w:val="auto"/>
                <w:lang w:val="en-US" w:eastAsia="zh-CN"/>
              </w:rPr>
              <w:t>C50-C60</w:t>
            </w:r>
            <w:r>
              <w:rPr>
                <w:rFonts w:hint="eastAsia"/>
                <w:color w:val="auto"/>
                <w:lang w:eastAsia="zh-CN"/>
              </w:rPr>
              <w:t>高强度混凝土需要进行洗砂，单量少，最多</w:t>
            </w:r>
            <w:r>
              <w:rPr>
                <w:rFonts w:hint="eastAsia"/>
                <w:color w:val="auto"/>
                <w:lang w:val="en-US" w:eastAsia="zh-CN"/>
              </w:rPr>
              <w:t>10000方估算，则</w:t>
            </w:r>
            <w:r>
              <w:rPr>
                <w:rFonts w:hint="eastAsia" w:cs="Times New Roman"/>
                <w:color w:val="auto"/>
                <w:highlight w:val="none"/>
                <w:lang w:val="en-US" w:eastAsia="zh-CN"/>
              </w:rPr>
              <w:t>年清洗砂量约为6240吨/年，则洗砂机用</w:t>
            </w:r>
            <w:r>
              <w:rPr>
                <w:rFonts w:hint="default" w:ascii="Times New Roman" w:hAnsi="Times New Roman" w:cs="Times New Roman"/>
                <w:color w:val="auto"/>
                <w:highlight w:val="none"/>
                <w:lang w:val="en-US" w:eastAsia="zh-CN"/>
              </w:rPr>
              <w:t>水</w:t>
            </w:r>
            <w:r>
              <w:rPr>
                <w:rFonts w:hint="eastAsia" w:cs="Times New Roman"/>
                <w:color w:val="auto"/>
                <w:highlight w:val="none"/>
                <w:lang w:val="en-US" w:eastAsia="zh-CN"/>
              </w:rPr>
              <w:t>为9360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/a</w:t>
            </w:r>
            <w:r>
              <w:rPr>
                <w:rFonts w:hint="eastAsia" w:cs="Times New Roman"/>
                <w:color w:val="auto"/>
                <w:szCs w:val="21"/>
                <w:highlight w:val="none"/>
                <w:lang w:eastAsia="zh-CN"/>
              </w:rPr>
              <w:t>（</w:t>
            </w:r>
            <w:r>
              <w:rPr>
                <w:rFonts w:hint="eastAsia" w:cs="Times New Roman"/>
                <w:color w:val="auto"/>
                <w:highlight w:val="none"/>
                <w:lang w:val="en-US" w:eastAsia="zh-CN"/>
              </w:rPr>
              <w:t>62.4</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w:t>
            </w:r>
            <w:r>
              <w:rPr>
                <w:rFonts w:hint="eastAsia" w:cs="Times New Roman"/>
                <w:color w:val="auto"/>
                <w:szCs w:val="21"/>
                <w:highlight w:val="none"/>
                <w:lang w:eastAsia="zh-CN"/>
              </w:rPr>
              <w:t>）</w:t>
            </w:r>
            <w:r>
              <w:rPr>
                <w:rFonts w:hint="eastAsia" w:cs="Times New Roman"/>
                <w:color w:val="auto"/>
                <w:highlight w:val="none"/>
                <w:lang w:val="en-US" w:eastAsia="zh-CN"/>
              </w:rPr>
              <w:t>，洗砂机用水</w:t>
            </w:r>
            <w:r>
              <w:rPr>
                <w:rFonts w:hint="default" w:ascii="Times New Roman" w:hAnsi="Times New Roman" w:cs="Times New Roman"/>
                <w:color w:val="auto"/>
                <w:highlight w:val="none"/>
                <w:lang w:val="en-US" w:eastAsia="zh-CN"/>
              </w:rPr>
              <w:t>循环使用，</w:t>
            </w:r>
            <w:r>
              <w:rPr>
                <w:rFonts w:hint="eastAsia" w:cs="Times New Roman"/>
                <w:color w:val="auto"/>
                <w:highlight w:val="none"/>
                <w:lang w:val="en-US" w:eastAsia="zh-CN"/>
              </w:rPr>
              <w:t>少量洗砂水被产品带走耗损，其中砂粒产品带走的水分量约占产品总重量的8%，参照《排水工程》（第二册，中国建筑工业出版社），因此，洗砂机需要补</w:t>
            </w:r>
            <w:r>
              <w:rPr>
                <w:rFonts w:hint="default" w:ascii="Times New Roman" w:hAnsi="Times New Roman" w:cs="Times New Roman"/>
                <w:color w:val="auto"/>
                <w:highlight w:val="none"/>
                <w:lang w:val="en-US" w:eastAsia="zh-CN"/>
              </w:rPr>
              <w:t>水约为</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/d。</w:t>
            </w:r>
          </w:p>
          <w:p w14:paraId="73836D9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eastAsia" w:cs="Times New Roman"/>
                <w:color w:val="auto"/>
                <w:highlight w:val="none"/>
                <w:lang w:val="en-US" w:eastAsia="zh-CN"/>
              </w:rPr>
              <w:t>6</w:t>
            </w:r>
            <w:r>
              <w:rPr>
                <w:rFonts w:hint="default" w:ascii="Times New Roman" w:hAnsi="Times New Roman" w:eastAsia="宋体" w:cs="Times New Roman"/>
                <w:color w:val="auto"/>
                <w:highlight w:val="none"/>
              </w:rPr>
              <w:t>）员工生活</w:t>
            </w:r>
          </w:p>
          <w:p w14:paraId="514E9D18">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项目定员为5人。员工生活用水按照《内蒙古自治区行业用水定额标准》（20</w:t>
            </w:r>
            <w:r>
              <w:rPr>
                <w:rFonts w:hint="default" w:ascii="Times New Roman" w:hAnsi="Times New Roman" w:eastAsia="宋体" w:cs="Times New Roman"/>
                <w:color w:val="auto"/>
                <w:highlight w:val="none"/>
                <w:lang w:val="en-US" w:eastAsia="zh-CN"/>
              </w:rPr>
              <w:t>20</w:t>
            </w:r>
            <w:r>
              <w:rPr>
                <w:rFonts w:hint="default" w:ascii="Times New Roman" w:hAnsi="Times New Roman" w:eastAsia="宋体" w:cs="Times New Roman"/>
                <w:color w:val="auto"/>
                <w:highlight w:val="none"/>
              </w:rPr>
              <w:t xml:space="preserve"> 年版）中用水定额0.06m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/人•天计，则本项目员工生活用水量为0.3m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/d（45m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/a）。生活污水污染物主要为COD、BOD</w:t>
            </w:r>
            <w:r>
              <w:rPr>
                <w:rFonts w:hint="default" w:ascii="Times New Roman" w:hAnsi="Times New Roman" w:eastAsia="宋体" w:cs="Times New Roman"/>
                <w:color w:val="auto"/>
                <w:highlight w:val="none"/>
                <w:vertAlign w:val="subscript"/>
              </w:rPr>
              <w:t>5</w:t>
            </w:r>
            <w:r>
              <w:rPr>
                <w:rFonts w:hint="default" w:ascii="Times New Roman" w:hAnsi="Times New Roman" w:eastAsia="宋体" w:cs="Times New Roman"/>
                <w:color w:val="auto"/>
                <w:highlight w:val="none"/>
              </w:rPr>
              <w:t>、SS、NH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-N，生活污水产污系数按0.8计，则项目污水产生量为0.24m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/d（36m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/a），生活污水经化粪池</w:t>
            </w:r>
            <w:r>
              <w:rPr>
                <w:rFonts w:hint="eastAsia" w:cs="Times New Roman"/>
                <w:color w:val="auto"/>
                <w:highlight w:val="none"/>
                <w:lang w:eastAsia="zh-CN"/>
              </w:rPr>
              <w:t>沉淀</w:t>
            </w:r>
            <w:r>
              <w:rPr>
                <w:rFonts w:hint="default" w:ascii="Times New Roman" w:hAnsi="Times New Roman" w:eastAsia="宋体" w:cs="Times New Roman"/>
                <w:color w:val="auto"/>
                <w:highlight w:val="none"/>
              </w:rPr>
              <w:t>后</w:t>
            </w:r>
            <w:r>
              <w:rPr>
                <w:rFonts w:hint="default" w:ascii="Times New Roman" w:hAnsi="Times New Roman" w:cs="Times New Roman"/>
                <w:color w:val="auto"/>
                <w:highlight w:val="none"/>
                <w:lang w:val="en-US" w:eastAsia="zh-CN"/>
              </w:rPr>
              <w:t>拉运</w:t>
            </w:r>
            <w:r>
              <w:rPr>
                <w:rFonts w:hint="eastAsia" w:cs="Times New Roman"/>
                <w:color w:val="auto"/>
                <w:highlight w:val="none"/>
                <w:lang w:val="en-US" w:eastAsia="zh-CN"/>
              </w:rPr>
              <w:t>至</w:t>
            </w:r>
            <w:r>
              <w:rPr>
                <w:rFonts w:hint="default" w:ascii="Times New Roman" w:hAnsi="Times New Roman" w:cs="Times New Roman"/>
                <w:color w:val="auto"/>
                <w:highlight w:val="none"/>
                <w:lang w:val="en-US" w:eastAsia="zh-CN"/>
              </w:rPr>
              <w:t>附近污水处理厂</w:t>
            </w:r>
            <w:r>
              <w:rPr>
                <w:rFonts w:hint="default" w:ascii="Times New Roman" w:hAnsi="Times New Roman" w:eastAsia="宋体" w:cs="Times New Roman"/>
                <w:color w:val="auto"/>
                <w:highlight w:val="none"/>
              </w:rPr>
              <w:t>。</w:t>
            </w:r>
          </w:p>
          <w:p w14:paraId="1F2498DF">
            <w:pPr>
              <w:pStyle w:val="27"/>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表2-</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水平衡一览表</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单位m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w:t>
            </w:r>
            <w:r>
              <w:rPr>
                <w:rFonts w:hint="default" w:ascii="Times New Roman" w:hAnsi="Times New Roman" w:cs="Times New Roman"/>
                <w:color w:val="auto"/>
                <w:highlight w:val="none"/>
                <w:lang w:eastAsia="zh-CN"/>
              </w:rPr>
              <w:t>）</w:t>
            </w:r>
          </w:p>
          <w:tbl>
            <w:tblPr>
              <w:tblStyle w:val="2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1007"/>
              <w:gridCol w:w="878"/>
              <w:gridCol w:w="1170"/>
              <w:gridCol w:w="970"/>
              <w:gridCol w:w="1168"/>
              <w:gridCol w:w="987"/>
            </w:tblGrid>
            <w:tr w14:paraId="01FE66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72" w:type="dxa"/>
                  <w:vMerge w:val="restart"/>
                  <w:vAlign w:val="center"/>
                </w:tcPr>
                <w:p w14:paraId="0874837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名称</w:t>
                  </w:r>
                </w:p>
              </w:tc>
              <w:tc>
                <w:tcPr>
                  <w:tcW w:w="1007" w:type="dxa"/>
                  <w:vMerge w:val="restart"/>
                  <w:vAlign w:val="center"/>
                </w:tcPr>
                <w:p w14:paraId="7D8741C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用水量</w:t>
                  </w:r>
                </w:p>
              </w:tc>
              <w:tc>
                <w:tcPr>
                  <w:tcW w:w="3018" w:type="dxa"/>
                  <w:gridSpan w:val="3"/>
                  <w:vAlign w:val="center"/>
                </w:tcPr>
                <w:p w14:paraId="3C3B638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来源</w:t>
                  </w:r>
                </w:p>
              </w:tc>
              <w:tc>
                <w:tcPr>
                  <w:tcW w:w="1168" w:type="dxa"/>
                  <w:vMerge w:val="restart"/>
                  <w:vAlign w:val="center"/>
                </w:tcPr>
                <w:p w14:paraId="1228194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987" w:type="dxa"/>
                  <w:vMerge w:val="restart"/>
                  <w:vAlign w:val="center"/>
                </w:tcPr>
                <w:p w14:paraId="4C4D3E0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损耗</w:t>
                  </w:r>
                </w:p>
              </w:tc>
            </w:tr>
            <w:tr w14:paraId="2D299B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72" w:type="dxa"/>
                  <w:vMerge w:val="continue"/>
                  <w:vAlign w:val="center"/>
                </w:tcPr>
                <w:p w14:paraId="0DCC8432">
                  <w:pPr>
                    <w:pStyle w:val="46"/>
                    <w:jc w:val="center"/>
                    <w:rPr>
                      <w:rFonts w:hint="default" w:ascii="Times New Roman" w:hAnsi="Times New Roman" w:cs="Times New Roman"/>
                      <w:color w:val="auto"/>
                      <w:sz w:val="21"/>
                      <w:szCs w:val="21"/>
                      <w:highlight w:val="none"/>
                    </w:rPr>
                  </w:pPr>
                </w:p>
              </w:tc>
              <w:tc>
                <w:tcPr>
                  <w:tcW w:w="1007" w:type="dxa"/>
                  <w:vMerge w:val="continue"/>
                  <w:vAlign w:val="center"/>
                </w:tcPr>
                <w:p w14:paraId="5BA9D8D3">
                  <w:pPr>
                    <w:pStyle w:val="46"/>
                    <w:jc w:val="center"/>
                    <w:rPr>
                      <w:rFonts w:hint="default" w:ascii="Times New Roman" w:hAnsi="Times New Roman" w:cs="Times New Roman"/>
                      <w:color w:val="auto"/>
                      <w:sz w:val="21"/>
                      <w:szCs w:val="21"/>
                      <w:highlight w:val="none"/>
                    </w:rPr>
                  </w:pPr>
                </w:p>
              </w:tc>
              <w:tc>
                <w:tcPr>
                  <w:tcW w:w="878" w:type="dxa"/>
                  <w:vAlign w:val="center"/>
                </w:tcPr>
                <w:p w14:paraId="38F7D3C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新水</w:t>
                  </w:r>
                </w:p>
              </w:tc>
              <w:tc>
                <w:tcPr>
                  <w:tcW w:w="1170" w:type="dxa"/>
                  <w:vAlign w:val="center"/>
                </w:tcPr>
                <w:p w14:paraId="0AA3F10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中水</w:t>
                  </w:r>
                </w:p>
              </w:tc>
              <w:tc>
                <w:tcPr>
                  <w:tcW w:w="970" w:type="dxa"/>
                  <w:vAlign w:val="center"/>
                </w:tcPr>
                <w:p w14:paraId="01BDB34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回用水</w:t>
                  </w:r>
                </w:p>
              </w:tc>
              <w:tc>
                <w:tcPr>
                  <w:tcW w:w="1168" w:type="dxa"/>
                  <w:vMerge w:val="continue"/>
                  <w:vAlign w:val="center"/>
                </w:tcPr>
                <w:p w14:paraId="510771D4">
                  <w:pPr>
                    <w:pStyle w:val="46"/>
                    <w:jc w:val="center"/>
                    <w:rPr>
                      <w:rFonts w:hint="default" w:ascii="Times New Roman" w:hAnsi="Times New Roman" w:cs="Times New Roman"/>
                      <w:color w:val="auto"/>
                      <w:sz w:val="21"/>
                      <w:szCs w:val="21"/>
                      <w:highlight w:val="none"/>
                    </w:rPr>
                  </w:pPr>
                </w:p>
              </w:tc>
              <w:tc>
                <w:tcPr>
                  <w:tcW w:w="987" w:type="dxa"/>
                  <w:vMerge w:val="continue"/>
                  <w:vAlign w:val="center"/>
                </w:tcPr>
                <w:p w14:paraId="0272D8A3">
                  <w:pPr>
                    <w:pStyle w:val="46"/>
                    <w:jc w:val="center"/>
                    <w:rPr>
                      <w:rFonts w:hint="default" w:ascii="Times New Roman" w:hAnsi="Times New Roman" w:cs="Times New Roman"/>
                      <w:color w:val="auto"/>
                      <w:sz w:val="21"/>
                      <w:szCs w:val="21"/>
                      <w:highlight w:val="none"/>
                    </w:rPr>
                  </w:pPr>
                </w:p>
              </w:tc>
            </w:tr>
            <w:tr w14:paraId="376752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72" w:type="dxa"/>
                  <w:vAlign w:val="center"/>
                </w:tcPr>
                <w:p w14:paraId="53C72CD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生产工艺</w:t>
                  </w:r>
                </w:p>
              </w:tc>
              <w:tc>
                <w:tcPr>
                  <w:tcW w:w="1007" w:type="dxa"/>
                  <w:vAlign w:val="center"/>
                </w:tcPr>
                <w:p w14:paraId="567E44D9">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300</w:t>
                  </w:r>
                </w:p>
              </w:tc>
              <w:tc>
                <w:tcPr>
                  <w:tcW w:w="878" w:type="dxa"/>
                  <w:vAlign w:val="center"/>
                </w:tcPr>
                <w:p w14:paraId="195259E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70" w:type="dxa"/>
                  <w:vAlign w:val="center"/>
                </w:tcPr>
                <w:p w14:paraId="2E814EA3">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296.8</w:t>
                  </w:r>
                </w:p>
              </w:tc>
              <w:tc>
                <w:tcPr>
                  <w:tcW w:w="970" w:type="dxa"/>
                  <w:vAlign w:val="center"/>
                </w:tcPr>
                <w:p w14:paraId="44A0DF46">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3.2</w:t>
                  </w:r>
                </w:p>
              </w:tc>
              <w:tc>
                <w:tcPr>
                  <w:tcW w:w="1168" w:type="dxa"/>
                  <w:vAlign w:val="center"/>
                </w:tcPr>
                <w:p w14:paraId="13D6E84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987" w:type="dxa"/>
                  <w:vAlign w:val="center"/>
                </w:tcPr>
                <w:p w14:paraId="22D8E9B4">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300</w:t>
                  </w:r>
                </w:p>
              </w:tc>
            </w:tr>
            <w:tr w14:paraId="0FA6D9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72" w:type="dxa"/>
                  <w:vAlign w:val="center"/>
                </w:tcPr>
                <w:p w14:paraId="6E7FFE7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设备清洗</w:t>
                  </w:r>
                </w:p>
              </w:tc>
              <w:tc>
                <w:tcPr>
                  <w:tcW w:w="1007" w:type="dxa"/>
                  <w:vAlign w:val="center"/>
                </w:tcPr>
                <w:p w14:paraId="11CC205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878" w:type="dxa"/>
                  <w:vAlign w:val="center"/>
                </w:tcPr>
                <w:p w14:paraId="797D6D3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70" w:type="dxa"/>
                  <w:vAlign w:val="center"/>
                </w:tcPr>
                <w:p w14:paraId="13E954F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970" w:type="dxa"/>
                  <w:vAlign w:val="center"/>
                </w:tcPr>
                <w:p w14:paraId="73DAC70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68" w:type="dxa"/>
                  <w:vAlign w:val="center"/>
                </w:tcPr>
                <w:p w14:paraId="5C28F95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w:t>
                  </w:r>
                </w:p>
              </w:tc>
              <w:tc>
                <w:tcPr>
                  <w:tcW w:w="987" w:type="dxa"/>
                  <w:vAlign w:val="center"/>
                </w:tcPr>
                <w:p w14:paraId="3C036DD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0.6</w:t>
                  </w:r>
                </w:p>
              </w:tc>
            </w:tr>
            <w:tr w14:paraId="5B5D27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72" w:type="dxa"/>
                  <w:vAlign w:val="center"/>
                </w:tcPr>
                <w:p w14:paraId="770B6F1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场地冲洗</w:t>
                  </w:r>
                </w:p>
              </w:tc>
              <w:tc>
                <w:tcPr>
                  <w:tcW w:w="1007" w:type="dxa"/>
                  <w:vAlign w:val="center"/>
                </w:tcPr>
                <w:p w14:paraId="4EDAC63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878" w:type="dxa"/>
                  <w:vAlign w:val="center"/>
                </w:tcPr>
                <w:p w14:paraId="54D1AF2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70" w:type="dxa"/>
                  <w:vAlign w:val="center"/>
                </w:tcPr>
                <w:p w14:paraId="0F52F57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970" w:type="dxa"/>
                  <w:vAlign w:val="center"/>
                </w:tcPr>
                <w:p w14:paraId="6609359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68" w:type="dxa"/>
                  <w:vAlign w:val="center"/>
                </w:tcPr>
                <w:p w14:paraId="0BE2FFE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0.8</w:t>
                  </w:r>
                </w:p>
              </w:tc>
              <w:tc>
                <w:tcPr>
                  <w:tcW w:w="987" w:type="dxa"/>
                  <w:vAlign w:val="center"/>
                </w:tcPr>
                <w:p w14:paraId="35B8DB2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w:t>
                  </w:r>
                </w:p>
              </w:tc>
            </w:tr>
            <w:tr w14:paraId="37D7A8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72" w:type="dxa"/>
                  <w:vAlign w:val="center"/>
                </w:tcPr>
                <w:p w14:paraId="2CEAF70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砂石库洒水</w:t>
                  </w:r>
                </w:p>
              </w:tc>
              <w:tc>
                <w:tcPr>
                  <w:tcW w:w="1007" w:type="dxa"/>
                  <w:vAlign w:val="center"/>
                </w:tcPr>
                <w:p w14:paraId="4CDA91AD">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878" w:type="dxa"/>
                  <w:vAlign w:val="center"/>
                </w:tcPr>
                <w:p w14:paraId="6B20879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70" w:type="dxa"/>
                  <w:vAlign w:val="center"/>
                </w:tcPr>
                <w:p w14:paraId="28DFAC83">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970" w:type="dxa"/>
                  <w:vAlign w:val="center"/>
                </w:tcPr>
                <w:p w14:paraId="536FAEC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68" w:type="dxa"/>
                  <w:vAlign w:val="center"/>
                </w:tcPr>
                <w:p w14:paraId="24FECE3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987" w:type="dxa"/>
                  <w:vAlign w:val="center"/>
                </w:tcPr>
                <w:p w14:paraId="5CDBB778">
                  <w:pPr>
                    <w:pStyle w:val="46"/>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r>
            <w:tr w14:paraId="6EBD07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72" w:type="dxa"/>
                  <w:vAlign w:val="center"/>
                </w:tcPr>
                <w:p w14:paraId="0967F82D">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洗砂机补</w:t>
                  </w:r>
                  <w:r>
                    <w:rPr>
                      <w:rFonts w:hint="default" w:ascii="Times New Roman" w:hAnsi="Times New Roman" w:cs="Times New Roman"/>
                      <w:color w:val="auto"/>
                      <w:sz w:val="21"/>
                      <w:szCs w:val="21"/>
                      <w:highlight w:val="none"/>
                      <w:lang w:val="en-US" w:eastAsia="zh-CN"/>
                    </w:rPr>
                    <w:t>水</w:t>
                  </w:r>
                </w:p>
              </w:tc>
              <w:tc>
                <w:tcPr>
                  <w:tcW w:w="1007" w:type="dxa"/>
                  <w:vAlign w:val="center"/>
                </w:tcPr>
                <w:p w14:paraId="39949F8C">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878" w:type="dxa"/>
                  <w:vAlign w:val="center"/>
                </w:tcPr>
                <w:p w14:paraId="339143D5">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170" w:type="dxa"/>
                  <w:vAlign w:val="center"/>
                </w:tcPr>
                <w:p w14:paraId="4C7F8D78">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970" w:type="dxa"/>
                  <w:vAlign w:val="center"/>
                </w:tcPr>
                <w:p w14:paraId="2D59E9DD">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168" w:type="dxa"/>
                  <w:vAlign w:val="center"/>
                </w:tcPr>
                <w:p w14:paraId="75A7BCB5">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987" w:type="dxa"/>
                  <w:vAlign w:val="center"/>
                </w:tcPr>
                <w:p w14:paraId="6393C921">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r>
            <w:tr w14:paraId="416161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72" w:type="dxa"/>
                  <w:vAlign w:val="center"/>
                </w:tcPr>
                <w:p w14:paraId="5250969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员工生活</w:t>
                  </w:r>
                </w:p>
              </w:tc>
              <w:tc>
                <w:tcPr>
                  <w:tcW w:w="1007" w:type="dxa"/>
                  <w:vAlign w:val="center"/>
                </w:tcPr>
                <w:p w14:paraId="1D1380A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w:t>
                  </w:r>
                </w:p>
              </w:tc>
              <w:tc>
                <w:tcPr>
                  <w:tcW w:w="878" w:type="dxa"/>
                  <w:vAlign w:val="center"/>
                </w:tcPr>
                <w:p w14:paraId="6BBA5FC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w:t>
                  </w:r>
                </w:p>
              </w:tc>
              <w:tc>
                <w:tcPr>
                  <w:tcW w:w="1170" w:type="dxa"/>
                  <w:vAlign w:val="center"/>
                </w:tcPr>
                <w:p w14:paraId="4754509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970" w:type="dxa"/>
                  <w:vAlign w:val="center"/>
                </w:tcPr>
                <w:p w14:paraId="263C4D6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68" w:type="dxa"/>
                  <w:vAlign w:val="center"/>
                </w:tcPr>
                <w:p w14:paraId="6612CB1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0.24</w:t>
                  </w:r>
                </w:p>
              </w:tc>
              <w:tc>
                <w:tcPr>
                  <w:tcW w:w="987" w:type="dxa"/>
                  <w:vAlign w:val="center"/>
                </w:tcPr>
                <w:p w14:paraId="0AB7F8C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0.06</w:t>
                  </w:r>
                </w:p>
              </w:tc>
            </w:tr>
            <w:tr w14:paraId="51133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72" w:type="dxa"/>
                  <w:vAlign w:val="center"/>
                </w:tcPr>
                <w:p w14:paraId="719B9E4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1007" w:type="dxa"/>
                  <w:vAlign w:val="center"/>
                </w:tcPr>
                <w:p w14:paraId="38A8D261">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311.3</w:t>
                  </w:r>
                </w:p>
              </w:tc>
              <w:tc>
                <w:tcPr>
                  <w:tcW w:w="878" w:type="dxa"/>
                  <w:vAlign w:val="center"/>
                </w:tcPr>
                <w:p w14:paraId="4DCA1E2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w:t>
                  </w:r>
                </w:p>
              </w:tc>
              <w:tc>
                <w:tcPr>
                  <w:tcW w:w="1170" w:type="dxa"/>
                  <w:vAlign w:val="center"/>
                </w:tcPr>
                <w:p w14:paraId="4BB82A1C">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308.1</w:t>
                  </w:r>
                </w:p>
              </w:tc>
              <w:tc>
                <w:tcPr>
                  <w:tcW w:w="970" w:type="dxa"/>
                  <w:vAlign w:val="center"/>
                </w:tcPr>
                <w:p w14:paraId="513724C3">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3.2</w:t>
                  </w:r>
                </w:p>
              </w:tc>
              <w:tc>
                <w:tcPr>
                  <w:tcW w:w="1168" w:type="dxa"/>
                  <w:vAlign w:val="center"/>
                </w:tcPr>
                <w:p w14:paraId="6943E23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3.44</w:t>
                  </w:r>
                </w:p>
              </w:tc>
              <w:tc>
                <w:tcPr>
                  <w:tcW w:w="987" w:type="dxa"/>
                  <w:vAlign w:val="center"/>
                </w:tcPr>
                <w:p w14:paraId="11B050E5">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307.86</w:t>
                  </w:r>
                </w:p>
              </w:tc>
            </w:tr>
          </w:tbl>
          <w:p w14:paraId="02FE0CC7">
            <w:pPr>
              <w:pStyle w:val="27"/>
              <w:rPr>
                <w:rFonts w:hint="default" w:ascii="Times New Roman" w:hAnsi="Times New Roman" w:cs="Times New Roman"/>
                <w:color w:val="auto"/>
                <w:highlight w:val="none"/>
                <w:lang w:eastAsia="zh-CN"/>
              </w:rPr>
            </w:pPr>
            <w:r>
              <w:rPr>
                <w:color w:val="auto"/>
                <w:sz w:val="21"/>
              </w:rPr>
              <mc:AlternateContent>
                <mc:Choice Requires="wpg">
                  <w:drawing>
                    <wp:anchor distT="0" distB="0" distL="114300" distR="114300" simplePos="0" relativeHeight="251676672" behindDoc="0" locked="0" layoutInCell="1" allowOverlap="1">
                      <wp:simplePos x="0" y="0"/>
                      <wp:positionH relativeFrom="column">
                        <wp:posOffset>545465</wp:posOffset>
                      </wp:positionH>
                      <wp:positionV relativeFrom="paragraph">
                        <wp:posOffset>24765</wp:posOffset>
                      </wp:positionV>
                      <wp:extent cx="3065780" cy="2920365"/>
                      <wp:effectExtent l="0" t="0" r="1270" b="13335"/>
                      <wp:wrapNone/>
                      <wp:docPr id="70" name="组合 70"/>
                      <wp:cNvGraphicFramePr/>
                      <a:graphic xmlns:a="http://schemas.openxmlformats.org/drawingml/2006/main">
                        <a:graphicData uri="http://schemas.microsoft.com/office/word/2010/wordprocessingGroup">
                          <wpg:wgp>
                            <wpg:cNvGrpSpPr/>
                            <wpg:grpSpPr>
                              <a:xfrm>
                                <a:off x="0" y="0"/>
                                <a:ext cx="3065780" cy="2920365"/>
                                <a:chOff x="4154" y="224355"/>
                                <a:chExt cx="4828" cy="4599"/>
                              </a:xfrm>
                            </wpg:grpSpPr>
                            <wpg:grpSp>
                              <wpg:cNvPr id="43" name="组合 43"/>
                              <wpg:cNvGrpSpPr/>
                              <wpg:grpSpPr>
                                <a:xfrm rot="0">
                                  <a:off x="4154" y="226300"/>
                                  <a:ext cx="3972" cy="2655"/>
                                  <a:chOff x="11354" y="226300"/>
                                  <a:chExt cx="3972" cy="2655"/>
                                </a:xfrm>
                              </wpg:grpSpPr>
                              <wpg:grpSp>
                                <wpg:cNvPr id="21" name="组合 21"/>
                                <wpg:cNvGrpSpPr/>
                                <wpg:grpSpPr>
                                  <a:xfrm>
                                    <a:off x="11354" y="226300"/>
                                    <a:ext cx="3972" cy="2655"/>
                                    <a:chOff x="3768" y="226283"/>
                                    <a:chExt cx="3972" cy="2655"/>
                                  </a:xfrm>
                                </wpg:grpSpPr>
                                <wps:wsp>
                                  <wps:cNvPr id="19" name="文本框 19"/>
                                  <wps:cNvSpPr txBox="1"/>
                                  <wps:spPr>
                                    <a:xfrm>
                                      <a:off x="4756" y="228098"/>
                                      <a:ext cx="2984" cy="8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EBC1152"/>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 name="文本框 20"/>
                                  <wps:cNvSpPr txBox="1"/>
                                  <wps:spPr>
                                    <a:xfrm>
                                      <a:off x="3768" y="226283"/>
                                      <a:ext cx="944" cy="50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B1A83BB">
                                        <w:pPr>
                                          <w:ind w:left="0" w:leftChars="0" w:firstLine="0" w:firstLineChars="0"/>
                                          <w:rPr>
                                            <w:rFonts w:hint="default" w:eastAsia="宋体"/>
                                            <w:sz w:val="21"/>
                                            <w:szCs w:val="20"/>
                                            <w:lang w:val="en-US" w:eastAsia="zh-CN"/>
                                          </w:rPr>
                                        </w:pPr>
                                        <w:r>
                                          <w:rPr>
                                            <w:rFonts w:hint="eastAsia"/>
                                            <w:sz w:val="21"/>
                                            <w:szCs w:val="20"/>
                                            <w:lang w:val="en-US" w:eastAsia="zh-CN"/>
                                          </w:rPr>
                                          <w:t>308.1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7" name="文本框 27"/>
                                <wps:cNvSpPr txBox="1"/>
                                <wps:spPr>
                                  <a:xfrm>
                                    <a:off x="12403" y="227215"/>
                                    <a:ext cx="825" cy="50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AF461C7">
                                      <w:pPr>
                                        <w:ind w:left="0" w:leftChars="0" w:firstLine="0" w:firstLineChars="0"/>
                                        <w:jc w:val="center"/>
                                        <w:rPr>
                                          <w:rFonts w:hint="default" w:eastAsia="宋体"/>
                                          <w:sz w:val="21"/>
                                          <w:szCs w:val="20"/>
                                          <w:lang w:val="en-US" w:eastAsia="zh-CN"/>
                                        </w:rPr>
                                      </w:pPr>
                                      <w:r>
                                        <w:rPr>
                                          <w:rFonts w:hint="eastAsia"/>
                                          <w:sz w:val="21"/>
                                          <w:szCs w:val="20"/>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 name="文本框 29"/>
                                <wps:cNvSpPr txBox="1"/>
                                <wps:spPr>
                                  <a:xfrm>
                                    <a:off x="14158" y="227137"/>
                                    <a:ext cx="825" cy="377"/>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A050252">
                                      <w:pPr>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eastAsia="宋体"/>
                                          <w:b w:val="0"/>
                                          <w:bCs w:val="0"/>
                                          <w:sz w:val="21"/>
                                          <w:szCs w:val="20"/>
                                          <w:lang w:val="en-US" w:eastAsia="zh-CN"/>
                                        </w:rPr>
                                      </w:pPr>
                                      <w:r>
                                        <w:rPr>
                                          <w:rFonts w:hint="eastAsia"/>
                                          <w:b w:val="0"/>
                                          <w:bCs w:val="0"/>
                                          <w:sz w:val="21"/>
                                          <w:szCs w:val="20"/>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44" name="文本框 44"/>
                              <wps:cNvSpPr txBox="1"/>
                              <wps:spPr>
                                <a:xfrm>
                                  <a:off x="5143" y="224653"/>
                                  <a:ext cx="825" cy="50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0DBB2F6">
                                    <w:pPr>
                                      <w:ind w:left="0" w:leftChars="0" w:firstLine="0" w:firstLineChars="0"/>
                                      <w:jc w:val="center"/>
                                      <w:rPr>
                                        <w:rFonts w:hint="default" w:eastAsia="宋体"/>
                                        <w:sz w:val="21"/>
                                        <w:szCs w:val="20"/>
                                        <w:lang w:val="en-US" w:eastAsia="zh-CN"/>
                                      </w:rPr>
                                    </w:pPr>
                                    <w:r>
                                      <w:rPr>
                                        <w:rFonts w:hint="eastAsia"/>
                                        <w:sz w:val="21"/>
                                        <w:szCs w:val="20"/>
                                        <w:lang w:val="en-US" w:eastAsia="zh-CN"/>
                                      </w:rPr>
                                      <w:t>296.8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9" name="文本框 59"/>
                              <wps:cNvSpPr txBox="1"/>
                              <wps:spPr>
                                <a:xfrm>
                                  <a:off x="6448" y="224355"/>
                                  <a:ext cx="825" cy="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6DED4EE">
                                    <w:pPr>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eastAsia="宋体"/>
                                        <w:sz w:val="21"/>
                                        <w:szCs w:val="20"/>
                                        <w:lang w:val="en-US" w:eastAsia="zh-CN"/>
                                      </w:rPr>
                                    </w:pPr>
                                    <w:r>
                                      <w:rPr>
                                        <w:rFonts w:hint="eastAsia"/>
                                        <w:sz w:val="21"/>
                                        <w:szCs w:val="20"/>
                                        <w:lang w:val="en-US" w:eastAsia="zh-CN"/>
                                      </w:rPr>
                                      <w:t>300</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9" name="文本框 69"/>
                              <wps:cNvSpPr txBox="1"/>
                              <wps:spPr>
                                <a:xfrm>
                                  <a:off x="8158" y="224653"/>
                                  <a:ext cx="825" cy="50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AB1FBEA">
                                    <w:pPr>
                                      <w:ind w:left="0" w:leftChars="0" w:firstLine="0" w:firstLineChars="0"/>
                                      <w:jc w:val="center"/>
                                      <w:rPr>
                                        <w:rFonts w:hint="default" w:eastAsia="宋体"/>
                                        <w:sz w:val="21"/>
                                        <w:szCs w:val="20"/>
                                        <w:lang w:val="en-US" w:eastAsia="zh-CN"/>
                                      </w:rPr>
                                    </w:pPr>
                                    <w:r>
                                      <w:rPr>
                                        <w:rFonts w:hint="eastAsia"/>
                                        <w:sz w:val="21"/>
                                        <w:szCs w:val="20"/>
                                        <w:lang w:val="en-US" w:eastAsia="zh-CN"/>
                                      </w:rPr>
                                      <w:t>3.2</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2.95pt;margin-top:1.95pt;height:229.95pt;width:241.4pt;z-index:251676672;mso-width-relative:page;mso-height-relative:page;" coordorigin="4154,224355" coordsize="4828,4599" o:gfxdata="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">
                      <o:lock v:ext="edit" aspectratio="f"/>
                      <v:group id="_x0000_s1026" o:spid="_x0000_s1026" o:spt="203" style="position:absolute;left:4154;top:226300;height:2655;width:3972;" coordorigin="11354,226300" coordsize="3972,2655"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11354;top:226300;height:2655;width:3972;" coordorigin="3768,226283" coordsize="3972,2655"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4756;top:228098;height:840;width:2984;" fillcolor="#FFFFFF [3201]" filled="t" stroked="f" coordsize="21600,21600" o:gfxdata="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6ooDK7UAAADb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14:paraId="5EBC1152"/>
                              </w:txbxContent>
                            </v:textbox>
                          </v:shape>
                          <v:shape id="_x0000_s1026" o:spid="_x0000_s1026" o:spt="202" type="#_x0000_t202" style="position:absolute;left:3768;top:226283;height:509;width:944;" fillcolor="#FFFFFF [3201]" filled="t" stroked="f" coordsize="21600,21600" o:gfxdata="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LXcYAuzAAAA2wAAAA8AAAAA&#10;AAAAAQAgAAAAIgAAAGRycy9kb3ducmV2LnhtbFBLAQIUABQAAAAIAIdO4kAzLwWeOwAAADkAAAAQ&#10;AAAAAAAAAAEAIAAAAAIBAABkcnMvc2hhcGV4bWwueG1sUEsFBgAAAAAGAAYAWwEAAKwDAAAAAA==&#10;">
                            <v:fill on="t" focussize="0,0"/>
                            <v:stroke on="f" weight="0.5pt"/>
                            <v:imagedata o:title=""/>
                            <o:lock v:ext="edit" aspectratio="f"/>
                            <v:textbox>
                              <w:txbxContent>
                                <w:p w14:paraId="6B1A83BB">
                                  <w:pPr>
                                    <w:ind w:left="0" w:leftChars="0" w:firstLine="0" w:firstLineChars="0"/>
                                    <w:rPr>
                                      <w:rFonts w:hint="default" w:eastAsia="宋体"/>
                                      <w:sz w:val="21"/>
                                      <w:szCs w:val="20"/>
                                      <w:lang w:val="en-US" w:eastAsia="zh-CN"/>
                                    </w:rPr>
                                  </w:pPr>
                                  <w:r>
                                    <w:rPr>
                                      <w:rFonts w:hint="eastAsia"/>
                                      <w:sz w:val="21"/>
                                      <w:szCs w:val="20"/>
                                      <w:lang w:val="en-US" w:eastAsia="zh-CN"/>
                                    </w:rPr>
                                    <w:t>308.1</w:t>
                                  </w:r>
                                </w:p>
                              </w:txbxContent>
                            </v:textbox>
                          </v:shape>
                        </v:group>
                        <v:shape id="_x0000_s1026" o:spid="_x0000_s1026" o:spt="202" type="#_x0000_t202" style="position:absolute;left:12403;top:227215;height:509;width:825;" fillcolor="#FFFFFF [3201]" filled="t" stroked="f" coordsize="21600,21600" o:gfxdata="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o1+H+8AAAA&#10;2wAAAA8AAAAAAAAAAQAgAAAAIgAAAGRycy9kb3ducmV2LnhtbFBLAQIUABQAAAAIAIdO4kAzLwWe&#10;OwAAADkAAAAQAAAAAAAAAAEAIAAAAAsBAABkcnMvc2hhcGV4bWwueG1sUEsFBgAAAAAGAAYAWwEA&#10;ALUDAAAAAA==&#10;">
                          <v:fill on="t" focussize="0,0"/>
                          <v:stroke on="f" weight="0.5pt"/>
                          <v:imagedata o:title=""/>
                          <o:lock v:ext="edit" aspectratio="f"/>
                          <v:textbox>
                            <w:txbxContent>
                              <w:p w14:paraId="5AF461C7">
                                <w:pPr>
                                  <w:ind w:left="0" w:leftChars="0" w:firstLine="0" w:firstLineChars="0"/>
                                  <w:jc w:val="center"/>
                                  <w:rPr>
                                    <w:rFonts w:hint="default" w:eastAsia="宋体"/>
                                    <w:sz w:val="21"/>
                                    <w:szCs w:val="20"/>
                                    <w:lang w:val="en-US" w:eastAsia="zh-CN"/>
                                  </w:rPr>
                                </w:pPr>
                                <w:r>
                                  <w:rPr>
                                    <w:rFonts w:hint="eastAsia"/>
                                    <w:sz w:val="21"/>
                                    <w:szCs w:val="20"/>
                                    <w:lang w:val="en-US" w:eastAsia="zh-CN"/>
                                  </w:rPr>
                                  <w:t>2</w:t>
                                </w:r>
                              </w:p>
                            </w:txbxContent>
                          </v:textbox>
                        </v:shape>
                        <v:shape id="_x0000_s1026" o:spid="_x0000_s1026" o:spt="202" type="#_x0000_t202" style="position:absolute;left:14158;top:227137;height:377;width:825;" fillcolor="#FFFFFF [3201]" filled="t" stroked="f" coordsize="21600,21600" o:gfxdata="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TmyZa8AAAA&#10;2wAAAA8AAAAAAAAAAQAgAAAAIgAAAGRycy9kb3ducmV2LnhtbFBLAQIUABQAAAAIAIdO4kAzLwWe&#10;OwAAADkAAAAQAAAAAAAAAAEAIAAAAAsBAABkcnMvc2hhcGV4bWwueG1sUEsFBgAAAAAGAAYAWwEA&#10;ALUDAAAAAA==&#10;">
                          <v:fill on="t" focussize="0,0"/>
                          <v:stroke on="f" weight="0.5pt"/>
                          <v:imagedata o:title=""/>
                          <o:lock v:ext="edit" aspectratio="f"/>
                          <v:textbox>
                            <w:txbxContent>
                              <w:p w14:paraId="4A050252">
                                <w:pPr>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eastAsia="宋体"/>
                                    <w:b w:val="0"/>
                                    <w:bCs w:val="0"/>
                                    <w:sz w:val="21"/>
                                    <w:szCs w:val="20"/>
                                    <w:lang w:val="en-US" w:eastAsia="zh-CN"/>
                                  </w:rPr>
                                </w:pPr>
                                <w:r>
                                  <w:rPr>
                                    <w:rFonts w:hint="eastAsia"/>
                                    <w:b w:val="0"/>
                                    <w:bCs w:val="0"/>
                                    <w:sz w:val="21"/>
                                    <w:szCs w:val="20"/>
                                    <w:lang w:val="en-US" w:eastAsia="zh-CN"/>
                                  </w:rPr>
                                  <w:t>2</w:t>
                                </w:r>
                              </w:p>
                            </w:txbxContent>
                          </v:textbox>
                        </v:shape>
                      </v:group>
                      <v:shape id="_x0000_s1026" o:spid="_x0000_s1026" o:spt="202" type="#_x0000_t202" style="position:absolute;left:5143;top:224653;height:509;width:825;" fillcolor="#FFFFFF [3201]" filled="t" stroked="f" coordsize="21600,21600" o:gfxdata="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ziDqLgAAADbAAAA&#10;DwAAAAAAAAABACAAAAAiAAAAZHJzL2Rvd25yZXYueG1sUEsBAhQAFAAAAAgAh07iQDMvBZ47AAAA&#10;OQAAABAAAAAAAAAAAQAgAAAABwEAAGRycy9zaGFwZXhtbC54bWxQSwUGAAAAAAYABgBbAQAAsQMA&#10;AAAA&#10;">
                        <v:fill on="t" focussize="0,0"/>
                        <v:stroke on="f" weight="0.5pt"/>
                        <v:imagedata o:title=""/>
                        <o:lock v:ext="edit" aspectratio="f"/>
                        <v:textbox>
                          <w:txbxContent>
                            <w:p w14:paraId="40DBB2F6">
                              <w:pPr>
                                <w:ind w:left="0" w:leftChars="0" w:firstLine="0" w:firstLineChars="0"/>
                                <w:jc w:val="center"/>
                                <w:rPr>
                                  <w:rFonts w:hint="default" w:eastAsia="宋体"/>
                                  <w:sz w:val="21"/>
                                  <w:szCs w:val="20"/>
                                  <w:lang w:val="en-US" w:eastAsia="zh-CN"/>
                                </w:rPr>
                              </w:pPr>
                              <w:r>
                                <w:rPr>
                                  <w:rFonts w:hint="eastAsia"/>
                                  <w:sz w:val="21"/>
                                  <w:szCs w:val="20"/>
                                  <w:lang w:val="en-US" w:eastAsia="zh-CN"/>
                                </w:rPr>
                                <w:t>296.8</w:t>
                              </w:r>
                            </w:p>
                          </w:txbxContent>
                        </v:textbox>
                      </v:shape>
                      <v:shape id="_x0000_s1026" o:spid="_x0000_s1026" o:spt="202" type="#_x0000_t202" style="position:absolute;left:6448;top:224355;height:435;width:825;" fillcolor="#FFFFFF [3201]" filled="t" stroked="f" coordsize="21600,21600" o:gfxdata="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OC667sAAADb&#10;AAAADwAAAAAAAAABACAAAAAiAAAAZHJzL2Rvd25yZXYueG1sUEsBAhQAFAAAAAgAh07iQDMvBZ47&#10;AAAAOQAAABAAAAAAAAAAAQAgAAAACgEAAGRycy9zaGFwZXhtbC54bWxQSwUGAAAAAAYABgBbAQAA&#10;tAMAAAAA&#10;">
                        <v:fill on="t" focussize="0,0"/>
                        <v:stroke on="f" weight="0.5pt"/>
                        <v:imagedata o:title=""/>
                        <o:lock v:ext="edit" aspectratio="f"/>
                        <v:textbox>
                          <w:txbxContent>
                            <w:p w14:paraId="76DED4EE">
                              <w:pPr>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eastAsia="宋体"/>
                                  <w:sz w:val="21"/>
                                  <w:szCs w:val="20"/>
                                  <w:lang w:val="en-US" w:eastAsia="zh-CN"/>
                                </w:rPr>
                              </w:pPr>
                              <w:r>
                                <w:rPr>
                                  <w:rFonts w:hint="eastAsia"/>
                                  <w:sz w:val="21"/>
                                  <w:szCs w:val="20"/>
                                  <w:lang w:val="en-US" w:eastAsia="zh-CN"/>
                                </w:rPr>
                                <w:t>300</w:t>
                              </w:r>
                            </w:p>
                          </w:txbxContent>
                        </v:textbox>
                      </v:shape>
                      <v:shape id="_x0000_s1026" o:spid="_x0000_s1026" o:spt="202" type="#_x0000_t202" style="position:absolute;left:8158;top:224653;height:509;width:825;" fillcolor="#FFFFFF [3201]" filled="t" stroked="f" coordsize="21600,21600" o:gfxdata="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McFa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14:paraId="6AB1FBEA">
                              <w:pPr>
                                <w:ind w:left="0" w:leftChars="0" w:firstLine="0" w:firstLineChars="0"/>
                                <w:jc w:val="center"/>
                                <w:rPr>
                                  <w:rFonts w:hint="default" w:eastAsia="宋体"/>
                                  <w:sz w:val="21"/>
                                  <w:szCs w:val="20"/>
                                  <w:lang w:val="en-US" w:eastAsia="zh-CN"/>
                                </w:rPr>
                              </w:pPr>
                              <w:r>
                                <w:rPr>
                                  <w:rFonts w:hint="eastAsia"/>
                                  <w:sz w:val="21"/>
                                  <w:szCs w:val="20"/>
                                  <w:lang w:val="en-US" w:eastAsia="zh-CN"/>
                                </w:rPr>
                                <w:t>3.2</w:t>
                              </w:r>
                            </w:p>
                          </w:txbxContent>
                        </v:textbox>
                      </v:shape>
                    </v:group>
                  </w:pict>
                </mc:Fallback>
              </mc:AlternateContent>
            </w:r>
            <w:r>
              <w:rPr>
                <w:rFonts w:hint="default" w:ascii="Times New Roman" w:hAnsi="Times New Roman" w:cs="Times New Roman"/>
                <w:color w:val="auto"/>
                <w:highlight w:val="none"/>
              </w:rPr>
              <w:pict>
                <v:shape id="_x0000_s2052" o:spid="_x0000_s2052" o:spt="75" type="#_x0000_t75" style="position:absolute;left:0pt;margin-left:25.3pt;margin-top:4.15pt;height:317.9pt;width:324.1pt;z-index:251670528;mso-width-relative:page;mso-height-relative:page;" o:ole="t" filled="f" o:preferrelative="t" stroked="f" coordsize="21600,21600">
                  <v:path/>
                  <v:fill on="f" focussize="0,0"/>
                  <v:stroke on="f"/>
                  <v:imagedata r:id="rId14" o:title=""/>
                  <o:lock v:ext="edit" aspectratio="f"/>
                </v:shape>
                <o:OLEObject Type="Embed" ProgID="Visio.Drawing.11" ShapeID="_x0000_s2052" DrawAspect="Content" ObjectID="_1468075725" r:id="rId13">
                  <o:LockedField>false</o:LockedField>
                </o:OLEObject>
              </w:pict>
            </w:r>
          </w:p>
          <w:p w14:paraId="5F81E779">
            <w:pPr>
              <w:pStyle w:val="27"/>
              <w:rPr>
                <w:rFonts w:hint="default" w:ascii="Times New Roman" w:hAnsi="Times New Roman" w:cs="Times New Roman"/>
                <w:color w:val="auto"/>
                <w:highlight w:val="none"/>
                <w:lang w:eastAsia="zh-CN"/>
              </w:rPr>
            </w:pPr>
          </w:p>
          <w:p w14:paraId="781BE62C">
            <w:pPr>
              <w:pStyle w:val="27"/>
              <w:rPr>
                <w:rFonts w:hint="default" w:ascii="Times New Roman" w:hAnsi="Times New Roman" w:cs="Times New Roman"/>
                <w:color w:val="auto"/>
                <w:highlight w:val="none"/>
                <w:lang w:eastAsia="zh-CN"/>
              </w:rPr>
            </w:pPr>
          </w:p>
          <w:p w14:paraId="75305350">
            <w:pPr>
              <w:pStyle w:val="27"/>
              <w:rPr>
                <w:rFonts w:hint="default" w:ascii="Times New Roman" w:hAnsi="Times New Roman" w:cs="Times New Roman"/>
                <w:color w:val="auto"/>
                <w:highlight w:val="none"/>
                <w:lang w:eastAsia="zh-CN"/>
              </w:rPr>
            </w:pPr>
          </w:p>
          <w:p w14:paraId="073D3919">
            <w:pPr>
              <w:pStyle w:val="27"/>
              <w:rPr>
                <w:rFonts w:hint="default" w:ascii="Times New Roman" w:hAnsi="Times New Roman" w:cs="Times New Roman"/>
                <w:color w:val="auto"/>
                <w:highlight w:val="none"/>
                <w:lang w:eastAsia="zh-CN"/>
              </w:rPr>
            </w:pPr>
          </w:p>
          <w:p w14:paraId="4A4124B7">
            <w:pPr>
              <w:pStyle w:val="27"/>
              <w:rPr>
                <w:rFonts w:hint="default" w:ascii="Times New Roman" w:hAnsi="Times New Roman" w:cs="Times New Roman"/>
                <w:color w:val="auto"/>
                <w:highlight w:val="none"/>
                <w:lang w:eastAsia="zh-CN"/>
              </w:rPr>
            </w:pPr>
          </w:p>
          <w:p w14:paraId="7C716FDF">
            <w:pPr>
              <w:pStyle w:val="27"/>
              <w:rPr>
                <w:rFonts w:hint="default" w:ascii="Times New Roman" w:hAnsi="Times New Roman" w:cs="Times New Roman"/>
                <w:color w:val="auto"/>
                <w:highlight w:val="none"/>
                <w:lang w:eastAsia="zh-CN"/>
              </w:rPr>
            </w:pPr>
          </w:p>
          <w:p w14:paraId="5ED77691">
            <w:pPr>
              <w:pStyle w:val="27"/>
              <w:rPr>
                <w:rFonts w:hint="default" w:ascii="Times New Roman" w:hAnsi="Times New Roman" w:cs="Times New Roman"/>
                <w:color w:val="auto"/>
                <w:highlight w:val="none"/>
                <w:lang w:eastAsia="zh-CN"/>
              </w:rPr>
            </w:pPr>
          </w:p>
          <w:p w14:paraId="205C92F5">
            <w:pPr>
              <w:pStyle w:val="27"/>
              <w:rPr>
                <w:rFonts w:hint="default" w:ascii="Times New Roman" w:hAnsi="Times New Roman" w:cs="Times New Roman"/>
                <w:color w:val="auto"/>
                <w:highlight w:val="none"/>
                <w:lang w:eastAsia="zh-CN"/>
              </w:rPr>
            </w:pPr>
          </w:p>
          <w:p w14:paraId="41E5ADF8">
            <w:pPr>
              <w:pStyle w:val="27"/>
              <w:rPr>
                <w:rFonts w:hint="default" w:ascii="Times New Roman" w:hAnsi="Times New Roman" w:cs="Times New Roman"/>
                <w:color w:val="auto"/>
                <w:highlight w:val="none"/>
                <w:lang w:eastAsia="zh-CN"/>
              </w:rPr>
            </w:pPr>
          </w:p>
          <w:p w14:paraId="56892B4D">
            <w:pPr>
              <w:pStyle w:val="27"/>
              <w:rPr>
                <w:rFonts w:hint="default" w:ascii="Times New Roman" w:hAnsi="Times New Roman" w:cs="Times New Roman"/>
                <w:color w:val="auto"/>
                <w:highlight w:val="none"/>
                <w:lang w:eastAsia="zh-CN"/>
              </w:rPr>
            </w:pPr>
          </w:p>
          <w:p w14:paraId="003958D6">
            <w:pPr>
              <w:pStyle w:val="27"/>
              <w:rPr>
                <w:rFonts w:hint="default" w:ascii="Times New Roman" w:hAnsi="Times New Roman" w:cs="Times New Roman"/>
                <w:color w:val="auto"/>
                <w:highlight w:val="none"/>
                <w:lang w:eastAsia="zh-CN"/>
              </w:rPr>
            </w:pPr>
          </w:p>
          <w:p w14:paraId="24BF919A">
            <w:pPr>
              <w:pStyle w:val="27"/>
              <w:rPr>
                <w:rFonts w:hint="default" w:ascii="Times New Roman" w:hAnsi="Times New Roman" w:cs="Times New Roman"/>
                <w:color w:val="auto"/>
                <w:highlight w:val="none"/>
                <w:lang w:eastAsia="zh-CN"/>
              </w:rPr>
            </w:pPr>
          </w:p>
          <w:p w14:paraId="11CB7AEA">
            <w:pPr>
              <w:pStyle w:val="27"/>
              <w:rPr>
                <w:rFonts w:hint="default" w:ascii="Times New Roman" w:hAnsi="Times New Roman" w:cs="Times New Roman"/>
                <w:color w:val="auto"/>
                <w:highlight w:val="none"/>
                <w:lang w:eastAsia="zh-CN"/>
              </w:rPr>
            </w:pPr>
          </w:p>
          <w:p w14:paraId="11D36526">
            <w:pPr>
              <w:pStyle w:val="27"/>
              <w:rPr>
                <w:rFonts w:hint="default" w:ascii="Times New Roman" w:hAnsi="Times New Roman" w:cs="Times New Roman"/>
                <w:color w:val="auto"/>
                <w:highlight w:val="none"/>
                <w:lang w:eastAsia="zh-CN"/>
              </w:rPr>
            </w:pPr>
          </w:p>
          <w:p w14:paraId="1D5FEC79">
            <w:pPr>
              <w:pStyle w:val="27"/>
              <w:rPr>
                <w:rFonts w:hint="default" w:ascii="Times New Roman" w:hAnsi="Times New Roman" w:cs="Times New Roman"/>
                <w:color w:val="auto"/>
                <w:highlight w:val="none"/>
                <w:lang w:eastAsia="zh-CN"/>
              </w:rPr>
            </w:pPr>
          </w:p>
          <w:p w14:paraId="65387046">
            <w:pPr>
              <w:pStyle w:val="27"/>
              <w:rPr>
                <w:rFonts w:hint="default" w:ascii="Times New Roman" w:hAnsi="Times New Roman" w:cs="Times New Roman"/>
                <w:color w:val="auto"/>
                <w:highlight w:val="none"/>
                <w:lang w:eastAsia="zh-CN"/>
              </w:rPr>
            </w:pPr>
          </w:p>
          <w:p w14:paraId="13A51E00">
            <w:pPr>
              <w:pStyle w:val="27"/>
              <w:rPr>
                <w:rFonts w:hint="default" w:ascii="Times New Roman" w:hAnsi="Times New Roman" w:cs="Times New Roman"/>
                <w:color w:val="auto"/>
                <w:highlight w:val="none"/>
                <w:lang w:eastAsia="zh-CN"/>
              </w:rPr>
            </w:pPr>
          </w:p>
          <w:p w14:paraId="35815903">
            <w:pPr>
              <w:pStyle w:val="27"/>
              <w:rPr>
                <w:rFonts w:hint="default" w:ascii="Times New Roman" w:hAnsi="Times New Roman" w:cs="Times New Roman"/>
                <w:color w:val="auto"/>
                <w:highlight w:val="none"/>
                <w:lang w:eastAsia="zh-CN"/>
              </w:rPr>
            </w:pPr>
          </w:p>
          <w:p w14:paraId="63E52580">
            <w:pPr>
              <w:pStyle w:val="27"/>
              <w:rPr>
                <w:rFonts w:hint="default" w:ascii="Times New Roman" w:hAnsi="Times New Roman" w:cs="Times New Roman"/>
                <w:color w:val="auto"/>
                <w:highlight w:val="none"/>
                <w:lang w:eastAsia="zh-CN"/>
              </w:rPr>
            </w:pPr>
          </w:p>
          <w:p w14:paraId="3A5089DB">
            <w:pPr>
              <w:pStyle w:val="27"/>
              <w:rPr>
                <w:rFonts w:hint="default" w:ascii="Times New Roman" w:hAnsi="Times New Roman" w:cs="Times New Roman"/>
                <w:color w:val="auto"/>
                <w:highlight w:val="none"/>
                <w:lang w:eastAsia="zh-CN"/>
              </w:rPr>
            </w:pPr>
          </w:p>
          <w:p w14:paraId="155C3176">
            <w:pPr>
              <w:pStyle w:val="27"/>
              <w:rPr>
                <w:rFonts w:hint="default" w:ascii="Times New Roman" w:hAnsi="Times New Roman" w:cs="Times New Roman"/>
                <w:color w:val="auto"/>
                <w:highlight w:val="none"/>
                <w:lang w:eastAsia="zh-CN"/>
              </w:rPr>
            </w:pPr>
          </w:p>
          <w:p w14:paraId="2E8473C2">
            <w:pPr>
              <w:pStyle w:val="27"/>
              <w:rPr>
                <w:rFonts w:hint="default" w:ascii="Times New Roman" w:hAnsi="Times New Roman" w:cs="Times New Roman"/>
                <w:color w:val="auto"/>
                <w:highlight w:val="none"/>
              </w:rPr>
            </w:pPr>
            <w:r>
              <w:rPr>
                <w:rStyle w:val="48"/>
                <w:rFonts w:hint="default" w:ascii="Times New Roman" w:hAnsi="Times New Roman" w:cs="Times New Roman"/>
                <w:b/>
                <w:color w:val="auto"/>
                <w:highlight w:val="none"/>
              </w:rPr>
              <w:t>图2-</w:t>
            </w:r>
            <w:r>
              <w:rPr>
                <w:rStyle w:val="48"/>
                <w:rFonts w:hint="default" w:ascii="Times New Roman" w:hAnsi="Times New Roman" w:cs="Times New Roman"/>
                <w:b/>
                <w:color w:val="auto"/>
                <w:highlight w:val="none"/>
                <w:lang w:val="en-US" w:eastAsia="zh-CN"/>
              </w:rPr>
              <w:t xml:space="preserve">1    </w:t>
            </w:r>
            <w:r>
              <w:rPr>
                <w:rStyle w:val="48"/>
                <w:rFonts w:hint="default" w:ascii="Times New Roman" w:hAnsi="Times New Roman" w:cs="Times New Roman"/>
                <w:b/>
                <w:color w:val="auto"/>
                <w:highlight w:val="none"/>
              </w:rPr>
              <w:t>项目水平衡图</w:t>
            </w:r>
            <w:r>
              <w:rPr>
                <w:rStyle w:val="48"/>
                <w:rFonts w:hint="default" w:ascii="Times New Roman" w:hAnsi="Times New Roman" w:cs="Times New Roman"/>
                <w:b/>
                <w:color w:val="auto"/>
                <w:highlight w:val="none"/>
                <w:lang w:eastAsia="zh-CN"/>
              </w:rPr>
              <w:t>（</w:t>
            </w:r>
            <w:r>
              <w:rPr>
                <w:rStyle w:val="48"/>
                <w:rFonts w:hint="default" w:ascii="Times New Roman" w:hAnsi="Times New Roman" w:cs="Times New Roman"/>
                <w:b/>
                <w:color w:val="auto"/>
                <w:highlight w:val="none"/>
              </w:rPr>
              <w:t>单位：m</w:t>
            </w:r>
            <w:r>
              <w:rPr>
                <w:rStyle w:val="48"/>
                <w:rFonts w:hint="default" w:ascii="Times New Roman" w:hAnsi="Times New Roman" w:cs="Times New Roman"/>
                <w:b/>
                <w:color w:val="auto"/>
                <w:highlight w:val="none"/>
                <w:vertAlign w:val="superscript"/>
              </w:rPr>
              <w:t>3</w:t>
            </w:r>
            <w:r>
              <w:rPr>
                <w:rStyle w:val="48"/>
                <w:rFonts w:hint="default" w:ascii="Times New Roman" w:hAnsi="Times New Roman" w:cs="Times New Roman"/>
                <w:b/>
                <w:color w:val="auto"/>
                <w:highlight w:val="none"/>
              </w:rPr>
              <w:t>/d</w:t>
            </w:r>
            <w:r>
              <w:rPr>
                <w:rStyle w:val="48"/>
                <w:rFonts w:hint="default" w:ascii="Times New Roman" w:hAnsi="Times New Roman" w:cs="Times New Roman"/>
                <w:b/>
                <w:color w:val="auto"/>
                <w:highlight w:val="none"/>
                <w:lang w:eastAsia="zh-CN"/>
              </w:rPr>
              <w:t>）</w:t>
            </w:r>
          </w:p>
          <w:p w14:paraId="1EA46BDC">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5.2</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rPr>
              <w:t>供电</w:t>
            </w:r>
          </w:p>
          <w:p w14:paraId="67A3F461">
            <w:pPr>
              <w:tabs>
                <w:tab w:val="left" w:pos="567"/>
              </w:tabs>
              <w:ind w:firstLine="480"/>
              <w:jc w:val="left"/>
              <w:textAlignment w:val="baseline"/>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项目供电由当地的供电局电力系统提供，用电量约6万</w:t>
            </w:r>
            <w:r>
              <w:rPr>
                <w:rFonts w:hint="default" w:ascii="Times New Roman" w:hAnsi="Times New Roman" w:cs="Times New Roman"/>
                <w:color w:val="auto"/>
                <w:szCs w:val="21"/>
                <w:highlight w:val="none"/>
                <w:lang w:eastAsia="zh-CN"/>
              </w:rPr>
              <w:t>kW</w:t>
            </w:r>
            <w:r>
              <w:rPr>
                <w:rFonts w:hint="default" w:ascii="Times New Roman" w:hAnsi="Times New Roman" w:cs="Times New Roman"/>
                <w:color w:val="auto"/>
                <w:szCs w:val="21"/>
                <w:highlight w:val="none"/>
              </w:rPr>
              <w:t>·h/a。</w:t>
            </w:r>
          </w:p>
          <w:p w14:paraId="4E32DE50">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5.3</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rPr>
              <w:t>供热</w:t>
            </w:r>
          </w:p>
          <w:p w14:paraId="400E55D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本项目冬季采暖方式为电采暖。</w:t>
            </w:r>
          </w:p>
          <w:p w14:paraId="677FAED1">
            <w:pPr>
              <w:ind w:firstLine="482"/>
              <w:rPr>
                <w:rFonts w:hint="default"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rPr>
              <w:t>5.4</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rPr>
              <w:t>运输方式及储存</w:t>
            </w:r>
            <w:r>
              <w:rPr>
                <w:rFonts w:hint="default" w:ascii="Times New Roman" w:hAnsi="Times New Roman" w:cs="Times New Roman"/>
                <w:b/>
                <w:bCs/>
                <w:color w:val="auto"/>
                <w:highlight w:val="none"/>
                <w:lang w:eastAsia="zh-CN"/>
              </w:rPr>
              <w:t>方法</w:t>
            </w:r>
          </w:p>
          <w:p w14:paraId="00336D31">
            <w:pPr>
              <w:ind w:firstLine="480"/>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项目生产过程中原辅料主要为砂、碎石、水泥、粉煤灰、外加剂等。砂、碎石经运输车辆运至公司后堆放在原料仓库，水泥、粉煤灰采用密闭的车辆运输至厂区，用输灰管将车辆的出料口与筒仓的进料口连接，采用车辆配套的压缩空气将车辆中的粉料输送至原料仓中储存，外加剂经运输车辆运至公司后存放至搅拌楼旁储罐中。</w:t>
            </w:r>
          </w:p>
          <w:p w14:paraId="3F4D30C5">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5.5</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rPr>
              <w:t>运输路线</w:t>
            </w:r>
          </w:p>
          <w:p w14:paraId="62AEFEC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本项目根据人流与车流分设的原则，形成畅通的车行路线，保证人员、车辆出入的快捷和安全，并与场区外侧主要道路连接，并保证舒适的步行环境，形成便捷、顺畅的交通道路网，创造方便快捷的工作环境。</w:t>
            </w:r>
          </w:p>
          <w:p w14:paraId="0BAE2AE8">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6.平面布置</w:t>
            </w:r>
          </w:p>
          <w:p w14:paraId="2171464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厂区整体呈长方形，搅拌机主楼位于整厂区南部位置，水泥及粉煤灰筒仓位于主机楼</w:t>
            </w:r>
            <w:r>
              <w:rPr>
                <w:rFonts w:hint="default" w:ascii="Times New Roman" w:hAnsi="Times New Roman" w:cs="Times New Roman"/>
                <w:color w:val="auto"/>
                <w:highlight w:val="none"/>
                <w:lang w:val="en-US" w:eastAsia="zh-CN"/>
              </w:rPr>
              <w:t>东</w:t>
            </w:r>
            <w:r>
              <w:rPr>
                <w:rFonts w:hint="default" w:ascii="Times New Roman" w:hAnsi="Times New Roman" w:cs="Times New Roman"/>
                <w:color w:val="auto"/>
                <w:highlight w:val="none"/>
              </w:rPr>
              <w:t>侧，外加剂储罐位于水泥及粉煤灰筒仓下，砂石料库位于</w:t>
            </w:r>
            <w:r>
              <w:rPr>
                <w:rFonts w:hint="default" w:ascii="Times New Roman" w:hAnsi="Times New Roman" w:cs="Times New Roman"/>
                <w:color w:val="auto"/>
                <w:highlight w:val="none"/>
                <w:lang w:val="en-US" w:eastAsia="zh-CN"/>
              </w:rPr>
              <w:t>搅拌楼北侧</w:t>
            </w:r>
            <w:r>
              <w:rPr>
                <w:rFonts w:hint="default" w:ascii="Times New Roman" w:hAnsi="Times New Roman" w:cs="Times New Roman"/>
                <w:color w:val="auto"/>
                <w:highlight w:val="none"/>
              </w:rPr>
              <w:t>，便于物料传输，化验室</w:t>
            </w:r>
            <w:r>
              <w:rPr>
                <w:rFonts w:hint="default" w:ascii="Times New Roman" w:hAnsi="Times New Roman" w:cs="Times New Roman"/>
                <w:color w:val="auto"/>
                <w:highlight w:val="none"/>
                <w:lang w:val="en-US" w:eastAsia="zh-CN"/>
              </w:rPr>
              <w:t>紧邻办公生活区</w:t>
            </w:r>
            <w:r>
              <w:rPr>
                <w:rFonts w:hint="default" w:ascii="Times New Roman" w:hAnsi="Times New Roman" w:cs="Times New Roman"/>
                <w:color w:val="auto"/>
                <w:highlight w:val="none"/>
              </w:rPr>
              <w:t>，储水罐位于主机楼北侧，主机楼北侧连接1根斜皮带至</w:t>
            </w:r>
            <w:r>
              <w:rPr>
                <w:rFonts w:hint="eastAsia" w:cs="Times New Roman"/>
                <w:color w:val="auto"/>
                <w:highlight w:val="none"/>
                <w:lang w:eastAsia="zh-CN"/>
              </w:rPr>
              <w:t>砂石料棚</w:t>
            </w:r>
            <w:r>
              <w:rPr>
                <w:rFonts w:hint="default" w:ascii="Times New Roman" w:hAnsi="Times New Roman" w:cs="Times New Roman"/>
                <w:color w:val="auto"/>
                <w:highlight w:val="none"/>
              </w:rPr>
              <w:t>，办公生活区位于整个厂区</w:t>
            </w:r>
            <w:r>
              <w:rPr>
                <w:rFonts w:hint="default" w:ascii="Times New Roman" w:hAnsi="Times New Roman" w:cs="Times New Roman"/>
                <w:color w:val="auto"/>
                <w:highlight w:val="none"/>
                <w:lang w:val="en-US" w:eastAsia="zh-CN"/>
              </w:rPr>
              <w:t>南</w:t>
            </w:r>
            <w:r>
              <w:rPr>
                <w:rFonts w:hint="default" w:ascii="Times New Roman" w:hAnsi="Times New Roman" w:cs="Times New Roman"/>
                <w:color w:val="auto"/>
                <w:highlight w:val="none"/>
              </w:rPr>
              <w:t>部，办公生活区与生产区域相对独立，厂区</w:t>
            </w:r>
            <w:r>
              <w:rPr>
                <w:rFonts w:hint="default" w:ascii="Times New Roman" w:hAnsi="Times New Roman" w:cs="Times New Roman"/>
                <w:color w:val="auto"/>
                <w:highlight w:val="none"/>
                <w:lang w:eastAsia="zh-CN"/>
              </w:rPr>
              <w:t>总</w:t>
            </w:r>
            <w:r>
              <w:rPr>
                <w:rFonts w:hint="default" w:ascii="Times New Roman" w:hAnsi="Times New Roman" w:cs="Times New Roman"/>
                <w:color w:val="auto"/>
                <w:highlight w:val="none"/>
              </w:rPr>
              <w:t>平面布置图见附图。</w:t>
            </w:r>
          </w:p>
        </w:tc>
      </w:tr>
      <w:tr w14:paraId="03470C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2" w:type="dxa"/>
            <w:vAlign w:val="center"/>
          </w:tcPr>
          <w:p w14:paraId="650AA1DD">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工艺流程和产排污环节</w:t>
            </w:r>
          </w:p>
        </w:tc>
        <w:tc>
          <w:tcPr>
            <w:tcW w:w="7771" w:type="dxa"/>
          </w:tcPr>
          <w:p w14:paraId="560D1C7A">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1.施工期工艺流程及产污节点</w:t>
            </w:r>
          </w:p>
          <w:p w14:paraId="20E213A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项目施工期对环境的主要影响为：施工扬尘、施工废水、施工机械噪声以及施工队伍的生活排污。</w:t>
            </w:r>
          </w:p>
          <w:p w14:paraId="2538A597">
            <w:pPr>
              <w:ind w:firstLine="48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施工流程及各阶段主要污染物产生节点见下图</w:t>
            </w:r>
            <w:r>
              <w:rPr>
                <w:rFonts w:hint="default" w:ascii="Times New Roman" w:hAnsi="Times New Roman" w:cs="Times New Roman"/>
                <w:color w:val="auto"/>
                <w:highlight w:val="none"/>
                <w:lang w:eastAsia="zh-CN"/>
              </w:rPr>
              <w:t>。</w:t>
            </w:r>
          </w:p>
          <w:p w14:paraId="3FF28111">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sz w:val="21"/>
                <w:szCs w:val="21"/>
                <w:highlight w:val="none"/>
              </w:rPr>
              <w:drawing>
                <wp:inline distT="0" distB="0" distL="114300" distR="114300">
                  <wp:extent cx="4670425" cy="1668780"/>
                  <wp:effectExtent l="0" t="0" r="8255" b="7620"/>
                  <wp:docPr id="2" name="图片 14" descr="施工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4" descr="施工期"/>
                          <pic:cNvPicPr>
                            <a:picLocks noChangeAspect="1"/>
                          </pic:cNvPicPr>
                        </pic:nvPicPr>
                        <pic:blipFill>
                          <a:blip r:embed="rId15"/>
                          <a:stretch>
                            <a:fillRect/>
                          </a:stretch>
                        </pic:blipFill>
                        <pic:spPr>
                          <a:xfrm>
                            <a:off x="0" y="0"/>
                            <a:ext cx="4670425" cy="1668780"/>
                          </a:xfrm>
                          <a:prstGeom prst="rect">
                            <a:avLst/>
                          </a:prstGeom>
                          <a:noFill/>
                          <a:ln>
                            <a:noFill/>
                          </a:ln>
                        </pic:spPr>
                      </pic:pic>
                    </a:graphicData>
                  </a:graphic>
                </wp:inline>
              </w:drawing>
            </w:r>
          </w:p>
          <w:p w14:paraId="2C14E577">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图2-2</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施工期工艺流程及产污节点示意图</w:t>
            </w:r>
          </w:p>
          <w:p w14:paraId="0C03E1C7">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2.运营期生产工艺流程及产污节点</w:t>
            </w:r>
          </w:p>
          <w:p w14:paraId="361EACAA">
            <w:pPr>
              <w:adjustRightInd w:val="0"/>
              <w:snapToGrid w:val="0"/>
              <w:spacing w:before="124" w:beforeLines="40"/>
              <w:ind w:firstLine="480"/>
              <w:rPr>
                <w:rFonts w:hint="default" w:ascii="Times New Roman" w:hAnsi="Times New Roman" w:cs="Times New Roman"/>
                <w:color w:val="auto"/>
                <w:szCs w:val="21"/>
                <w:highlight w:val="none"/>
                <w:lang w:bidi="ar"/>
              </w:rPr>
            </w:pPr>
            <w:r>
              <w:rPr>
                <w:rFonts w:hint="default" w:ascii="Times New Roman" w:hAnsi="Times New Roman" w:cs="Times New Roman"/>
                <w:color w:val="auto"/>
                <w:szCs w:val="21"/>
                <w:highlight w:val="none"/>
                <w:lang w:bidi="ar"/>
              </w:rPr>
              <w:t>项目营运期生产工艺流程图如下：</w:t>
            </w:r>
          </w:p>
          <w:p w14:paraId="3D396A40">
            <w:pPr>
              <w:adjustRightInd w:val="0"/>
              <w:snapToGrid w:val="0"/>
              <w:spacing w:before="124" w:beforeLines="40"/>
              <w:ind w:firstLine="480"/>
              <w:rPr>
                <w:rFonts w:hint="default" w:ascii="Times New Roman" w:hAnsi="Times New Roman" w:cs="Times New Roman"/>
                <w:color w:val="auto"/>
                <w:szCs w:val="21"/>
                <w:highlight w:val="none"/>
                <w:lang w:bidi="ar"/>
              </w:rPr>
            </w:pPr>
          </w:p>
          <w:p w14:paraId="53091BC4">
            <w:pPr>
              <w:adjustRightInd w:val="0"/>
              <w:snapToGrid w:val="0"/>
              <w:spacing w:before="124" w:beforeLines="40"/>
              <w:ind w:firstLine="480"/>
              <w:rPr>
                <w:rFonts w:hint="default" w:ascii="Times New Roman" w:hAnsi="Times New Roman" w:cs="Times New Roman"/>
                <w:color w:val="auto"/>
                <w:szCs w:val="21"/>
                <w:highlight w:val="none"/>
                <w:lang w:bidi="ar"/>
              </w:rPr>
            </w:pPr>
          </w:p>
          <w:p w14:paraId="426AF854">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5" o:spt="75" type="#_x0000_t75" style="height:378.6pt;width:341.05pt;" o:ole="t" filled="f" o:preferrelative="t" stroked="f" coordsize="21600,21600">
                  <v:path/>
                  <v:fill on="f" focussize="0,0"/>
                  <v:stroke on="f"/>
                  <v:imagedata r:id="rId17" o:title=""/>
                  <o:lock v:ext="edit" aspectratio="f"/>
                  <w10:wrap type="none"/>
                  <w10:anchorlock/>
                </v:shape>
                <o:OLEObject Type="Embed" ProgID="Visio.Drawing.11" ShapeID="_x0000_i1025" DrawAspect="Content" ObjectID="_1468075726" r:id="rId16">
                  <o:LockedField>false</o:LockedField>
                </o:OLEObject>
              </w:object>
            </w:r>
          </w:p>
          <w:p w14:paraId="5D177FCE">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图2-3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运营期工艺流程及产污节点示意图</w:t>
            </w:r>
          </w:p>
          <w:p w14:paraId="41798A51">
            <w:pPr>
              <w:numPr>
                <w:ilvl w:val="0"/>
                <w:numId w:val="1"/>
              </w:num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物料输送</w:t>
            </w:r>
          </w:p>
          <w:p w14:paraId="53B3D5F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本项目所用的原料为砂（0.3mm</w:t>
            </w:r>
            <w:r>
              <w:rPr>
                <w:rFonts w:hint="eastAsia" w:cs="Times New Roman"/>
                <w:color w:val="auto"/>
                <w:highlight w:val="none"/>
                <w:lang w:eastAsia="zh-CN"/>
              </w:rPr>
              <w:t>～</w:t>
            </w:r>
            <w:r>
              <w:rPr>
                <w:rFonts w:hint="default" w:ascii="Times New Roman" w:hAnsi="Times New Roman" w:cs="Times New Roman"/>
                <w:color w:val="auto"/>
                <w:highlight w:val="none"/>
              </w:rPr>
              <w:t>4.75mm）、碎石（5mm</w:t>
            </w:r>
            <w:r>
              <w:rPr>
                <w:rFonts w:hint="eastAsia" w:cs="Times New Roman"/>
                <w:color w:val="auto"/>
                <w:highlight w:val="none"/>
                <w:lang w:eastAsia="zh-CN"/>
              </w:rPr>
              <w:t>～</w:t>
            </w:r>
            <w:r>
              <w:rPr>
                <w:rFonts w:hint="default" w:ascii="Times New Roman" w:hAnsi="Times New Roman" w:cs="Times New Roman"/>
                <w:color w:val="auto"/>
                <w:highlight w:val="none"/>
              </w:rPr>
              <w:t>31.5mm）、水泥、粉煤灰等，外购的砂、碎石通过斗车运输至项目砂石料库，砂石输送过程主要产生粉尘，为无组织排放；水泥、粉煤灰通过密闭车辆运输至筒仓底，通过输灰管将车辆的出料口与筒仓的进料口连接，采用运输车辆配备的空压机将车辆中的粉料通过压缩空气压送到原料筒仓中储存，在输送水泥、粉煤灰过程中会产生粉尘，筒仓内配置袋式除尘器进行除尘，除尘之后粉尘经顶部排口进行排空。</w:t>
            </w:r>
          </w:p>
          <w:p w14:paraId="5CEF762F">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（2）洗砂</w:t>
            </w:r>
          </w:p>
          <w:p w14:paraId="1A842E64">
            <w:pPr>
              <w:ind w:firstLine="48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由于本地砂石厂出料普遍含泥量在5%左右，但C50-C60强度混凝土需要砂石含泥量要求在1%左右，因此部分砂石</w:t>
            </w:r>
            <w:r>
              <w:rPr>
                <w:rFonts w:hint="default" w:ascii="Times New Roman" w:hAnsi="Times New Roman" w:eastAsia="宋体" w:cs="Times New Roman"/>
                <w:color w:val="auto"/>
                <w:highlight w:val="none"/>
                <w:lang w:val="en-US" w:eastAsia="zh-CN"/>
              </w:rPr>
              <w:t>原料砂使用前需进行洗砂</w:t>
            </w:r>
            <w:r>
              <w:rPr>
                <w:rFonts w:hint="eastAsia" w:cs="Times New Roman"/>
                <w:color w:val="auto"/>
                <w:highlight w:val="none"/>
                <w:lang w:val="en-US" w:eastAsia="zh-CN"/>
              </w:rPr>
              <w:t>。砂石料通过传送带输送到进入洗砂机进一步进行泥砂分离，最终分离的细砂进入搅拌机，洗砂过程中产生的含泥废水直接流入沉淀池，经沉淀分离后泥沙进入其他生产线生产低强度混凝土，洗砂水循环使用，该工序无废水及粉尘产生</w:t>
            </w:r>
            <w:r>
              <w:rPr>
                <w:rFonts w:hint="default" w:ascii="Times New Roman" w:hAnsi="Times New Roman" w:eastAsia="宋体" w:cs="Times New Roman"/>
                <w:color w:val="auto"/>
                <w:highlight w:val="none"/>
                <w:lang w:val="en-US" w:eastAsia="zh-CN"/>
              </w:rPr>
              <w:t>。</w:t>
            </w:r>
          </w:p>
          <w:p w14:paraId="03DD40D7">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（3）配料</w:t>
            </w:r>
          </w:p>
          <w:p w14:paraId="3798B654">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生产前，根据各标号混凝土的配比</w:t>
            </w:r>
            <w:r>
              <w:rPr>
                <w:rFonts w:hint="default" w:ascii="Times New Roman" w:hAnsi="Times New Roman" w:eastAsia="宋体" w:cs="Times New Roman"/>
                <w:color w:val="auto"/>
                <w:highlight w:val="none"/>
                <w:lang w:eastAsia="zh-CN"/>
              </w:rPr>
              <w:t>对各种原材料进行称量，称量及配料过程均通过微机控制系统控制。</w:t>
            </w:r>
          </w:p>
          <w:p w14:paraId="39FDF760">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eastAsia="zh-CN"/>
              </w:rPr>
              <w:t>）投料</w:t>
            </w:r>
          </w:p>
          <w:p w14:paraId="6C2186B8">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砂、碎石被堆放在原料库房，</w:t>
            </w:r>
            <w:r>
              <w:rPr>
                <w:rFonts w:hint="default" w:ascii="Times New Roman" w:hAnsi="Times New Roman" w:eastAsia="宋体" w:cs="Times New Roman"/>
                <w:color w:val="auto"/>
                <w:highlight w:val="none"/>
                <w:lang w:val="en-US" w:eastAsia="zh-CN"/>
              </w:rPr>
              <w:t>沙子在使用前需要</w:t>
            </w:r>
            <w:r>
              <w:rPr>
                <w:rFonts w:hint="eastAsia" w:cs="Times New Roman"/>
                <w:color w:val="auto"/>
                <w:highlight w:val="none"/>
                <w:lang w:val="en-US" w:eastAsia="zh-CN"/>
              </w:rPr>
              <w:t>进入洗砂机</w:t>
            </w:r>
            <w:r>
              <w:rPr>
                <w:rFonts w:hint="default" w:ascii="Times New Roman" w:hAnsi="Times New Roman" w:eastAsia="宋体" w:cs="Times New Roman"/>
                <w:color w:val="auto"/>
                <w:highlight w:val="none"/>
                <w:lang w:val="en-US" w:eastAsia="zh-CN"/>
              </w:rPr>
              <w:t>进行清洗，清洗过后</w:t>
            </w:r>
            <w:r>
              <w:rPr>
                <w:rFonts w:hint="default" w:ascii="Times New Roman" w:hAnsi="Times New Roman" w:eastAsia="宋体" w:cs="Times New Roman"/>
                <w:color w:val="auto"/>
                <w:highlight w:val="none"/>
                <w:lang w:eastAsia="zh-CN"/>
              </w:rPr>
              <w:t>通过装载机运至砂石进料斗。进料斗配套的称量装置称量后由皮带输送装置提</w:t>
            </w:r>
            <w:r>
              <w:rPr>
                <w:rFonts w:hint="default" w:ascii="Times New Roman" w:hAnsi="Times New Roman" w:cs="Times New Roman"/>
                <w:color w:val="auto"/>
                <w:highlight w:val="none"/>
              </w:rPr>
              <w:t>升至搅拌楼的骨料进料仓，进料完成后打开料仓底部的放料阀门，将骨料一次性放入搅拌主机仓内；投料过程中产生的粉尘以无</w:t>
            </w:r>
            <w:r>
              <w:rPr>
                <w:rFonts w:hint="default" w:ascii="Times New Roman" w:hAnsi="Times New Roman" w:eastAsia="宋体" w:cs="Times New Roman"/>
                <w:color w:val="auto"/>
                <w:highlight w:val="none"/>
                <w:lang w:eastAsia="zh-CN"/>
              </w:rPr>
              <w:t>组织形式排放。储存于筒仓中的水泥、粉煤灰由筒仓底部自带的螺旋进料机输送至搅拌楼的粉料进料仓内进行称量，称量完成后打开料仓底部的放料阀门，将粉料放至搅拌主机仓内；然后将水和液态外加剂通过泵抽送至液态物称量仓中，称量完成后通过管道输送至搅拌主机仓内。</w:t>
            </w:r>
          </w:p>
          <w:p w14:paraId="1E8A8E9E">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eastAsia="zh-CN"/>
              </w:rPr>
              <w:t>）搅拌</w:t>
            </w:r>
          </w:p>
          <w:p w14:paraId="0613B749">
            <w:pPr>
              <w:ind w:firstLine="480"/>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eastAsia="zh-CN"/>
              </w:rPr>
              <w:t>自动计量、配料后的</w:t>
            </w:r>
            <w:r>
              <w:rPr>
                <w:rFonts w:hint="default" w:ascii="Times New Roman" w:hAnsi="Times New Roman" w:cs="Times New Roman"/>
                <w:color w:val="auto"/>
                <w:highlight w:val="none"/>
              </w:rPr>
              <w:t>各种原材料输送至搅拌机混合搅拌，搅拌机自动盖料，密封搅拌。仓筒进料和出料过程中由于仓筒内气压变化造成粉料局部起尘，项目仓筒配套设有除尘装置；粉料进料仓为密闭式，当粉料进料称量时产生的粉尘全部进入除尘器内收集，停止工作后由于气压变化粉尘逐渐沉降至粉料仓；粉料仓</w:t>
            </w:r>
            <w:r>
              <w:rPr>
                <w:rFonts w:hint="default" w:ascii="Times New Roman" w:hAnsi="Times New Roman" w:cs="Times New Roman"/>
                <w:color w:val="auto"/>
                <w:highlight w:val="none"/>
                <w:lang w:eastAsia="zh-CN"/>
              </w:rPr>
              <w:t>将</w:t>
            </w:r>
            <w:r>
              <w:rPr>
                <w:rFonts w:hint="default" w:ascii="Times New Roman" w:hAnsi="Times New Roman" w:cs="Times New Roman"/>
                <w:color w:val="auto"/>
                <w:highlight w:val="none"/>
              </w:rPr>
              <w:t>粉料输送至搅拌主机仓进行搅拌过程。在搅拌过程中会产生粉尘，搅拌楼内设置除尘器对搅拌粉尘进行收集，处理后少量粉尘在搅拌楼</w:t>
            </w:r>
            <w:r>
              <w:rPr>
                <w:rFonts w:hint="eastAsia" w:cs="Times New Roman"/>
                <w:color w:val="auto"/>
                <w:highlight w:val="none"/>
                <w:lang w:eastAsia="zh-CN"/>
              </w:rPr>
              <w:t>内</w:t>
            </w:r>
            <w:r>
              <w:rPr>
                <w:rFonts w:hint="default" w:ascii="Times New Roman" w:hAnsi="Times New Roman" w:cs="Times New Roman"/>
                <w:color w:val="auto"/>
                <w:highlight w:val="none"/>
              </w:rPr>
              <w:t>排放</w:t>
            </w:r>
            <w:r>
              <w:rPr>
                <w:rFonts w:hint="eastAsia" w:cs="Times New Roman"/>
                <w:color w:val="auto"/>
                <w:highlight w:val="none"/>
                <w:lang w:eastAsia="zh-CN"/>
              </w:rPr>
              <w:t>，属于</w:t>
            </w:r>
            <w:r>
              <w:rPr>
                <w:rFonts w:hint="default" w:ascii="Times New Roman" w:hAnsi="Times New Roman" w:cs="Times New Roman"/>
                <w:color w:val="auto"/>
                <w:highlight w:val="none"/>
              </w:rPr>
              <w:t>无组织</w:t>
            </w:r>
            <w:r>
              <w:rPr>
                <w:rFonts w:hint="eastAsia" w:cs="Times New Roman"/>
                <w:color w:val="auto"/>
                <w:highlight w:val="none"/>
                <w:lang w:eastAsia="zh-CN"/>
              </w:rPr>
              <w:t>排放</w:t>
            </w:r>
            <w:r>
              <w:rPr>
                <w:rFonts w:hint="default" w:ascii="Times New Roman" w:hAnsi="Times New Roman" w:cs="Times New Roman"/>
                <w:color w:val="auto"/>
                <w:highlight w:val="none"/>
              </w:rPr>
              <w:t>。</w:t>
            </w:r>
          </w:p>
          <w:p w14:paraId="525875B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抽检</w:t>
            </w:r>
          </w:p>
          <w:p w14:paraId="260EDEF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混凝土</w:t>
            </w:r>
            <w:r>
              <w:rPr>
                <w:rFonts w:hint="eastAsia" w:cs="Times New Roman"/>
                <w:color w:val="auto"/>
                <w:highlight w:val="none"/>
                <w:lang w:eastAsia="zh-CN"/>
              </w:rPr>
              <w:t>出厂</w:t>
            </w:r>
            <w:r>
              <w:rPr>
                <w:rFonts w:hint="default" w:ascii="Times New Roman" w:hAnsi="Times New Roman" w:eastAsia="宋体" w:cs="Times New Roman"/>
                <w:color w:val="auto"/>
                <w:highlight w:val="none"/>
              </w:rPr>
              <w:t>前需进行抽检，抽取少量的混凝土样品进行混凝土强度、坍落度等指标检测。检测指标主要为物理指标，不涉及化学实验。经过抽检合格的物品将被装车运往施工现场，而不合格的物品将进行再次搅拌回用。</w:t>
            </w:r>
          </w:p>
          <w:p w14:paraId="4EBACDB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出厂</w:t>
            </w:r>
          </w:p>
          <w:p w14:paraId="763CA13C">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将抽检合格的商品混凝土装入车辆出厂。</w:t>
            </w:r>
          </w:p>
          <w:p w14:paraId="41C60CE8">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3</w:t>
            </w:r>
            <w:r>
              <w:rPr>
                <w:rFonts w:hint="default" w:ascii="Times New Roman" w:hAnsi="Times New Roman" w:cs="Times New Roman"/>
                <w:b/>
                <w:bCs/>
                <w:color w:val="auto"/>
                <w:highlight w:val="none"/>
                <w:lang w:val="en-US" w:eastAsia="zh-CN"/>
              </w:rPr>
              <w:t>.</w:t>
            </w:r>
            <w:r>
              <w:rPr>
                <w:rFonts w:hint="default" w:ascii="Times New Roman" w:hAnsi="Times New Roman" w:cs="Times New Roman"/>
                <w:b/>
                <w:bCs/>
                <w:color w:val="auto"/>
                <w:highlight w:val="none"/>
              </w:rPr>
              <w:t>产污环节分析</w:t>
            </w:r>
          </w:p>
          <w:p w14:paraId="0E1EC39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根据工艺流程分析，本项目运营期主要产污环节及采用的污染防治措施详见下表。</w:t>
            </w:r>
          </w:p>
          <w:p w14:paraId="4FD17E01">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表2-</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项目主要产污环节及采用污染防治措施一览表</w:t>
            </w:r>
          </w:p>
          <w:tbl>
            <w:tblPr>
              <w:tblStyle w:val="2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077"/>
              <w:gridCol w:w="1276"/>
              <w:gridCol w:w="1313"/>
              <w:gridCol w:w="3202"/>
            </w:tblGrid>
            <w:tr w14:paraId="43792D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Align w:val="center"/>
                </w:tcPr>
                <w:p w14:paraId="4A40895B">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污染类别</w:t>
                  </w:r>
                </w:p>
              </w:tc>
              <w:tc>
                <w:tcPr>
                  <w:tcW w:w="1077" w:type="dxa"/>
                  <w:vAlign w:val="center"/>
                </w:tcPr>
                <w:p w14:paraId="69F4A70D">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产污环节</w:t>
                  </w:r>
                </w:p>
              </w:tc>
              <w:tc>
                <w:tcPr>
                  <w:tcW w:w="1276" w:type="dxa"/>
                  <w:vAlign w:val="center"/>
                </w:tcPr>
                <w:p w14:paraId="36592B01">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污染源名称</w:t>
                  </w:r>
                </w:p>
              </w:tc>
              <w:tc>
                <w:tcPr>
                  <w:tcW w:w="1313" w:type="dxa"/>
                  <w:vAlign w:val="center"/>
                </w:tcPr>
                <w:p w14:paraId="0DF181BD">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主要污染物</w:t>
                  </w:r>
                </w:p>
              </w:tc>
              <w:tc>
                <w:tcPr>
                  <w:tcW w:w="3202" w:type="dxa"/>
                  <w:vAlign w:val="center"/>
                </w:tcPr>
                <w:p w14:paraId="44B461D8">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拟采取的措施</w:t>
                  </w:r>
                </w:p>
              </w:tc>
            </w:tr>
            <w:tr w14:paraId="0AD03F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Merge w:val="restart"/>
                  <w:vAlign w:val="center"/>
                </w:tcPr>
                <w:p w14:paraId="13C245A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废气</w:t>
                  </w:r>
                </w:p>
              </w:tc>
              <w:tc>
                <w:tcPr>
                  <w:tcW w:w="1077" w:type="dxa"/>
                  <w:vAlign w:val="center"/>
                </w:tcPr>
                <w:p w14:paraId="78D1744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物料输送</w:t>
                  </w:r>
                </w:p>
              </w:tc>
              <w:tc>
                <w:tcPr>
                  <w:tcW w:w="1276" w:type="dxa"/>
                  <w:vAlign w:val="center"/>
                </w:tcPr>
                <w:p w14:paraId="310784A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运输车辆产生的扬尘</w:t>
                  </w:r>
                </w:p>
              </w:tc>
              <w:tc>
                <w:tcPr>
                  <w:tcW w:w="1313" w:type="dxa"/>
                  <w:vAlign w:val="center"/>
                </w:tcPr>
                <w:p w14:paraId="51CFAB7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3202" w:type="dxa"/>
                  <w:vAlign w:val="center"/>
                </w:tcPr>
                <w:p w14:paraId="675C8DA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路面清扫+洒水抑尘</w:t>
                  </w:r>
                </w:p>
              </w:tc>
            </w:tr>
            <w:tr w14:paraId="50370D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Merge w:val="continue"/>
                  <w:vAlign w:val="center"/>
                </w:tcPr>
                <w:p w14:paraId="7DFFCEC8">
                  <w:pPr>
                    <w:pStyle w:val="46"/>
                    <w:jc w:val="center"/>
                    <w:rPr>
                      <w:rFonts w:hint="default" w:ascii="Times New Roman" w:hAnsi="Times New Roman" w:cs="Times New Roman"/>
                      <w:color w:val="auto"/>
                      <w:highlight w:val="none"/>
                    </w:rPr>
                  </w:pPr>
                </w:p>
              </w:tc>
              <w:tc>
                <w:tcPr>
                  <w:tcW w:w="1077" w:type="dxa"/>
                  <w:vMerge w:val="restart"/>
                  <w:vAlign w:val="center"/>
                </w:tcPr>
                <w:p w14:paraId="2B78622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库料存储</w:t>
                  </w:r>
                </w:p>
              </w:tc>
              <w:tc>
                <w:tcPr>
                  <w:tcW w:w="1276" w:type="dxa"/>
                  <w:vAlign w:val="center"/>
                </w:tcPr>
                <w:p w14:paraId="0D64728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砂石装卸、堆放产生的扬尘</w:t>
                  </w:r>
                </w:p>
              </w:tc>
              <w:tc>
                <w:tcPr>
                  <w:tcW w:w="1313" w:type="dxa"/>
                  <w:vAlign w:val="center"/>
                </w:tcPr>
                <w:p w14:paraId="6EA0049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3202" w:type="dxa"/>
                  <w:vAlign w:val="center"/>
                </w:tcPr>
                <w:p w14:paraId="597F8E9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全封闭砂石料库+定期洒水抑尘</w:t>
                  </w:r>
                </w:p>
              </w:tc>
            </w:tr>
            <w:tr w14:paraId="341FA2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Merge w:val="continue"/>
                  <w:vAlign w:val="center"/>
                </w:tcPr>
                <w:p w14:paraId="3C6F49CE">
                  <w:pPr>
                    <w:pStyle w:val="46"/>
                    <w:jc w:val="center"/>
                    <w:rPr>
                      <w:rFonts w:hint="default" w:ascii="Times New Roman" w:hAnsi="Times New Roman" w:cs="Times New Roman"/>
                      <w:color w:val="auto"/>
                      <w:highlight w:val="none"/>
                    </w:rPr>
                  </w:pPr>
                </w:p>
              </w:tc>
              <w:tc>
                <w:tcPr>
                  <w:tcW w:w="1077" w:type="dxa"/>
                  <w:vMerge w:val="continue"/>
                  <w:vAlign w:val="center"/>
                </w:tcPr>
                <w:p w14:paraId="60C77886">
                  <w:pPr>
                    <w:pStyle w:val="46"/>
                    <w:jc w:val="center"/>
                    <w:rPr>
                      <w:rFonts w:hint="default" w:ascii="Times New Roman" w:hAnsi="Times New Roman" w:cs="Times New Roman"/>
                      <w:color w:val="auto"/>
                      <w:highlight w:val="none"/>
                    </w:rPr>
                  </w:pPr>
                </w:p>
              </w:tc>
              <w:tc>
                <w:tcPr>
                  <w:tcW w:w="1276" w:type="dxa"/>
                  <w:vAlign w:val="center"/>
                </w:tcPr>
                <w:p w14:paraId="7C33C44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砂石配料、投料、皮带输送产生的无组织粉尘</w:t>
                  </w:r>
                </w:p>
              </w:tc>
              <w:tc>
                <w:tcPr>
                  <w:tcW w:w="1313" w:type="dxa"/>
                  <w:vAlign w:val="center"/>
                </w:tcPr>
                <w:p w14:paraId="55B9535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3202" w:type="dxa"/>
                  <w:vAlign w:val="center"/>
                </w:tcPr>
                <w:p w14:paraId="48FA716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半封闭</w:t>
                  </w:r>
                  <w:r>
                    <w:rPr>
                      <w:rFonts w:hint="default" w:ascii="Times New Roman" w:hAnsi="Times New Roman" w:cs="Times New Roman"/>
                      <w:color w:val="auto"/>
                      <w:highlight w:val="none"/>
                    </w:rPr>
                    <w:t>料斗（输送皮带）+雾炮洒水抑尘</w:t>
                  </w:r>
                </w:p>
              </w:tc>
            </w:tr>
            <w:tr w14:paraId="22D913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Merge w:val="continue"/>
                  <w:vAlign w:val="center"/>
                </w:tcPr>
                <w:p w14:paraId="201BA8F9">
                  <w:pPr>
                    <w:pStyle w:val="46"/>
                    <w:jc w:val="center"/>
                    <w:rPr>
                      <w:rFonts w:hint="default" w:ascii="Times New Roman" w:hAnsi="Times New Roman" w:cs="Times New Roman"/>
                      <w:color w:val="auto"/>
                      <w:highlight w:val="none"/>
                    </w:rPr>
                  </w:pPr>
                </w:p>
              </w:tc>
              <w:tc>
                <w:tcPr>
                  <w:tcW w:w="1077" w:type="dxa"/>
                  <w:vMerge w:val="restart"/>
                  <w:vAlign w:val="center"/>
                </w:tcPr>
                <w:p w14:paraId="791A5D7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混凝土制备</w:t>
                  </w:r>
                </w:p>
              </w:tc>
              <w:tc>
                <w:tcPr>
                  <w:tcW w:w="1276" w:type="dxa"/>
                  <w:vAlign w:val="center"/>
                </w:tcPr>
                <w:p w14:paraId="2EDFC05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筒仓呼吸孔</w:t>
                  </w:r>
                </w:p>
              </w:tc>
              <w:tc>
                <w:tcPr>
                  <w:tcW w:w="1313" w:type="dxa"/>
                  <w:vAlign w:val="center"/>
                </w:tcPr>
                <w:p w14:paraId="0608318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3202" w:type="dxa"/>
                  <w:vAlign w:val="center"/>
                </w:tcPr>
                <w:p w14:paraId="3382980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筒仓顶部袋式除尘器+仓顶</w:t>
                  </w:r>
                  <w:r>
                    <w:rPr>
                      <w:rFonts w:hint="eastAsia" w:cs="Times New Roman"/>
                      <w:color w:val="auto"/>
                      <w:highlight w:val="none"/>
                      <w:lang w:val="en-US" w:eastAsia="zh-CN"/>
                    </w:rPr>
                    <w:t>22m</w:t>
                  </w:r>
                  <w:r>
                    <w:rPr>
                      <w:rFonts w:hint="default" w:ascii="Times New Roman" w:hAnsi="Times New Roman" w:cs="Times New Roman"/>
                      <w:color w:val="auto"/>
                      <w:highlight w:val="none"/>
                    </w:rPr>
                    <w:t>排放</w:t>
                  </w:r>
                </w:p>
              </w:tc>
            </w:tr>
            <w:tr w14:paraId="3BECA7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Merge w:val="continue"/>
                  <w:vAlign w:val="center"/>
                </w:tcPr>
                <w:p w14:paraId="66D2E7CF">
                  <w:pPr>
                    <w:pStyle w:val="46"/>
                    <w:jc w:val="center"/>
                    <w:rPr>
                      <w:rFonts w:hint="default" w:ascii="Times New Roman" w:hAnsi="Times New Roman" w:cs="Times New Roman"/>
                      <w:color w:val="auto"/>
                      <w:highlight w:val="none"/>
                    </w:rPr>
                  </w:pPr>
                </w:p>
              </w:tc>
              <w:tc>
                <w:tcPr>
                  <w:tcW w:w="1077" w:type="dxa"/>
                  <w:vMerge w:val="continue"/>
                  <w:vAlign w:val="center"/>
                </w:tcPr>
                <w:p w14:paraId="495F0F56">
                  <w:pPr>
                    <w:pStyle w:val="46"/>
                    <w:jc w:val="center"/>
                    <w:rPr>
                      <w:rFonts w:hint="default" w:ascii="Times New Roman" w:hAnsi="Times New Roman" w:cs="Times New Roman"/>
                      <w:color w:val="auto"/>
                      <w:highlight w:val="none"/>
                    </w:rPr>
                  </w:pPr>
                </w:p>
              </w:tc>
              <w:tc>
                <w:tcPr>
                  <w:tcW w:w="1276" w:type="dxa"/>
                  <w:vAlign w:val="center"/>
                </w:tcPr>
                <w:p w14:paraId="6CE8415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搅拌粉尘</w:t>
                  </w:r>
                </w:p>
              </w:tc>
              <w:tc>
                <w:tcPr>
                  <w:tcW w:w="1313" w:type="dxa"/>
                  <w:vAlign w:val="center"/>
                </w:tcPr>
                <w:p w14:paraId="18A07E3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3202" w:type="dxa"/>
                  <w:vAlign w:val="center"/>
                </w:tcPr>
                <w:p w14:paraId="114B8B0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袋式除尘器除尘+</w:t>
                  </w:r>
                  <w:r>
                    <w:rPr>
                      <w:rFonts w:hint="eastAsia" w:cs="Times New Roman"/>
                      <w:color w:val="auto"/>
                      <w:highlight w:val="none"/>
                      <w:lang w:val="en-US" w:eastAsia="zh-CN"/>
                    </w:rPr>
                    <w:t>全封闭</w:t>
                  </w:r>
                </w:p>
              </w:tc>
            </w:tr>
            <w:tr w14:paraId="022071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Merge w:val="restart"/>
                  <w:vAlign w:val="center"/>
                </w:tcPr>
                <w:p w14:paraId="6CED227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废水</w:t>
                  </w:r>
                </w:p>
              </w:tc>
              <w:tc>
                <w:tcPr>
                  <w:tcW w:w="1077" w:type="dxa"/>
                  <w:vAlign w:val="center"/>
                </w:tcPr>
                <w:p w14:paraId="71874D5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设备清洗</w:t>
                  </w:r>
                </w:p>
              </w:tc>
              <w:tc>
                <w:tcPr>
                  <w:tcW w:w="1276" w:type="dxa"/>
                  <w:vAlign w:val="center"/>
                </w:tcPr>
                <w:p w14:paraId="7274872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设备清洗废水</w:t>
                  </w:r>
                </w:p>
              </w:tc>
              <w:tc>
                <w:tcPr>
                  <w:tcW w:w="1313" w:type="dxa"/>
                  <w:vMerge w:val="restart"/>
                  <w:vAlign w:val="center"/>
                </w:tcPr>
                <w:p w14:paraId="1DC585B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SS</w:t>
                  </w:r>
                </w:p>
              </w:tc>
              <w:tc>
                <w:tcPr>
                  <w:tcW w:w="3202" w:type="dxa"/>
                  <w:vMerge w:val="restart"/>
                  <w:vAlign w:val="center"/>
                </w:tcPr>
                <w:p w14:paraId="0700750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排放至沉淀池（10m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）经沉淀后，澄清液回用于生产。</w:t>
                  </w:r>
                </w:p>
              </w:tc>
            </w:tr>
            <w:tr w14:paraId="19665B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Merge w:val="continue"/>
                  <w:vAlign w:val="center"/>
                </w:tcPr>
                <w:p w14:paraId="1BE36C7A">
                  <w:pPr>
                    <w:pStyle w:val="46"/>
                    <w:jc w:val="center"/>
                    <w:rPr>
                      <w:rFonts w:hint="default" w:ascii="Times New Roman" w:hAnsi="Times New Roman" w:cs="Times New Roman"/>
                      <w:color w:val="auto"/>
                      <w:highlight w:val="none"/>
                    </w:rPr>
                  </w:pPr>
                </w:p>
              </w:tc>
              <w:tc>
                <w:tcPr>
                  <w:tcW w:w="1077" w:type="dxa"/>
                  <w:vAlign w:val="center"/>
                </w:tcPr>
                <w:p w14:paraId="53F794A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场地冲洗</w:t>
                  </w:r>
                </w:p>
              </w:tc>
              <w:tc>
                <w:tcPr>
                  <w:tcW w:w="1276" w:type="dxa"/>
                  <w:vAlign w:val="center"/>
                </w:tcPr>
                <w:p w14:paraId="1182225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场地冲洗废水</w:t>
                  </w:r>
                </w:p>
              </w:tc>
              <w:tc>
                <w:tcPr>
                  <w:tcW w:w="1313" w:type="dxa"/>
                  <w:vMerge w:val="continue"/>
                  <w:vAlign w:val="center"/>
                </w:tcPr>
                <w:p w14:paraId="38BABA40">
                  <w:pPr>
                    <w:pStyle w:val="46"/>
                    <w:jc w:val="center"/>
                    <w:rPr>
                      <w:rFonts w:hint="default" w:ascii="Times New Roman" w:hAnsi="Times New Roman" w:cs="Times New Roman"/>
                      <w:color w:val="auto"/>
                      <w:highlight w:val="none"/>
                    </w:rPr>
                  </w:pPr>
                </w:p>
              </w:tc>
              <w:tc>
                <w:tcPr>
                  <w:tcW w:w="3202" w:type="dxa"/>
                  <w:vMerge w:val="continue"/>
                  <w:vAlign w:val="center"/>
                </w:tcPr>
                <w:p w14:paraId="55DB7844">
                  <w:pPr>
                    <w:pStyle w:val="46"/>
                    <w:jc w:val="center"/>
                    <w:rPr>
                      <w:rFonts w:hint="default" w:ascii="Times New Roman" w:hAnsi="Times New Roman" w:cs="Times New Roman"/>
                      <w:color w:val="auto"/>
                      <w:highlight w:val="none"/>
                    </w:rPr>
                  </w:pPr>
                </w:p>
              </w:tc>
            </w:tr>
            <w:tr w14:paraId="775E9A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Merge w:val="continue"/>
                  <w:vAlign w:val="center"/>
                </w:tcPr>
                <w:p w14:paraId="2829445F">
                  <w:pPr>
                    <w:pStyle w:val="46"/>
                    <w:jc w:val="center"/>
                    <w:rPr>
                      <w:rFonts w:hint="default" w:ascii="Times New Roman" w:hAnsi="Times New Roman" w:cs="Times New Roman"/>
                      <w:color w:val="auto"/>
                      <w:highlight w:val="none"/>
                    </w:rPr>
                  </w:pPr>
                </w:p>
              </w:tc>
              <w:tc>
                <w:tcPr>
                  <w:tcW w:w="1077" w:type="dxa"/>
                  <w:vAlign w:val="center"/>
                </w:tcPr>
                <w:p w14:paraId="6695156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员工日常</w:t>
                  </w:r>
                </w:p>
              </w:tc>
              <w:tc>
                <w:tcPr>
                  <w:tcW w:w="1276" w:type="dxa"/>
                  <w:vAlign w:val="center"/>
                </w:tcPr>
                <w:p w14:paraId="30862F6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生活污水</w:t>
                  </w:r>
                </w:p>
              </w:tc>
              <w:tc>
                <w:tcPr>
                  <w:tcW w:w="1313" w:type="dxa"/>
                  <w:vAlign w:val="center"/>
                </w:tcPr>
                <w:p w14:paraId="62A3569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pH、COD、BOD</w:t>
                  </w:r>
                  <w:r>
                    <w:rPr>
                      <w:rFonts w:hint="default" w:ascii="Times New Roman" w:hAnsi="Times New Roman" w:cs="Times New Roman"/>
                      <w:color w:val="auto"/>
                      <w:highlight w:val="none"/>
                      <w:vertAlign w:val="subscript"/>
                    </w:rPr>
                    <w:t>5</w:t>
                  </w:r>
                  <w:r>
                    <w:rPr>
                      <w:rFonts w:hint="default" w:ascii="Times New Roman" w:hAnsi="Times New Roman" w:cs="Times New Roman"/>
                      <w:color w:val="auto"/>
                      <w:highlight w:val="none"/>
                    </w:rPr>
                    <w:t>、SS、NH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w:t>
                  </w:r>
                </w:p>
              </w:tc>
              <w:tc>
                <w:tcPr>
                  <w:tcW w:w="3202" w:type="dxa"/>
                  <w:vAlign w:val="center"/>
                </w:tcPr>
                <w:p w14:paraId="19A8F30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经化粪池</w:t>
                  </w:r>
                  <w:r>
                    <w:rPr>
                      <w:rFonts w:hint="eastAsia" w:cs="Times New Roman"/>
                      <w:color w:val="auto"/>
                      <w:highlight w:val="none"/>
                      <w:lang w:eastAsia="zh-CN"/>
                    </w:rPr>
                    <w:t>沉淀</w:t>
                  </w:r>
                  <w:r>
                    <w:rPr>
                      <w:rFonts w:hint="default" w:ascii="Times New Roman" w:hAnsi="Times New Roman" w:cs="Times New Roman"/>
                      <w:color w:val="auto"/>
                      <w:highlight w:val="none"/>
                    </w:rPr>
                    <w:t>后</w:t>
                  </w:r>
                  <w:r>
                    <w:rPr>
                      <w:rFonts w:hint="default" w:ascii="Times New Roman" w:hAnsi="Times New Roman" w:cs="Times New Roman"/>
                      <w:color w:val="auto"/>
                      <w:highlight w:val="none"/>
                      <w:lang w:val="en-US" w:eastAsia="zh-CN"/>
                    </w:rPr>
                    <w:t>拉运至附近污水处理厂</w:t>
                  </w:r>
                  <w:r>
                    <w:rPr>
                      <w:rFonts w:hint="default" w:ascii="Times New Roman" w:hAnsi="Times New Roman" w:cs="Times New Roman"/>
                      <w:color w:val="auto"/>
                      <w:highlight w:val="none"/>
                    </w:rPr>
                    <w:t>。</w:t>
                  </w:r>
                </w:p>
              </w:tc>
            </w:tr>
            <w:tr w14:paraId="06CE5B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Merge w:val="restart"/>
                  <w:vAlign w:val="center"/>
                </w:tcPr>
                <w:p w14:paraId="036AFA2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1077" w:type="dxa"/>
                  <w:vAlign w:val="center"/>
                </w:tcPr>
                <w:p w14:paraId="18C8C71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抽检</w:t>
                  </w:r>
                </w:p>
              </w:tc>
              <w:tc>
                <w:tcPr>
                  <w:tcW w:w="1276" w:type="dxa"/>
                  <w:vAlign w:val="center"/>
                </w:tcPr>
                <w:p w14:paraId="140D1F1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废混凝土</w:t>
                  </w:r>
                </w:p>
              </w:tc>
              <w:tc>
                <w:tcPr>
                  <w:tcW w:w="1313" w:type="dxa"/>
                  <w:vAlign w:val="center"/>
                </w:tcPr>
                <w:p w14:paraId="6B2CF04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废混凝土</w:t>
                  </w:r>
                </w:p>
              </w:tc>
              <w:tc>
                <w:tcPr>
                  <w:tcW w:w="3202" w:type="dxa"/>
                  <w:vAlign w:val="center"/>
                </w:tcPr>
                <w:p w14:paraId="71CEE37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集中收集暂存于原料库一侧，作为原料回用到生产中。</w:t>
                  </w:r>
                </w:p>
              </w:tc>
            </w:tr>
            <w:tr w14:paraId="18A487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Merge w:val="continue"/>
                  <w:vAlign w:val="center"/>
                </w:tcPr>
                <w:p w14:paraId="5474B3C4">
                  <w:pPr>
                    <w:pStyle w:val="46"/>
                    <w:jc w:val="center"/>
                    <w:rPr>
                      <w:rFonts w:hint="default" w:ascii="Times New Roman" w:hAnsi="Times New Roman" w:cs="Times New Roman"/>
                      <w:color w:val="auto"/>
                      <w:highlight w:val="none"/>
                    </w:rPr>
                  </w:pPr>
                </w:p>
              </w:tc>
              <w:tc>
                <w:tcPr>
                  <w:tcW w:w="1077" w:type="dxa"/>
                  <w:vAlign w:val="center"/>
                </w:tcPr>
                <w:p w14:paraId="06B8B11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混凝土制备</w:t>
                  </w:r>
                </w:p>
              </w:tc>
              <w:tc>
                <w:tcPr>
                  <w:tcW w:w="1276" w:type="dxa"/>
                  <w:vAlign w:val="center"/>
                </w:tcPr>
                <w:p w14:paraId="7841365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除尘灰</w:t>
                  </w:r>
                </w:p>
              </w:tc>
              <w:tc>
                <w:tcPr>
                  <w:tcW w:w="1313" w:type="dxa"/>
                  <w:vAlign w:val="center"/>
                </w:tcPr>
                <w:p w14:paraId="517122D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3202" w:type="dxa"/>
                  <w:vAlign w:val="center"/>
                </w:tcPr>
                <w:p w14:paraId="0B7B458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经过收集后作为原料回用到生产中。</w:t>
                  </w:r>
                </w:p>
              </w:tc>
            </w:tr>
            <w:tr w14:paraId="71CD35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686" w:type="dxa"/>
                  <w:vMerge w:val="continue"/>
                  <w:vAlign w:val="center"/>
                </w:tcPr>
                <w:p w14:paraId="09FAC6A2">
                  <w:pPr>
                    <w:pStyle w:val="46"/>
                    <w:jc w:val="center"/>
                    <w:rPr>
                      <w:rFonts w:hint="default" w:ascii="Times New Roman" w:hAnsi="Times New Roman" w:cs="Times New Roman"/>
                      <w:color w:val="auto"/>
                      <w:highlight w:val="none"/>
                    </w:rPr>
                  </w:pPr>
                </w:p>
              </w:tc>
              <w:tc>
                <w:tcPr>
                  <w:tcW w:w="1077" w:type="dxa"/>
                  <w:vAlign w:val="center"/>
                </w:tcPr>
                <w:p w14:paraId="75DBE78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沉淀池</w:t>
                  </w:r>
                </w:p>
              </w:tc>
              <w:tc>
                <w:tcPr>
                  <w:tcW w:w="1276" w:type="dxa"/>
                  <w:vAlign w:val="center"/>
                </w:tcPr>
                <w:p w14:paraId="20F461F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沉淀池泥沙</w:t>
                  </w:r>
                </w:p>
              </w:tc>
              <w:tc>
                <w:tcPr>
                  <w:tcW w:w="1313" w:type="dxa"/>
                  <w:vAlign w:val="center"/>
                </w:tcPr>
                <w:p w14:paraId="30D4CCB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沉淀池泥沙</w:t>
                  </w:r>
                </w:p>
              </w:tc>
              <w:tc>
                <w:tcPr>
                  <w:tcW w:w="3202" w:type="dxa"/>
                  <w:vAlign w:val="center"/>
                </w:tcPr>
                <w:p w14:paraId="7253359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定期清掏外售，作为原料回用到生产中。</w:t>
                  </w:r>
                </w:p>
              </w:tc>
            </w:tr>
            <w:tr w14:paraId="33B2B0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86" w:type="dxa"/>
                  <w:vMerge w:val="continue"/>
                  <w:vAlign w:val="center"/>
                </w:tcPr>
                <w:p w14:paraId="640B7D0E">
                  <w:pPr>
                    <w:pStyle w:val="46"/>
                    <w:jc w:val="center"/>
                    <w:rPr>
                      <w:rFonts w:hint="default" w:ascii="Times New Roman" w:hAnsi="Times New Roman" w:cs="Times New Roman"/>
                      <w:color w:val="auto"/>
                      <w:highlight w:val="none"/>
                    </w:rPr>
                  </w:pPr>
                </w:p>
              </w:tc>
              <w:tc>
                <w:tcPr>
                  <w:tcW w:w="1077" w:type="dxa"/>
                  <w:vAlign w:val="center"/>
                </w:tcPr>
                <w:p w14:paraId="7A10D309">
                  <w:pPr>
                    <w:pStyle w:val="46"/>
                    <w:jc w:val="center"/>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除尘器</w:t>
                  </w:r>
                </w:p>
              </w:tc>
              <w:tc>
                <w:tcPr>
                  <w:tcW w:w="1276" w:type="dxa"/>
                  <w:vAlign w:val="center"/>
                </w:tcPr>
                <w:p w14:paraId="22A95EBB">
                  <w:pPr>
                    <w:pStyle w:val="46"/>
                    <w:jc w:val="center"/>
                    <w:rPr>
                      <w:rFonts w:hint="default" w:ascii="Times New Roman" w:hAnsi="Times New Roman" w:cs="Times New Roman"/>
                      <w:color w:val="auto"/>
                      <w:highlight w:val="none"/>
                    </w:rPr>
                  </w:pPr>
                  <w:r>
                    <w:rPr>
                      <w:snapToGrid w:val="0"/>
                      <w:color w:val="auto"/>
                      <w:szCs w:val="21"/>
                    </w:rPr>
                    <w:t>废滤袋</w:t>
                  </w:r>
                </w:p>
              </w:tc>
              <w:tc>
                <w:tcPr>
                  <w:tcW w:w="1313" w:type="dxa"/>
                  <w:vAlign w:val="center"/>
                </w:tcPr>
                <w:p w14:paraId="3FF40517">
                  <w:pPr>
                    <w:pStyle w:val="46"/>
                    <w:jc w:val="center"/>
                    <w:rPr>
                      <w:rFonts w:hint="default" w:ascii="Times New Roman" w:hAnsi="Times New Roman" w:cs="Times New Roman"/>
                      <w:color w:val="auto"/>
                      <w:highlight w:val="none"/>
                    </w:rPr>
                  </w:pPr>
                  <w:r>
                    <w:rPr>
                      <w:snapToGrid w:val="0"/>
                      <w:color w:val="auto"/>
                      <w:szCs w:val="21"/>
                    </w:rPr>
                    <w:t>废滤袋</w:t>
                  </w:r>
                </w:p>
              </w:tc>
              <w:tc>
                <w:tcPr>
                  <w:tcW w:w="3202" w:type="dxa"/>
                  <w:vAlign w:val="center"/>
                </w:tcPr>
                <w:p w14:paraId="6FC4982B">
                  <w:pPr>
                    <w:pStyle w:val="46"/>
                    <w:jc w:val="center"/>
                    <w:rPr>
                      <w:rFonts w:hint="default" w:ascii="Times New Roman" w:hAnsi="Times New Roman" w:cs="Times New Roman"/>
                      <w:color w:val="auto"/>
                      <w:highlight w:val="none"/>
                    </w:rPr>
                  </w:pPr>
                  <w:r>
                    <w:rPr>
                      <w:snapToGrid w:val="0"/>
                      <w:color w:val="auto"/>
                      <w:szCs w:val="21"/>
                    </w:rPr>
                    <w:t>由厂家更换时回收</w:t>
                  </w:r>
                </w:p>
              </w:tc>
            </w:tr>
            <w:tr w14:paraId="1887E1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Merge w:val="continue"/>
                  <w:vAlign w:val="center"/>
                </w:tcPr>
                <w:p w14:paraId="6E70F10C">
                  <w:pPr>
                    <w:pStyle w:val="46"/>
                    <w:jc w:val="center"/>
                    <w:rPr>
                      <w:rFonts w:hint="default" w:ascii="Times New Roman" w:hAnsi="Times New Roman" w:cs="Times New Roman"/>
                      <w:color w:val="auto"/>
                      <w:highlight w:val="none"/>
                    </w:rPr>
                  </w:pPr>
                </w:p>
              </w:tc>
              <w:tc>
                <w:tcPr>
                  <w:tcW w:w="1077" w:type="dxa"/>
                  <w:vAlign w:val="center"/>
                </w:tcPr>
                <w:p w14:paraId="762D6E9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员工日常</w:t>
                  </w:r>
                </w:p>
              </w:tc>
              <w:tc>
                <w:tcPr>
                  <w:tcW w:w="1276" w:type="dxa"/>
                  <w:vAlign w:val="center"/>
                </w:tcPr>
                <w:p w14:paraId="19CF38B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生活垃圾</w:t>
                  </w:r>
                </w:p>
              </w:tc>
              <w:tc>
                <w:tcPr>
                  <w:tcW w:w="1313" w:type="dxa"/>
                  <w:vAlign w:val="center"/>
                </w:tcPr>
                <w:p w14:paraId="78665F7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果皮、食物残渣等</w:t>
                  </w:r>
                </w:p>
              </w:tc>
              <w:tc>
                <w:tcPr>
                  <w:tcW w:w="3202" w:type="dxa"/>
                  <w:vAlign w:val="center"/>
                </w:tcPr>
                <w:p w14:paraId="1619E9B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由垃圾箱进行集中收集，并定期由</w:t>
                  </w:r>
                  <w:r>
                    <w:rPr>
                      <w:rFonts w:hint="eastAsia" w:cs="Times New Roman"/>
                      <w:color w:val="auto"/>
                      <w:highlight w:val="none"/>
                      <w:lang w:eastAsia="zh-CN"/>
                    </w:rPr>
                    <w:t>环卫部门</w:t>
                  </w:r>
                  <w:r>
                    <w:rPr>
                      <w:rFonts w:hint="default" w:ascii="Times New Roman" w:hAnsi="Times New Roman" w:cs="Times New Roman"/>
                      <w:color w:val="auto"/>
                      <w:highlight w:val="none"/>
                      <w:lang w:eastAsia="zh-CN"/>
                    </w:rPr>
                    <w:t>进行统一清运。</w:t>
                  </w:r>
                </w:p>
              </w:tc>
            </w:tr>
            <w:tr w14:paraId="586DF8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86" w:type="dxa"/>
                  <w:vAlign w:val="center"/>
                </w:tcPr>
                <w:p w14:paraId="4195E35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1077" w:type="dxa"/>
                  <w:vAlign w:val="center"/>
                </w:tcPr>
                <w:p w14:paraId="04968EC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生产设备</w:t>
                  </w:r>
                </w:p>
              </w:tc>
              <w:tc>
                <w:tcPr>
                  <w:tcW w:w="1276" w:type="dxa"/>
                  <w:vAlign w:val="center"/>
                </w:tcPr>
                <w:p w14:paraId="016715C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设备噪声</w:t>
                  </w:r>
                </w:p>
              </w:tc>
              <w:tc>
                <w:tcPr>
                  <w:tcW w:w="1313" w:type="dxa"/>
                  <w:vAlign w:val="center"/>
                </w:tcPr>
                <w:p w14:paraId="671C158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等效连续A声级</w:t>
                  </w:r>
                </w:p>
              </w:tc>
              <w:tc>
                <w:tcPr>
                  <w:tcW w:w="3202" w:type="dxa"/>
                  <w:vAlign w:val="center"/>
                </w:tcPr>
                <w:p w14:paraId="0E0CEDA2">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选购低噪声设备，设备置于封闭</w:t>
                  </w:r>
                  <w:r>
                    <w:rPr>
                      <w:rFonts w:hint="default" w:ascii="Times New Roman" w:hAnsi="Times New Roman" w:cs="Times New Roman"/>
                      <w:color w:val="auto"/>
                      <w:highlight w:val="none"/>
                      <w:lang w:eastAsia="zh-CN"/>
                    </w:rPr>
                    <w:t>式</w:t>
                  </w:r>
                  <w:r>
                    <w:rPr>
                      <w:rFonts w:hint="default" w:ascii="Times New Roman" w:hAnsi="Times New Roman" w:cs="Times New Roman"/>
                      <w:color w:val="auto"/>
                      <w:highlight w:val="none"/>
                    </w:rPr>
                    <w:t>厂房内，高噪声设备采取基础</w:t>
                  </w:r>
                  <w:r>
                    <w:rPr>
                      <w:rFonts w:hint="default" w:ascii="Times New Roman" w:hAnsi="Times New Roman" w:cs="Times New Roman"/>
                      <w:color w:val="auto"/>
                      <w:highlight w:val="none"/>
                      <w:lang w:eastAsia="zh-CN"/>
                    </w:rPr>
                    <w:t>减振措施。</w:t>
                  </w:r>
                </w:p>
              </w:tc>
            </w:tr>
          </w:tbl>
          <w:p w14:paraId="44AA4DCC">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4</w:t>
            </w:r>
            <w:r>
              <w:rPr>
                <w:rFonts w:hint="default" w:ascii="Times New Roman" w:hAnsi="Times New Roman" w:cs="Times New Roman"/>
                <w:b/>
                <w:bCs/>
                <w:color w:val="auto"/>
                <w:highlight w:val="none"/>
                <w:lang w:val="en-US" w:eastAsia="zh-CN"/>
              </w:rPr>
              <w:t>.</w:t>
            </w:r>
            <w:r>
              <w:rPr>
                <w:rFonts w:hint="default" w:ascii="Times New Roman" w:hAnsi="Times New Roman" w:cs="Times New Roman"/>
                <w:b/>
                <w:bCs/>
                <w:color w:val="auto"/>
                <w:highlight w:val="none"/>
              </w:rPr>
              <w:t>物料平衡</w:t>
            </w:r>
          </w:p>
          <w:p w14:paraId="641E39D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项目物料平衡表见表2-7、图2-4。</w:t>
            </w:r>
          </w:p>
          <w:p w14:paraId="0B7FAAA4">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表2-7  项目物料平衡表</w:t>
            </w:r>
          </w:p>
          <w:tbl>
            <w:tblPr>
              <w:tblStyle w:val="23"/>
              <w:tblW w:w="5000" w:type="pct"/>
              <w:tblInd w:w="1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2038"/>
              <w:gridCol w:w="2034"/>
              <w:gridCol w:w="2046"/>
            </w:tblGrid>
            <w:tr w14:paraId="4EEEE2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3475" w:type="dxa"/>
                  <w:gridSpan w:val="2"/>
                  <w:tcBorders>
                    <w:tl2br w:val="nil"/>
                    <w:tr2bl w:val="nil"/>
                  </w:tcBorders>
                  <w:vAlign w:val="center"/>
                </w:tcPr>
                <w:p w14:paraId="093410A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原辅料投入</w:t>
                  </w:r>
                </w:p>
              </w:tc>
              <w:tc>
                <w:tcPr>
                  <w:tcW w:w="4080" w:type="dxa"/>
                  <w:gridSpan w:val="2"/>
                  <w:tcBorders>
                    <w:tl2br w:val="nil"/>
                    <w:tr2bl w:val="nil"/>
                  </w:tcBorders>
                  <w:vAlign w:val="center"/>
                </w:tcPr>
                <w:p w14:paraId="2B8B8F7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产出</w:t>
                  </w:r>
                </w:p>
              </w:tc>
            </w:tr>
            <w:tr w14:paraId="53379A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1E7F746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物料名称</w:t>
                  </w:r>
                </w:p>
              </w:tc>
              <w:tc>
                <w:tcPr>
                  <w:tcW w:w="2038" w:type="dxa"/>
                  <w:tcBorders>
                    <w:tl2br w:val="nil"/>
                    <w:tr2bl w:val="nil"/>
                  </w:tcBorders>
                  <w:vAlign w:val="center"/>
                </w:tcPr>
                <w:p w14:paraId="26DA08C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年用量（t/a）</w:t>
                  </w:r>
                </w:p>
              </w:tc>
              <w:tc>
                <w:tcPr>
                  <w:tcW w:w="2034" w:type="dxa"/>
                  <w:tcBorders>
                    <w:tl2br w:val="nil"/>
                    <w:tr2bl w:val="nil"/>
                  </w:tcBorders>
                  <w:vAlign w:val="center"/>
                </w:tcPr>
                <w:p w14:paraId="5FDAF82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产品名称</w:t>
                  </w:r>
                </w:p>
              </w:tc>
              <w:tc>
                <w:tcPr>
                  <w:tcW w:w="2046" w:type="dxa"/>
                  <w:tcBorders>
                    <w:tl2br w:val="nil"/>
                    <w:tr2bl w:val="nil"/>
                  </w:tcBorders>
                  <w:vAlign w:val="center"/>
                </w:tcPr>
                <w:p w14:paraId="2170C0A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产量（t/a）</w:t>
                  </w:r>
                </w:p>
              </w:tc>
            </w:tr>
            <w:tr w14:paraId="390370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555" w:type="dxa"/>
                  <w:gridSpan w:val="4"/>
                  <w:tcBorders>
                    <w:tl2br w:val="nil"/>
                    <w:tr2bl w:val="nil"/>
                  </w:tcBorders>
                  <w:vAlign w:val="center"/>
                </w:tcPr>
                <w:p w14:paraId="5BE67CB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砂石装卸、堆放</w:t>
                  </w:r>
                </w:p>
              </w:tc>
            </w:tr>
            <w:tr w14:paraId="4B48E6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5BA6349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w:t>
                  </w:r>
                </w:p>
              </w:tc>
              <w:tc>
                <w:tcPr>
                  <w:tcW w:w="2038" w:type="dxa"/>
                  <w:tcBorders>
                    <w:tl2br w:val="nil"/>
                    <w:tr2bl w:val="nil"/>
                  </w:tcBorders>
                  <w:vAlign w:val="center"/>
                </w:tcPr>
                <w:p w14:paraId="6BA45C59">
                  <w:pPr>
                    <w:pStyle w:val="46"/>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171124</w:t>
                  </w:r>
                </w:p>
              </w:tc>
              <w:tc>
                <w:tcPr>
                  <w:tcW w:w="2034" w:type="dxa"/>
                  <w:tcBorders>
                    <w:tl2br w:val="nil"/>
                    <w:tr2bl w:val="nil"/>
                  </w:tcBorders>
                  <w:vAlign w:val="center"/>
                </w:tcPr>
                <w:p w14:paraId="400109B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砂石料</w:t>
                  </w:r>
                </w:p>
              </w:tc>
              <w:tc>
                <w:tcPr>
                  <w:tcW w:w="2046" w:type="dxa"/>
                  <w:tcBorders>
                    <w:tl2br w:val="nil"/>
                    <w:tr2bl w:val="nil"/>
                  </w:tcBorders>
                  <w:vAlign w:val="center"/>
                </w:tcPr>
                <w:p w14:paraId="7A803E90">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567245</w:t>
                  </w:r>
                </w:p>
              </w:tc>
            </w:tr>
            <w:tr w14:paraId="675FE1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58ECEDA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碎石</w:t>
                  </w:r>
                </w:p>
              </w:tc>
              <w:tc>
                <w:tcPr>
                  <w:tcW w:w="2038" w:type="dxa"/>
                  <w:tcBorders>
                    <w:tl2br w:val="nil"/>
                    <w:tr2bl w:val="nil"/>
                  </w:tcBorders>
                  <w:vAlign w:val="center"/>
                </w:tcPr>
                <w:p w14:paraId="26C8BB64">
                  <w:pPr>
                    <w:pStyle w:val="46"/>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396121</w:t>
                  </w:r>
                </w:p>
              </w:tc>
              <w:tc>
                <w:tcPr>
                  <w:tcW w:w="2034" w:type="dxa"/>
                  <w:tcBorders>
                    <w:tl2br w:val="nil"/>
                    <w:tr2bl w:val="nil"/>
                  </w:tcBorders>
                  <w:vAlign w:val="center"/>
                </w:tcPr>
                <w:p w14:paraId="6C0A9DB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砂石装卸、堆放扬尘</w:t>
                  </w:r>
                </w:p>
              </w:tc>
              <w:tc>
                <w:tcPr>
                  <w:tcW w:w="2046" w:type="dxa"/>
                  <w:tcBorders>
                    <w:tl2br w:val="nil"/>
                    <w:tr2bl w:val="nil"/>
                  </w:tcBorders>
                  <w:vAlign w:val="center"/>
                </w:tcPr>
                <w:p w14:paraId="7D158B80">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14.9</w:t>
                  </w:r>
                </w:p>
              </w:tc>
            </w:tr>
            <w:tr w14:paraId="1AFCDF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362C901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2038" w:type="dxa"/>
                  <w:tcBorders>
                    <w:tl2br w:val="nil"/>
                    <w:tr2bl w:val="nil"/>
                  </w:tcBorders>
                  <w:vAlign w:val="center"/>
                </w:tcPr>
                <w:p w14:paraId="0A02B484">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567245</w:t>
                  </w:r>
                </w:p>
              </w:tc>
              <w:tc>
                <w:tcPr>
                  <w:tcW w:w="2034" w:type="dxa"/>
                  <w:tcBorders>
                    <w:tl2br w:val="nil"/>
                    <w:tr2bl w:val="nil"/>
                  </w:tcBorders>
                  <w:vAlign w:val="center"/>
                </w:tcPr>
                <w:p w14:paraId="2DBC86C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2046" w:type="dxa"/>
                  <w:tcBorders>
                    <w:tl2br w:val="nil"/>
                    <w:tr2bl w:val="nil"/>
                  </w:tcBorders>
                  <w:vAlign w:val="center"/>
                </w:tcPr>
                <w:p w14:paraId="04F190F4">
                  <w:pPr>
                    <w:pStyle w:val="46"/>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567230.1</w:t>
                  </w:r>
                </w:p>
              </w:tc>
            </w:tr>
            <w:tr w14:paraId="4E4FE7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555" w:type="dxa"/>
                  <w:gridSpan w:val="4"/>
                  <w:tcBorders>
                    <w:tl2br w:val="nil"/>
                    <w:tr2bl w:val="nil"/>
                  </w:tcBorders>
                  <w:vAlign w:val="center"/>
                </w:tcPr>
                <w:p w14:paraId="17133C5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砂石配料、投料、皮带输送</w:t>
                  </w:r>
                </w:p>
              </w:tc>
            </w:tr>
            <w:tr w14:paraId="4ABFA0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3091AE5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砂石料</w:t>
                  </w:r>
                </w:p>
              </w:tc>
              <w:tc>
                <w:tcPr>
                  <w:tcW w:w="2038" w:type="dxa"/>
                  <w:tcBorders>
                    <w:tl2br w:val="nil"/>
                    <w:tr2bl w:val="nil"/>
                  </w:tcBorders>
                  <w:vAlign w:val="center"/>
                </w:tcPr>
                <w:p w14:paraId="43B1F7AE">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567245</w:t>
                  </w:r>
                </w:p>
              </w:tc>
              <w:tc>
                <w:tcPr>
                  <w:tcW w:w="2034" w:type="dxa"/>
                  <w:tcBorders>
                    <w:tl2br w:val="nil"/>
                    <w:tr2bl w:val="nil"/>
                  </w:tcBorders>
                  <w:vAlign w:val="center"/>
                </w:tcPr>
                <w:p w14:paraId="56BCBA6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砂石料</w:t>
                  </w:r>
                </w:p>
              </w:tc>
              <w:tc>
                <w:tcPr>
                  <w:tcW w:w="2046" w:type="dxa"/>
                  <w:tcBorders>
                    <w:tl2br w:val="nil"/>
                    <w:tr2bl w:val="nil"/>
                  </w:tcBorders>
                  <w:vAlign w:val="center"/>
                </w:tcPr>
                <w:p w14:paraId="5C6BB5C5">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567230.1</w:t>
                  </w:r>
                </w:p>
              </w:tc>
            </w:tr>
            <w:tr w14:paraId="71E231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0DD09B26">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2038" w:type="dxa"/>
                  <w:tcBorders>
                    <w:tl2br w:val="nil"/>
                    <w:tr2bl w:val="nil"/>
                  </w:tcBorders>
                  <w:vAlign w:val="center"/>
                </w:tcPr>
                <w:p w14:paraId="56C6699B">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2034" w:type="dxa"/>
                  <w:tcBorders>
                    <w:tl2br w:val="nil"/>
                    <w:tr2bl w:val="nil"/>
                  </w:tcBorders>
                  <w:vAlign w:val="center"/>
                </w:tcPr>
                <w:p w14:paraId="42AEDA4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砂石配料、投料、皮带输送粉尘</w:t>
                  </w:r>
                </w:p>
              </w:tc>
              <w:tc>
                <w:tcPr>
                  <w:tcW w:w="2046" w:type="dxa"/>
                  <w:tcBorders>
                    <w:tl2br w:val="nil"/>
                    <w:tr2bl w:val="nil"/>
                  </w:tcBorders>
                  <w:vAlign w:val="center"/>
                </w:tcPr>
                <w:p w14:paraId="2C238CF3">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13.6</w:t>
                  </w:r>
                </w:p>
              </w:tc>
            </w:tr>
            <w:tr w14:paraId="2384BE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569714B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2038" w:type="dxa"/>
                  <w:tcBorders>
                    <w:tl2br w:val="nil"/>
                    <w:tr2bl w:val="nil"/>
                  </w:tcBorders>
                  <w:vAlign w:val="center"/>
                </w:tcPr>
                <w:p w14:paraId="5EAD63D1">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567245</w:t>
                  </w:r>
                </w:p>
              </w:tc>
              <w:tc>
                <w:tcPr>
                  <w:tcW w:w="2034" w:type="dxa"/>
                  <w:tcBorders>
                    <w:tl2br w:val="nil"/>
                    <w:tr2bl w:val="nil"/>
                  </w:tcBorders>
                  <w:vAlign w:val="center"/>
                </w:tcPr>
                <w:p w14:paraId="0D38BD7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2046" w:type="dxa"/>
                  <w:tcBorders>
                    <w:tl2br w:val="nil"/>
                    <w:tr2bl w:val="nil"/>
                  </w:tcBorders>
                  <w:vAlign w:val="center"/>
                </w:tcPr>
                <w:p w14:paraId="1EDBD4A4">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567216.5</w:t>
                  </w:r>
                </w:p>
              </w:tc>
            </w:tr>
            <w:tr w14:paraId="357DC0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555" w:type="dxa"/>
                  <w:gridSpan w:val="4"/>
                  <w:tcBorders>
                    <w:tl2br w:val="nil"/>
                    <w:tr2bl w:val="nil"/>
                  </w:tcBorders>
                  <w:vAlign w:val="center"/>
                </w:tcPr>
                <w:p w14:paraId="134A272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筒仓储运</w:t>
                  </w:r>
                </w:p>
              </w:tc>
            </w:tr>
            <w:tr w14:paraId="163538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0B8DD14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水泥</w:t>
                  </w:r>
                </w:p>
              </w:tc>
              <w:tc>
                <w:tcPr>
                  <w:tcW w:w="2038" w:type="dxa"/>
                  <w:tcBorders>
                    <w:tl2br w:val="nil"/>
                    <w:tr2bl w:val="nil"/>
                  </w:tcBorders>
                  <w:vAlign w:val="center"/>
                </w:tcPr>
                <w:p w14:paraId="0754AACE">
                  <w:pPr>
                    <w:pStyle w:val="46"/>
                    <w:ind w:firstLine="0" w:firstLineChars="0"/>
                    <w:jc w:val="center"/>
                    <w:rPr>
                      <w:rFonts w:hint="default" w:ascii="Times New Roman" w:hAnsi="Times New Roman" w:cs="Times New Roman"/>
                      <w:color w:val="auto"/>
                      <w:sz w:val="21"/>
                      <w:szCs w:val="21"/>
                      <w:highlight w:val="none"/>
                    </w:rPr>
                  </w:pPr>
                  <w:r>
                    <w:rPr>
                      <w:rFonts w:hint="eastAsia" w:cs="Times New Roman"/>
                      <w:color w:val="auto"/>
                      <w:highlight w:val="none"/>
                      <w:lang w:val="en-US" w:eastAsia="zh-CN"/>
                    </w:rPr>
                    <w:t>90000</w:t>
                  </w:r>
                </w:p>
              </w:tc>
              <w:tc>
                <w:tcPr>
                  <w:tcW w:w="2034" w:type="dxa"/>
                  <w:tcBorders>
                    <w:tl2br w:val="nil"/>
                    <w:tr2bl w:val="nil"/>
                  </w:tcBorders>
                  <w:vAlign w:val="center"/>
                </w:tcPr>
                <w:p w14:paraId="05DEA43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水泥</w:t>
                  </w:r>
                </w:p>
              </w:tc>
              <w:tc>
                <w:tcPr>
                  <w:tcW w:w="2046" w:type="dxa"/>
                  <w:tcBorders>
                    <w:tl2br w:val="nil"/>
                    <w:tr2bl w:val="nil"/>
                  </w:tcBorders>
                  <w:vAlign w:val="center"/>
                </w:tcPr>
                <w:p w14:paraId="5C77B77B">
                  <w:pPr>
                    <w:pStyle w:val="46"/>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89999.805</w:t>
                  </w:r>
                </w:p>
              </w:tc>
            </w:tr>
            <w:tr w14:paraId="76D380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08AA2F2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粉煤灰</w:t>
                  </w:r>
                </w:p>
              </w:tc>
              <w:tc>
                <w:tcPr>
                  <w:tcW w:w="2038" w:type="dxa"/>
                  <w:tcBorders>
                    <w:tl2br w:val="nil"/>
                    <w:tr2bl w:val="nil"/>
                  </w:tcBorders>
                  <w:vAlign w:val="center"/>
                </w:tcPr>
                <w:p w14:paraId="453D6375">
                  <w:pPr>
                    <w:pStyle w:val="46"/>
                    <w:ind w:firstLine="0" w:firstLineChars="0"/>
                    <w:jc w:val="center"/>
                    <w:rPr>
                      <w:rFonts w:hint="default" w:ascii="Times New Roman" w:hAnsi="Times New Roman" w:cs="Times New Roman"/>
                      <w:color w:val="auto"/>
                      <w:sz w:val="21"/>
                      <w:szCs w:val="21"/>
                      <w:highlight w:val="none"/>
                    </w:rPr>
                  </w:pP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000</w:t>
                  </w:r>
                  <w:r>
                    <w:rPr>
                      <w:rFonts w:hint="eastAsia" w:cs="Times New Roman"/>
                      <w:color w:val="auto"/>
                      <w:highlight w:val="none"/>
                      <w:lang w:val="en-US" w:eastAsia="zh-CN"/>
                    </w:rPr>
                    <w:t>0</w:t>
                  </w:r>
                </w:p>
              </w:tc>
              <w:tc>
                <w:tcPr>
                  <w:tcW w:w="2034" w:type="dxa"/>
                  <w:tcBorders>
                    <w:tl2br w:val="nil"/>
                    <w:tr2bl w:val="nil"/>
                  </w:tcBorders>
                  <w:vAlign w:val="center"/>
                </w:tcPr>
                <w:p w14:paraId="5EF967C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粉煤灰</w:t>
                  </w:r>
                </w:p>
              </w:tc>
              <w:tc>
                <w:tcPr>
                  <w:tcW w:w="2046" w:type="dxa"/>
                  <w:tcBorders>
                    <w:tl2br w:val="nil"/>
                    <w:tr2bl w:val="nil"/>
                  </w:tcBorders>
                  <w:vAlign w:val="center"/>
                </w:tcPr>
                <w:p w14:paraId="423E9B29">
                  <w:pPr>
                    <w:pStyle w:val="46"/>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29999.935</w:t>
                  </w:r>
                </w:p>
              </w:tc>
            </w:tr>
            <w:tr w14:paraId="30811D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0C5DB9F4">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2038" w:type="dxa"/>
                  <w:tcBorders>
                    <w:tl2br w:val="nil"/>
                    <w:tr2bl w:val="nil"/>
                  </w:tcBorders>
                  <w:vAlign w:val="center"/>
                </w:tcPr>
                <w:p w14:paraId="0F9CB721">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2034" w:type="dxa"/>
                  <w:tcBorders>
                    <w:tl2br w:val="nil"/>
                    <w:tr2bl w:val="nil"/>
                  </w:tcBorders>
                  <w:vAlign w:val="center"/>
                </w:tcPr>
                <w:p w14:paraId="5899D02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筒仓有组织</w:t>
                  </w:r>
                  <w:r>
                    <w:rPr>
                      <w:rFonts w:hint="eastAsia" w:cs="Times New Roman"/>
                      <w:color w:val="auto"/>
                      <w:sz w:val="21"/>
                      <w:szCs w:val="21"/>
                      <w:highlight w:val="none"/>
                      <w:lang w:eastAsia="zh-CN"/>
                    </w:rPr>
                    <w:t>排放</w:t>
                  </w:r>
                  <w:r>
                    <w:rPr>
                      <w:rFonts w:hint="default" w:ascii="Times New Roman" w:hAnsi="Times New Roman" w:cs="Times New Roman"/>
                      <w:color w:val="auto"/>
                      <w:sz w:val="21"/>
                      <w:szCs w:val="21"/>
                      <w:highlight w:val="none"/>
                    </w:rPr>
                    <w:t>粉尘</w:t>
                  </w:r>
                </w:p>
              </w:tc>
              <w:tc>
                <w:tcPr>
                  <w:tcW w:w="2046" w:type="dxa"/>
                  <w:tcBorders>
                    <w:tl2br w:val="nil"/>
                    <w:tr2bl w:val="nil"/>
                  </w:tcBorders>
                  <w:vAlign w:val="center"/>
                </w:tcPr>
                <w:p w14:paraId="0A7CD57B">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0.26</w:t>
                  </w:r>
                </w:p>
              </w:tc>
            </w:tr>
            <w:tr w14:paraId="3C3457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44BB1C8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2038" w:type="dxa"/>
                  <w:tcBorders>
                    <w:tl2br w:val="nil"/>
                    <w:tr2bl w:val="nil"/>
                  </w:tcBorders>
                  <w:vAlign w:val="center"/>
                </w:tcPr>
                <w:p w14:paraId="36BEE2E8">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20000</w:t>
                  </w:r>
                </w:p>
              </w:tc>
              <w:tc>
                <w:tcPr>
                  <w:tcW w:w="2034" w:type="dxa"/>
                  <w:tcBorders>
                    <w:tl2br w:val="nil"/>
                    <w:tr2bl w:val="nil"/>
                  </w:tcBorders>
                  <w:vAlign w:val="center"/>
                </w:tcPr>
                <w:p w14:paraId="5052DF2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2046" w:type="dxa"/>
                  <w:tcBorders>
                    <w:tl2br w:val="nil"/>
                    <w:tr2bl w:val="nil"/>
                  </w:tcBorders>
                  <w:vAlign w:val="center"/>
                </w:tcPr>
                <w:p w14:paraId="63B20FB6">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20000</w:t>
                  </w:r>
                </w:p>
              </w:tc>
            </w:tr>
            <w:tr w14:paraId="35BB6A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555" w:type="dxa"/>
                  <w:gridSpan w:val="4"/>
                  <w:tcBorders>
                    <w:tl2br w:val="nil"/>
                    <w:tr2bl w:val="nil"/>
                  </w:tcBorders>
                  <w:vAlign w:val="center"/>
                </w:tcPr>
                <w:p w14:paraId="77F36A7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搅拌混合</w:t>
                  </w:r>
                </w:p>
              </w:tc>
            </w:tr>
            <w:tr w14:paraId="457341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52E46FC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水泥</w:t>
                  </w:r>
                </w:p>
              </w:tc>
              <w:tc>
                <w:tcPr>
                  <w:tcW w:w="2038" w:type="dxa"/>
                  <w:tcBorders>
                    <w:tl2br w:val="nil"/>
                    <w:tr2bl w:val="nil"/>
                  </w:tcBorders>
                  <w:vAlign w:val="center"/>
                </w:tcPr>
                <w:p w14:paraId="5A7F6BF8">
                  <w:pPr>
                    <w:pStyle w:val="46"/>
                    <w:ind w:firstLine="0" w:firstLineChars="0"/>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89999.805</w:t>
                  </w:r>
                </w:p>
              </w:tc>
              <w:tc>
                <w:tcPr>
                  <w:tcW w:w="2034" w:type="dxa"/>
                  <w:tcBorders>
                    <w:tl2br w:val="nil"/>
                    <w:tr2bl w:val="nil"/>
                  </w:tcBorders>
                  <w:vAlign w:val="center"/>
                </w:tcPr>
                <w:p w14:paraId="5796F4B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混凝土</w:t>
                  </w:r>
                </w:p>
              </w:tc>
              <w:tc>
                <w:tcPr>
                  <w:tcW w:w="2046" w:type="dxa"/>
                  <w:tcBorders>
                    <w:tl2br w:val="nil"/>
                    <w:tr2bl w:val="nil"/>
                  </w:tcBorders>
                  <w:vAlign w:val="center"/>
                </w:tcPr>
                <w:p w14:paraId="313FF873">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735027.75</w:t>
                  </w:r>
                </w:p>
              </w:tc>
            </w:tr>
            <w:tr w14:paraId="2864C5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497D02F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粉煤灰</w:t>
                  </w:r>
                </w:p>
              </w:tc>
              <w:tc>
                <w:tcPr>
                  <w:tcW w:w="2038" w:type="dxa"/>
                  <w:tcBorders>
                    <w:tl2br w:val="nil"/>
                    <w:tr2bl w:val="nil"/>
                  </w:tcBorders>
                  <w:vAlign w:val="center"/>
                </w:tcPr>
                <w:p w14:paraId="078177ED">
                  <w:pPr>
                    <w:pStyle w:val="46"/>
                    <w:ind w:firstLine="0" w:firstLineChars="0"/>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29999.935</w:t>
                  </w:r>
                </w:p>
              </w:tc>
              <w:tc>
                <w:tcPr>
                  <w:tcW w:w="2034" w:type="dxa"/>
                  <w:tcBorders>
                    <w:tl2br w:val="nil"/>
                    <w:tr2bl w:val="nil"/>
                  </w:tcBorders>
                  <w:vAlign w:val="center"/>
                </w:tcPr>
                <w:p w14:paraId="45FCCCE4">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搅拌排放粉尘</w:t>
                  </w:r>
                </w:p>
              </w:tc>
              <w:tc>
                <w:tcPr>
                  <w:tcW w:w="2046" w:type="dxa"/>
                  <w:tcBorders>
                    <w:tl2br w:val="nil"/>
                    <w:tr2bl w:val="nil"/>
                  </w:tcBorders>
                  <w:vAlign w:val="center"/>
                </w:tcPr>
                <w:p w14:paraId="01FF0C85">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0.286</w:t>
                  </w:r>
                </w:p>
              </w:tc>
            </w:tr>
            <w:tr w14:paraId="2CAC87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0EF0636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外加剂</w:t>
                  </w:r>
                </w:p>
              </w:tc>
              <w:tc>
                <w:tcPr>
                  <w:tcW w:w="2038" w:type="dxa"/>
                  <w:tcBorders>
                    <w:tl2br w:val="nil"/>
                    <w:tr2bl w:val="nil"/>
                  </w:tcBorders>
                  <w:vAlign w:val="center"/>
                </w:tcPr>
                <w:p w14:paraId="72C432E0">
                  <w:pPr>
                    <w:pStyle w:val="46"/>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3000</w:t>
                  </w:r>
                </w:p>
              </w:tc>
              <w:tc>
                <w:tcPr>
                  <w:tcW w:w="2034" w:type="dxa"/>
                  <w:tcBorders>
                    <w:tl2br w:val="nil"/>
                    <w:tr2bl w:val="nil"/>
                  </w:tcBorders>
                  <w:vAlign w:val="center"/>
                </w:tcPr>
                <w:p w14:paraId="6F80A382">
                  <w:pPr>
                    <w:pStyle w:val="46"/>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设备清洗损耗</w:t>
                  </w:r>
                </w:p>
              </w:tc>
              <w:tc>
                <w:tcPr>
                  <w:tcW w:w="2046" w:type="dxa"/>
                  <w:tcBorders>
                    <w:tl2br w:val="nil"/>
                    <w:tr2bl w:val="nil"/>
                  </w:tcBorders>
                  <w:vAlign w:val="center"/>
                </w:tcPr>
                <w:p w14:paraId="4BEC1C77">
                  <w:pPr>
                    <w:pStyle w:val="46"/>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90</w:t>
                  </w:r>
                </w:p>
              </w:tc>
            </w:tr>
            <w:tr w14:paraId="10465B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1623A87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生产用水</w:t>
                  </w:r>
                </w:p>
              </w:tc>
              <w:tc>
                <w:tcPr>
                  <w:tcW w:w="2038" w:type="dxa"/>
                  <w:tcBorders>
                    <w:tl2br w:val="nil"/>
                    <w:tr2bl w:val="nil"/>
                  </w:tcBorders>
                  <w:vAlign w:val="center"/>
                </w:tcPr>
                <w:p w14:paraId="70D789FB">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45000</w:t>
                  </w:r>
                </w:p>
              </w:tc>
              <w:tc>
                <w:tcPr>
                  <w:tcW w:w="2034" w:type="dxa"/>
                  <w:tcBorders>
                    <w:tl2br w:val="nil"/>
                    <w:tr2bl w:val="nil"/>
                  </w:tcBorders>
                  <w:vAlign w:val="center"/>
                </w:tcPr>
                <w:p w14:paraId="02080B9D">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设备清洗废水</w:t>
                  </w:r>
                </w:p>
              </w:tc>
              <w:tc>
                <w:tcPr>
                  <w:tcW w:w="2046" w:type="dxa"/>
                  <w:tcBorders>
                    <w:tl2br w:val="nil"/>
                    <w:tr2bl w:val="nil"/>
                  </w:tcBorders>
                  <w:vAlign w:val="center"/>
                </w:tcPr>
                <w:p w14:paraId="4EAE6DE6">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360</w:t>
                  </w:r>
                </w:p>
              </w:tc>
            </w:tr>
            <w:tr w14:paraId="7CE1ED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23A4979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设备清洗水</w:t>
                  </w:r>
                </w:p>
              </w:tc>
              <w:tc>
                <w:tcPr>
                  <w:tcW w:w="2038" w:type="dxa"/>
                  <w:tcBorders>
                    <w:tl2br w:val="nil"/>
                    <w:tr2bl w:val="nil"/>
                  </w:tcBorders>
                  <w:vAlign w:val="center"/>
                </w:tcPr>
                <w:p w14:paraId="61BF775D">
                  <w:pPr>
                    <w:pStyle w:val="46"/>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450</w:t>
                  </w:r>
                </w:p>
              </w:tc>
              <w:tc>
                <w:tcPr>
                  <w:tcW w:w="2034" w:type="dxa"/>
                  <w:tcBorders>
                    <w:tl2br w:val="nil"/>
                    <w:tr2bl w:val="nil"/>
                  </w:tcBorders>
                  <w:vAlign w:val="center"/>
                </w:tcPr>
                <w:p w14:paraId="77147F16">
                  <w:pPr>
                    <w:pStyle w:val="46"/>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除尘灰</w:t>
                  </w:r>
                </w:p>
              </w:tc>
              <w:tc>
                <w:tcPr>
                  <w:tcW w:w="2046" w:type="dxa"/>
                  <w:tcBorders>
                    <w:tl2br w:val="nil"/>
                    <w:tr2bl w:val="nil"/>
                  </w:tcBorders>
                  <w:vAlign w:val="center"/>
                </w:tcPr>
                <w:p w14:paraId="038AA987">
                  <w:pPr>
                    <w:pStyle w:val="46"/>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183.204</w:t>
                  </w:r>
                </w:p>
              </w:tc>
            </w:tr>
            <w:tr w14:paraId="6F1BED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5066AD8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砂石料</w:t>
                  </w:r>
                </w:p>
              </w:tc>
              <w:tc>
                <w:tcPr>
                  <w:tcW w:w="2038" w:type="dxa"/>
                  <w:tcBorders>
                    <w:tl2br w:val="nil"/>
                    <w:tr2bl w:val="nil"/>
                  </w:tcBorders>
                  <w:vAlign w:val="center"/>
                </w:tcPr>
                <w:p w14:paraId="0AB1B3D5">
                  <w:pPr>
                    <w:pStyle w:val="46"/>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567216.5</w:t>
                  </w:r>
                </w:p>
              </w:tc>
              <w:tc>
                <w:tcPr>
                  <w:tcW w:w="2034" w:type="dxa"/>
                  <w:tcBorders>
                    <w:tl2br w:val="nil"/>
                    <w:tr2bl w:val="nil"/>
                  </w:tcBorders>
                  <w:vAlign w:val="center"/>
                </w:tcPr>
                <w:p w14:paraId="38559807">
                  <w:pPr>
                    <w:pStyle w:val="46"/>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沉淀池</w:t>
                  </w:r>
                  <w:r>
                    <w:rPr>
                      <w:rFonts w:hint="eastAsia" w:cs="Times New Roman"/>
                      <w:color w:val="auto"/>
                      <w:sz w:val="21"/>
                      <w:szCs w:val="21"/>
                      <w:highlight w:val="none"/>
                      <w:lang w:eastAsia="zh-CN"/>
                    </w:rPr>
                    <w:t>泥沙</w:t>
                  </w:r>
                </w:p>
              </w:tc>
              <w:tc>
                <w:tcPr>
                  <w:tcW w:w="2046" w:type="dxa"/>
                  <w:tcBorders>
                    <w:tl2br w:val="nil"/>
                    <w:tr2bl w:val="nil"/>
                  </w:tcBorders>
                  <w:vAlign w:val="center"/>
                </w:tcPr>
                <w:p w14:paraId="34596469">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r>
            <w:tr w14:paraId="258E48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285202C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2038" w:type="dxa"/>
                  <w:tcBorders>
                    <w:tl2br w:val="nil"/>
                    <w:tr2bl w:val="nil"/>
                  </w:tcBorders>
                  <w:vAlign w:val="center"/>
                </w:tcPr>
                <w:p w14:paraId="3A76DC3B">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735666.24</w:t>
                  </w:r>
                </w:p>
              </w:tc>
              <w:tc>
                <w:tcPr>
                  <w:tcW w:w="2034" w:type="dxa"/>
                  <w:tcBorders>
                    <w:tl2br w:val="nil"/>
                    <w:tr2bl w:val="nil"/>
                  </w:tcBorders>
                  <w:vAlign w:val="center"/>
                </w:tcPr>
                <w:p w14:paraId="78C01A2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2046" w:type="dxa"/>
                  <w:tcBorders>
                    <w:tl2br w:val="nil"/>
                    <w:tr2bl w:val="nil"/>
                  </w:tcBorders>
                  <w:vAlign w:val="center"/>
                </w:tcPr>
                <w:p w14:paraId="1A6C5FD5">
                  <w:pPr>
                    <w:pStyle w:val="46"/>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735666.24</w:t>
                  </w:r>
                </w:p>
              </w:tc>
            </w:tr>
            <w:tr w14:paraId="23B034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555" w:type="dxa"/>
                  <w:gridSpan w:val="4"/>
                  <w:tcBorders>
                    <w:tl2br w:val="nil"/>
                    <w:tr2bl w:val="nil"/>
                  </w:tcBorders>
                  <w:vAlign w:val="center"/>
                </w:tcPr>
                <w:p w14:paraId="40823E5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抽检</w:t>
                  </w:r>
                </w:p>
              </w:tc>
            </w:tr>
            <w:tr w14:paraId="5E58C9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0521209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混凝土</w:t>
                  </w:r>
                </w:p>
              </w:tc>
              <w:tc>
                <w:tcPr>
                  <w:tcW w:w="2038" w:type="dxa"/>
                  <w:tcBorders>
                    <w:tl2br w:val="nil"/>
                    <w:tr2bl w:val="nil"/>
                  </w:tcBorders>
                  <w:vAlign w:val="center"/>
                </w:tcPr>
                <w:p w14:paraId="49E9A9D6">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735027.75</w:t>
                  </w:r>
                </w:p>
              </w:tc>
              <w:tc>
                <w:tcPr>
                  <w:tcW w:w="2034" w:type="dxa"/>
                  <w:tcBorders>
                    <w:tl2br w:val="nil"/>
                    <w:tr2bl w:val="nil"/>
                  </w:tcBorders>
                  <w:vAlign w:val="center"/>
                </w:tcPr>
                <w:p w14:paraId="00EABDF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商品混凝土</w:t>
                  </w:r>
                </w:p>
              </w:tc>
              <w:tc>
                <w:tcPr>
                  <w:tcW w:w="2046" w:type="dxa"/>
                  <w:tcBorders>
                    <w:tl2br w:val="nil"/>
                    <w:tr2bl w:val="nil"/>
                  </w:tcBorders>
                  <w:vAlign w:val="center"/>
                </w:tcPr>
                <w:p w14:paraId="6BDF8AD1">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735000</w:t>
                  </w:r>
                </w:p>
              </w:tc>
            </w:tr>
            <w:tr w14:paraId="755863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2D1E06AB">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2038" w:type="dxa"/>
                  <w:tcBorders>
                    <w:tl2br w:val="nil"/>
                    <w:tr2bl w:val="nil"/>
                  </w:tcBorders>
                  <w:vAlign w:val="center"/>
                </w:tcPr>
                <w:p w14:paraId="71E2560F">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2034" w:type="dxa"/>
                  <w:tcBorders>
                    <w:tl2br w:val="nil"/>
                    <w:tr2bl w:val="nil"/>
                  </w:tcBorders>
                  <w:vAlign w:val="center"/>
                </w:tcPr>
                <w:p w14:paraId="5E3FB1D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废混凝土</w:t>
                  </w:r>
                </w:p>
              </w:tc>
              <w:tc>
                <w:tcPr>
                  <w:tcW w:w="2046" w:type="dxa"/>
                  <w:tcBorders>
                    <w:tl2br w:val="nil"/>
                    <w:tr2bl w:val="nil"/>
                  </w:tcBorders>
                  <w:vAlign w:val="center"/>
                </w:tcPr>
                <w:p w14:paraId="7195C031">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27.75</w:t>
                  </w:r>
                </w:p>
              </w:tc>
            </w:tr>
            <w:tr w14:paraId="039D8E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37" w:type="dxa"/>
                  <w:tcBorders>
                    <w:tl2br w:val="nil"/>
                    <w:tr2bl w:val="nil"/>
                  </w:tcBorders>
                  <w:vAlign w:val="center"/>
                </w:tcPr>
                <w:p w14:paraId="6E3929B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2038" w:type="dxa"/>
                  <w:tcBorders>
                    <w:tl2br w:val="nil"/>
                    <w:tr2bl w:val="nil"/>
                  </w:tcBorders>
                  <w:vAlign w:val="center"/>
                </w:tcPr>
                <w:p w14:paraId="2017E667">
                  <w:pPr>
                    <w:pStyle w:val="46"/>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735027.75</w:t>
                  </w:r>
                </w:p>
              </w:tc>
              <w:tc>
                <w:tcPr>
                  <w:tcW w:w="2034" w:type="dxa"/>
                  <w:tcBorders>
                    <w:tl2br w:val="nil"/>
                    <w:tr2bl w:val="nil"/>
                  </w:tcBorders>
                  <w:vAlign w:val="center"/>
                </w:tcPr>
                <w:p w14:paraId="14B8FFA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2046" w:type="dxa"/>
                  <w:tcBorders>
                    <w:tl2br w:val="nil"/>
                    <w:tr2bl w:val="nil"/>
                  </w:tcBorders>
                  <w:vAlign w:val="center"/>
                </w:tcPr>
                <w:p w14:paraId="4B3D709D">
                  <w:pPr>
                    <w:pStyle w:val="46"/>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735027.75</w:t>
                  </w:r>
                </w:p>
              </w:tc>
            </w:tr>
          </w:tbl>
          <w:p w14:paraId="5B435E5E">
            <w:pPr>
              <w:pStyle w:val="46"/>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注：商品混凝土根据不同型号密度会有一定的差异，一般混凝土密度为2.30～2.50t/m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，本项目商品混凝土密度按2.</w:t>
            </w:r>
            <w:r>
              <w:rPr>
                <w:rFonts w:hint="eastAsia" w:cs="Times New Roman"/>
                <w:color w:val="auto"/>
                <w:highlight w:val="none"/>
                <w:lang w:val="en-US" w:eastAsia="zh-CN"/>
              </w:rPr>
              <w:t>45</w:t>
            </w:r>
            <w:r>
              <w:rPr>
                <w:rFonts w:hint="default" w:ascii="Times New Roman" w:hAnsi="Times New Roman" w:cs="Times New Roman"/>
                <w:color w:val="auto"/>
                <w:highlight w:val="none"/>
              </w:rPr>
              <w:t>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考虑，则</w:t>
            </w:r>
            <w:r>
              <w:rPr>
                <w:rFonts w:hint="eastAsia" w:cs="Times New Roman"/>
                <w:color w:val="auto"/>
                <w:highlight w:val="none"/>
                <w:lang w:val="en-US" w:eastAsia="zh-CN"/>
              </w:rPr>
              <w:t>30</w:t>
            </w:r>
            <w:r>
              <w:rPr>
                <w:rFonts w:hint="default" w:ascii="Times New Roman" w:hAnsi="Times New Roman" w:cs="Times New Roman"/>
                <w:color w:val="auto"/>
                <w:highlight w:val="none"/>
              </w:rPr>
              <w:t>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混凝土重量则为</w:t>
            </w:r>
            <w:r>
              <w:rPr>
                <w:rFonts w:hint="eastAsia" w:cs="Times New Roman"/>
                <w:color w:val="auto"/>
                <w:highlight w:val="none"/>
                <w:lang w:val="en-US" w:eastAsia="zh-CN"/>
              </w:rPr>
              <w:t>735000</w:t>
            </w:r>
            <w:r>
              <w:rPr>
                <w:rFonts w:hint="default" w:ascii="Times New Roman" w:hAnsi="Times New Roman" w:cs="Times New Roman"/>
                <w:color w:val="auto"/>
                <w:highlight w:val="none"/>
              </w:rPr>
              <w:t>t。</w:t>
            </w:r>
          </w:p>
          <w:p w14:paraId="433B7D2F">
            <w:pPr>
              <w:pStyle w:val="27"/>
              <w:rPr>
                <w:rFonts w:hint="default" w:ascii="Times New Roman" w:hAnsi="Times New Roman" w:cs="Times New Roman"/>
                <w:color w:val="auto"/>
                <w:highlight w:val="none"/>
              </w:rPr>
            </w:pPr>
          </w:p>
        </w:tc>
      </w:tr>
      <w:tr w14:paraId="55A662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842" w:type="dxa"/>
            <w:vAlign w:val="center"/>
          </w:tcPr>
          <w:p w14:paraId="3AEC8F49">
            <w:pPr>
              <w:ind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与项目有关的原有环境污染问题</w:t>
            </w:r>
          </w:p>
        </w:tc>
        <w:tc>
          <w:tcPr>
            <w:tcW w:w="7771" w:type="dxa"/>
            <w:vAlign w:val="center"/>
          </w:tcPr>
          <w:p w14:paraId="68EC0FE0">
            <w:pPr>
              <w:adjustRightInd w:val="0"/>
              <w:snapToGrid w:val="0"/>
              <w:spacing w:line="520" w:lineRule="exact"/>
              <w:ind w:left="0" w:leftChars="0" w:firstLine="0" w:firstLineChars="0"/>
              <w:rPr>
                <w:rFonts w:hint="eastAsia"/>
                <w:color w:val="auto"/>
                <w:sz w:val="24"/>
                <w:lang w:eastAsia="zh-CN"/>
              </w:rPr>
            </w:pPr>
          </w:p>
          <w:p w14:paraId="6C21F6BC">
            <w:pPr>
              <w:adjustRightInd w:val="0"/>
              <w:snapToGrid w:val="0"/>
              <w:spacing w:line="520" w:lineRule="exact"/>
              <w:ind w:firstLine="480" w:firstLineChars="200"/>
              <w:rPr>
                <w:rFonts w:hint="eastAsia"/>
                <w:color w:val="auto"/>
                <w:sz w:val="24"/>
                <w:lang w:eastAsia="zh-CN"/>
              </w:rPr>
            </w:pPr>
          </w:p>
          <w:p w14:paraId="367447EE">
            <w:pPr>
              <w:ind w:left="0" w:leftChars="0" w:firstLine="0" w:firstLineChars="0"/>
              <w:rPr>
                <w:rFonts w:hint="eastAsia"/>
                <w:color w:val="auto"/>
                <w:sz w:val="24"/>
                <w:lang w:eastAsia="zh-CN"/>
              </w:rPr>
            </w:pPr>
          </w:p>
          <w:p w14:paraId="173C63FC">
            <w:pPr>
              <w:pStyle w:val="2"/>
              <w:rPr>
                <w:rFonts w:hint="eastAsia"/>
                <w:color w:val="auto"/>
                <w:sz w:val="24"/>
                <w:lang w:eastAsia="zh-CN"/>
              </w:rPr>
            </w:pPr>
          </w:p>
          <w:p w14:paraId="63797E8A">
            <w:pPr>
              <w:rPr>
                <w:rFonts w:hint="eastAsia"/>
                <w:color w:val="auto"/>
                <w:sz w:val="24"/>
                <w:lang w:eastAsia="zh-CN"/>
              </w:rPr>
            </w:pPr>
          </w:p>
          <w:p w14:paraId="781AD496">
            <w:pPr>
              <w:pStyle w:val="2"/>
              <w:rPr>
                <w:rFonts w:hint="eastAsia"/>
                <w:color w:val="auto"/>
                <w:sz w:val="24"/>
                <w:lang w:eastAsia="zh-CN"/>
              </w:rPr>
            </w:pPr>
          </w:p>
          <w:p w14:paraId="1C4ED0A5">
            <w:pPr>
              <w:rPr>
                <w:rFonts w:hint="eastAsia"/>
                <w:color w:val="auto"/>
                <w:sz w:val="24"/>
                <w:lang w:eastAsia="zh-CN"/>
              </w:rPr>
            </w:pPr>
          </w:p>
          <w:p w14:paraId="6A15823E">
            <w:pPr>
              <w:adjustRightInd w:val="0"/>
              <w:snapToGrid w:val="0"/>
              <w:spacing w:line="520" w:lineRule="exact"/>
              <w:ind w:firstLine="480" w:firstLineChars="200"/>
              <w:rPr>
                <w:color w:val="auto"/>
                <w:sz w:val="24"/>
              </w:rPr>
            </w:pPr>
            <w:r>
              <w:rPr>
                <w:rFonts w:hint="eastAsia"/>
                <w:color w:val="auto"/>
                <w:sz w:val="24"/>
                <w:lang w:eastAsia="zh-CN"/>
              </w:rPr>
              <w:t>项目于</w:t>
            </w:r>
            <w:r>
              <w:rPr>
                <w:rFonts w:hint="eastAsia"/>
                <w:color w:val="auto"/>
                <w:sz w:val="24"/>
                <w:lang w:val="en-US" w:eastAsia="zh-CN"/>
              </w:rPr>
              <w:t>20</w:t>
            </w:r>
            <w:r>
              <w:rPr>
                <w:rFonts w:hint="eastAsia"/>
                <w:color w:val="auto"/>
                <w:sz w:val="24"/>
                <w:lang w:eastAsia="zh-CN"/>
              </w:rPr>
              <w:t>11年</w:t>
            </w:r>
            <w:r>
              <w:rPr>
                <w:color w:val="auto"/>
                <w:sz w:val="24"/>
              </w:rPr>
              <w:t>主体工程建成并投入生产，</w:t>
            </w:r>
            <w:r>
              <w:rPr>
                <w:rFonts w:hint="eastAsia"/>
                <w:color w:val="auto"/>
                <w:sz w:val="24"/>
                <w:lang w:val="en-US" w:eastAsia="zh-CN"/>
              </w:rPr>
              <w:t>20</w:t>
            </w:r>
            <w:r>
              <w:rPr>
                <w:rFonts w:hint="eastAsia"/>
                <w:color w:val="auto"/>
                <w:sz w:val="24"/>
                <w:lang w:eastAsia="zh-CN"/>
              </w:rPr>
              <w:t>1</w:t>
            </w:r>
            <w:r>
              <w:rPr>
                <w:rFonts w:hint="eastAsia"/>
                <w:color w:val="auto"/>
                <w:sz w:val="24"/>
                <w:lang w:val="en-US" w:eastAsia="zh-CN"/>
              </w:rPr>
              <w:t>3</w:t>
            </w:r>
            <w:r>
              <w:rPr>
                <w:rFonts w:hint="eastAsia"/>
                <w:color w:val="auto"/>
                <w:sz w:val="24"/>
                <w:lang w:eastAsia="zh-CN"/>
              </w:rPr>
              <w:t>年10月停产</w:t>
            </w:r>
            <w:r>
              <w:rPr>
                <w:color w:val="auto"/>
                <w:sz w:val="24"/>
              </w:rPr>
              <w:t>。</w:t>
            </w:r>
            <w:r>
              <w:rPr>
                <w:rFonts w:hint="eastAsia"/>
                <w:color w:val="auto"/>
                <w:sz w:val="24"/>
                <w:lang w:eastAsia="zh-CN"/>
              </w:rPr>
              <w:t>商混园区已</w:t>
            </w:r>
            <w:r>
              <w:rPr>
                <w:color w:val="auto"/>
                <w:sz w:val="24"/>
              </w:rPr>
              <w:t>缴纳罚款</w:t>
            </w:r>
            <w:r>
              <w:rPr>
                <w:rFonts w:hint="eastAsia"/>
                <w:color w:val="auto"/>
                <w:sz w:val="24"/>
                <w:lang w:eastAsia="zh-CN"/>
              </w:rPr>
              <w:t>，其中包括本项目（证明文件见附件）</w:t>
            </w:r>
            <w:r>
              <w:rPr>
                <w:color w:val="auto"/>
                <w:sz w:val="24"/>
              </w:rPr>
              <w:t>，</w:t>
            </w:r>
            <w:r>
              <w:rPr>
                <w:rFonts w:hint="eastAsia"/>
                <w:color w:val="auto"/>
                <w:sz w:val="24"/>
                <w:lang w:eastAsia="zh-CN"/>
              </w:rPr>
              <w:t>现</w:t>
            </w:r>
            <w:r>
              <w:rPr>
                <w:color w:val="auto"/>
                <w:sz w:val="24"/>
              </w:rPr>
              <w:t>依据相关法律规定完善环评手续。</w:t>
            </w:r>
          </w:p>
          <w:p w14:paraId="05585649">
            <w:pPr>
              <w:adjustRightInd w:val="0"/>
              <w:snapToGrid w:val="0"/>
              <w:spacing w:line="520" w:lineRule="exact"/>
              <w:ind w:firstLine="480" w:firstLineChars="200"/>
              <w:rPr>
                <w:bCs/>
                <w:color w:val="auto"/>
                <w:sz w:val="24"/>
              </w:rPr>
            </w:pPr>
            <w:r>
              <w:rPr>
                <w:bCs/>
                <w:color w:val="auto"/>
                <w:sz w:val="24"/>
              </w:rPr>
              <w:t>根据现场调查，目前项目存在以下问题：储料棚未建设物料露天堆放；本次评价针对存在的问题制定了环保措施及设施，减少环境污染。</w:t>
            </w:r>
          </w:p>
          <w:p w14:paraId="60E4A8F2">
            <w:pPr>
              <w:pStyle w:val="2"/>
              <w:rPr>
                <w:rFonts w:hint="eastAsia"/>
                <w:color w:val="auto"/>
                <w:sz w:val="24"/>
                <w:lang w:eastAsia="zh-CN"/>
              </w:rPr>
            </w:pPr>
          </w:p>
          <w:p w14:paraId="69750920">
            <w:pPr>
              <w:rPr>
                <w:rFonts w:hint="eastAsia"/>
                <w:color w:val="auto"/>
                <w:sz w:val="24"/>
                <w:lang w:eastAsia="zh-CN"/>
              </w:rPr>
            </w:pPr>
          </w:p>
          <w:p w14:paraId="26500A30">
            <w:pPr>
              <w:pStyle w:val="2"/>
              <w:rPr>
                <w:rFonts w:hint="eastAsia"/>
                <w:color w:val="auto"/>
                <w:sz w:val="24"/>
                <w:lang w:eastAsia="zh-CN"/>
              </w:rPr>
            </w:pPr>
          </w:p>
          <w:p w14:paraId="1DDF90F6">
            <w:pPr>
              <w:rPr>
                <w:rFonts w:hint="eastAsia"/>
                <w:color w:val="auto"/>
                <w:sz w:val="24"/>
                <w:lang w:eastAsia="zh-CN"/>
              </w:rPr>
            </w:pPr>
          </w:p>
          <w:p w14:paraId="6EDE48F5">
            <w:pPr>
              <w:pStyle w:val="2"/>
              <w:rPr>
                <w:rFonts w:hint="eastAsia"/>
                <w:color w:val="auto"/>
                <w:sz w:val="24"/>
                <w:lang w:eastAsia="zh-CN"/>
              </w:rPr>
            </w:pPr>
          </w:p>
          <w:p w14:paraId="1A08F304">
            <w:pPr>
              <w:rPr>
                <w:rFonts w:hint="eastAsia"/>
                <w:color w:val="auto"/>
                <w:sz w:val="24"/>
                <w:lang w:eastAsia="zh-CN"/>
              </w:rPr>
            </w:pPr>
          </w:p>
          <w:p w14:paraId="7A3BA231">
            <w:pPr>
              <w:pStyle w:val="2"/>
              <w:rPr>
                <w:rFonts w:hint="eastAsia"/>
                <w:color w:val="auto"/>
                <w:sz w:val="24"/>
                <w:lang w:eastAsia="zh-CN"/>
              </w:rPr>
            </w:pPr>
          </w:p>
          <w:p w14:paraId="0A97A11C">
            <w:pPr>
              <w:rPr>
                <w:rFonts w:hint="eastAsia"/>
                <w:color w:val="auto"/>
                <w:sz w:val="24"/>
                <w:lang w:eastAsia="zh-CN"/>
              </w:rPr>
            </w:pPr>
          </w:p>
          <w:p w14:paraId="5FEA30A9">
            <w:pPr>
              <w:pStyle w:val="2"/>
              <w:rPr>
                <w:rFonts w:hint="eastAsia"/>
                <w:color w:val="auto"/>
                <w:sz w:val="24"/>
                <w:lang w:eastAsia="zh-CN"/>
              </w:rPr>
            </w:pPr>
          </w:p>
          <w:p w14:paraId="6D44C32C">
            <w:pPr>
              <w:rPr>
                <w:rFonts w:hint="eastAsia"/>
                <w:color w:val="auto"/>
                <w:sz w:val="24"/>
                <w:lang w:eastAsia="zh-CN"/>
              </w:rPr>
            </w:pPr>
          </w:p>
          <w:p w14:paraId="76925F14">
            <w:pPr>
              <w:pStyle w:val="2"/>
              <w:ind w:left="0" w:leftChars="0" w:firstLine="0" w:firstLineChars="0"/>
              <w:rPr>
                <w:rFonts w:hint="eastAsia"/>
                <w:color w:val="auto"/>
                <w:sz w:val="24"/>
                <w:lang w:eastAsia="zh-CN"/>
              </w:rPr>
            </w:pPr>
          </w:p>
          <w:p w14:paraId="30CE89FE">
            <w:pPr>
              <w:rPr>
                <w:rFonts w:hint="eastAsia"/>
                <w:color w:val="auto"/>
                <w:sz w:val="24"/>
                <w:lang w:eastAsia="zh-CN"/>
              </w:rPr>
            </w:pPr>
          </w:p>
          <w:p w14:paraId="58971D18">
            <w:pPr>
              <w:pStyle w:val="2"/>
              <w:rPr>
                <w:rFonts w:hint="eastAsia"/>
                <w:color w:val="auto"/>
                <w:lang w:eastAsia="zh-CN"/>
              </w:rPr>
            </w:pPr>
          </w:p>
          <w:p w14:paraId="3EB9DC5A">
            <w:pPr>
              <w:pStyle w:val="2"/>
              <w:rPr>
                <w:rFonts w:hint="eastAsia"/>
                <w:color w:val="auto"/>
                <w:lang w:eastAsia="zh-CN"/>
              </w:rPr>
            </w:pPr>
          </w:p>
          <w:p w14:paraId="3B6F73F3">
            <w:pPr>
              <w:pStyle w:val="2"/>
              <w:ind w:left="0" w:leftChars="0" w:firstLine="0" w:firstLineChars="0"/>
              <w:rPr>
                <w:rFonts w:hint="default" w:ascii="Times New Roman" w:hAnsi="Times New Roman" w:cs="Times New Roman"/>
                <w:color w:val="auto"/>
                <w:highlight w:val="none"/>
              </w:rPr>
            </w:pPr>
          </w:p>
          <w:p w14:paraId="6D7D684B">
            <w:pPr>
              <w:rPr>
                <w:rFonts w:hint="default" w:ascii="Times New Roman" w:hAnsi="Times New Roman" w:cs="Times New Roman"/>
                <w:color w:val="auto"/>
                <w:highlight w:val="none"/>
              </w:rPr>
            </w:pPr>
          </w:p>
          <w:p w14:paraId="2E8E6784">
            <w:pPr>
              <w:pStyle w:val="2"/>
              <w:rPr>
                <w:rFonts w:hint="default" w:ascii="Times New Roman" w:hAnsi="Times New Roman" w:cs="Times New Roman"/>
                <w:color w:val="auto"/>
                <w:highlight w:val="none"/>
              </w:rPr>
            </w:pPr>
          </w:p>
          <w:p w14:paraId="2340793A">
            <w:pPr>
              <w:pStyle w:val="2"/>
              <w:ind w:left="0" w:leftChars="0" w:firstLine="0" w:firstLineChars="0"/>
              <w:rPr>
                <w:rFonts w:hint="default"/>
                <w:color w:val="auto"/>
              </w:rPr>
            </w:pPr>
          </w:p>
        </w:tc>
      </w:tr>
    </w:tbl>
    <w:p w14:paraId="299A8D4E">
      <w:pPr>
        <w:pStyle w:val="3"/>
        <w:rPr>
          <w:rFonts w:hint="default" w:ascii="Times New Roman" w:hAnsi="Times New Roman" w:cs="Times New Roman"/>
          <w:snapToGrid w:val="0"/>
          <w:color w:val="auto"/>
          <w:highlight w:val="none"/>
        </w:rPr>
        <w:sectPr>
          <w:pgSz w:w="11906" w:h="16838"/>
          <w:pgMar w:top="1440" w:right="1800" w:bottom="1440" w:left="1800" w:header="992" w:footer="992" w:gutter="0"/>
          <w:pgBorders>
            <w:top w:val="none" w:sz="0" w:space="0"/>
            <w:left w:val="none" w:sz="0" w:space="0"/>
            <w:bottom w:val="none" w:sz="0" w:space="0"/>
            <w:right w:val="none" w:sz="0" w:space="0"/>
          </w:pgBorders>
          <w:cols w:space="425" w:num="1"/>
          <w:docGrid w:type="lines" w:linePitch="312" w:charSpace="0"/>
        </w:sectPr>
      </w:pPr>
    </w:p>
    <w:p w14:paraId="30B522C2">
      <w:pPr>
        <w:pStyle w:val="3"/>
        <w:ind w:firstLine="640"/>
        <w:rPr>
          <w:rFonts w:hint="default" w:ascii="Times New Roman" w:hAnsi="Times New Roman" w:cs="Times New Roman"/>
          <w:snapToGrid w:val="0"/>
          <w:color w:val="auto"/>
          <w:highlight w:val="none"/>
        </w:rPr>
      </w:pPr>
      <w:bookmarkStart w:id="6" w:name="_Toc144507127"/>
      <w:r>
        <w:rPr>
          <w:rFonts w:hint="default" w:ascii="Times New Roman" w:hAnsi="Times New Roman" w:cs="Times New Roman"/>
          <w:snapToGrid w:val="0"/>
          <w:color w:val="auto"/>
          <w:highlight w:val="none"/>
        </w:rPr>
        <w:t>三、区域环境质量现状、环境保护目标及评价标准</w:t>
      </w:r>
      <w:bookmarkEnd w:id="6"/>
    </w:p>
    <w:tbl>
      <w:tblPr>
        <w:tblStyle w:val="23"/>
        <w:tblW w:w="854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872"/>
      </w:tblGrid>
      <w:tr w14:paraId="759E2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675" w:type="dxa"/>
            <w:vAlign w:val="center"/>
          </w:tcPr>
          <w:p w14:paraId="64FA4112">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区域环境质量现状</w:t>
            </w:r>
          </w:p>
        </w:tc>
        <w:tc>
          <w:tcPr>
            <w:tcW w:w="7872" w:type="dxa"/>
            <w:vAlign w:val="center"/>
          </w:tcPr>
          <w:p w14:paraId="65F48F10">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一</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rPr>
              <w:t>区域环境质量现状</w:t>
            </w:r>
          </w:p>
          <w:p w14:paraId="6CA5FFCC">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1.环境空气质量现状</w:t>
            </w:r>
          </w:p>
          <w:p w14:paraId="38A9DCD0">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（1）项目所在区域环境质量达标情况</w:t>
            </w:r>
          </w:p>
          <w:p w14:paraId="48206B05">
            <w:pPr>
              <w:ind w:firstLine="480"/>
              <w:rPr>
                <w:rFonts w:hint="default" w:ascii="Times New Roman" w:hAnsi="Times New Roman" w:cs="Times New Roman"/>
                <w:color w:val="auto"/>
                <w:highlight w:val="none"/>
              </w:rPr>
            </w:pPr>
            <w:bookmarkStart w:id="7" w:name="_Hlk78372480"/>
            <w:r>
              <w:rPr>
                <w:rFonts w:hint="default" w:ascii="Times New Roman" w:hAnsi="Times New Roman" w:cs="Times New Roman"/>
                <w:color w:val="auto"/>
                <w:highlight w:val="none"/>
              </w:rPr>
              <w:t>根据《环境影响评价技术导则大气环境》（HJ2.2-2018）中6.4.1.1中的内容</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城市环境空气质量达标评价指标为SO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10</w:t>
            </w: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2.5</w:t>
            </w:r>
            <w:r>
              <w:rPr>
                <w:rFonts w:hint="default" w:ascii="Times New Roman" w:hAnsi="Times New Roman" w:cs="Times New Roman"/>
                <w:color w:val="auto"/>
                <w:highlight w:val="none"/>
              </w:rPr>
              <w:t>、CO和O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，六项污染物全部达标即为城市环境空气质量达标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p w14:paraId="417B1C5C">
            <w:pPr>
              <w:ind w:firstLine="480"/>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项目所在地区为环境空气二类功能区，项目所在区域环境空气质量达标判定，优先采用国家或地方生态环境主管部门公开发布的评价基准年环境质量公告或环境质量报告中的数据或结论。本次采用《2024年内蒙古自治区生态环境状况公报》中数据作为评价区域达标情况的依据，《2024年内蒙古自治区生态环境状况公报》，2024年，全区环境空气六项污染物年均浓度均达标，因此，项目所在区域环境空气质量属于达标区</w:t>
            </w:r>
            <w:r>
              <w:rPr>
                <w:rFonts w:hint="default" w:ascii="Times New Roman" w:hAnsi="Times New Roman" w:cs="Times New Roman"/>
                <w:color w:val="auto"/>
                <w:highlight w:val="none"/>
              </w:rPr>
              <w:t>。</w:t>
            </w:r>
          </w:p>
          <w:p w14:paraId="7F339EC8">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（2）其他污染物环境质量现状</w:t>
            </w:r>
          </w:p>
          <w:p w14:paraId="59764E6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①</w:t>
            </w:r>
            <w:r>
              <w:rPr>
                <w:rFonts w:hint="default" w:ascii="Times New Roman" w:hAnsi="Times New Roman" w:cs="Times New Roman"/>
                <w:color w:val="auto"/>
                <w:highlight w:val="none"/>
              </w:rPr>
              <w:t>监测布点</w:t>
            </w:r>
          </w:p>
          <w:p w14:paraId="4C96CBF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按照《环境影响评价技术导则大气环境》（HJ2.2-2018）及《建设项目环境影响报告表（污染类影响）（试行）》的要求，“排放国家、地方环境空气质量标准中有标准限值要求的特征污染物时，引用建设项目周边</w:t>
            </w:r>
            <w:r>
              <w:rPr>
                <w:rFonts w:hint="default" w:ascii="Times New Roman" w:hAnsi="Times New Roman" w:cs="Times New Roman"/>
                <w:color w:val="auto"/>
                <w:highlight w:val="none"/>
                <w:lang w:eastAsia="zh-CN"/>
              </w:rPr>
              <w:t>五千</w:t>
            </w:r>
            <w:r>
              <w:rPr>
                <w:rFonts w:hint="default" w:ascii="Times New Roman" w:hAnsi="Times New Roman" w:cs="Times New Roman"/>
                <w:color w:val="auto"/>
                <w:highlight w:val="none"/>
              </w:rPr>
              <w:t>米范围内近3年的现有监测数据，无相关数据的选择当季主导风向下风向1个点位补充不少于3天的监测数据”，本项目排放的其他污染物主要为TSP。本次环境空气质量现状监测在当季主导风向的下风向设1个监测点，其具体布设情况见表3-</w:t>
            </w:r>
            <w:r>
              <w:rPr>
                <w:rFonts w:hint="eastAsia" w:cs="Times New Roman"/>
                <w:color w:val="auto"/>
                <w:highlight w:val="none"/>
                <w:lang w:val="en-US" w:eastAsia="zh-CN"/>
              </w:rPr>
              <w:t>1</w:t>
            </w:r>
            <w:r>
              <w:rPr>
                <w:rFonts w:hint="default" w:ascii="Times New Roman" w:hAnsi="Times New Roman" w:cs="Times New Roman"/>
                <w:color w:val="auto"/>
                <w:highlight w:val="none"/>
              </w:rPr>
              <w:t>所示，位置详见大气环境现状监测布点图3-1。</w:t>
            </w:r>
          </w:p>
          <w:p w14:paraId="069A668D">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表3-</w:t>
            </w: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其他污染物补充监测点位基本信息</w:t>
            </w:r>
          </w:p>
          <w:tbl>
            <w:tblPr>
              <w:tblStyle w:val="23"/>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03"/>
              <w:gridCol w:w="1603"/>
              <w:gridCol w:w="2603"/>
              <w:gridCol w:w="2844"/>
            </w:tblGrid>
            <w:tr w14:paraId="3E1A13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3" w:hRule="atLeast"/>
                <w:jc w:val="center"/>
              </w:trPr>
              <w:tc>
                <w:tcPr>
                  <w:tcW w:w="603" w:type="dxa"/>
                  <w:tcBorders>
                    <w:tl2br w:val="nil"/>
                    <w:tr2bl w:val="nil"/>
                  </w:tcBorders>
                  <w:vAlign w:val="center"/>
                </w:tcPr>
                <w:p w14:paraId="630818E3">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序号</w:t>
                  </w:r>
                </w:p>
              </w:tc>
              <w:tc>
                <w:tcPr>
                  <w:tcW w:w="1603" w:type="dxa"/>
                  <w:tcBorders>
                    <w:tl2br w:val="nil"/>
                    <w:tr2bl w:val="nil"/>
                  </w:tcBorders>
                  <w:vAlign w:val="center"/>
                </w:tcPr>
                <w:p w14:paraId="6A426DF0">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点位名称</w:t>
                  </w:r>
                </w:p>
              </w:tc>
              <w:tc>
                <w:tcPr>
                  <w:tcW w:w="2603" w:type="dxa"/>
                  <w:tcBorders>
                    <w:tl2br w:val="nil"/>
                    <w:tr2bl w:val="nil"/>
                  </w:tcBorders>
                  <w:vAlign w:val="center"/>
                </w:tcPr>
                <w:p w14:paraId="6EE88505">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与项目相对位置</w:t>
                  </w:r>
                </w:p>
              </w:tc>
              <w:tc>
                <w:tcPr>
                  <w:tcW w:w="2844" w:type="dxa"/>
                  <w:tcBorders>
                    <w:tl2br w:val="nil"/>
                    <w:tr2bl w:val="nil"/>
                  </w:tcBorders>
                  <w:vAlign w:val="center"/>
                </w:tcPr>
                <w:p w14:paraId="51EB6C93">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经纬度</w:t>
                  </w:r>
                </w:p>
              </w:tc>
            </w:tr>
            <w:tr w14:paraId="597618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603" w:type="dxa"/>
                  <w:tcBorders>
                    <w:tl2br w:val="nil"/>
                    <w:tr2bl w:val="nil"/>
                  </w:tcBorders>
                  <w:vAlign w:val="center"/>
                </w:tcPr>
                <w:p w14:paraId="312A9535">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p>
              </w:tc>
              <w:tc>
                <w:tcPr>
                  <w:tcW w:w="1603" w:type="dxa"/>
                  <w:tcBorders>
                    <w:tl2br w:val="nil"/>
                    <w:tr2bl w:val="nil"/>
                  </w:tcBorders>
                  <w:vAlign w:val="center"/>
                </w:tcPr>
                <w:p w14:paraId="5E0E25E4">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A1</w:t>
                  </w:r>
                </w:p>
              </w:tc>
              <w:tc>
                <w:tcPr>
                  <w:tcW w:w="2603" w:type="dxa"/>
                  <w:tcBorders>
                    <w:tl2br w:val="nil"/>
                    <w:tr2bl w:val="nil"/>
                  </w:tcBorders>
                  <w:vAlign w:val="center"/>
                </w:tcPr>
                <w:p w14:paraId="0631D4BF">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厂区下风向</w:t>
                  </w:r>
                </w:p>
              </w:tc>
              <w:tc>
                <w:tcPr>
                  <w:tcW w:w="2844" w:type="dxa"/>
                  <w:tcBorders>
                    <w:tl2br w:val="nil"/>
                    <w:tr2bl w:val="nil"/>
                  </w:tcBorders>
                  <w:vAlign w:val="center"/>
                </w:tcPr>
                <w:p w14:paraId="231DC095">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东经：109°57′21.73477″</w:t>
                  </w:r>
                </w:p>
                <w:p w14:paraId="4E22A2FC">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北纬：</w:t>
                  </w:r>
                  <w:r>
                    <w:rPr>
                      <w:rFonts w:hint="default" w:ascii="Times New Roman" w:hAnsi="Times New Roman" w:eastAsia="宋体" w:cs="Times New Roman"/>
                      <w:color w:val="auto"/>
                      <w:highlight w:val="none"/>
                    </w:rPr>
                    <w:t>39°44′28.12453″</w:t>
                  </w:r>
                </w:p>
              </w:tc>
            </w:tr>
            <w:tr w14:paraId="5EEF15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603" w:type="dxa"/>
                  <w:tcBorders>
                    <w:tl2br w:val="nil"/>
                    <w:tr2bl w:val="nil"/>
                  </w:tcBorders>
                  <w:vAlign w:val="center"/>
                </w:tcPr>
                <w:p w14:paraId="643B375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w:t>
                  </w:r>
                </w:p>
              </w:tc>
              <w:tc>
                <w:tcPr>
                  <w:tcW w:w="1603" w:type="dxa"/>
                  <w:tcBorders>
                    <w:tl2br w:val="nil"/>
                    <w:tr2bl w:val="nil"/>
                  </w:tcBorders>
                  <w:vAlign w:val="center"/>
                </w:tcPr>
                <w:p w14:paraId="17B83533">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lang w:val="en-US" w:eastAsia="zh-CN"/>
                    </w:rPr>
                    <w:t>2</w:t>
                  </w:r>
                </w:p>
              </w:tc>
              <w:tc>
                <w:tcPr>
                  <w:tcW w:w="2603" w:type="dxa"/>
                  <w:tcBorders>
                    <w:tl2br w:val="nil"/>
                    <w:tr2bl w:val="nil"/>
                  </w:tcBorders>
                  <w:vAlign w:val="center"/>
                </w:tcPr>
                <w:p w14:paraId="1971DAE7">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袁家粱村</w:t>
                  </w:r>
                </w:p>
              </w:tc>
              <w:tc>
                <w:tcPr>
                  <w:tcW w:w="2844" w:type="dxa"/>
                  <w:tcBorders>
                    <w:tl2br w:val="nil"/>
                    <w:tr2bl w:val="nil"/>
                  </w:tcBorders>
                  <w:vAlign w:val="center"/>
                </w:tcPr>
                <w:p w14:paraId="4F29B5B0">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东经：</w:t>
                  </w:r>
                  <w:r>
                    <w:rPr>
                      <w:rFonts w:hint="default" w:ascii="Times New Roman" w:hAnsi="Times New Roman" w:eastAsia="宋体" w:cs="Times New Roman"/>
                      <w:color w:val="auto"/>
                      <w:highlight w:val="none"/>
                      <w:lang w:val="en-US" w:eastAsia="zh-CN"/>
                    </w:rPr>
                    <w:t>109°57′17.64064″</w:t>
                  </w:r>
                </w:p>
                <w:p w14:paraId="2AC21BC9">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北纬：39°44′8.38776″</w:t>
                  </w:r>
                </w:p>
              </w:tc>
            </w:tr>
          </w:tbl>
          <w:p w14:paraId="39B7AD6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②</w:t>
            </w:r>
            <w:r>
              <w:rPr>
                <w:rFonts w:hint="default" w:ascii="Times New Roman" w:hAnsi="Times New Roman" w:cs="Times New Roman"/>
                <w:color w:val="auto"/>
                <w:highlight w:val="none"/>
              </w:rPr>
              <w:t>监测项目</w:t>
            </w:r>
          </w:p>
          <w:p w14:paraId="077F1D3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监测项目：TSP。</w:t>
            </w:r>
          </w:p>
          <w:p w14:paraId="79A0AE6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③</w:t>
            </w:r>
            <w:r>
              <w:rPr>
                <w:rFonts w:hint="default" w:ascii="Times New Roman" w:hAnsi="Times New Roman" w:cs="Times New Roman"/>
                <w:color w:val="auto"/>
                <w:highlight w:val="none"/>
              </w:rPr>
              <w:t>评价标准</w:t>
            </w:r>
          </w:p>
          <w:p w14:paraId="3CD9197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本项目TSP执行《环境空气质量标准》（GB3095-2012）二级标准。</w:t>
            </w:r>
          </w:p>
          <w:p w14:paraId="7AD3C8F8">
            <w:pPr>
              <w:pStyle w:val="27"/>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表3-</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环境空气质量标准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单位：µg/m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lang w:eastAsia="zh-CN"/>
              </w:rPr>
              <w:t>）</w:t>
            </w:r>
          </w:p>
          <w:tbl>
            <w:tblPr>
              <w:tblStyle w:val="23"/>
              <w:tblW w:w="4986"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2654"/>
              <w:gridCol w:w="1661"/>
              <w:gridCol w:w="1661"/>
              <w:gridCol w:w="1659"/>
            </w:tblGrid>
            <w:tr w14:paraId="646126D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74" w:hRule="atLeast"/>
                <w:jc w:val="center"/>
              </w:trPr>
              <w:tc>
                <w:tcPr>
                  <w:tcW w:w="2654" w:type="dxa"/>
                  <w:tcMar>
                    <w:top w:w="19" w:type="dxa"/>
                    <w:left w:w="19" w:type="dxa"/>
                    <w:bottom w:w="0" w:type="dxa"/>
                    <w:right w:w="19" w:type="dxa"/>
                  </w:tcMar>
                  <w:vAlign w:val="center"/>
                </w:tcPr>
                <w:p w14:paraId="252060B1">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污染物</w:t>
                  </w:r>
                </w:p>
              </w:tc>
              <w:tc>
                <w:tcPr>
                  <w:tcW w:w="1661" w:type="dxa"/>
                  <w:tcMar>
                    <w:top w:w="19" w:type="dxa"/>
                    <w:left w:w="19" w:type="dxa"/>
                    <w:bottom w:w="0" w:type="dxa"/>
                    <w:right w:w="19" w:type="dxa"/>
                  </w:tcMar>
                  <w:vAlign w:val="center"/>
                </w:tcPr>
                <w:p w14:paraId="375D6FA2">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24小时均值</w:t>
                  </w:r>
                </w:p>
              </w:tc>
              <w:tc>
                <w:tcPr>
                  <w:tcW w:w="1661" w:type="dxa"/>
                  <w:vAlign w:val="center"/>
                </w:tcPr>
                <w:p w14:paraId="0B4A3846">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8小时均值</w:t>
                  </w:r>
                </w:p>
              </w:tc>
              <w:tc>
                <w:tcPr>
                  <w:tcW w:w="1659" w:type="dxa"/>
                  <w:vAlign w:val="center"/>
                </w:tcPr>
                <w:p w14:paraId="5366DBAC">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1小时均值</w:t>
                  </w:r>
                </w:p>
              </w:tc>
            </w:tr>
            <w:tr w14:paraId="2B8B915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74" w:hRule="atLeast"/>
                <w:jc w:val="center"/>
              </w:trPr>
              <w:tc>
                <w:tcPr>
                  <w:tcW w:w="2654" w:type="dxa"/>
                  <w:tcMar>
                    <w:top w:w="19" w:type="dxa"/>
                    <w:left w:w="19" w:type="dxa"/>
                    <w:bottom w:w="0" w:type="dxa"/>
                    <w:right w:w="19" w:type="dxa"/>
                  </w:tcMar>
                  <w:vAlign w:val="center"/>
                </w:tcPr>
                <w:p w14:paraId="72B13CC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TSP</w:t>
                  </w:r>
                </w:p>
              </w:tc>
              <w:tc>
                <w:tcPr>
                  <w:tcW w:w="1661" w:type="dxa"/>
                  <w:tcMar>
                    <w:top w:w="19" w:type="dxa"/>
                    <w:left w:w="19" w:type="dxa"/>
                    <w:bottom w:w="0" w:type="dxa"/>
                    <w:right w:w="19" w:type="dxa"/>
                  </w:tcMar>
                  <w:vAlign w:val="center"/>
                </w:tcPr>
                <w:p w14:paraId="56259DC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300</w:t>
                  </w:r>
                </w:p>
              </w:tc>
              <w:tc>
                <w:tcPr>
                  <w:tcW w:w="1661" w:type="dxa"/>
                  <w:vAlign w:val="center"/>
                </w:tcPr>
                <w:p w14:paraId="192C4FD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659" w:type="dxa"/>
                  <w:vAlign w:val="center"/>
                </w:tcPr>
                <w:p w14:paraId="7C03C54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r>
          </w:tbl>
          <w:p w14:paraId="19E63BA6">
            <w:pPr>
              <w:numPr>
                <w:ilvl w:val="0"/>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④</w:t>
            </w:r>
            <w:r>
              <w:rPr>
                <w:rFonts w:hint="default" w:ascii="Times New Roman" w:hAnsi="Times New Roman" w:cs="Times New Roman"/>
                <w:color w:val="auto"/>
                <w:highlight w:val="none"/>
              </w:rPr>
              <w:t>监测结果</w:t>
            </w:r>
          </w:p>
          <w:p w14:paraId="7241E46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本项目TSP环境质量现状监测委托内蒙古科远环境检测有限公司</w:t>
            </w:r>
            <w:r>
              <w:rPr>
                <w:rFonts w:hint="default" w:ascii="Times New Roman" w:hAnsi="Times New Roman" w:cs="Times New Roman"/>
                <w:color w:val="auto"/>
                <w:highlight w:val="none"/>
                <w:lang w:eastAsia="zh-CN"/>
              </w:rPr>
              <w:t>监测，</w:t>
            </w:r>
            <w:r>
              <w:rPr>
                <w:rFonts w:hint="default" w:ascii="Times New Roman" w:hAnsi="Times New Roman" w:cs="Times New Roman"/>
                <w:color w:val="auto"/>
                <w:highlight w:val="none"/>
              </w:rPr>
              <w:t>于2024年</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月</w:t>
            </w:r>
            <w:r>
              <w:rPr>
                <w:rFonts w:hint="default" w:ascii="Times New Roman" w:hAnsi="Times New Roman" w:cs="Times New Roman"/>
                <w:color w:val="auto"/>
                <w:highlight w:val="none"/>
                <w:lang w:val="en-US" w:eastAsia="zh-CN"/>
              </w:rPr>
              <w:t>22</w:t>
            </w:r>
            <w:r>
              <w:rPr>
                <w:rFonts w:hint="default" w:ascii="Times New Roman" w:hAnsi="Times New Roman" w:cs="Times New Roman"/>
                <w:color w:val="auto"/>
                <w:highlight w:val="none"/>
              </w:rPr>
              <w:t>日至</w:t>
            </w:r>
            <w:r>
              <w:rPr>
                <w:rFonts w:hint="default" w:ascii="Times New Roman" w:hAnsi="Times New Roman" w:cs="Times New Roman"/>
                <w:color w:val="auto"/>
                <w:highlight w:val="none"/>
                <w:lang w:val="en-US" w:eastAsia="zh-CN"/>
              </w:rPr>
              <w:t>24</w:t>
            </w:r>
            <w:r>
              <w:rPr>
                <w:rFonts w:hint="default" w:ascii="Times New Roman" w:hAnsi="Times New Roman" w:cs="Times New Roman"/>
                <w:color w:val="auto"/>
                <w:highlight w:val="none"/>
              </w:rPr>
              <w:t>日对本项目所在地进行了现状监测，监测结果见下表。</w:t>
            </w:r>
          </w:p>
          <w:p w14:paraId="68F2A3CF">
            <w:pPr>
              <w:pStyle w:val="27"/>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表3-</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bCs/>
                <w:color w:val="auto"/>
                <w:szCs w:val="21"/>
                <w:highlight w:val="none"/>
              </w:rPr>
              <w:t>检测技术依据及仪器设备一览表</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24"/>
              <w:gridCol w:w="1125"/>
              <w:gridCol w:w="1894"/>
              <w:gridCol w:w="1282"/>
              <w:gridCol w:w="1891"/>
              <w:gridCol w:w="840"/>
            </w:tblGrid>
            <w:tr w14:paraId="317BD2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624" w:type="dxa"/>
                  <w:vAlign w:val="center"/>
                </w:tcPr>
                <w:p w14:paraId="1A1B8C09">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序号</w:t>
                  </w:r>
                </w:p>
              </w:tc>
              <w:tc>
                <w:tcPr>
                  <w:tcW w:w="1125" w:type="dxa"/>
                  <w:vAlign w:val="center"/>
                </w:tcPr>
                <w:p w14:paraId="22AB7F3D">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检测项目</w:t>
                  </w:r>
                </w:p>
              </w:tc>
              <w:tc>
                <w:tcPr>
                  <w:tcW w:w="1894" w:type="dxa"/>
                  <w:vAlign w:val="center"/>
                </w:tcPr>
                <w:p w14:paraId="10DDF9A3">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使用仪器设备</w:t>
                  </w:r>
                </w:p>
                <w:p w14:paraId="6EF517AC">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（管理编号）</w:t>
                  </w:r>
                </w:p>
              </w:tc>
              <w:tc>
                <w:tcPr>
                  <w:tcW w:w="1282" w:type="dxa"/>
                  <w:vAlign w:val="center"/>
                </w:tcPr>
                <w:p w14:paraId="143B4D89">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仪器溯源方式及有效期</w:t>
                  </w:r>
                </w:p>
              </w:tc>
              <w:tc>
                <w:tcPr>
                  <w:tcW w:w="1891" w:type="dxa"/>
                  <w:vAlign w:val="center"/>
                </w:tcPr>
                <w:p w14:paraId="7C639A42">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检测技术依据</w:t>
                  </w:r>
                </w:p>
              </w:tc>
              <w:tc>
                <w:tcPr>
                  <w:tcW w:w="840" w:type="dxa"/>
                  <w:vAlign w:val="center"/>
                </w:tcPr>
                <w:p w14:paraId="6162035C">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检出限</w:t>
                  </w:r>
                </w:p>
              </w:tc>
            </w:tr>
            <w:tr w14:paraId="3BB857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624" w:type="dxa"/>
                  <w:vMerge w:val="restart"/>
                  <w:vAlign w:val="center"/>
                </w:tcPr>
                <w:p w14:paraId="141C0CC6">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p>
              </w:tc>
              <w:tc>
                <w:tcPr>
                  <w:tcW w:w="1125" w:type="dxa"/>
                  <w:vMerge w:val="restart"/>
                  <w:vAlign w:val="center"/>
                </w:tcPr>
                <w:p w14:paraId="04318D5F">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总悬浮颗粒物</w:t>
                  </w:r>
                </w:p>
              </w:tc>
              <w:tc>
                <w:tcPr>
                  <w:tcW w:w="1894" w:type="dxa"/>
                  <w:vAlign w:val="center"/>
                </w:tcPr>
                <w:p w14:paraId="16BE4C26">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DL-6200 环境空气颗粒物综合采样器</w:t>
                  </w:r>
                </w:p>
                <w:p w14:paraId="6A0F0BB8">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KY-2210</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KY-2209</w:t>
                  </w:r>
                  <w:r>
                    <w:rPr>
                      <w:rFonts w:hint="eastAsia" w:cs="Times New Roman"/>
                      <w:color w:val="auto"/>
                      <w:highlight w:val="none"/>
                      <w:lang w:val="en-US" w:eastAsia="zh-CN"/>
                    </w:rPr>
                    <w:t>)</w:t>
                  </w:r>
                </w:p>
              </w:tc>
              <w:tc>
                <w:tcPr>
                  <w:tcW w:w="1282" w:type="dxa"/>
                  <w:vAlign w:val="center"/>
                </w:tcPr>
                <w:p w14:paraId="0873662C">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检定</w:t>
                  </w:r>
                </w:p>
                <w:p w14:paraId="5F9C83EF">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2024.09.03</w:t>
                  </w:r>
                </w:p>
              </w:tc>
              <w:tc>
                <w:tcPr>
                  <w:tcW w:w="1891" w:type="dxa"/>
                  <w:vMerge w:val="restart"/>
                  <w:vAlign w:val="center"/>
                </w:tcPr>
                <w:p w14:paraId="5705548D">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《环境空气 总悬浮颗粒物的测定 重量法》</w:t>
                  </w:r>
                </w:p>
                <w:p w14:paraId="05808549">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HJ 1263-2022</w:t>
                  </w:r>
                </w:p>
              </w:tc>
              <w:tc>
                <w:tcPr>
                  <w:tcW w:w="840" w:type="dxa"/>
                  <w:vMerge w:val="restart"/>
                  <w:vAlign w:val="center"/>
                </w:tcPr>
                <w:p w14:paraId="248C60C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0.007</w:t>
                  </w:r>
                </w:p>
                <w:p w14:paraId="365E7479">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rPr>
                    <w:t>g/m3</w:t>
                  </w:r>
                </w:p>
              </w:tc>
            </w:tr>
            <w:tr w14:paraId="0A7FDB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624" w:type="dxa"/>
                  <w:vMerge w:val="continue"/>
                  <w:vAlign w:val="center"/>
                </w:tcPr>
                <w:p w14:paraId="74206242">
                  <w:pPr>
                    <w:pStyle w:val="46"/>
                    <w:jc w:val="center"/>
                    <w:rPr>
                      <w:rFonts w:hint="default" w:ascii="Times New Roman" w:hAnsi="Times New Roman" w:eastAsia="宋体" w:cs="Times New Roman"/>
                      <w:color w:val="auto"/>
                      <w:highlight w:val="none"/>
                      <w:lang w:val="en-US" w:eastAsia="zh-CN"/>
                    </w:rPr>
                  </w:pPr>
                </w:p>
              </w:tc>
              <w:tc>
                <w:tcPr>
                  <w:tcW w:w="1125" w:type="dxa"/>
                  <w:vMerge w:val="continue"/>
                  <w:vAlign w:val="center"/>
                </w:tcPr>
                <w:p w14:paraId="0B6C5F6B">
                  <w:pPr>
                    <w:pStyle w:val="46"/>
                    <w:jc w:val="center"/>
                    <w:rPr>
                      <w:rFonts w:hint="default" w:ascii="Times New Roman" w:hAnsi="Times New Roman" w:eastAsia="宋体" w:cs="Times New Roman"/>
                      <w:color w:val="auto"/>
                      <w:highlight w:val="none"/>
                      <w:lang w:eastAsia="zh-CN"/>
                    </w:rPr>
                  </w:pPr>
                </w:p>
              </w:tc>
              <w:tc>
                <w:tcPr>
                  <w:tcW w:w="1894" w:type="dxa"/>
                  <w:vAlign w:val="center"/>
                </w:tcPr>
                <w:p w14:paraId="70C2B26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PX125DZH 天平</w:t>
                  </w:r>
                </w:p>
                <w:p w14:paraId="053BD272">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KY-1816</w:t>
                  </w:r>
                  <w:r>
                    <w:rPr>
                      <w:rFonts w:hint="eastAsia" w:cs="Times New Roman"/>
                      <w:color w:val="auto"/>
                      <w:highlight w:val="none"/>
                      <w:lang w:val="en-US" w:eastAsia="zh-CN"/>
                    </w:rPr>
                    <w:t>)</w:t>
                  </w:r>
                </w:p>
              </w:tc>
              <w:tc>
                <w:tcPr>
                  <w:tcW w:w="1282" w:type="dxa"/>
                  <w:vAlign w:val="center"/>
                </w:tcPr>
                <w:p w14:paraId="178C5BF3">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校准</w:t>
                  </w:r>
                </w:p>
                <w:p w14:paraId="71FFBCA0">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2024.09.18</w:t>
                  </w:r>
                </w:p>
              </w:tc>
              <w:tc>
                <w:tcPr>
                  <w:tcW w:w="1891" w:type="dxa"/>
                  <w:vMerge w:val="continue"/>
                  <w:vAlign w:val="center"/>
                </w:tcPr>
                <w:p w14:paraId="0944FAB3">
                  <w:pPr>
                    <w:pStyle w:val="46"/>
                    <w:jc w:val="center"/>
                    <w:rPr>
                      <w:rFonts w:hint="default" w:ascii="Times New Roman" w:hAnsi="Times New Roman" w:eastAsia="宋体" w:cs="Times New Roman"/>
                      <w:color w:val="auto"/>
                      <w:highlight w:val="none"/>
                      <w:lang w:val="en-US" w:eastAsia="zh-CN"/>
                    </w:rPr>
                  </w:pPr>
                </w:p>
              </w:tc>
              <w:tc>
                <w:tcPr>
                  <w:tcW w:w="840" w:type="dxa"/>
                  <w:vMerge w:val="continue"/>
                  <w:vAlign w:val="center"/>
                </w:tcPr>
                <w:p w14:paraId="78B64F0F">
                  <w:pPr>
                    <w:pStyle w:val="46"/>
                    <w:jc w:val="center"/>
                    <w:rPr>
                      <w:rFonts w:hint="default" w:ascii="Times New Roman" w:hAnsi="Times New Roman" w:eastAsia="宋体" w:cs="Times New Roman"/>
                      <w:color w:val="auto"/>
                      <w:highlight w:val="none"/>
                    </w:rPr>
                  </w:pPr>
                </w:p>
              </w:tc>
            </w:tr>
          </w:tbl>
          <w:p w14:paraId="7355256D">
            <w:pPr>
              <w:pStyle w:val="27"/>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表3-</w:t>
            </w:r>
            <w:r>
              <w:rPr>
                <w:rFonts w:hint="eastAsia" w:cs="Times New Roman"/>
                <w:color w:val="auto"/>
                <w:highlight w:val="none"/>
                <w:lang w:val="en-US" w:eastAsia="zh-CN"/>
              </w:rPr>
              <w:t>4</w:t>
            </w:r>
            <w:r>
              <w:rPr>
                <w:rFonts w:hint="default" w:ascii="Times New Roman" w:hAnsi="Times New Roman" w:cs="Times New Roman"/>
                <w:color w:val="auto"/>
                <w:highlight w:val="none"/>
              </w:rPr>
              <w:t xml:space="preserve">  </w:t>
            </w:r>
            <w:r>
              <w:rPr>
                <w:rFonts w:hint="default" w:ascii="Times New Roman" w:hAnsi="Times New Roman" w:cs="Times New Roman"/>
                <w:bCs/>
                <w:color w:val="auto"/>
                <w:szCs w:val="21"/>
                <w:highlight w:val="none"/>
              </w:rPr>
              <w:t>气象参数报告</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69"/>
              <w:gridCol w:w="1507"/>
              <w:gridCol w:w="1101"/>
              <w:gridCol w:w="1112"/>
              <w:gridCol w:w="1068"/>
              <w:gridCol w:w="999"/>
            </w:tblGrid>
            <w:tr w14:paraId="3DCAD0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tcBorders>
                    <w:tl2br w:val="nil"/>
                    <w:tr2bl w:val="nil"/>
                  </w:tcBorders>
                  <w:vAlign w:val="center"/>
                </w:tcPr>
                <w:p w14:paraId="5EBEE60F">
                  <w:pPr>
                    <w:pStyle w:val="46"/>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检测科室</w:t>
                  </w:r>
                </w:p>
              </w:tc>
              <w:tc>
                <w:tcPr>
                  <w:tcW w:w="1507" w:type="dxa"/>
                  <w:tcBorders>
                    <w:tl2br w:val="nil"/>
                    <w:tr2bl w:val="nil"/>
                  </w:tcBorders>
                  <w:vAlign w:val="center"/>
                </w:tcPr>
                <w:p w14:paraId="02DCD194">
                  <w:pPr>
                    <w:pStyle w:val="46"/>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现场室</w:t>
                  </w:r>
                </w:p>
              </w:tc>
              <w:tc>
                <w:tcPr>
                  <w:tcW w:w="2213" w:type="dxa"/>
                  <w:gridSpan w:val="2"/>
                  <w:tcBorders>
                    <w:tl2br w:val="nil"/>
                    <w:tr2bl w:val="nil"/>
                  </w:tcBorders>
                  <w:vAlign w:val="center"/>
                </w:tcPr>
                <w:p w14:paraId="05C5571B">
                  <w:pPr>
                    <w:pStyle w:val="46"/>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检测人员</w:t>
                  </w:r>
                </w:p>
              </w:tc>
              <w:tc>
                <w:tcPr>
                  <w:tcW w:w="2067" w:type="dxa"/>
                  <w:gridSpan w:val="2"/>
                  <w:tcBorders>
                    <w:tl2br w:val="nil"/>
                    <w:tr2bl w:val="nil"/>
                  </w:tcBorders>
                  <w:vAlign w:val="center"/>
                </w:tcPr>
                <w:p w14:paraId="707049C5">
                  <w:pPr>
                    <w:pStyle w:val="46"/>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石媛 陈程</w:t>
                  </w:r>
                </w:p>
              </w:tc>
            </w:tr>
            <w:tr w14:paraId="22CC5F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tcBorders>
                    <w:tl2br w:val="nil"/>
                    <w:tr2bl w:val="nil"/>
                  </w:tcBorders>
                  <w:vAlign w:val="center"/>
                </w:tcPr>
                <w:p w14:paraId="1B3803D3">
                  <w:pPr>
                    <w:pStyle w:val="46"/>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采样日期</w:t>
                  </w:r>
                </w:p>
              </w:tc>
              <w:tc>
                <w:tcPr>
                  <w:tcW w:w="1507" w:type="dxa"/>
                  <w:tcBorders>
                    <w:tl2br w:val="nil"/>
                    <w:tr2bl w:val="nil"/>
                  </w:tcBorders>
                  <w:vAlign w:val="center"/>
                </w:tcPr>
                <w:p w14:paraId="2D782568">
                  <w:pPr>
                    <w:pStyle w:val="46"/>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采样时间段</w:t>
                  </w:r>
                </w:p>
              </w:tc>
              <w:tc>
                <w:tcPr>
                  <w:tcW w:w="1101" w:type="dxa"/>
                  <w:tcBorders>
                    <w:tl2br w:val="nil"/>
                    <w:tr2bl w:val="nil"/>
                  </w:tcBorders>
                  <w:vAlign w:val="center"/>
                </w:tcPr>
                <w:p w14:paraId="79CF025D">
                  <w:pPr>
                    <w:pStyle w:val="46"/>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气温（℃）</w:t>
                  </w:r>
                </w:p>
              </w:tc>
              <w:tc>
                <w:tcPr>
                  <w:tcW w:w="1112" w:type="dxa"/>
                  <w:tcBorders>
                    <w:tl2br w:val="nil"/>
                    <w:tr2bl w:val="nil"/>
                  </w:tcBorders>
                  <w:vAlign w:val="center"/>
                </w:tcPr>
                <w:p w14:paraId="55ACEC47">
                  <w:pPr>
                    <w:pStyle w:val="46"/>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气压（kPa）</w:t>
                  </w:r>
                </w:p>
              </w:tc>
              <w:tc>
                <w:tcPr>
                  <w:tcW w:w="1068" w:type="dxa"/>
                  <w:tcBorders>
                    <w:tl2br w:val="nil"/>
                    <w:tr2bl w:val="nil"/>
                  </w:tcBorders>
                  <w:vAlign w:val="center"/>
                </w:tcPr>
                <w:p w14:paraId="1444FFA4">
                  <w:pPr>
                    <w:pStyle w:val="46"/>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风速（m/s）</w:t>
                  </w:r>
                </w:p>
              </w:tc>
              <w:tc>
                <w:tcPr>
                  <w:tcW w:w="999" w:type="dxa"/>
                  <w:tcBorders>
                    <w:tl2br w:val="nil"/>
                    <w:tr2bl w:val="nil"/>
                  </w:tcBorders>
                  <w:vAlign w:val="center"/>
                </w:tcPr>
                <w:p w14:paraId="291CF27F">
                  <w:pPr>
                    <w:pStyle w:val="46"/>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风向</w:t>
                  </w:r>
                </w:p>
              </w:tc>
            </w:tr>
            <w:tr w14:paraId="11587F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restart"/>
                  <w:tcBorders>
                    <w:tl2br w:val="nil"/>
                    <w:tr2bl w:val="nil"/>
                  </w:tcBorders>
                  <w:vAlign w:val="center"/>
                </w:tcPr>
                <w:p w14:paraId="131DD6AB">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2024.07.20</w:t>
                  </w:r>
                </w:p>
              </w:tc>
              <w:tc>
                <w:tcPr>
                  <w:tcW w:w="1507" w:type="dxa"/>
                  <w:tcBorders>
                    <w:tl2br w:val="nil"/>
                    <w:tr2bl w:val="nil"/>
                  </w:tcBorders>
                  <w:vAlign w:val="center"/>
                </w:tcPr>
                <w:p w14:paraId="6D9ECAE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02:00-03:00</w:t>
                  </w:r>
                </w:p>
              </w:tc>
              <w:tc>
                <w:tcPr>
                  <w:tcW w:w="1101" w:type="dxa"/>
                  <w:tcBorders>
                    <w:tl2br w:val="nil"/>
                    <w:tr2bl w:val="nil"/>
                  </w:tcBorders>
                  <w:vAlign w:val="center"/>
                </w:tcPr>
                <w:p w14:paraId="09748397">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22.5</w:t>
                  </w:r>
                </w:p>
              </w:tc>
              <w:tc>
                <w:tcPr>
                  <w:tcW w:w="1112" w:type="dxa"/>
                  <w:tcBorders>
                    <w:tl2br w:val="nil"/>
                    <w:tr2bl w:val="nil"/>
                  </w:tcBorders>
                  <w:vAlign w:val="center"/>
                </w:tcPr>
                <w:p w14:paraId="0773200D">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85.2</w:t>
                  </w:r>
                </w:p>
              </w:tc>
              <w:tc>
                <w:tcPr>
                  <w:tcW w:w="1068" w:type="dxa"/>
                  <w:tcBorders>
                    <w:tl2br w:val="nil"/>
                    <w:tr2bl w:val="nil"/>
                  </w:tcBorders>
                  <w:vAlign w:val="center"/>
                </w:tcPr>
                <w:p w14:paraId="4B54717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w:t>
                  </w:r>
                </w:p>
              </w:tc>
              <w:tc>
                <w:tcPr>
                  <w:tcW w:w="999" w:type="dxa"/>
                  <w:tcBorders>
                    <w:tl2br w:val="nil"/>
                    <w:tr2bl w:val="nil"/>
                  </w:tcBorders>
                  <w:vAlign w:val="center"/>
                </w:tcPr>
                <w:p w14:paraId="69BA73AD">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S</w:t>
                  </w:r>
                </w:p>
              </w:tc>
            </w:tr>
            <w:tr w14:paraId="70B167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continue"/>
                  <w:tcBorders>
                    <w:tl2br w:val="nil"/>
                    <w:tr2bl w:val="nil"/>
                  </w:tcBorders>
                  <w:vAlign w:val="center"/>
                </w:tcPr>
                <w:p w14:paraId="424D237D">
                  <w:pPr>
                    <w:pStyle w:val="46"/>
                    <w:jc w:val="center"/>
                    <w:rPr>
                      <w:rFonts w:hint="default" w:ascii="Times New Roman" w:hAnsi="Times New Roman" w:eastAsia="宋体" w:cs="Times New Roman"/>
                      <w:color w:val="auto"/>
                      <w:highlight w:val="none"/>
                      <w:lang w:val="en-US" w:eastAsia="zh-CN"/>
                    </w:rPr>
                  </w:pPr>
                </w:p>
              </w:tc>
              <w:tc>
                <w:tcPr>
                  <w:tcW w:w="1507" w:type="dxa"/>
                  <w:tcBorders>
                    <w:tl2br w:val="nil"/>
                    <w:tr2bl w:val="nil"/>
                  </w:tcBorders>
                  <w:vAlign w:val="center"/>
                </w:tcPr>
                <w:p w14:paraId="4867D80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08:00-09:00</w:t>
                  </w:r>
                </w:p>
              </w:tc>
              <w:tc>
                <w:tcPr>
                  <w:tcW w:w="1101" w:type="dxa"/>
                  <w:tcBorders>
                    <w:tl2br w:val="nil"/>
                    <w:tr2bl w:val="nil"/>
                  </w:tcBorders>
                  <w:vAlign w:val="center"/>
                </w:tcPr>
                <w:p w14:paraId="42A5833C">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24.3</w:t>
                  </w:r>
                </w:p>
              </w:tc>
              <w:tc>
                <w:tcPr>
                  <w:tcW w:w="1112" w:type="dxa"/>
                  <w:tcBorders>
                    <w:tl2br w:val="nil"/>
                    <w:tr2bl w:val="nil"/>
                  </w:tcBorders>
                  <w:vAlign w:val="center"/>
                </w:tcPr>
                <w:p w14:paraId="6AB5B19C">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85.1</w:t>
                  </w:r>
                </w:p>
              </w:tc>
              <w:tc>
                <w:tcPr>
                  <w:tcW w:w="1068" w:type="dxa"/>
                  <w:tcBorders>
                    <w:tl2br w:val="nil"/>
                    <w:tr2bl w:val="nil"/>
                  </w:tcBorders>
                  <w:vAlign w:val="center"/>
                </w:tcPr>
                <w:p w14:paraId="111F20E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1.3</w:t>
                  </w:r>
                </w:p>
              </w:tc>
              <w:tc>
                <w:tcPr>
                  <w:tcW w:w="999" w:type="dxa"/>
                  <w:tcBorders>
                    <w:tl2br w:val="nil"/>
                    <w:tr2bl w:val="nil"/>
                  </w:tcBorders>
                  <w:vAlign w:val="center"/>
                </w:tcPr>
                <w:p w14:paraId="0F46E3D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S</w:t>
                  </w:r>
                </w:p>
              </w:tc>
            </w:tr>
            <w:tr w14:paraId="6073B5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continue"/>
                  <w:tcBorders>
                    <w:tl2br w:val="nil"/>
                    <w:tr2bl w:val="nil"/>
                  </w:tcBorders>
                  <w:vAlign w:val="center"/>
                </w:tcPr>
                <w:p w14:paraId="7DE5CD26">
                  <w:pPr>
                    <w:pStyle w:val="46"/>
                    <w:jc w:val="center"/>
                    <w:rPr>
                      <w:rFonts w:hint="default" w:ascii="Times New Roman" w:hAnsi="Times New Roman" w:eastAsia="宋体" w:cs="Times New Roman"/>
                      <w:color w:val="auto"/>
                      <w:highlight w:val="none"/>
                      <w:lang w:val="en-US" w:eastAsia="zh-CN"/>
                    </w:rPr>
                  </w:pPr>
                </w:p>
              </w:tc>
              <w:tc>
                <w:tcPr>
                  <w:tcW w:w="1507" w:type="dxa"/>
                  <w:tcBorders>
                    <w:tl2br w:val="nil"/>
                    <w:tr2bl w:val="nil"/>
                  </w:tcBorders>
                  <w:vAlign w:val="center"/>
                </w:tcPr>
                <w:p w14:paraId="1683749E">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14:00-15:00</w:t>
                  </w:r>
                </w:p>
              </w:tc>
              <w:tc>
                <w:tcPr>
                  <w:tcW w:w="1101" w:type="dxa"/>
                  <w:tcBorders>
                    <w:tl2br w:val="nil"/>
                    <w:tr2bl w:val="nil"/>
                  </w:tcBorders>
                  <w:vAlign w:val="center"/>
                </w:tcPr>
                <w:p w14:paraId="67C860B8">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32.4</w:t>
                  </w:r>
                </w:p>
              </w:tc>
              <w:tc>
                <w:tcPr>
                  <w:tcW w:w="1112" w:type="dxa"/>
                  <w:tcBorders>
                    <w:tl2br w:val="nil"/>
                    <w:tr2bl w:val="nil"/>
                  </w:tcBorders>
                  <w:vAlign w:val="center"/>
                </w:tcPr>
                <w:p w14:paraId="039C0F55">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85.2</w:t>
                  </w:r>
                </w:p>
              </w:tc>
              <w:tc>
                <w:tcPr>
                  <w:tcW w:w="1068" w:type="dxa"/>
                  <w:tcBorders>
                    <w:tl2br w:val="nil"/>
                    <w:tr2bl w:val="nil"/>
                  </w:tcBorders>
                  <w:vAlign w:val="center"/>
                </w:tcPr>
                <w:p w14:paraId="2A664107">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w:t>
                  </w:r>
                </w:p>
              </w:tc>
              <w:tc>
                <w:tcPr>
                  <w:tcW w:w="999" w:type="dxa"/>
                  <w:tcBorders>
                    <w:tl2br w:val="nil"/>
                    <w:tr2bl w:val="nil"/>
                  </w:tcBorders>
                  <w:vAlign w:val="center"/>
                </w:tcPr>
                <w:p w14:paraId="138186D0">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S</w:t>
                  </w:r>
                </w:p>
              </w:tc>
            </w:tr>
            <w:tr w14:paraId="24A711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continue"/>
                  <w:tcBorders>
                    <w:tl2br w:val="nil"/>
                    <w:tr2bl w:val="nil"/>
                  </w:tcBorders>
                  <w:vAlign w:val="center"/>
                </w:tcPr>
                <w:p w14:paraId="69D0DB31">
                  <w:pPr>
                    <w:pStyle w:val="46"/>
                    <w:jc w:val="center"/>
                    <w:rPr>
                      <w:rFonts w:hint="default" w:ascii="Times New Roman" w:hAnsi="Times New Roman" w:eastAsia="宋体" w:cs="Times New Roman"/>
                      <w:color w:val="auto"/>
                      <w:highlight w:val="none"/>
                      <w:lang w:val="en-US" w:eastAsia="zh-CN"/>
                    </w:rPr>
                  </w:pPr>
                </w:p>
              </w:tc>
              <w:tc>
                <w:tcPr>
                  <w:tcW w:w="1507" w:type="dxa"/>
                  <w:tcBorders>
                    <w:tl2br w:val="nil"/>
                    <w:tr2bl w:val="nil"/>
                  </w:tcBorders>
                  <w:vAlign w:val="center"/>
                </w:tcPr>
                <w:p w14:paraId="655A002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20:00-21:00</w:t>
                  </w:r>
                </w:p>
              </w:tc>
              <w:tc>
                <w:tcPr>
                  <w:tcW w:w="1101" w:type="dxa"/>
                  <w:tcBorders>
                    <w:tl2br w:val="nil"/>
                    <w:tr2bl w:val="nil"/>
                  </w:tcBorders>
                  <w:vAlign w:val="center"/>
                </w:tcPr>
                <w:p w14:paraId="5380731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28.7</w:t>
                  </w:r>
                </w:p>
              </w:tc>
              <w:tc>
                <w:tcPr>
                  <w:tcW w:w="1112" w:type="dxa"/>
                  <w:tcBorders>
                    <w:tl2br w:val="nil"/>
                    <w:tr2bl w:val="nil"/>
                  </w:tcBorders>
                  <w:vAlign w:val="center"/>
                </w:tcPr>
                <w:p w14:paraId="06B9909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85.1</w:t>
                  </w:r>
                </w:p>
              </w:tc>
              <w:tc>
                <w:tcPr>
                  <w:tcW w:w="1068" w:type="dxa"/>
                  <w:tcBorders>
                    <w:tl2br w:val="nil"/>
                    <w:tr2bl w:val="nil"/>
                  </w:tcBorders>
                  <w:vAlign w:val="center"/>
                </w:tcPr>
                <w:p w14:paraId="53C0E86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w:t>
                  </w:r>
                </w:p>
              </w:tc>
              <w:tc>
                <w:tcPr>
                  <w:tcW w:w="999" w:type="dxa"/>
                  <w:tcBorders>
                    <w:tl2br w:val="nil"/>
                    <w:tr2bl w:val="nil"/>
                  </w:tcBorders>
                  <w:vAlign w:val="center"/>
                </w:tcPr>
                <w:p w14:paraId="313724A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S</w:t>
                  </w:r>
                </w:p>
              </w:tc>
            </w:tr>
            <w:tr w14:paraId="19F802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continue"/>
                  <w:tcBorders>
                    <w:tl2br w:val="nil"/>
                    <w:tr2bl w:val="nil"/>
                  </w:tcBorders>
                  <w:vAlign w:val="center"/>
                </w:tcPr>
                <w:p w14:paraId="3A06A66E">
                  <w:pPr>
                    <w:pStyle w:val="46"/>
                    <w:jc w:val="center"/>
                    <w:rPr>
                      <w:rFonts w:hint="default" w:ascii="Times New Roman" w:hAnsi="Times New Roman" w:eastAsia="宋体" w:cs="Times New Roman"/>
                      <w:color w:val="auto"/>
                      <w:highlight w:val="none"/>
                      <w:lang w:val="en-US" w:eastAsia="zh-CN"/>
                    </w:rPr>
                  </w:pPr>
                </w:p>
              </w:tc>
              <w:tc>
                <w:tcPr>
                  <w:tcW w:w="1507" w:type="dxa"/>
                  <w:tcBorders>
                    <w:tl2br w:val="nil"/>
                    <w:tr2bl w:val="nil"/>
                  </w:tcBorders>
                  <w:vAlign w:val="center"/>
                </w:tcPr>
                <w:p w14:paraId="0AE296BD">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00:00-24:00</w:t>
                  </w:r>
                </w:p>
              </w:tc>
              <w:tc>
                <w:tcPr>
                  <w:tcW w:w="1101" w:type="dxa"/>
                  <w:tcBorders>
                    <w:tl2br w:val="nil"/>
                    <w:tr2bl w:val="nil"/>
                  </w:tcBorders>
                  <w:vAlign w:val="center"/>
                </w:tcPr>
                <w:p w14:paraId="5B89A39F">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26.9</w:t>
                  </w:r>
                </w:p>
              </w:tc>
              <w:tc>
                <w:tcPr>
                  <w:tcW w:w="1112" w:type="dxa"/>
                  <w:tcBorders>
                    <w:tl2br w:val="nil"/>
                    <w:tr2bl w:val="nil"/>
                  </w:tcBorders>
                  <w:vAlign w:val="center"/>
                </w:tcPr>
                <w:p w14:paraId="1FF7CDB8">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85.2</w:t>
                  </w:r>
                </w:p>
              </w:tc>
              <w:tc>
                <w:tcPr>
                  <w:tcW w:w="1068" w:type="dxa"/>
                  <w:tcBorders>
                    <w:tl2br w:val="nil"/>
                    <w:tr2bl w:val="nil"/>
                  </w:tcBorders>
                  <w:vAlign w:val="center"/>
                </w:tcPr>
                <w:p w14:paraId="7DE3C30C">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w:t>
                  </w:r>
                </w:p>
              </w:tc>
              <w:tc>
                <w:tcPr>
                  <w:tcW w:w="999" w:type="dxa"/>
                  <w:tcBorders>
                    <w:tl2br w:val="nil"/>
                    <w:tr2bl w:val="nil"/>
                  </w:tcBorders>
                  <w:vAlign w:val="center"/>
                </w:tcPr>
                <w:p w14:paraId="399B82EB">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S</w:t>
                  </w:r>
                </w:p>
              </w:tc>
            </w:tr>
            <w:tr w14:paraId="4AF691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restart"/>
                  <w:tcBorders>
                    <w:tl2br w:val="nil"/>
                    <w:tr2bl w:val="nil"/>
                  </w:tcBorders>
                  <w:vAlign w:val="center"/>
                </w:tcPr>
                <w:p w14:paraId="2F467B5C">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2024.07.21</w:t>
                  </w:r>
                </w:p>
              </w:tc>
              <w:tc>
                <w:tcPr>
                  <w:tcW w:w="1507" w:type="dxa"/>
                  <w:tcBorders>
                    <w:tl2br w:val="nil"/>
                    <w:tr2bl w:val="nil"/>
                  </w:tcBorders>
                  <w:vAlign w:val="center"/>
                </w:tcPr>
                <w:p w14:paraId="0803F33F">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02:00-03:00</w:t>
                  </w:r>
                </w:p>
              </w:tc>
              <w:tc>
                <w:tcPr>
                  <w:tcW w:w="1101" w:type="dxa"/>
                  <w:tcBorders>
                    <w:tl2br w:val="nil"/>
                    <w:tr2bl w:val="nil"/>
                  </w:tcBorders>
                  <w:vAlign w:val="center"/>
                </w:tcPr>
                <w:p w14:paraId="5D75F3FD">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25.4</w:t>
                  </w:r>
                </w:p>
              </w:tc>
              <w:tc>
                <w:tcPr>
                  <w:tcW w:w="1112" w:type="dxa"/>
                  <w:tcBorders>
                    <w:tl2br w:val="nil"/>
                    <w:tr2bl w:val="nil"/>
                  </w:tcBorders>
                  <w:vAlign w:val="center"/>
                </w:tcPr>
                <w:p w14:paraId="115DA026">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85.2</w:t>
                  </w:r>
                </w:p>
              </w:tc>
              <w:tc>
                <w:tcPr>
                  <w:tcW w:w="1068" w:type="dxa"/>
                  <w:tcBorders>
                    <w:tl2br w:val="nil"/>
                    <w:tr2bl w:val="nil"/>
                  </w:tcBorders>
                  <w:vAlign w:val="center"/>
                </w:tcPr>
                <w:p w14:paraId="6115BEF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w:t>
                  </w:r>
                </w:p>
              </w:tc>
              <w:tc>
                <w:tcPr>
                  <w:tcW w:w="999" w:type="dxa"/>
                  <w:tcBorders>
                    <w:tl2br w:val="nil"/>
                    <w:tr2bl w:val="nil"/>
                  </w:tcBorders>
                  <w:vAlign w:val="center"/>
                </w:tcPr>
                <w:p w14:paraId="04EDE01B">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w:t>
                  </w:r>
                </w:p>
              </w:tc>
            </w:tr>
            <w:tr w14:paraId="00F7A5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continue"/>
                  <w:tcBorders>
                    <w:tl2br w:val="nil"/>
                    <w:tr2bl w:val="nil"/>
                  </w:tcBorders>
                  <w:vAlign w:val="center"/>
                </w:tcPr>
                <w:p w14:paraId="1E0093BC">
                  <w:pPr>
                    <w:pStyle w:val="46"/>
                    <w:jc w:val="center"/>
                    <w:rPr>
                      <w:rFonts w:hint="default" w:ascii="Times New Roman" w:hAnsi="Times New Roman" w:eastAsia="宋体" w:cs="Times New Roman"/>
                      <w:color w:val="auto"/>
                      <w:highlight w:val="none"/>
                      <w:lang w:val="en-US" w:eastAsia="zh-CN"/>
                    </w:rPr>
                  </w:pPr>
                </w:p>
              </w:tc>
              <w:tc>
                <w:tcPr>
                  <w:tcW w:w="1507" w:type="dxa"/>
                  <w:tcBorders>
                    <w:tl2br w:val="nil"/>
                    <w:tr2bl w:val="nil"/>
                  </w:tcBorders>
                  <w:vAlign w:val="center"/>
                </w:tcPr>
                <w:p w14:paraId="7ED0A63B">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08:00-09:00</w:t>
                  </w:r>
                </w:p>
              </w:tc>
              <w:tc>
                <w:tcPr>
                  <w:tcW w:w="1101" w:type="dxa"/>
                  <w:tcBorders>
                    <w:tl2br w:val="nil"/>
                    <w:tr2bl w:val="nil"/>
                  </w:tcBorders>
                  <w:vAlign w:val="center"/>
                </w:tcPr>
                <w:p w14:paraId="4EEC563F">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22.6</w:t>
                  </w:r>
                </w:p>
              </w:tc>
              <w:tc>
                <w:tcPr>
                  <w:tcW w:w="1112" w:type="dxa"/>
                  <w:tcBorders>
                    <w:tl2br w:val="nil"/>
                    <w:tr2bl w:val="nil"/>
                  </w:tcBorders>
                  <w:vAlign w:val="center"/>
                </w:tcPr>
                <w:p w14:paraId="09CBB73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85.1</w:t>
                  </w:r>
                </w:p>
              </w:tc>
              <w:tc>
                <w:tcPr>
                  <w:tcW w:w="1068" w:type="dxa"/>
                  <w:tcBorders>
                    <w:tl2br w:val="nil"/>
                    <w:tr2bl w:val="nil"/>
                  </w:tcBorders>
                  <w:vAlign w:val="center"/>
                </w:tcPr>
                <w:p w14:paraId="3C20EBB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1.5</w:t>
                  </w:r>
                </w:p>
              </w:tc>
              <w:tc>
                <w:tcPr>
                  <w:tcW w:w="999" w:type="dxa"/>
                  <w:tcBorders>
                    <w:tl2br w:val="nil"/>
                    <w:tr2bl w:val="nil"/>
                  </w:tcBorders>
                  <w:vAlign w:val="center"/>
                </w:tcPr>
                <w:p w14:paraId="6F7F6E1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w:t>
                  </w:r>
                </w:p>
              </w:tc>
            </w:tr>
            <w:tr w14:paraId="029EC7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continue"/>
                  <w:tcBorders>
                    <w:tl2br w:val="nil"/>
                    <w:tr2bl w:val="nil"/>
                  </w:tcBorders>
                  <w:vAlign w:val="center"/>
                </w:tcPr>
                <w:p w14:paraId="5BB0E856">
                  <w:pPr>
                    <w:pStyle w:val="46"/>
                    <w:jc w:val="center"/>
                    <w:rPr>
                      <w:rFonts w:hint="default" w:ascii="Times New Roman" w:hAnsi="Times New Roman" w:eastAsia="宋体" w:cs="Times New Roman"/>
                      <w:color w:val="auto"/>
                      <w:highlight w:val="none"/>
                      <w:lang w:val="en-US" w:eastAsia="zh-CN"/>
                    </w:rPr>
                  </w:pPr>
                </w:p>
              </w:tc>
              <w:tc>
                <w:tcPr>
                  <w:tcW w:w="1507" w:type="dxa"/>
                  <w:tcBorders>
                    <w:tl2br w:val="nil"/>
                    <w:tr2bl w:val="nil"/>
                  </w:tcBorders>
                  <w:vAlign w:val="center"/>
                </w:tcPr>
                <w:p w14:paraId="4DB3B86E">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14:00-15:00</w:t>
                  </w:r>
                </w:p>
              </w:tc>
              <w:tc>
                <w:tcPr>
                  <w:tcW w:w="1101" w:type="dxa"/>
                  <w:tcBorders>
                    <w:tl2br w:val="nil"/>
                    <w:tr2bl w:val="nil"/>
                  </w:tcBorders>
                  <w:vAlign w:val="center"/>
                </w:tcPr>
                <w:p w14:paraId="3E70C4D8">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29.8</w:t>
                  </w:r>
                </w:p>
              </w:tc>
              <w:tc>
                <w:tcPr>
                  <w:tcW w:w="1112" w:type="dxa"/>
                  <w:tcBorders>
                    <w:tl2br w:val="nil"/>
                    <w:tr2bl w:val="nil"/>
                  </w:tcBorders>
                  <w:vAlign w:val="center"/>
                </w:tcPr>
                <w:p w14:paraId="60831BB0">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85.1</w:t>
                  </w:r>
                </w:p>
              </w:tc>
              <w:tc>
                <w:tcPr>
                  <w:tcW w:w="1068" w:type="dxa"/>
                  <w:tcBorders>
                    <w:tl2br w:val="nil"/>
                    <w:tr2bl w:val="nil"/>
                  </w:tcBorders>
                  <w:vAlign w:val="center"/>
                </w:tcPr>
                <w:p w14:paraId="5B37D5C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2.4</w:t>
                  </w:r>
                </w:p>
              </w:tc>
              <w:tc>
                <w:tcPr>
                  <w:tcW w:w="999" w:type="dxa"/>
                  <w:tcBorders>
                    <w:tl2br w:val="nil"/>
                    <w:tr2bl w:val="nil"/>
                  </w:tcBorders>
                  <w:vAlign w:val="center"/>
                </w:tcPr>
                <w:p w14:paraId="1F67204E">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w:t>
                  </w:r>
                </w:p>
              </w:tc>
            </w:tr>
            <w:tr w14:paraId="6409D4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continue"/>
                  <w:tcBorders>
                    <w:tl2br w:val="nil"/>
                    <w:tr2bl w:val="nil"/>
                  </w:tcBorders>
                  <w:vAlign w:val="center"/>
                </w:tcPr>
                <w:p w14:paraId="0A9B975B">
                  <w:pPr>
                    <w:pStyle w:val="46"/>
                    <w:jc w:val="center"/>
                    <w:rPr>
                      <w:rFonts w:hint="default" w:ascii="Times New Roman" w:hAnsi="Times New Roman" w:eastAsia="宋体" w:cs="Times New Roman"/>
                      <w:color w:val="auto"/>
                      <w:highlight w:val="none"/>
                      <w:lang w:val="en-US" w:eastAsia="zh-CN"/>
                    </w:rPr>
                  </w:pPr>
                </w:p>
              </w:tc>
              <w:tc>
                <w:tcPr>
                  <w:tcW w:w="1507" w:type="dxa"/>
                  <w:tcBorders>
                    <w:tl2br w:val="nil"/>
                    <w:tr2bl w:val="nil"/>
                  </w:tcBorders>
                  <w:vAlign w:val="center"/>
                </w:tcPr>
                <w:p w14:paraId="58C00B55">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20:00-21:00</w:t>
                  </w:r>
                </w:p>
              </w:tc>
              <w:tc>
                <w:tcPr>
                  <w:tcW w:w="1101" w:type="dxa"/>
                  <w:tcBorders>
                    <w:tl2br w:val="nil"/>
                    <w:tr2bl w:val="nil"/>
                  </w:tcBorders>
                  <w:vAlign w:val="center"/>
                </w:tcPr>
                <w:p w14:paraId="1CD91A4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28.7</w:t>
                  </w:r>
                </w:p>
              </w:tc>
              <w:tc>
                <w:tcPr>
                  <w:tcW w:w="1112" w:type="dxa"/>
                  <w:tcBorders>
                    <w:tl2br w:val="nil"/>
                    <w:tr2bl w:val="nil"/>
                  </w:tcBorders>
                  <w:vAlign w:val="center"/>
                </w:tcPr>
                <w:p w14:paraId="03F978C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85.1</w:t>
                  </w:r>
                </w:p>
              </w:tc>
              <w:tc>
                <w:tcPr>
                  <w:tcW w:w="1068" w:type="dxa"/>
                  <w:tcBorders>
                    <w:tl2br w:val="nil"/>
                    <w:tr2bl w:val="nil"/>
                  </w:tcBorders>
                  <w:vAlign w:val="center"/>
                </w:tcPr>
                <w:p w14:paraId="0A19C22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1.3</w:t>
                  </w:r>
                </w:p>
              </w:tc>
              <w:tc>
                <w:tcPr>
                  <w:tcW w:w="999" w:type="dxa"/>
                  <w:tcBorders>
                    <w:tl2br w:val="nil"/>
                    <w:tr2bl w:val="nil"/>
                  </w:tcBorders>
                  <w:vAlign w:val="center"/>
                </w:tcPr>
                <w:p w14:paraId="3256269B">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w:t>
                  </w:r>
                </w:p>
              </w:tc>
            </w:tr>
            <w:tr w14:paraId="5A8398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continue"/>
                  <w:tcBorders>
                    <w:tl2br w:val="nil"/>
                    <w:tr2bl w:val="nil"/>
                  </w:tcBorders>
                  <w:vAlign w:val="center"/>
                </w:tcPr>
                <w:p w14:paraId="11A7E352">
                  <w:pPr>
                    <w:pStyle w:val="46"/>
                    <w:jc w:val="center"/>
                    <w:rPr>
                      <w:rFonts w:hint="default" w:ascii="Times New Roman" w:hAnsi="Times New Roman" w:eastAsia="宋体" w:cs="Times New Roman"/>
                      <w:color w:val="auto"/>
                      <w:highlight w:val="none"/>
                      <w:lang w:val="en-US" w:eastAsia="zh-CN"/>
                    </w:rPr>
                  </w:pPr>
                </w:p>
              </w:tc>
              <w:tc>
                <w:tcPr>
                  <w:tcW w:w="1507" w:type="dxa"/>
                  <w:tcBorders>
                    <w:tl2br w:val="nil"/>
                    <w:tr2bl w:val="nil"/>
                  </w:tcBorders>
                  <w:vAlign w:val="center"/>
                </w:tcPr>
                <w:p w14:paraId="485BE2B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00:00-24:00</w:t>
                  </w:r>
                </w:p>
              </w:tc>
              <w:tc>
                <w:tcPr>
                  <w:tcW w:w="1101" w:type="dxa"/>
                  <w:tcBorders>
                    <w:tl2br w:val="nil"/>
                    <w:tr2bl w:val="nil"/>
                  </w:tcBorders>
                  <w:vAlign w:val="center"/>
                </w:tcPr>
                <w:p w14:paraId="3BE4ECB5">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26.7</w:t>
                  </w:r>
                </w:p>
              </w:tc>
              <w:tc>
                <w:tcPr>
                  <w:tcW w:w="1112" w:type="dxa"/>
                  <w:tcBorders>
                    <w:tl2br w:val="nil"/>
                    <w:tr2bl w:val="nil"/>
                  </w:tcBorders>
                  <w:vAlign w:val="center"/>
                </w:tcPr>
                <w:p w14:paraId="7B6C4699">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85.1</w:t>
                  </w:r>
                </w:p>
              </w:tc>
              <w:tc>
                <w:tcPr>
                  <w:tcW w:w="1068" w:type="dxa"/>
                  <w:tcBorders>
                    <w:tl2br w:val="nil"/>
                    <w:tr2bl w:val="nil"/>
                  </w:tcBorders>
                  <w:vAlign w:val="center"/>
                </w:tcPr>
                <w:p w14:paraId="53B3DB90">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1.7</w:t>
                  </w:r>
                </w:p>
              </w:tc>
              <w:tc>
                <w:tcPr>
                  <w:tcW w:w="999" w:type="dxa"/>
                  <w:tcBorders>
                    <w:tl2br w:val="nil"/>
                    <w:tr2bl w:val="nil"/>
                  </w:tcBorders>
                  <w:vAlign w:val="center"/>
                </w:tcPr>
                <w:p w14:paraId="38B47D29">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w:t>
                  </w:r>
                </w:p>
              </w:tc>
            </w:tr>
            <w:tr w14:paraId="6870B5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restart"/>
                  <w:tcBorders>
                    <w:tl2br w:val="nil"/>
                    <w:tr2bl w:val="nil"/>
                  </w:tcBorders>
                  <w:vAlign w:val="center"/>
                </w:tcPr>
                <w:p w14:paraId="2B283489">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2024.07.22</w:t>
                  </w:r>
                </w:p>
              </w:tc>
              <w:tc>
                <w:tcPr>
                  <w:tcW w:w="1507" w:type="dxa"/>
                  <w:tcBorders>
                    <w:tl2br w:val="nil"/>
                    <w:tr2bl w:val="nil"/>
                  </w:tcBorders>
                  <w:vAlign w:val="center"/>
                </w:tcPr>
                <w:p w14:paraId="532B606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02:00-03:00</w:t>
                  </w:r>
                </w:p>
              </w:tc>
              <w:tc>
                <w:tcPr>
                  <w:tcW w:w="1101" w:type="dxa"/>
                  <w:tcBorders>
                    <w:tl2br w:val="nil"/>
                    <w:tr2bl w:val="nil"/>
                  </w:tcBorders>
                  <w:vAlign w:val="center"/>
                </w:tcPr>
                <w:p w14:paraId="565E6C8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24.3</w:t>
                  </w:r>
                </w:p>
              </w:tc>
              <w:tc>
                <w:tcPr>
                  <w:tcW w:w="1112" w:type="dxa"/>
                  <w:tcBorders>
                    <w:tl2br w:val="nil"/>
                    <w:tr2bl w:val="nil"/>
                  </w:tcBorders>
                  <w:vAlign w:val="center"/>
                </w:tcPr>
                <w:p w14:paraId="03BDCBA8">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85.1</w:t>
                  </w:r>
                </w:p>
              </w:tc>
              <w:tc>
                <w:tcPr>
                  <w:tcW w:w="1068" w:type="dxa"/>
                  <w:tcBorders>
                    <w:tl2br w:val="nil"/>
                    <w:tr2bl w:val="nil"/>
                  </w:tcBorders>
                  <w:vAlign w:val="center"/>
                </w:tcPr>
                <w:p w14:paraId="017BBA5F">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w:t>
                  </w:r>
                </w:p>
              </w:tc>
              <w:tc>
                <w:tcPr>
                  <w:tcW w:w="999" w:type="dxa"/>
                  <w:tcBorders>
                    <w:tl2br w:val="nil"/>
                    <w:tr2bl w:val="nil"/>
                  </w:tcBorders>
                  <w:vAlign w:val="center"/>
                </w:tcPr>
                <w:p w14:paraId="08744FC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w:t>
                  </w:r>
                </w:p>
              </w:tc>
            </w:tr>
            <w:tr w14:paraId="5C5BE7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continue"/>
                  <w:tcBorders>
                    <w:tl2br w:val="nil"/>
                    <w:tr2bl w:val="nil"/>
                  </w:tcBorders>
                  <w:vAlign w:val="center"/>
                </w:tcPr>
                <w:p w14:paraId="17B23BD1">
                  <w:pPr>
                    <w:pStyle w:val="46"/>
                    <w:jc w:val="center"/>
                    <w:rPr>
                      <w:rFonts w:hint="default" w:ascii="Times New Roman" w:hAnsi="Times New Roman" w:eastAsia="宋体" w:cs="Times New Roman"/>
                      <w:color w:val="auto"/>
                      <w:highlight w:val="none"/>
                      <w:lang w:val="en-US" w:eastAsia="zh-CN"/>
                    </w:rPr>
                  </w:pPr>
                </w:p>
              </w:tc>
              <w:tc>
                <w:tcPr>
                  <w:tcW w:w="1507" w:type="dxa"/>
                  <w:tcBorders>
                    <w:tl2br w:val="nil"/>
                    <w:tr2bl w:val="nil"/>
                  </w:tcBorders>
                  <w:vAlign w:val="center"/>
                </w:tcPr>
                <w:p w14:paraId="7AE988AB">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08:00-09:00</w:t>
                  </w:r>
                </w:p>
              </w:tc>
              <w:tc>
                <w:tcPr>
                  <w:tcW w:w="1101" w:type="dxa"/>
                  <w:tcBorders>
                    <w:tl2br w:val="nil"/>
                    <w:tr2bl w:val="nil"/>
                  </w:tcBorders>
                  <w:vAlign w:val="center"/>
                </w:tcPr>
                <w:p w14:paraId="18906A70">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28.6</w:t>
                  </w:r>
                </w:p>
              </w:tc>
              <w:tc>
                <w:tcPr>
                  <w:tcW w:w="1112" w:type="dxa"/>
                  <w:tcBorders>
                    <w:tl2br w:val="nil"/>
                    <w:tr2bl w:val="nil"/>
                  </w:tcBorders>
                  <w:vAlign w:val="center"/>
                </w:tcPr>
                <w:p w14:paraId="6921A2EB">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84.9</w:t>
                  </w:r>
                </w:p>
              </w:tc>
              <w:tc>
                <w:tcPr>
                  <w:tcW w:w="1068" w:type="dxa"/>
                  <w:tcBorders>
                    <w:tl2br w:val="nil"/>
                    <w:tr2bl w:val="nil"/>
                  </w:tcBorders>
                  <w:vAlign w:val="center"/>
                </w:tcPr>
                <w:p w14:paraId="221F0D43">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1.3</w:t>
                  </w:r>
                </w:p>
              </w:tc>
              <w:tc>
                <w:tcPr>
                  <w:tcW w:w="999" w:type="dxa"/>
                  <w:tcBorders>
                    <w:tl2br w:val="nil"/>
                    <w:tr2bl w:val="nil"/>
                  </w:tcBorders>
                  <w:vAlign w:val="center"/>
                </w:tcPr>
                <w:p w14:paraId="0C2195B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w:t>
                  </w:r>
                </w:p>
              </w:tc>
            </w:tr>
            <w:tr w14:paraId="492614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continue"/>
                  <w:tcBorders>
                    <w:tl2br w:val="nil"/>
                    <w:tr2bl w:val="nil"/>
                  </w:tcBorders>
                  <w:vAlign w:val="center"/>
                </w:tcPr>
                <w:p w14:paraId="24B18FC7">
                  <w:pPr>
                    <w:pStyle w:val="46"/>
                    <w:jc w:val="center"/>
                    <w:rPr>
                      <w:rFonts w:hint="default" w:ascii="Times New Roman" w:hAnsi="Times New Roman" w:eastAsia="宋体" w:cs="Times New Roman"/>
                      <w:color w:val="auto"/>
                      <w:highlight w:val="none"/>
                      <w:lang w:val="en-US" w:eastAsia="zh-CN"/>
                    </w:rPr>
                  </w:pPr>
                </w:p>
              </w:tc>
              <w:tc>
                <w:tcPr>
                  <w:tcW w:w="1507" w:type="dxa"/>
                  <w:tcBorders>
                    <w:tl2br w:val="nil"/>
                    <w:tr2bl w:val="nil"/>
                  </w:tcBorders>
                  <w:vAlign w:val="center"/>
                </w:tcPr>
                <w:p w14:paraId="6C73FB66">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14:00-15:00</w:t>
                  </w:r>
                </w:p>
              </w:tc>
              <w:tc>
                <w:tcPr>
                  <w:tcW w:w="1101" w:type="dxa"/>
                  <w:tcBorders>
                    <w:tl2br w:val="nil"/>
                    <w:tr2bl w:val="nil"/>
                  </w:tcBorders>
                  <w:vAlign w:val="center"/>
                </w:tcPr>
                <w:p w14:paraId="5D7B11AD">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32.7</w:t>
                  </w:r>
                </w:p>
              </w:tc>
              <w:tc>
                <w:tcPr>
                  <w:tcW w:w="1112" w:type="dxa"/>
                  <w:tcBorders>
                    <w:tl2br w:val="nil"/>
                    <w:tr2bl w:val="nil"/>
                  </w:tcBorders>
                  <w:vAlign w:val="center"/>
                </w:tcPr>
                <w:p w14:paraId="212E1E4C">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85.1</w:t>
                  </w:r>
                </w:p>
              </w:tc>
              <w:tc>
                <w:tcPr>
                  <w:tcW w:w="1068" w:type="dxa"/>
                  <w:tcBorders>
                    <w:tl2br w:val="nil"/>
                    <w:tr2bl w:val="nil"/>
                  </w:tcBorders>
                  <w:vAlign w:val="center"/>
                </w:tcPr>
                <w:p w14:paraId="12B090CA">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1.2</w:t>
                  </w:r>
                </w:p>
              </w:tc>
              <w:tc>
                <w:tcPr>
                  <w:tcW w:w="999" w:type="dxa"/>
                  <w:tcBorders>
                    <w:tl2br w:val="nil"/>
                    <w:tr2bl w:val="nil"/>
                  </w:tcBorders>
                  <w:vAlign w:val="center"/>
                </w:tcPr>
                <w:p w14:paraId="719B3E2B">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w:t>
                  </w:r>
                </w:p>
              </w:tc>
            </w:tr>
            <w:tr w14:paraId="180FEA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continue"/>
                  <w:tcBorders>
                    <w:tl2br w:val="nil"/>
                    <w:tr2bl w:val="nil"/>
                  </w:tcBorders>
                  <w:vAlign w:val="center"/>
                </w:tcPr>
                <w:p w14:paraId="4FB14666">
                  <w:pPr>
                    <w:pStyle w:val="46"/>
                    <w:jc w:val="center"/>
                    <w:rPr>
                      <w:rFonts w:hint="default" w:ascii="Times New Roman" w:hAnsi="Times New Roman" w:eastAsia="宋体" w:cs="Times New Roman"/>
                      <w:color w:val="auto"/>
                      <w:highlight w:val="none"/>
                      <w:lang w:val="en-US" w:eastAsia="zh-CN"/>
                    </w:rPr>
                  </w:pPr>
                </w:p>
              </w:tc>
              <w:tc>
                <w:tcPr>
                  <w:tcW w:w="1507" w:type="dxa"/>
                  <w:tcBorders>
                    <w:tl2br w:val="nil"/>
                    <w:tr2bl w:val="nil"/>
                  </w:tcBorders>
                  <w:vAlign w:val="center"/>
                </w:tcPr>
                <w:p w14:paraId="4C84A15A">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20:00-21:00</w:t>
                  </w:r>
                </w:p>
              </w:tc>
              <w:tc>
                <w:tcPr>
                  <w:tcW w:w="1101" w:type="dxa"/>
                  <w:tcBorders>
                    <w:tl2br w:val="nil"/>
                    <w:tr2bl w:val="nil"/>
                  </w:tcBorders>
                  <w:vAlign w:val="center"/>
                </w:tcPr>
                <w:p w14:paraId="614F372E">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28.3</w:t>
                  </w:r>
                </w:p>
              </w:tc>
              <w:tc>
                <w:tcPr>
                  <w:tcW w:w="1112" w:type="dxa"/>
                  <w:tcBorders>
                    <w:tl2br w:val="nil"/>
                    <w:tr2bl w:val="nil"/>
                  </w:tcBorders>
                  <w:vAlign w:val="center"/>
                </w:tcPr>
                <w:p w14:paraId="5CF9A80B">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85.1</w:t>
                  </w:r>
                </w:p>
              </w:tc>
              <w:tc>
                <w:tcPr>
                  <w:tcW w:w="1068" w:type="dxa"/>
                  <w:tcBorders>
                    <w:tl2br w:val="nil"/>
                    <w:tr2bl w:val="nil"/>
                  </w:tcBorders>
                  <w:vAlign w:val="center"/>
                </w:tcPr>
                <w:p w14:paraId="3327E168">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2.4</w:t>
                  </w:r>
                </w:p>
              </w:tc>
              <w:tc>
                <w:tcPr>
                  <w:tcW w:w="999" w:type="dxa"/>
                  <w:tcBorders>
                    <w:tl2br w:val="nil"/>
                    <w:tr2bl w:val="nil"/>
                  </w:tcBorders>
                  <w:vAlign w:val="center"/>
                </w:tcPr>
                <w:p w14:paraId="58E3065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S</w:t>
                  </w:r>
                </w:p>
              </w:tc>
            </w:tr>
            <w:tr w14:paraId="4FE99F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vMerge w:val="continue"/>
                  <w:tcBorders>
                    <w:tl2br w:val="nil"/>
                    <w:tr2bl w:val="nil"/>
                  </w:tcBorders>
                  <w:vAlign w:val="center"/>
                </w:tcPr>
                <w:p w14:paraId="3FCE4DB5">
                  <w:pPr>
                    <w:pStyle w:val="46"/>
                    <w:jc w:val="center"/>
                    <w:rPr>
                      <w:rFonts w:hint="default" w:ascii="Times New Roman" w:hAnsi="Times New Roman" w:eastAsia="宋体" w:cs="Times New Roman"/>
                      <w:color w:val="auto"/>
                      <w:highlight w:val="none"/>
                      <w:lang w:val="en-US" w:eastAsia="zh-CN"/>
                    </w:rPr>
                  </w:pPr>
                </w:p>
              </w:tc>
              <w:tc>
                <w:tcPr>
                  <w:tcW w:w="1507" w:type="dxa"/>
                  <w:tcBorders>
                    <w:tl2br w:val="nil"/>
                    <w:tr2bl w:val="nil"/>
                  </w:tcBorders>
                  <w:vAlign w:val="center"/>
                </w:tcPr>
                <w:p w14:paraId="21C00EEC">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00:00-24:00</w:t>
                  </w:r>
                </w:p>
              </w:tc>
              <w:tc>
                <w:tcPr>
                  <w:tcW w:w="1101" w:type="dxa"/>
                  <w:tcBorders>
                    <w:tl2br w:val="nil"/>
                    <w:tr2bl w:val="nil"/>
                  </w:tcBorders>
                  <w:vAlign w:val="center"/>
                </w:tcPr>
                <w:p w14:paraId="7209DDC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28.5</w:t>
                  </w:r>
                </w:p>
              </w:tc>
              <w:tc>
                <w:tcPr>
                  <w:tcW w:w="1112" w:type="dxa"/>
                  <w:tcBorders>
                    <w:tl2br w:val="nil"/>
                    <w:tr2bl w:val="nil"/>
                  </w:tcBorders>
                  <w:vAlign w:val="center"/>
                </w:tcPr>
                <w:p w14:paraId="2DEE774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85.1</w:t>
                  </w:r>
                </w:p>
              </w:tc>
              <w:tc>
                <w:tcPr>
                  <w:tcW w:w="1068" w:type="dxa"/>
                  <w:tcBorders>
                    <w:tl2br w:val="nil"/>
                    <w:tr2bl w:val="nil"/>
                  </w:tcBorders>
                  <w:vAlign w:val="center"/>
                </w:tcPr>
                <w:p w14:paraId="7061A398">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1.6</w:t>
                  </w:r>
                </w:p>
              </w:tc>
              <w:tc>
                <w:tcPr>
                  <w:tcW w:w="999" w:type="dxa"/>
                  <w:tcBorders>
                    <w:tl2br w:val="nil"/>
                    <w:tr2bl w:val="nil"/>
                  </w:tcBorders>
                  <w:vAlign w:val="center"/>
                </w:tcPr>
                <w:p w14:paraId="30330213">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S</w:t>
                  </w:r>
                </w:p>
              </w:tc>
            </w:tr>
            <w:tr w14:paraId="29DDF4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869" w:type="dxa"/>
                  <w:tcBorders>
                    <w:tl2br w:val="nil"/>
                    <w:tr2bl w:val="nil"/>
                  </w:tcBorders>
                  <w:vAlign w:val="center"/>
                </w:tcPr>
                <w:p w14:paraId="0E8D1A18">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备注</w:t>
                  </w:r>
                </w:p>
              </w:tc>
              <w:tc>
                <w:tcPr>
                  <w:tcW w:w="5787" w:type="dxa"/>
                  <w:gridSpan w:val="5"/>
                  <w:tcBorders>
                    <w:tl2br w:val="nil"/>
                    <w:tr2bl w:val="nil"/>
                  </w:tcBorders>
                  <w:vAlign w:val="center"/>
                </w:tcPr>
                <w:p w14:paraId="5BCECACB">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r>
          </w:tbl>
          <w:p w14:paraId="37447479">
            <w:pPr>
              <w:pStyle w:val="27"/>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表3-</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 xml:space="preserve">  </w:t>
            </w:r>
            <w:r>
              <w:rPr>
                <w:rFonts w:hint="eastAsia" w:cs="Times New Roman"/>
                <w:color w:val="auto"/>
                <w:highlight w:val="none"/>
                <w:lang w:val="en-US" w:eastAsia="zh-CN"/>
              </w:rPr>
              <w:t>环境空气监测</w:t>
            </w:r>
            <w:r>
              <w:rPr>
                <w:rFonts w:hint="default" w:ascii="Times New Roman" w:hAnsi="Times New Roman" w:cs="Times New Roman"/>
                <w:bCs/>
                <w:color w:val="auto"/>
                <w:szCs w:val="21"/>
                <w:highlight w:val="none"/>
              </w:rPr>
              <w:t>结果表</w:t>
            </w:r>
          </w:p>
          <w:tbl>
            <w:tblPr>
              <w:tblStyle w:val="23"/>
              <w:tblpPr w:leftFromText="180" w:rightFromText="180" w:vertAnchor="text" w:tblpXSpec="center" w:tblpY="1"/>
              <w:tblOverlap w:val="never"/>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84"/>
              <w:gridCol w:w="1352"/>
              <w:gridCol w:w="1900"/>
              <w:gridCol w:w="1240"/>
              <w:gridCol w:w="1417"/>
              <w:gridCol w:w="763"/>
            </w:tblGrid>
            <w:tr w14:paraId="046891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984" w:type="dxa"/>
                  <w:vAlign w:val="center"/>
                </w:tcPr>
                <w:p w14:paraId="006A143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检测点位</w:t>
                  </w:r>
                </w:p>
              </w:tc>
              <w:tc>
                <w:tcPr>
                  <w:tcW w:w="1352" w:type="dxa"/>
                  <w:vAlign w:val="center"/>
                </w:tcPr>
                <w:p w14:paraId="3E8E211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采样时间段</w:t>
                  </w:r>
                </w:p>
              </w:tc>
              <w:tc>
                <w:tcPr>
                  <w:tcW w:w="1900" w:type="dxa"/>
                  <w:vAlign w:val="center"/>
                </w:tcPr>
                <w:p w14:paraId="14F5C4B3">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样品编号</w:t>
                  </w:r>
                </w:p>
              </w:tc>
              <w:tc>
                <w:tcPr>
                  <w:tcW w:w="1240" w:type="dxa"/>
                  <w:tcBorders>
                    <w:right w:val="single" w:color="auto" w:sz="4" w:space="0"/>
                  </w:tcBorders>
                  <w:vAlign w:val="center"/>
                </w:tcPr>
                <w:p w14:paraId="4083AC4F">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检测结果</w:t>
                  </w:r>
                </w:p>
                <w:p w14:paraId="50F26F4F">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（mg/m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w:t>
                  </w:r>
                </w:p>
              </w:tc>
              <w:tc>
                <w:tcPr>
                  <w:tcW w:w="1417" w:type="dxa"/>
                  <w:tcBorders>
                    <w:right w:val="nil"/>
                  </w:tcBorders>
                  <w:vAlign w:val="center"/>
                </w:tcPr>
                <w:p w14:paraId="159A141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标准限值（mg/m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w:t>
                  </w:r>
                </w:p>
              </w:tc>
              <w:tc>
                <w:tcPr>
                  <w:tcW w:w="763" w:type="dxa"/>
                  <w:tcBorders>
                    <w:right w:val="nil"/>
                  </w:tcBorders>
                  <w:vAlign w:val="center"/>
                </w:tcPr>
                <w:p w14:paraId="39F42EA5">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是否</w:t>
                  </w:r>
                </w:p>
                <w:p w14:paraId="1F28C58F">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达标</w:t>
                  </w:r>
                </w:p>
              </w:tc>
            </w:tr>
            <w:tr w14:paraId="4C3AE8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984" w:type="dxa"/>
                  <w:vMerge w:val="restart"/>
                  <w:vAlign w:val="center"/>
                </w:tcPr>
                <w:p w14:paraId="4401C6BE">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厂区下风向</w:t>
                  </w:r>
                </w:p>
              </w:tc>
              <w:tc>
                <w:tcPr>
                  <w:tcW w:w="1352" w:type="dxa"/>
                  <w:vAlign w:val="center"/>
                </w:tcPr>
                <w:p w14:paraId="582517E0">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00:00-24:00</w:t>
                  </w:r>
                </w:p>
              </w:tc>
              <w:tc>
                <w:tcPr>
                  <w:tcW w:w="1900" w:type="dxa"/>
                  <w:vAlign w:val="center"/>
                </w:tcPr>
                <w:p w14:paraId="1459B0A3">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856HQ1-01-01</w:t>
                  </w:r>
                </w:p>
              </w:tc>
              <w:tc>
                <w:tcPr>
                  <w:tcW w:w="1240" w:type="dxa"/>
                  <w:tcBorders>
                    <w:right w:val="single" w:color="auto" w:sz="4" w:space="0"/>
                  </w:tcBorders>
                  <w:vAlign w:val="center"/>
                </w:tcPr>
                <w:p w14:paraId="2F7F42DC">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0.114</w:t>
                  </w:r>
                </w:p>
              </w:tc>
              <w:tc>
                <w:tcPr>
                  <w:tcW w:w="1417" w:type="dxa"/>
                  <w:vMerge w:val="restart"/>
                  <w:tcBorders>
                    <w:right w:val="nil"/>
                  </w:tcBorders>
                  <w:vAlign w:val="center"/>
                </w:tcPr>
                <w:p w14:paraId="0F2B25C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0.300</w:t>
                  </w:r>
                </w:p>
              </w:tc>
              <w:tc>
                <w:tcPr>
                  <w:tcW w:w="763" w:type="dxa"/>
                  <w:tcBorders>
                    <w:right w:val="nil"/>
                  </w:tcBorders>
                  <w:vAlign w:val="center"/>
                </w:tcPr>
                <w:p w14:paraId="5737248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达标</w:t>
                  </w:r>
                </w:p>
              </w:tc>
            </w:tr>
            <w:tr w14:paraId="543FB9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984" w:type="dxa"/>
                  <w:vMerge w:val="continue"/>
                  <w:vAlign w:val="center"/>
                </w:tcPr>
                <w:p w14:paraId="145BCE55">
                  <w:pPr>
                    <w:pStyle w:val="46"/>
                    <w:jc w:val="center"/>
                    <w:rPr>
                      <w:rFonts w:hint="default" w:ascii="Times New Roman" w:hAnsi="Times New Roman" w:eastAsia="宋体" w:cs="Times New Roman"/>
                      <w:color w:val="auto"/>
                      <w:highlight w:val="none"/>
                      <w:lang w:val="en-US" w:eastAsia="zh-CN"/>
                    </w:rPr>
                  </w:pPr>
                </w:p>
              </w:tc>
              <w:tc>
                <w:tcPr>
                  <w:tcW w:w="1352" w:type="dxa"/>
                  <w:vAlign w:val="center"/>
                </w:tcPr>
                <w:p w14:paraId="5C3944D3">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00:00-24:00</w:t>
                  </w:r>
                </w:p>
              </w:tc>
              <w:tc>
                <w:tcPr>
                  <w:tcW w:w="1900" w:type="dxa"/>
                  <w:vAlign w:val="center"/>
                </w:tcPr>
                <w:p w14:paraId="1F954D4C">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856HQ1-01-02</w:t>
                  </w:r>
                </w:p>
              </w:tc>
              <w:tc>
                <w:tcPr>
                  <w:tcW w:w="1240" w:type="dxa"/>
                  <w:tcBorders>
                    <w:right w:val="single" w:color="auto" w:sz="4" w:space="0"/>
                  </w:tcBorders>
                  <w:vAlign w:val="center"/>
                </w:tcPr>
                <w:p w14:paraId="218572B5">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0.103</w:t>
                  </w:r>
                </w:p>
              </w:tc>
              <w:tc>
                <w:tcPr>
                  <w:tcW w:w="1417" w:type="dxa"/>
                  <w:vMerge w:val="continue"/>
                  <w:tcBorders>
                    <w:right w:val="nil"/>
                  </w:tcBorders>
                  <w:vAlign w:val="center"/>
                </w:tcPr>
                <w:p w14:paraId="4D35D19F">
                  <w:pPr>
                    <w:pStyle w:val="46"/>
                    <w:jc w:val="center"/>
                    <w:rPr>
                      <w:rFonts w:hint="default" w:ascii="Times New Roman" w:hAnsi="Times New Roman" w:eastAsia="宋体" w:cs="Times New Roman"/>
                      <w:color w:val="auto"/>
                      <w:highlight w:val="none"/>
                      <w:lang w:val="en-US" w:eastAsia="zh-CN"/>
                    </w:rPr>
                  </w:pPr>
                </w:p>
              </w:tc>
              <w:tc>
                <w:tcPr>
                  <w:tcW w:w="763" w:type="dxa"/>
                  <w:tcBorders>
                    <w:right w:val="nil"/>
                  </w:tcBorders>
                  <w:vAlign w:val="center"/>
                </w:tcPr>
                <w:p w14:paraId="478DAD0E">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达标</w:t>
                  </w:r>
                </w:p>
              </w:tc>
            </w:tr>
            <w:tr w14:paraId="6D56E0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984" w:type="dxa"/>
                  <w:vMerge w:val="continue"/>
                  <w:vAlign w:val="center"/>
                </w:tcPr>
                <w:p w14:paraId="048D06F3">
                  <w:pPr>
                    <w:pStyle w:val="46"/>
                    <w:jc w:val="center"/>
                    <w:rPr>
                      <w:rFonts w:hint="default" w:ascii="Times New Roman" w:hAnsi="Times New Roman" w:eastAsia="宋体" w:cs="Times New Roman"/>
                      <w:color w:val="auto"/>
                      <w:highlight w:val="none"/>
                      <w:lang w:val="en-US" w:eastAsia="zh-CN"/>
                    </w:rPr>
                  </w:pPr>
                </w:p>
              </w:tc>
              <w:tc>
                <w:tcPr>
                  <w:tcW w:w="1352" w:type="dxa"/>
                  <w:vAlign w:val="center"/>
                </w:tcPr>
                <w:p w14:paraId="3536FC8A">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00:00-24:00</w:t>
                  </w:r>
                </w:p>
              </w:tc>
              <w:tc>
                <w:tcPr>
                  <w:tcW w:w="1900" w:type="dxa"/>
                  <w:vAlign w:val="center"/>
                </w:tcPr>
                <w:p w14:paraId="26FEF3E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856HQ1-01-03</w:t>
                  </w:r>
                </w:p>
              </w:tc>
              <w:tc>
                <w:tcPr>
                  <w:tcW w:w="1240" w:type="dxa"/>
                  <w:tcBorders>
                    <w:right w:val="single" w:color="auto" w:sz="4" w:space="0"/>
                  </w:tcBorders>
                  <w:vAlign w:val="center"/>
                </w:tcPr>
                <w:p w14:paraId="5F63A43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0.117</w:t>
                  </w:r>
                </w:p>
              </w:tc>
              <w:tc>
                <w:tcPr>
                  <w:tcW w:w="1417" w:type="dxa"/>
                  <w:vMerge w:val="continue"/>
                  <w:tcBorders>
                    <w:right w:val="nil"/>
                  </w:tcBorders>
                  <w:vAlign w:val="center"/>
                </w:tcPr>
                <w:p w14:paraId="443145B8">
                  <w:pPr>
                    <w:pStyle w:val="46"/>
                    <w:jc w:val="center"/>
                    <w:rPr>
                      <w:rFonts w:hint="default" w:ascii="Times New Roman" w:hAnsi="Times New Roman" w:eastAsia="宋体" w:cs="Times New Roman"/>
                      <w:color w:val="auto"/>
                      <w:highlight w:val="none"/>
                      <w:lang w:val="en-US" w:eastAsia="zh-CN"/>
                    </w:rPr>
                  </w:pPr>
                </w:p>
              </w:tc>
              <w:tc>
                <w:tcPr>
                  <w:tcW w:w="763" w:type="dxa"/>
                  <w:tcBorders>
                    <w:right w:val="nil"/>
                  </w:tcBorders>
                  <w:vAlign w:val="center"/>
                </w:tcPr>
                <w:p w14:paraId="149774CD">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达标</w:t>
                  </w:r>
                </w:p>
              </w:tc>
            </w:tr>
            <w:tr w14:paraId="58F38E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984" w:type="dxa"/>
                  <w:vMerge w:val="restart"/>
                  <w:vAlign w:val="center"/>
                </w:tcPr>
                <w:p w14:paraId="77D3778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袁家粱村</w:t>
                  </w:r>
                </w:p>
              </w:tc>
              <w:tc>
                <w:tcPr>
                  <w:tcW w:w="1352" w:type="dxa"/>
                  <w:vAlign w:val="center"/>
                </w:tcPr>
                <w:p w14:paraId="3C5D62F6">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00:00-24:00</w:t>
                  </w:r>
                </w:p>
              </w:tc>
              <w:tc>
                <w:tcPr>
                  <w:tcW w:w="1900" w:type="dxa"/>
                  <w:vAlign w:val="center"/>
                </w:tcPr>
                <w:p w14:paraId="7E17C87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856HQ1-02-01</w:t>
                  </w:r>
                </w:p>
              </w:tc>
              <w:tc>
                <w:tcPr>
                  <w:tcW w:w="1240" w:type="dxa"/>
                  <w:tcBorders>
                    <w:right w:val="single" w:color="auto" w:sz="4" w:space="0"/>
                  </w:tcBorders>
                  <w:vAlign w:val="center"/>
                </w:tcPr>
                <w:p w14:paraId="7E44AB29">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0.104</w:t>
                  </w:r>
                </w:p>
              </w:tc>
              <w:tc>
                <w:tcPr>
                  <w:tcW w:w="1417" w:type="dxa"/>
                  <w:vMerge w:val="restart"/>
                  <w:tcBorders>
                    <w:right w:val="nil"/>
                  </w:tcBorders>
                  <w:vAlign w:val="center"/>
                </w:tcPr>
                <w:p w14:paraId="4E341BC7">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0.300</w:t>
                  </w:r>
                </w:p>
              </w:tc>
              <w:tc>
                <w:tcPr>
                  <w:tcW w:w="763" w:type="dxa"/>
                  <w:tcBorders>
                    <w:right w:val="nil"/>
                  </w:tcBorders>
                  <w:vAlign w:val="center"/>
                </w:tcPr>
                <w:p w14:paraId="0C54569B">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达标</w:t>
                  </w:r>
                </w:p>
              </w:tc>
            </w:tr>
            <w:tr w14:paraId="649D14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984" w:type="dxa"/>
                  <w:vMerge w:val="continue"/>
                  <w:vAlign w:val="center"/>
                </w:tcPr>
                <w:p w14:paraId="6D56ABA9">
                  <w:pPr>
                    <w:pStyle w:val="46"/>
                    <w:jc w:val="center"/>
                    <w:rPr>
                      <w:rFonts w:hint="default" w:ascii="Times New Roman" w:hAnsi="Times New Roman" w:eastAsia="宋体" w:cs="Times New Roman"/>
                      <w:color w:val="auto"/>
                      <w:highlight w:val="none"/>
                      <w:lang w:val="en-US" w:eastAsia="zh-CN"/>
                    </w:rPr>
                  </w:pPr>
                </w:p>
              </w:tc>
              <w:tc>
                <w:tcPr>
                  <w:tcW w:w="1352" w:type="dxa"/>
                  <w:vAlign w:val="center"/>
                </w:tcPr>
                <w:p w14:paraId="23211AD1">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00:00-24:00</w:t>
                  </w:r>
                </w:p>
              </w:tc>
              <w:tc>
                <w:tcPr>
                  <w:tcW w:w="1900" w:type="dxa"/>
                  <w:vAlign w:val="center"/>
                </w:tcPr>
                <w:p w14:paraId="46BC8BC7">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856HQ1-02-02</w:t>
                  </w:r>
                </w:p>
              </w:tc>
              <w:tc>
                <w:tcPr>
                  <w:tcW w:w="1240" w:type="dxa"/>
                  <w:tcBorders>
                    <w:right w:val="single" w:color="auto" w:sz="4" w:space="0"/>
                  </w:tcBorders>
                  <w:vAlign w:val="center"/>
                </w:tcPr>
                <w:p w14:paraId="3234AB20">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0.106</w:t>
                  </w:r>
                </w:p>
              </w:tc>
              <w:tc>
                <w:tcPr>
                  <w:tcW w:w="1417" w:type="dxa"/>
                  <w:vMerge w:val="continue"/>
                  <w:tcBorders>
                    <w:right w:val="nil"/>
                  </w:tcBorders>
                  <w:vAlign w:val="center"/>
                </w:tcPr>
                <w:p w14:paraId="0F2BD715">
                  <w:pPr>
                    <w:pStyle w:val="46"/>
                    <w:jc w:val="center"/>
                    <w:rPr>
                      <w:rFonts w:hint="default" w:ascii="Times New Roman" w:hAnsi="Times New Roman" w:eastAsia="宋体" w:cs="Times New Roman"/>
                      <w:color w:val="auto"/>
                      <w:highlight w:val="none"/>
                      <w:lang w:val="en-US" w:eastAsia="zh-CN"/>
                    </w:rPr>
                  </w:pPr>
                </w:p>
              </w:tc>
              <w:tc>
                <w:tcPr>
                  <w:tcW w:w="763" w:type="dxa"/>
                  <w:tcBorders>
                    <w:right w:val="nil"/>
                  </w:tcBorders>
                  <w:vAlign w:val="center"/>
                </w:tcPr>
                <w:p w14:paraId="519C8A6F">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达标</w:t>
                  </w:r>
                </w:p>
              </w:tc>
            </w:tr>
            <w:tr w14:paraId="2FD740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984" w:type="dxa"/>
                  <w:vMerge w:val="continue"/>
                  <w:vAlign w:val="center"/>
                </w:tcPr>
                <w:p w14:paraId="3DA67485">
                  <w:pPr>
                    <w:pStyle w:val="46"/>
                    <w:jc w:val="center"/>
                    <w:rPr>
                      <w:rFonts w:hint="default" w:ascii="Times New Roman" w:hAnsi="Times New Roman" w:eastAsia="宋体" w:cs="Times New Roman"/>
                      <w:color w:val="auto"/>
                      <w:highlight w:val="none"/>
                      <w:lang w:val="en-US" w:eastAsia="zh-CN"/>
                    </w:rPr>
                  </w:pPr>
                </w:p>
              </w:tc>
              <w:tc>
                <w:tcPr>
                  <w:tcW w:w="1352" w:type="dxa"/>
                  <w:vAlign w:val="center"/>
                </w:tcPr>
                <w:p w14:paraId="0851BDDC">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00:00-24:00</w:t>
                  </w:r>
                </w:p>
              </w:tc>
              <w:tc>
                <w:tcPr>
                  <w:tcW w:w="1900" w:type="dxa"/>
                  <w:vAlign w:val="center"/>
                </w:tcPr>
                <w:p w14:paraId="2C5447EE">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856HQ1-02-03</w:t>
                  </w:r>
                </w:p>
              </w:tc>
              <w:tc>
                <w:tcPr>
                  <w:tcW w:w="1240" w:type="dxa"/>
                  <w:tcBorders>
                    <w:right w:val="single" w:color="auto" w:sz="4" w:space="0"/>
                  </w:tcBorders>
                  <w:vAlign w:val="center"/>
                </w:tcPr>
                <w:p w14:paraId="16BA5AFA">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0.118</w:t>
                  </w:r>
                </w:p>
              </w:tc>
              <w:tc>
                <w:tcPr>
                  <w:tcW w:w="1417" w:type="dxa"/>
                  <w:vMerge w:val="continue"/>
                  <w:tcBorders>
                    <w:right w:val="nil"/>
                  </w:tcBorders>
                  <w:vAlign w:val="center"/>
                </w:tcPr>
                <w:p w14:paraId="7DD4E92C">
                  <w:pPr>
                    <w:pStyle w:val="46"/>
                    <w:jc w:val="center"/>
                    <w:rPr>
                      <w:rFonts w:hint="default" w:ascii="Times New Roman" w:hAnsi="Times New Roman" w:eastAsia="宋体" w:cs="Times New Roman"/>
                      <w:color w:val="auto"/>
                      <w:highlight w:val="none"/>
                      <w:lang w:val="en-US" w:eastAsia="zh-CN"/>
                    </w:rPr>
                  </w:pPr>
                </w:p>
              </w:tc>
              <w:tc>
                <w:tcPr>
                  <w:tcW w:w="763" w:type="dxa"/>
                  <w:tcBorders>
                    <w:right w:val="nil"/>
                  </w:tcBorders>
                  <w:vAlign w:val="center"/>
                </w:tcPr>
                <w:p w14:paraId="316ED7C4">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达标</w:t>
                  </w:r>
                </w:p>
              </w:tc>
            </w:tr>
            <w:tr w14:paraId="709D8F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984" w:type="dxa"/>
                  <w:vAlign w:val="center"/>
                </w:tcPr>
                <w:p w14:paraId="7FCF3808">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参考标准</w:t>
                  </w:r>
                </w:p>
              </w:tc>
              <w:tc>
                <w:tcPr>
                  <w:tcW w:w="6672" w:type="dxa"/>
                  <w:gridSpan w:val="5"/>
                  <w:tcBorders>
                    <w:right w:val="nil"/>
                  </w:tcBorders>
                  <w:vAlign w:val="center"/>
                </w:tcPr>
                <w:p w14:paraId="10AD3CBF">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《环境空气质量标准》（GB3095-2012）表2</w:t>
                  </w:r>
                </w:p>
              </w:tc>
            </w:tr>
          </w:tbl>
          <w:p w14:paraId="446EC98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由监测结果可知，项目所在区TSP满足《环境空气质量》（GB3095-2012）二级标准要求。</w:t>
            </w:r>
          </w:p>
          <w:p w14:paraId="230CD82B">
            <w:pPr>
              <w:pStyle w:val="2"/>
              <w:ind w:left="0" w:lef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852670" cy="2977515"/>
                  <wp:effectExtent l="0" t="0" r="8890" b="9525"/>
                  <wp:docPr id="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0"/>
                          <pic:cNvPicPr>
                            <a:picLocks noChangeAspect="1"/>
                          </pic:cNvPicPr>
                        </pic:nvPicPr>
                        <pic:blipFill>
                          <a:blip r:embed="rId18"/>
                          <a:stretch>
                            <a:fillRect/>
                          </a:stretch>
                        </pic:blipFill>
                        <pic:spPr>
                          <a:xfrm>
                            <a:off x="0" y="0"/>
                            <a:ext cx="4852670" cy="2977515"/>
                          </a:xfrm>
                          <a:prstGeom prst="rect">
                            <a:avLst/>
                          </a:prstGeom>
                          <a:noFill/>
                          <a:ln>
                            <a:noFill/>
                          </a:ln>
                        </pic:spPr>
                      </pic:pic>
                    </a:graphicData>
                  </a:graphic>
                </wp:inline>
              </w:drawing>
            </w:r>
          </w:p>
          <w:p w14:paraId="0D0340A9">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图3-1  </w:t>
            </w:r>
            <w:bookmarkEnd w:id="7"/>
            <w:r>
              <w:rPr>
                <w:rFonts w:hint="default" w:ascii="Times New Roman" w:hAnsi="Times New Roman" w:cs="Times New Roman"/>
                <w:color w:val="auto"/>
                <w:highlight w:val="none"/>
              </w:rPr>
              <w:t>大气环境现状监测布点图</w:t>
            </w:r>
          </w:p>
          <w:p w14:paraId="01931F6A">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2.声环境质量</w:t>
            </w:r>
          </w:p>
          <w:p w14:paraId="009046C5">
            <w:pPr>
              <w:ind w:firstLine="482"/>
              <w:rPr>
                <w:rFonts w:hint="default" w:ascii="Times New Roman" w:hAnsi="Times New Roman" w:eastAsia="微软雅黑" w:cs="Times New Roman"/>
                <w:i w:val="0"/>
                <w:iCs w:val="0"/>
                <w:caps w:val="0"/>
                <w:color w:val="auto"/>
                <w:spacing w:val="0"/>
                <w:sz w:val="21"/>
                <w:szCs w:val="21"/>
                <w:highlight w:val="none"/>
              </w:rPr>
            </w:pPr>
            <w:r>
              <w:rPr>
                <w:rFonts w:hint="default" w:ascii="Times New Roman" w:hAnsi="Times New Roman" w:cs="Times New Roman"/>
                <w:color w:val="auto"/>
                <w:highlight w:val="none"/>
              </w:rPr>
              <w:t>本项目厂界外50m范围内没有声环境保护目标，因此不进行现状监测。</w:t>
            </w:r>
          </w:p>
          <w:p w14:paraId="4362F331">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3.土壤和地下水环境质量现状</w:t>
            </w:r>
          </w:p>
          <w:p w14:paraId="71683B6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按照《建设项目环境影响报告表编制技术指南（污染影响类）（试行）》，原则上不开展地下水、土壤环境质量现状调查。</w:t>
            </w:r>
          </w:p>
          <w:p w14:paraId="152EDE3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依据《环境影响评价技术导则 地下水环境》（HJ610-2016）附录A-地下水环境影响评价行业分类表之划分，建设项目地下水环境影响评价项目类别属Ⅳ类（参见附录A-地下水环境影响评价行业分类表-60</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砼结构构件制造、商品混凝土加工—全部）</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因此无需进行地下水监测及评价。</w:t>
            </w:r>
          </w:p>
          <w:p w14:paraId="6361A51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对照《环境影响评价技术导则 土壤环境（试行）》（HJ964-2018）附录A-土壤环境影响评价项目类别，判定本项目土壤类别为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其他行业—全部</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，为Ⅳ类建设项目，根据《环境影响评价技术导则 土壤环境（试行）》（HJ964-2018）4.2.2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Ⅳ类项目可不开展土壤环境影响评价</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tc>
      </w:tr>
      <w:tr w14:paraId="7B35FB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675" w:type="dxa"/>
            <w:vAlign w:val="center"/>
          </w:tcPr>
          <w:p w14:paraId="79D4E595">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环境保护目标</w:t>
            </w:r>
          </w:p>
        </w:tc>
        <w:tc>
          <w:tcPr>
            <w:tcW w:w="7872" w:type="dxa"/>
            <w:vAlign w:val="center"/>
          </w:tcPr>
          <w:p w14:paraId="200C34F4">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环境保护目标</w:t>
            </w:r>
          </w:p>
          <w:p w14:paraId="2BF446B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厂界500m范围内无自然保护区、风景名胜区、文物古迹、文化区等敏感目标，厂界50m范围内无村庄等人群集中区域；本项目500m范围内无地下水集中式饮用水源地和热水、矿泉水、温泉等特殊地下水资源；项目区周边无生态环境保护目标。针对施工场地以及运营期周围具体环境敏感点进行现场考察，并结合项目本身的特点，确定该项目的具体保护目标及保护级别见表3-</w:t>
            </w:r>
            <w:r>
              <w:rPr>
                <w:rFonts w:hint="eastAsia" w:cs="Times New Roman"/>
                <w:color w:val="auto"/>
                <w:highlight w:val="none"/>
                <w:lang w:val="en-US" w:eastAsia="zh-CN"/>
              </w:rPr>
              <w:t>6</w:t>
            </w:r>
            <w:r>
              <w:rPr>
                <w:rFonts w:hint="default" w:ascii="Times New Roman" w:hAnsi="Times New Roman" w:cs="Times New Roman"/>
                <w:color w:val="auto"/>
                <w:highlight w:val="none"/>
              </w:rPr>
              <w:t>。具体环境保护目标见</w:t>
            </w:r>
            <w:r>
              <w:rPr>
                <w:rFonts w:hint="eastAsia" w:cs="Times New Roman"/>
                <w:color w:val="auto"/>
                <w:highlight w:val="none"/>
                <w:lang w:eastAsia="zh-CN"/>
              </w:rPr>
              <w:t>下</w:t>
            </w:r>
            <w:r>
              <w:rPr>
                <w:rFonts w:hint="default" w:ascii="Times New Roman" w:hAnsi="Times New Roman" w:cs="Times New Roman"/>
                <w:color w:val="auto"/>
                <w:highlight w:val="none"/>
              </w:rPr>
              <w:t>图。</w:t>
            </w:r>
          </w:p>
          <w:p w14:paraId="60145A46">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表3-</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项目大气、噪声环境保护目标一览表</w:t>
            </w:r>
          </w:p>
          <w:tbl>
            <w:tblPr>
              <w:tblStyle w:val="2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1"/>
              <w:gridCol w:w="942"/>
              <w:gridCol w:w="861"/>
              <w:gridCol w:w="1536"/>
              <w:gridCol w:w="649"/>
              <w:gridCol w:w="658"/>
              <w:gridCol w:w="585"/>
              <w:gridCol w:w="1851"/>
            </w:tblGrid>
            <w:tr w14:paraId="00E39F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571" w:type="dxa"/>
                  <w:tcBorders>
                    <w:tl2br w:val="nil"/>
                    <w:tr2bl w:val="nil"/>
                  </w:tcBorders>
                  <w:vAlign w:val="center"/>
                </w:tcPr>
                <w:p w14:paraId="089DDB93">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环境要素</w:t>
                  </w:r>
                </w:p>
              </w:tc>
              <w:tc>
                <w:tcPr>
                  <w:tcW w:w="942" w:type="dxa"/>
                  <w:tcBorders>
                    <w:tl2br w:val="nil"/>
                    <w:tr2bl w:val="nil"/>
                  </w:tcBorders>
                  <w:vAlign w:val="center"/>
                </w:tcPr>
                <w:p w14:paraId="1D28498F">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保护范围</w:t>
                  </w:r>
                </w:p>
              </w:tc>
              <w:tc>
                <w:tcPr>
                  <w:tcW w:w="861" w:type="dxa"/>
                  <w:tcBorders>
                    <w:tl2br w:val="nil"/>
                    <w:tr2bl w:val="nil"/>
                  </w:tcBorders>
                  <w:vAlign w:val="center"/>
                </w:tcPr>
                <w:p w14:paraId="21317C0D">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保护目标名称</w:t>
                  </w:r>
                </w:p>
              </w:tc>
              <w:tc>
                <w:tcPr>
                  <w:tcW w:w="1536" w:type="dxa"/>
                  <w:tcBorders>
                    <w:tl2br w:val="nil"/>
                    <w:tr2bl w:val="nil"/>
                  </w:tcBorders>
                  <w:vAlign w:val="center"/>
                </w:tcPr>
                <w:p w14:paraId="76C3B1E4">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坐标</w:t>
                  </w:r>
                </w:p>
              </w:tc>
              <w:tc>
                <w:tcPr>
                  <w:tcW w:w="649" w:type="dxa"/>
                  <w:tcBorders>
                    <w:tl2br w:val="nil"/>
                    <w:tr2bl w:val="nil"/>
                  </w:tcBorders>
                  <w:vAlign w:val="center"/>
                </w:tcPr>
                <w:p w14:paraId="6E35D992">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相对位置</w:t>
                  </w:r>
                </w:p>
              </w:tc>
              <w:tc>
                <w:tcPr>
                  <w:tcW w:w="658" w:type="dxa"/>
                  <w:tcBorders>
                    <w:tl2br w:val="nil"/>
                    <w:tr2bl w:val="nil"/>
                  </w:tcBorders>
                  <w:vAlign w:val="center"/>
                </w:tcPr>
                <w:p w14:paraId="573CFF26">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距离（m）</w:t>
                  </w:r>
                </w:p>
              </w:tc>
              <w:tc>
                <w:tcPr>
                  <w:tcW w:w="585" w:type="dxa"/>
                  <w:tcBorders>
                    <w:tl2br w:val="nil"/>
                    <w:tr2bl w:val="nil"/>
                  </w:tcBorders>
                  <w:vAlign w:val="center"/>
                </w:tcPr>
                <w:p w14:paraId="01A4FEF0">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人数</w:t>
                  </w:r>
                </w:p>
              </w:tc>
              <w:tc>
                <w:tcPr>
                  <w:tcW w:w="1851" w:type="dxa"/>
                  <w:tcBorders>
                    <w:tl2br w:val="nil"/>
                    <w:tr2bl w:val="nil"/>
                  </w:tcBorders>
                  <w:vAlign w:val="center"/>
                </w:tcPr>
                <w:p w14:paraId="26C77293">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保护级别</w:t>
                  </w:r>
                </w:p>
              </w:tc>
            </w:tr>
            <w:tr w14:paraId="1847EB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1" w:type="dxa"/>
                  <w:tcBorders>
                    <w:tl2br w:val="nil"/>
                    <w:tr2bl w:val="nil"/>
                  </w:tcBorders>
                  <w:vAlign w:val="center"/>
                </w:tcPr>
                <w:p w14:paraId="25AAC2D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环境空气</w:t>
                  </w:r>
                </w:p>
              </w:tc>
              <w:tc>
                <w:tcPr>
                  <w:tcW w:w="942" w:type="dxa"/>
                  <w:tcBorders>
                    <w:tl2br w:val="nil"/>
                    <w:tr2bl w:val="nil"/>
                  </w:tcBorders>
                  <w:vAlign w:val="center"/>
                </w:tcPr>
                <w:p w14:paraId="7AE3D7E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厂界外扩500m范围</w:t>
                  </w:r>
                </w:p>
              </w:tc>
              <w:tc>
                <w:tcPr>
                  <w:tcW w:w="861" w:type="dxa"/>
                  <w:tcBorders>
                    <w:tl2br w:val="nil"/>
                    <w:tr2bl w:val="nil"/>
                  </w:tcBorders>
                  <w:vAlign w:val="center"/>
                </w:tcPr>
                <w:p w14:paraId="511EAF4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袁家粱</w:t>
                  </w:r>
                  <w:r>
                    <w:rPr>
                      <w:rFonts w:hint="default" w:ascii="Times New Roman" w:hAnsi="Times New Roman" w:cs="Times New Roman"/>
                      <w:color w:val="auto"/>
                      <w:highlight w:val="none"/>
                    </w:rPr>
                    <w:t>村</w:t>
                  </w:r>
                </w:p>
              </w:tc>
              <w:tc>
                <w:tcPr>
                  <w:tcW w:w="1536" w:type="dxa"/>
                  <w:tcBorders>
                    <w:tl2br w:val="nil"/>
                    <w:tr2bl w:val="nil"/>
                  </w:tcBorders>
                  <w:vAlign w:val="center"/>
                </w:tcPr>
                <w:p w14:paraId="45CF070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东经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109°57′16.802″</w:t>
                  </w:r>
                </w:p>
                <w:p w14:paraId="4FB3ECC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北纬</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39°44′7.465″</w:t>
                  </w:r>
                </w:p>
              </w:tc>
              <w:tc>
                <w:tcPr>
                  <w:tcW w:w="649" w:type="dxa"/>
                  <w:tcBorders>
                    <w:tl2br w:val="nil"/>
                    <w:tr2bl w:val="nil"/>
                  </w:tcBorders>
                  <w:vAlign w:val="center"/>
                </w:tcPr>
                <w:p w14:paraId="78CC9086">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S</w:t>
                  </w:r>
                </w:p>
              </w:tc>
              <w:tc>
                <w:tcPr>
                  <w:tcW w:w="658" w:type="dxa"/>
                  <w:tcBorders>
                    <w:tl2br w:val="nil"/>
                    <w:tr2bl w:val="nil"/>
                  </w:tcBorders>
                  <w:vAlign w:val="center"/>
                </w:tcPr>
                <w:p w14:paraId="646B3280">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300</w:t>
                  </w:r>
                </w:p>
              </w:tc>
              <w:tc>
                <w:tcPr>
                  <w:tcW w:w="585" w:type="dxa"/>
                  <w:tcBorders>
                    <w:tl2br w:val="nil"/>
                    <w:tr2bl w:val="nil"/>
                  </w:tcBorders>
                  <w:vAlign w:val="center"/>
                </w:tcPr>
                <w:p w14:paraId="63CAD376">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60</w:t>
                  </w:r>
                </w:p>
              </w:tc>
              <w:tc>
                <w:tcPr>
                  <w:tcW w:w="1851" w:type="dxa"/>
                  <w:tcBorders>
                    <w:tl2br w:val="nil"/>
                    <w:tr2bl w:val="nil"/>
                  </w:tcBorders>
                  <w:vAlign w:val="center"/>
                </w:tcPr>
                <w:p w14:paraId="031B469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《环境空气质量标准》（GB3095-2012）二级标准</w:t>
                  </w:r>
                </w:p>
              </w:tc>
            </w:tr>
            <w:tr w14:paraId="310E91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1" w:type="dxa"/>
                  <w:tcBorders>
                    <w:tl2br w:val="nil"/>
                    <w:tr2bl w:val="nil"/>
                  </w:tcBorders>
                  <w:vAlign w:val="center"/>
                </w:tcPr>
                <w:p w14:paraId="4A9C052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声环境</w:t>
                  </w:r>
                </w:p>
              </w:tc>
              <w:tc>
                <w:tcPr>
                  <w:tcW w:w="942" w:type="dxa"/>
                  <w:tcBorders>
                    <w:tl2br w:val="nil"/>
                    <w:tr2bl w:val="nil"/>
                  </w:tcBorders>
                  <w:vAlign w:val="center"/>
                </w:tcPr>
                <w:p w14:paraId="653A98D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厂界外扩50m范围</w:t>
                  </w:r>
                </w:p>
              </w:tc>
              <w:tc>
                <w:tcPr>
                  <w:tcW w:w="4289" w:type="dxa"/>
                  <w:gridSpan w:val="5"/>
                  <w:tcBorders>
                    <w:tl2br w:val="nil"/>
                    <w:tr2bl w:val="nil"/>
                  </w:tcBorders>
                  <w:vAlign w:val="center"/>
                </w:tcPr>
                <w:p w14:paraId="774DA52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厂界外50m范围内无声环境保护目标</w:t>
                  </w:r>
                </w:p>
              </w:tc>
              <w:tc>
                <w:tcPr>
                  <w:tcW w:w="1851" w:type="dxa"/>
                  <w:tcBorders>
                    <w:tl2br w:val="nil"/>
                    <w:tr2bl w:val="nil"/>
                  </w:tcBorders>
                  <w:vAlign w:val="center"/>
                </w:tcPr>
                <w:p w14:paraId="2AA4468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《声环境质量标准》（GB3096-2008）1类标准</w:t>
                  </w:r>
                </w:p>
              </w:tc>
            </w:tr>
            <w:tr w14:paraId="73C96E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1" w:type="dxa"/>
                  <w:tcBorders>
                    <w:tl2br w:val="nil"/>
                    <w:tr2bl w:val="nil"/>
                  </w:tcBorders>
                  <w:vAlign w:val="center"/>
                </w:tcPr>
                <w:p w14:paraId="496A626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地下水环境</w:t>
                  </w:r>
                </w:p>
              </w:tc>
              <w:tc>
                <w:tcPr>
                  <w:tcW w:w="942" w:type="dxa"/>
                  <w:tcBorders>
                    <w:tl2br w:val="nil"/>
                    <w:tr2bl w:val="nil"/>
                  </w:tcBorders>
                  <w:vAlign w:val="center"/>
                </w:tcPr>
                <w:p w14:paraId="1311D22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厂界外扩500m范围</w:t>
                  </w:r>
                </w:p>
              </w:tc>
              <w:tc>
                <w:tcPr>
                  <w:tcW w:w="4289" w:type="dxa"/>
                  <w:gridSpan w:val="5"/>
                  <w:tcBorders>
                    <w:tl2br w:val="nil"/>
                    <w:tr2bl w:val="nil"/>
                  </w:tcBorders>
                  <w:vAlign w:val="center"/>
                </w:tcPr>
                <w:p w14:paraId="03CBD96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厂界外500m范围内无地下水集中式饮用水水源和热水、矿泉水、温泉等特殊地下水资源</w:t>
                  </w:r>
                </w:p>
              </w:tc>
              <w:tc>
                <w:tcPr>
                  <w:tcW w:w="1851" w:type="dxa"/>
                  <w:tcBorders>
                    <w:tl2br w:val="nil"/>
                    <w:tr2bl w:val="nil"/>
                  </w:tcBorders>
                  <w:vAlign w:val="center"/>
                </w:tcPr>
                <w:p w14:paraId="2CB9A58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《地下水质量标准》(GB/T14848-2017</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中Ⅲ类标准</w:t>
                  </w:r>
                </w:p>
              </w:tc>
            </w:tr>
            <w:tr w14:paraId="34AA96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1" w:type="dxa"/>
                  <w:vAlign w:val="center"/>
                </w:tcPr>
                <w:p w14:paraId="7F55FEC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土壤环境</w:t>
                  </w:r>
                </w:p>
              </w:tc>
              <w:tc>
                <w:tcPr>
                  <w:tcW w:w="942" w:type="dxa"/>
                  <w:vAlign w:val="center"/>
                </w:tcPr>
                <w:p w14:paraId="0971ACE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厂界内50m范围</w:t>
                  </w:r>
                </w:p>
              </w:tc>
              <w:tc>
                <w:tcPr>
                  <w:tcW w:w="4289" w:type="dxa"/>
                  <w:gridSpan w:val="5"/>
                  <w:vAlign w:val="center"/>
                </w:tcPr>
                <w:p w14:paraId="6AC4F13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厂界内50m范围内无土壤环境保护目标</w:t>
                  </w:r>
                </w:p>
              </w:tc>
              <w:tc>
                <w:tcPr>
                  <w:tcW w:w="1851" w:type="dxa"/>
                  <w:vAlign w:val="center"/>
                </w:tcPr>
                <w:p w14:paraId="2121C35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r>
          </w:tbl>
          <w:p w14:paraId="4C731032">
            <w:pPr>
              <w:pStyle w:val="27"/>
              <w:jc w:val="both"/>
              <w:rPr>
                <w:rFonts w:hint="default" w:ascii="Times New Roman" w:hAnsi="Times New Roman" w:cs="Times New Roman"/>
                <w:color w:val="auto"/>
                <w:highlight w:val="none"/>
              </w:rPr>
            </w:pPr>
          </w:p>
        </w:tc>
      </w:tr>
      <w:tr w14:paraId="46C440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675" w:type="dxa"/>
            <w:tcMar>
              <w:left w:w="28" w:type="dxa"/>
              <w:right w:w="28" w:type="dxa"/>
            </w:tcMar>
            <w:vAlign w:val="center"/>
          </w:tcPr>
          <w:p w14:paraId="576DE4D1">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污</w:t>
            </w:r>
          </w:p>
          <w:p w14:paraId="06200554">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染</w:t>
            </w:r>
          </w:p>
          <w:p w14:paraId="093F6828">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物</w:t>
            </w:r>
          </w:p>
          <w:p w14:paraId="526D603A">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排</w:t>
            </w:r>
          </w:p>
          <w:p w14:paraId="05CCF750">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放</w:t>
            </w:r>
          </w:p>
          <w:p w14:paraId="5EAA7D6D">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控</w:t>
            </w:r>
          </w:p>
          <w:p w14:paraId="3394F72E">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制</w:t>
            </w:r>
          </w:p>
          <w:p w14:paraId="6AFA90F6">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标</w:t>
            </w:r>
          </w:p>
          <w:p w14:paraId="7E12CDCF">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准</w:t>
            </w:r>
          </w:p>
        </w:tc>
        <w:tc>
          <w:tcPr>
            <w:tcW w:w="7872" w:type="dxa"/>
            <w:vAlign w:val="center"/>
          </w:tcPr>
          <w:p w14:paraId="687F34C5">
            <w:pPr>
              <w:ind w:left="0" w:leftChars="0" w:firstLine="0" w:firstLineChars="0"/>
              <w:rPr>
                <w:rFonts w:hint="default" w:ascii="Times New Roman" w:hAnsi="Times New Roman" w:cs="Times New Roman"/>
                <w:b/>
                <w:bCs/>
                <w:color w:val="auto"/>
                <w:highlight w:val="none"/>
                <w:lang w:val="zh-CN"/>
              </w:rPr>
            </w:pPr>
            <w:r>
              <w:rPr>
                <w:color w:val="auto"/>
                <w:sz w:val="24"/>
              </w:rPr>
              <mc:AlternateContent>
                <mc:Choice Requires="wpg">
                  <w:drawing>
                    <wp:anchor distT="0" distB="0" distL="114300" distR="114300" simplePos="0" relativeHeight="251665408" behindDoc="0" locked="0" layoutInCell="1" allowOverlap="1">
                      <wp:simplePos x="0" y="0"/>
                      <wp:positionH relativeFrom="column">
                        <wp:posOffset>3907790</wp:posOffset>
                      </wp:positionH>
                      <wp:positionV relativeFrom="paragraph">
                        <wp:posOffset>220980</wp:posOffset>
                      </wp:positionV>
                      <wp:extent cx="520065" cy="711200"/>
                      <wp:effectExtent l="15240" t="8890" r="0" b="22860"/>
                      <wp:wrapNone/>
                      <wp:docPr id="22" name="组合 22"/>
                      <wp:cNvGraphicFramePr/>
                      <a:graphic xmlns:a="http://schemas.openxmlformats.org/drawingml/2006/main">
                        <a:graphicData uri="http://schemas.microsoft.com/office/word/2010/wordprocessingGroup">
                          <wpg:wgp>
                            <wpg:cNvGrpSpPr/>
                            <wpg:grpSpPr>
                              <a:xfrm>
                                <a:off x="0" y="0"/>
                                <a:ext cx="520065" cy="711200"/>
                                <a:chOff x="9454" y="413160"/>
                                <a:chExt cx="819" cy="1120"/>
                              </a:xfrm>
                            </wpg:grpSpPr>
                            <wps:wsp>
                              <wps:cNvPr id="51" name="上箭头 51"/>
                              <wps:cNvSpPr/>
                              <wps:spPr>
                                <a:xfrm>
                                  <a:off x="9454" y="413160"/>
                                  <a:ext cx="280" cy="1120"/>
                                </a:xfrm>
                                <a:prstGeom prst="up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4" name="文本框 54"/>
                              <wps:cNvSpPr txBox="1"/>
                              <wps:spPr>
                                <a:xfrm>
                                  <a:off x="9705" y="413460"/>
                                  <a:ext cx="569" cy="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D0BAC1">
                                    <w:pPr>
                                      <w:ind w:left="0" w:leftChars="0" w:firstLine="0" w:firstLineChars="0"/>
                                      <w:rPr>
                                        <w:rFonts w:hint="eastAsia" w:eastAsia="宋体"/>
                                        <w:b/>
                                        <w:bCs/>
                                        <w:sz w:val="30"/>
                                        <w:szCs w:val="30"/>
                                        <w:lang w:val="en-US" w:eastAsia="zh-CN"/>
                                      </w:rPr>
                                    </w:pPr>
                                    <w:r>
                                      <w:rPr>
                                        <w:rFonts w:hint="eastAsia"/>
                                        <w:b/>
                                        <w:bCs/>
                                        <w:sz w:val="30"/>
                                        <w:szCs w:val="30"/>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07.7pt;margin-top:17.4pt;height:56pt;width:40.95pt;z-index:251665408;mso-width-relative:page;mso-height-relative:page;" coordorigin="9454,413160" coordsize="819,1120" o:gfxdata="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">
                      <o:lock v:ext="edit" aspectratio="f"/>
                      <v:shape id="_x0000_s1026" o:spid="_x0000_s1026" o:spt="68" type="#_x0000_t68" style="position:absolute;left:9454;top:413160;height:1120;width:280;v-text-anchor:middle;" fillcolor="#4472C4 [3204]" filled="t" stroked="t" coordsize="21600,21600" o:gfxdata="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9i1Te/&#10;AAAA2wAAAA8AAAAAAAAAAQAgAAAAIgAAAGRycy9kb3ducmV2LnhtbFBLAQIUABQAAAAIAIdO4kAz&#10;LwWeOwAAADkAAAAQAAAAAAAAAAEAIAAAAA4BAABkcnMvc2hhcGV4bWwueG1sUEsFBgAAAAAGAAYA&#10;WwEAALgDAAAAAA==&#10;" adj="2700,5400">
                        <v:fill on="t" focussize="0,0"/>
                        <v:stroke weight="1pt" color="#2F5597 [2404]" miterlimit="8" joinstyle="miter"/>
                        <v:imagedata o:title=""/>
                        <o:lock v:ext="edit" aspectratio="f"/>
                      </v:shape>
                      <v:shape id="_x0000_s1026" o:spid="_x0000_s1026" o:spt="202" type="#_x0000_t202" style="position:absolute;left:9705;top:413460;height:800;width:569;" filled="f" stroked="f" coordsize="21600,21600" o:gfxdata="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J19kO/&#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BD0BAC1">
                              <w:pPr>
                                <w:ind w:left="0" w:leftChars="0" w:firstLine="0" w:firstLineChars="0"/>
                                <w:rPr>
                                  <w:rFonts w:hint="eastAsia" w:eastAsia="宋体"/>
                                  <w:b/>
                                  <w:bCs/>
                                  <w:sz w:val="30"/>
                                  <w:szCs w:val="30"/>
                                  <w:lang w:val="en-US" w:eastAsia="zh-CN"/>
                                </w:rPr>
                              </w:pPr>
                              <w:r>
                                <w:rPr>
                                  <w:rFonts w:hint="eastAsia"/>
                                  <w:b/>
                                  <w:bCs/>
                                  <w:sz w:val="30"/>
                                  <w:szCs w:val="30"/>
                                  <w:lang w:val="en-US" w:eastAsia="zh-CN"/>
                                </w:rPr>
                                <w:t>N</w:t>
                              </w:r>
                            </w:p>
                          </w:txbxContent>
                        </v:textbox>
                      </v:shape>
                    </v:group>
                  </w:pict>
                </mc:Fallback>
              </mc:AlternateContent>
            </w:r>
            <w:r>
              <w:rPr>
                <w:color w:val="auto"/>
                <w:sz w:val="24"/>
              </w:rPr>
              <mc:AlternateContent>
                <mc:Choice Requires="wpg">
                  <w:drawing>
                    <wp:anchor distT="0" distB="0" distL="114300" distR="114300" simplePos="0" relativeHeight="251666432" behindDoc="0" locked="0" layoutInCell="1" allowOverlap="1">
                      <wp:simplePos x="0" y="0"/>
                      <wp:positionH relativeFrom="column">
                        <wp:posOffset>3272790</wp:posOffset>
                      </wp:positionH>
                      <wp:positionV relativeFrom="paragraph">
                        <wp:posOffset>1910080</wp:posOffset>
                      </wp:positionV>
                      <wp:extent cx="1282700" cy="1574800"/>
                      <wp:effectExtent l="4445" t="4445" r="8255" b="20955"/>
                      <wp:wrapNone/>
                      <wp:docPr id="18" name="组合 18"/>
                      <wp:cNvGraphicFramePr/>
                      <a:graphic xmlns:a="http://schemas.openxmlformats.org/drawingml/2006/main">
                        <a:graphicData uri="http://schemas.microsoft.com/office/word/2010/wordprocessingGroup">
                          <wpg:wgp>
                            <wpg:cNvGrpSpPr/>
                            <wpg:grpSpPr>
                              <a:xfrm>
                                <a:off x="0" y="0"/>
                                <a:ext cx="1282700" cy="1574800"/>
                                <a:chOff x="8364" y="415430"/>
                                <a:chExt cx="2020" cy="2480"/>
                              </a:xfrm>
                            </wpg:grpSpPr>
                            <wps:wsp>
                              <wps:cNvPr id="52" name="文本框 52"/>
                              <wps:cNvSpPr txBox="1"/>
                              <wps:spPr>
                                <a:xfrm>
                                  <a:off x="8364" y="415430"/>
                                  <a:ext cx="2020" cy="24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5C7F604">
                                    <w:pPr>
                                      <w:ind w:left="0" w:leftChars="0" w:firstLine="0" w:firstLineChars="0"/>
                                      <w:jc w:val="center"/>
                                      <w:rPr>
                                        <w:rFonts w:hint="eastAsia"/>
                                        <w:sz w:val="21"/>
                                        <w:szCs w:val="21"/>
                                        <w:lang w:val="en-US" w:eastAsia="zh-CN"/>
                                      </w:rPr>
                                    </w:pPr>
                                    <w:r>
                                      <w:rPr>
                                        <w:rFonts w:hint="eastAsia"/>
                                        <w:sz w:val="21"/>
                                        <w:szCs w:val="21"/>
                                        <w:lang w:val="en-US" w:eastAsia="zh-CN"/>
                                      </w:rPr>
                                      <w:t>图例</w:t>
                                    </w:r>
                                  </w:p>
                                  <w:p w14:paraId="6B348995">
                                    <w:pPr>
                                      <w:ind w:left="0" w:leftChars="0" w:firstLine="420" w:firstLineChars="200"/>
                                      <w:jc w:val="both"/>
                                      <w:rPr>
                                        <w:rFonts w:hint="eastAsia"/>
                                        <w:sz w:val="21"/>
                                        <w:szCs w:val="21"/>
                                        <w:lang w:val="en-US" w:eastAsia="zh-CN"/>
                                      </w:rPr>
                                    </w:pPr>
                                    <w:r>
                                      <w:rPr>
                                        <w:rFonts w:hint="eastAsia"/>
                                        <w:sz w:val="21"/>
                                        <w:szCs w:val="21"/>
                                        <w:lang w:val="en-US" w:eastAsia="zh-CN"/>
                                      </w:rPr>
                                      <w:t>本项目</w:t>
                                    </w:r>
                                  </w:p>
                                  <w:p w14:paraId="3F7741D4">
                                    <w:pPr>
                                      <w:ind w:left="0" w:leftChars="0" w:firstLine="420" w:firstLineChars="200"/>
                                      <w:jc w:val="both"/>
                                      <w:rPr>
                                        <w:rFonts w:hint="eastAsia"/>
                                        <w:sz w:val="21"/>
                                        <w:szCs w:val="21"/>
                                        <w:lang w:val="en-US" w:eastAsia="zh-CN"/>
                                      </w:rPr>
                                    </w:pPr>
                                    <w:r>
                                      <w:rPr>
                                        <w:rFonts w:hint="eastAsia"/>
                                        <w:sz w:val="21"/>
                                        <w:szCs w:val="21"/>
                                        <w:lang w:val="en-US" w:eastAsia="zh-CN"/>
                                      </w:rPr>
                                      <w:t>噪声评价范围</w:t>
                                    </w:r>
                                  </w:p>
                                  <w:p w14:paraId="5425755D">
                                    <w:pPr>
                                      <w:ind w:left="0" w:leftChars="0" w:firstLine="420" w:firstLineChars="200"/>
                                      <w:jc w:val="both"/>
                                      <w:rPr>
                                        <w:rFonts w:hint="eastAsia"/>
                                        <w:sz w:val="21"/>
                                        <w:szCs w:val="21"/>
                                        <w:lang w:val="en-US" w:eastAsia="zh-CN"/>
                                      </w:rPr>
                                    </w:pPr>
                                    <w:r>
                                      <w:rPr>
                                        <w:rFonts w:hint="eastAsia"/>
                                        <w:sz w:val="21"/>
                                        <w:szCs w:val="21"/>
                                        <w:lang w:val="en-US" w:eastAsia="zh-CN"/>
                                      </w:rPr>
                                      <w:t>大气评价范围</w:t>
                                    </w:r>
                                  </w:p>
                                  <w:p w14:paraId="5F17DB7A">
                                    <w:pPr>
                                      <w:ind w:left="0" w:leftChars="0" w:firstLine="420" w:firstLineChars="200"/>
                                      <w:jc w:val="both"/>
                                      <w:rPr>
                                        <w:rFonts w:hint="default"/>
                                        <w:sz w:val="21"/>
                                        <w:szCs w:val="21"/>
                                        <w:lang w:val="en-US" w:eastAsia="zh-CN"/>
                                      </w:rPr>
                                    </w:pPr>
                                    <w:r>
                                      <w:rPr>
                                        <w:rFonts w:hint="eastAsia"/>
                                        <w:sz w:val="21"/>
                                        <w:szCs w:val="21"/>
                                        <w:lang w:val="en-US" w:eastAsia="zh-CN"/>
                                      </w:rPr>
                                      <w:t>保护目标</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5" name="矩形 55"/>
                              <wps:cNvSpPr/>
                              <wps:spPr>
                                <a:xfrm>
                                  <a:off x="8464" y="416110"/>
                                  <a:ext cx="330" cy="26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6" name="矩形 56"/>
                              <wps:cNvSpPr/>
                              <wps:spPr>
                                <a:xfrm>
                                  <a:off x="8484" y="416540"/>
                                  <a:ext cx="330" cy="260"/>
                                </a:xfrm>
                                <a:prstGeom prst="rect">
                                  <a:avLst/>
                                </a:pr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7" name="矩形 57"/>
                              <wps:cNvSpPr/>
                              <wps:spPr>
                                <a:xfrm>
                                  <a:off x="8514" y="417010"/>
                                  <a:ext cx="330" cy="260"/>
                                </a:xfrm>
                                <a:prstGeom prst="rect">
                                  <a:avLst/>
                                </a:prstGeom>
                                <a:noFill/>
                                <a:ln>
                                  <a:solidFill>
                                    <a:srgbClr val="102AEE"/>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8" name="矩形 58"/>
                              <wps:cNvSpPr/>
                              <wps:spPr>
                                <a:xfrm>
                                  <a:off x="8504" y="417490"/>
                                  <a:ext cx="330" cy="260"/>
                                </a:xfrm>
                                <a:prstGeom prst="rect">
                                  <a:avLst/>
                                </a:prstGeom>
                                <a:solidFill>
                                  <a:srgbClr val="CB25D9"/>
                                </a:solidFill>
                                <a:ln>
                                  <a:solidFill>
                                    <a:srgbClr val="CB25D9"/>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57.7pt;margin-top:150.4pt;height:124pt;width:101pt;z-index:251666432;mso-width-relative:page;mso-height-relative:page;" coordorigin="8364,415430" coordsize="2020,2480" o:gfxdata="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">
                      <o:lock v:ext="edit" aspectratio="f"/>
                      <v:shape id="_x0000_s1026" o:spid="_x0000_s1026" o:spt="202" type="#_x0000_t202" style="position:absolute;left:8364;top:415430;height:2480;width:2020;" fillcolor="#FFFFFF [3201]" filled="t" stroked="t" coordsize="21600,21600" o:gfxdata="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1AAAK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65C7F604">
                              <w:pPr>
                                <w:ind w:left="0" w:leftChars="0" w:firstLine="0" w:firstLineChars="0"/>
                                <w:jc w:val="center"/>
                                <w:rPr>
                                  <w:rFonts w:hint="eastAsia"/>
                                  <w:sz w:val="21"/>
                                  <w:szCs w:val="21"/>
                                  <w:lang w:val="en-US" w:eastAsia="zh-CN"/>
                                </w:rPr>
                              </w:pPr>
                              <w:r>
                                <w:rPr>
                                  <w:rFonts w:hint="eastAsia"/>
                                  <w:sz w:val="21"/>
                                  <w:szCs w:val="21"/>
                                  <w:lang w:val="en-US" w:eastAsia="zh-CN"/>
                                </w:rPr>
                                <w:t>图例</w:t>
                              </w:r>
                            </w:p>
                            <w:p w14:paraId="6B348995">
                              <w:pPr>
                                <w:ind w:left="0" w:leftChars="0" w:firstLine="420" w:firstLineChars="200"/>
                                <w:jc w:val="both"/>
                                <w:rPr>
                                  <w:rFonts w:hint="eastAsia"/>
                                  <w:sz w:val="21"/>
                                  <w:szCs w:val="21"/>
                                  <w:lang w:val="en-US" w:eastAsia="zh-CN"/>
                                </w:rPr>
                              </w:pPr>
                              <w:r>
                                <w:rPr>
                                  <w:rFonts w:hint="eastAsia"/>
                                  <w:sz w:val="21"/>
                                  <w:szCs w:val="21"/>
                                  <w:lang w:val="en-US" w:eastAsia="zh-CN"/>
                                </w:rPr>
                                <w:t>本项目</w:t>
                              </w:r>
                            </w:p>
                            <w:p w14:paraId="3F7741D4">
                              <w:pPr>
                                <w:ind w:left="0" w:leftChars="0" w:firstLine="420" w:firstLineChars="200"/>
                                <w:jc w:val="both"/>
                                <w:rPr>
                                  <w:rFonts w:hint="eastAsia"/>
                                  <w:sz w:val="21"/>
                                  <w:szCs w:val="21"/>
                                  <w:lang w:val="en-US" w:eastAsia="zh-CN"/>
                                </w:rPr>
                              </w:pPr>
                              <w:r>
                                <w:rPr>
                                  <w:rFonts w:hint="eastAsia"/>
                                  <w:sz w:val="21"/>
                                  <w:szCs w:val="21"/>
                                  <w:lang w:val="en-US" w:eastAsia="zh-CN"/>
                                </w:rPr>
                                <w:t>噪声评价范围</w:t>
                              </w:r>
                            </w:p>
                            <w:p w14:paraId="5425755D">
                              <w:pPr>
                                <w:ind w:left="0" w:leftChars="0" w:firstLine="420" w:firstLineChars="200"/>
                                <w:jc w:val="both"/>
                                <w:rPr>
                                  <w:rFonts w:hint="eastAsia"/>
                                  <w:sz w:val="21"/>
                                  <w:szCs w:val="21"/>
                                  <w:lang w:val="en-US" w:eastAsia="zh-CN"/>
                                </w:rPr>
                              </w:pPr>
                              <w:r>
                                <w:rPr>
                                  <w:rFonts w:hint="eastAsia"/>
                                  <w:sz w:val="21"/>
                                  <w:szCs w:val="21"/>
                                  <w:lang w:val="en-US" w:eastAsia="zh-CN"/>
                                </w:rPr>
                                <w:t>大气评价范围</w:t>
                              </w:r>
                            </w:p>
                            <w:p w14:paraId="5F17DB7A">
                              <w:pPr>
                                <w:ind w:left="0" w:leftChars="0" w:firstLine="420" w:firstLineChars="200"/>
                                <w:jc w:val="both"/>
                                <w:rPr>
                                  <w:rFonts w:hint="default"/>
                                  <w:sz w:val="21"/>
                                  <w:szCs w:val="21"/>
                                  <w:lang w:val="en-US" w:eastAsia="zh-CN"/>
                                </w:rPr>
                              </w:pPr>
                              <w:r>
                                <w:rPr>
                                  <w:rFonts w:hint="eastAsia"/>
                                  <w:sz w:val="21"/>
                                  <w:szCs w:val="21"/>
                                  <w:lang w:val="en-US" w:eastAsia="zh-CN"/>
                                </w:rPr>
                                <w:t>保护目标</w:t>
                              </w:r>
                            </w:p>
                          </w:txbxContent>
                        </v:textbox>
                      </v:shape>
                      <v:rect id="_x0000_s1026" o:spid="_x0000_s1026" o:spt="1" style="position:absolute;left:8464;top:416110;height:260;width:330;v-text-anchor:middle;" filled="f" stroked="t" coordsize="21600,21600" o:gfxdata="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Uq5YvQAA&#10;ANsAAAAPAAAAAAAAAAEAIAAAACIAAABkcnMvZG93bnJldi54bWxQSwECFAAUAAAACACHTuJAMy8F&#10;njsAAAA5AAAAEAAAAAAAAAABACAAAAAMAQAAZHJzL3NoYXBleG1sLnhtbFBLBQYAAAAABgAGAFsB&#10;AAC2AwAAAAA=&#10;">
                        <v:fill on="f" focussize="0,0"/>
                        <v:stroke weight="1pt" color="#FF0000 [2404]" miterlimit="8" joinstyle="miter"/>
                        <v:imagedata o:title=""/>
                        <o:lock v:ext="edit" aspectratio="f"/>
                      </v:rect>
                      <v:rect id="_x0000_s1026" o:spid="_x0000_s1026" o:spt="1" style="position:absolute;left:8484;top:416540;height:260;width:330;v-text-anchor:middle;" filled="f" stroked="t" coordsize="21600,21600" o:gfxdata="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dW5vQAA&#10;ANsAAAAPAAAAAAAAAAEAIAAAACIAAABkcnMvZG93bnJldi54bWxQSwECFAAUAAAACACHTuJAMy8F&#10;njsAAAA5AAAAEAAAAAAAAAABACAAAAAMAQAAZHJzL3NoYXBleG1sLnhtbFBLBQYAAAAABgAGAFsB&#10;AAC2AwAAAAA=&#10;">
                        <v:fill on="f" focussize="0,0"/>
                        <v:stroke weight="1pt" color="#00B050 [2404]" miterlimit="8" joinstyle="miter"/>
                        <v:imagedata o:title=""/>
                        <o:lock v:ext="edit" aspectratio="f"/>
                      </v:rect>
                      <v:rect id="_x0000_s1026" o:spid="_x0000_s1026" o:spt="1" style="position:absolute;left:8514;top:417010;height:260;width:330;v-text-anchor:middle;" filled="f" stroked="t" coordsize="21600,21600" o:gfxdata="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iFRzvQAA&#10;ANsAAAAPAAAAAAAAAAEAIAAAACIAAABkcnMvZG93bnJldi54bWxQSwECFAAUAAAACACHTuJAMy8F&#10;njsAAAA5AAAAEAAAAAAAAAABACAAAAAMAQAAZHJzL3NoYXBleG1sLnhtbFBLBQYAAAAABgAGAFsB&#10;AAC2AwAAAAA=&#10;">
                        <v:fill on="f" focussize="0,0"/>
                        <v:stroke weight="1pt" color="#102AEE [2404]" miterlimit="8" joinstyle="miter"/>
                        <v:imagedata o:title=""/>
                        <o:lock v:ext="edit" aspectratio="f"/>
                      </v:rect>
                      <v:rect id="_x0000_s1026" o:spid="_x0000_s1026" o:spt="1" style="position:absolute;left:8504;top:417490;height:260;width:330;v-text-anchor:middle;" fillcolor="#CB25D9" filled="t" stroked="t" coordsize="21600,21600" o:gfxdata="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EdZRrsAAADb&#10;AAAADwAAAAAAAAABACAAAAAiAAAAZHJzL2Rvd25yZXYueG1sUEsBAhQAFAAAAAgAh07iQDMvBZ47&#10;AAAAOQAAABAAAAAAAAAAAQAgAAAACgEAAGRycy9zaGFwZXhtbC54bWxQSwUGAAAAAAYABgBbAQAA&#10;tAMAAAAA&#10;">
                        <v:fill on="t" focussize="0,0"/>
                        <v:stroke weight="1pt" color="#CB25D9 [2404]" miterlimit="8" joinstyle="miter"/>
                        <v:imagedata o:title=""/>
                        <o:lock v:ext="edit" aspectratio="f"/>
                      </v:rect>
                    </v:group>
                  </w:pict>
                </mc:Fallback>
              </mc:AlternateContent>
            </w:r>
            <w:r>
              <w:rPr>
                <w:rFonts w:hint="default" w:ascii="Times New Roman" w:hAnsi="Times New Roman" w:cs="Times New Roman"/>
                <w:color w:val="auto"/>
              </w:rPr>
              <w:drawing>
                <wp:inline distT="0" distB="0" distL="114300" distR="114300">
                  <wp:extent cx="4569460" cy="3445510"/>
                  <wp:effectExtent l="0" t="0" r="2540" b="2540"/>
                  <wp:docPr id="5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3"/>
                          <pic:cNvPicPr>
                            <a:picLocks noChangeAspect="1"/>
                          </pic:cNvPicPr>
                        </pic:nvPicPr>
                        <pic:blipFill>
                          <a:blip r:embed="rId19"/>
                          <a:stretch>
                            <a:fillRect/>
                          </a:stretch>
                        </pic:blipFill>
                        <pic:spPr>
                          <a:xfrm>
                            <a:off x="0" y="0"/>
                            <a:ext cx="4569460" cy="3445510"/>
                          </a:xfrm>
                          <a:prstGeom prst="rect">
                            <a:avLst/>
                          </a:prstGeom>
                          <a:noFill/>
                          <a:ln>
                            <a:noFill/>
                          </a:ln>
                        </pic:spPr>
                      </pic:pic>
                    </a:graphicData>
                  </a:graphic>
                </wp:inline>
              </w:drawing>
            </w:r>
          </w:p>
          <w:p w14:paraId="127E497F">
            <w:pPr>
              <w:pStyle w:val="27"/>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图3-</w:t>
            </w:r>
            <w:r>
              <w:rPr>
                <w:rFonts w:hint="eastAsia" w:cs="Times New Roman"/>
                <w:color w:val="auto"/>
                <w:highlight w:val="none"/>
                <w:lang w:val="en-US" w:eastAsia="zh-CN"/>
              </w:rPr>
              <w:t>2</w:t>
            </w:r>
            <w:r>
              <w:rPr>
                <w:rFonts w:hint="default" w:ascii="Times New Roman" w:hAnsi="Times New Roman" w:eastAsia="宋体" w:cs="Times New Roman"/>
                <w:color w:val="auto"/>
                <w:highlight w:val="none"/>
                <w:lang w:val="en-US" w:eastAsia="zh-CN"/>
              </w:rPr>
              <w:t xml:space="preserve">    保护目标图</w:t>
            </w:r>
          </w:p>
          <w:p w14:paraId="7D2E1785">
            <w:pPr>
              <w:ind w:firstLine="482"/>
              <w:rPr>
                <w:rFonts w:hint="default" w:ascii="Times New Roman" w:hAnsi="Times New Roman" w:cs="Times New Roman"/>
                <w:b/>
                <w:bCs/>
                <w:color w:val="auto"/>
                <w:highlight w:val="none"/>
                <w:lang w:val="zh-CN"/>
              </w:rPr>
            </w:pPr>
            <w:r>
              <w:rPr>
                <w:rFonts w:hint="default" w:ascii="Times New Roman" w:hAnsi="Times New Roman" w:cs="Times New Roman"/>
                <w:b/>
                <w:bCs/>
                <w:color w:val="auto"/>
                <w:highlight w:val="none"/>
                <w:lang w:val="zh-CN"/>
              </w:rPr>
              <w:t>1.大气污染物排放标准</w:t>
            </w:r>
          </w:p>
          <w:p w14:paraId="0E3EAB57">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1.1施工期</w:t>
            </w:r>
          </w:p>
          <w:p w14:paraId="28366AD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本项目施工期产生的废气污染物主要是颗粒物，排放执行《大气污染物综合排放标准》（GB16297-1996）表2新污染源大气污染物排放限值中“无组织排放监控浓度限值”。</w:t>
            </w:r>
          </w:p>
          <w:p w14:paraId="4FB253AD">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表3-</w:t>
            </w:r>
            <w:r>
              <w:rPr>
                <w:rFonts w:hint="eastAsia" w:cs="Times New Roman"/>
                <w:color w:val="auto"/>
                <w:highlight w:val="none"/>
                <w:lang w:val="en-US" w:eastAsia="zh-CN"/>
              </w:rPr>
              <w:t>7</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《大气污染物综合排放标准》（GB16297-1996）</w:t>
            </w:r>
          </w:p>
          <w:tbl>
            <w:tblPr>
              <w:tblStyle w:val="23"/>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37"/>
              <w:gridCol w:w="3381"/>
              <w:gridCol w:w="2236"/>
            </w:tblGrid>
            <w:tr w14:paraId="002045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037" w:type="dxa"/>
                  <w:vMerge w:val="restart"/>
                  <w:tcBorders>
                    <w:tl2br w:val="nil"/>
                    <w:tr2bl w:val="nil"/>
                  </w:tcBorders>
                  <w:tcMar>
                    <w:left w:w="28" w:type="dxa"/>
                    <w:right w:w="28" w:type="dxa"/>
                  </w:tcMar>
                  <w:vAlign w:val="center"/>
                </w:tcPr>
                <w:p w14:paraId="53FCF4E5">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5617" w:type="dxa"/>
                  <w:gridSpan w:val="2"/>
                  <w:tcBorders>
                    <w:tl2br w:val="nil"/>
                    <w:tr2bl w:val="nil"/>
                  </w:tcBorders>
                  <w:tcMar>
                    <w:left w:w="28" w:type="dxa"/>
                    <w:right w:w="28" w:type="dxa"/>
                  </w:tcMar>
                  <w:vAlign w:val="center"/>
                </w:tcPr>
                <w:p w14:paraId="4DAC6765">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无组织排放监控浓度限值</w:t>
                  </w:r>
                </w:p>
              </w:tc>
            </w:tr>
            <w:tr w14:paraId="7FB35D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037" w:type="dxa"/>
                  <w:vMerge w:val="continue"/>
                  <w:tcBorders>
                    <w:tl2br w:val="nil"/>
                    <w:tr2bl w:val="nil"/>
                  </w:tcBorders>
                  <w:tcMar>
                    <w:left w:w="28" w:type="dxa"/>
                    <w:right w:w="28" w:type="dxa"/>
                  </w:tcMar>
                  <w:vAlign w:val="center"/>
                </w:tcPr>
                <w:p w14:paraId="543FD31C">
                  <w:pPr>
                    <w:pStyle w:val="46"/>
                    <w:jc w:val="center"/>
                    <w:rPr>
                      <w:rFonts w:hint="default" w:ascii="Times New Roman" w:hAnsi="Times New Roman" w:cs="Times New Roman"/>
                      <w:b/>
                      <w:bCs/>
                      <w:color w:val="auto"/>
                      <w:sz w:val="21"/>
                      <w:szCs w:val="21"/>
                      <w:highlight w:val="none"/>
                    </w:rPr>
                  </w:pPr>
                </w:p>
              </w:tc>
              <w:tc>
                <w:tcPr>
                  <w:tcW w:w="3381" w:type="dxa"/>
                  <w:tcBorders>
                    <w:tl2br w:val="nil"/>
                    <w:tr2bl w:val="nil"/>
                  </w:tcBorders>
                  <w:tcMar>
                    <w:left w:w="28" w:type="dxa"/>
                    <w:right w:w="28" w:type="dxa"/>
                  </w:tcMar>
                  <w:vAlign w:val="center"/>
                </w:tcPr>
                <w:p w14:paraId="537D4A5E">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监控点</w:t>
                  </w:r>
                </w:p>
              </w:tc>
              <w:tc>
                <w:tcPr>
                  <w:tcW w:w="2236" w:type="dxa"/>
                  <w:tcBorders>
                    <w:tl2br w:val="nil"/>
                    <w:tr2bl w:val="nil"/>
                  </w:tcBorders>
                  <w:tcMar>
                    <w:left w:w="28" w:type="dxa"/>
                    <w:right w:w="28" w:type="dxa"/>
                  </w:tcMar>
                  <w:vAlign w:val="center"/>
                </w:tcPr>
                <w:p w14:paraId="6286C23A">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浓度</w:t>
                  </w:r>
                  <w:r>
                    <w:rPr>
                      <w:rFonts w:hint="default" w:ascii="Times New Roman" w:hAnsi="Times New Roman" w:cs="Times New Roman"/>
                      <w:b/>
                      <w:bCs/>
                      <w:color w:val="auto"/>
                      <w:sz w:val="21"/>
                      <w:szCs w:val="21"/>
                      <w:highlight w:val="none"/>
                      <w:lang w:eastAsia="zh-CN"/>
                    </w:rPr>
                    <w:t>（</w:t>
                  </w:r>
                  <w:r>
                    <w:rPr>
                      <w:rFonts w:hint="default" w:ascii="Times New Roman" w:hAnsi="Times New Roman" w:cs="Times New Roman"/>
                      <w:b/>
                      <w:bCs/>
                      <w:color w:val="auto"/>
                      <w:sz w:val="21"/>
                      <w:szCs w:val="21"/>
                      <w:highlight w:val="none"/>
                    </w:rPr>
                    <w:t>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c>
            </w:tr>
            <w:tr w14:paraId="25A478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037" w:type="dxa"/>
                  <w:tcBorders>
                    <w:tl2br w:val="nil"/>
                    <w:tr2bl w:val="nil"/>
                  </w:tcBorders>
                  <w:tcMar>
                    <w:left w:w="28" w:type="dxa"/>
                    <w:right w:w="28" w:type="dxa"/>
                  </w:tcMar>
                  <w:vAlign w:val="center"/>
                </w:tcPr>
                <w:p w14:paraId="2F4B9A0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3381" w:type="dxa"/>
                  <w:tcBorders>
                    <w:tl2br w:val="nil"/>
                    <w:tr2bl w:val="nil"/>
                  </w:tcBorders>
                  <w:tcMar>
                    <w:left w:w="28" w:type="dxa"/>
                    <w:right w:w="28" w:type="dxa"/>
                  </w:tcMar>
                  <w:vAlign w:val="center"/>
                </w:tcPr>
                <w:p w14:paraId="3560458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周围外浓度最高点</w:t>
                  </w:r>
                </w:p>
              </w:tc>
              <w:tc>
                <w:tcPr>
                  <w:tcW w:w="2236" w:type="dxa"/>
                  <w:tcBorders>
                    <w:tl2br w:val="nil"/>
                    <w:tr2bl w:val="nil"/>
                  </w:tcBorders>
                  <w:tcMar>
                    <w:left w:w="28" w:type="dxa"/>
                    <w:right w:w="28" w:type="dxa"/>
                  </w:tcMar>
                  <w:vAlign w:val="center"/>
                </w:tcPr>
                <w:p w14:paraId="69B5AD2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bl>
          <w:p w14:paraId="1CCE3A0A">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1.2</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rPr>
              <w:t>运营期</w:t>
            </w:r>
          </w:p>
          <w:p w14:paraId="7B32402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废气有组织及无组织排放分别执行《水泥工业大气污染物排放标准》（GB4915-2013）中表</w:t>
            </w:r>
            <w:r>
              <w:rPr>
                <w:rFonts w:hint="default" w:ascii="Times New Roman" w:hAnsi="Times New Roman" w:cs="Times New Roman"/>
                <w:color w:val="auto"/>
                <w:highlight w:val="none"/>
                <w:lang w:eastAsia="zh-CN"/>
              </w:rPr>
              <w:t>1</w:t>
            </w:r>
            <w:r>
              <w:rPr>
                <w:rFonts w:hint="default" w:ascii="Times New Roman" w:hAnsi="Times New Roman" w:cs="Times New Roman"/>
                <w:color w:val="auto"/>
                <w:highlight w:val="none"/>
              </w:rPr>
              <w:t>及表3标准。</w:t>
            </w:r>
          </w:p>
          <w:p w14:paraId="70C74316">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表3-</w:t>
            </w:r>
            <w:r>
              <w:rPr>
                <w:rFonts w:hint="eastAsia" w:cs="Times New Roman"/>
                <w:color w:val="auto"/>
                <w:highlight w:val="none"/>
                <w:lang w:val="en-US" w:eastAsia="zh-CN"/>
              </w:rPr>
              <w:t>8</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《水泥工业大气污染物排放标准》（GB4915-2013）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单位：mg/m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lang w:eastAsia="zh-CN"/>
              </w:rPr>
              <w:t>）</w:t>
            </w:r>
          </w:p>
          <w:tbl>
            <w:tblPr>
              <w:tblStyle w:val="2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315"/>
              <w:gridCol w:w="3420"/>
              <w:gridCol w:w="918"/>
            </w:tblGrid>
            <w:tr w14:paraId="31C85D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3315" w:type="dxa"/>
                  <w:vAlign w:val="center"/>
                </w:tcPr>
                <w:p w14:paraId="00E4B595">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生产过程</w:t>
                  </w:r>
                </w:p>
              </w:tc>
              <w:tc>
                <w:tcPr>
                  <w:tcW w:w="3420" w:type="dxa"/>
                  <w:vAlign w:val="center"/>
                </w:tcPr>
                <w:p w14:paraId="112B68C3">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生产设备</w:t>
                  </w:r>
                </w:p>
              </w:tc>
              <w:tc>
                <w:tcPr>
                  <w:tcW w:w="918" w:type="dxa"/>
                  <w:vAlign w:val="center"/>
                </w:tcPr>
                <w:p w14:paraId="40F71911">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颗粒物</w:t>
                  </w:r>
                </w:p>
              </w:tc>
            </w:tr>
            <w:tr w14:paraId="7CBDDB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3315" w:type="dxa"/>
                  <w:vAlign w:val="center"/>
                </w:tcPr>
                <w:p w14:paraId="719B81F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散装水泥中转站及水泥制品生产</w:t>
                  </w:r>
                </w:p>
              </w:tc>
              <w:tc>
                <w:tcPr>
                  <w:tcW w:w="3420" w:type="dxa"/>
                  <w:vAlign w:val="center"/>
                </w:tcPr>
                <w:p w14:paraId="1E22CD0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水泥仓及其他通风生产设备</w:t>
                  </w:r>
                </w:p>
              </w:tc>
              <w:tc>
                <w:tcPr>
                  <w:tcW w:w="918" w:type="dxa"/>
                  <w:vAlign w:val="center"/>
                </w:tcPr>
                <w:p w14:paraId="092BB3E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r>
          </w:tbl>
          <w:p w14:paraId="09E7D170">
            <w:pPr>
              <w:pStyle w:val="27"/>
              <w:rPr>
                <w:rFonts w:hint="default" w:ascii="Times New Roman" w:hAnsi="Times New Roman" w:cs="Times New Roman"/>
                <w:color w:val="auto"/>
                <w:highlight w:val="none"/>
                <w:vertAlign w:val="superscript"/>
              </w:rPr>
            </w:pPr>
            <w:r>
              <w:rPr>
                <w:rFonts w:hint="default" w:ascii="Times New Roman" w:hAnsi="Times New Roman" w:cs="Times New Roman"/>
                <w:color w:val="auto"/>
                <w:highlight w:val="none"/>
              </w:rPr>
              <w:t>表3-</w:t>
            </w:r>
            <w:r>
              <w:rPr>
                <w:rFonts w:hint="eastAsia" w:cs="Times New Roman"/>
                <w:color w:val="auto"/>
                <w:highlight w:val="none"/>
                <w:lang w:val="en-US" w:eastAsia="zh-CN"/>
              </w:rPr>
              <w:t>9</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《水泥工业大气污染物排放标准》（GB4915-2013）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单位：mg/m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lang w:eastAsia="zh-CN"/>
              </w:rPr>
              <w:t>）</w:t>
            </w:r>
          </w:p>
          <w:tbl>
            <w:tblPr>
              <w:tblStyle w:val="2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290"/>
              <w:gridCol w:w="660"/>
              <w:gridCol w:w="2790"/>
              <w:gridCol w:w="2238"/>
            </w:tblGrid>
            <w:tr w14:paraId="3F8090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5" w:type="dxa"/>
                  <w:vAlign w:val="center"/>
                </w:tcPr>
                <w:p w14:paraId="21602679">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1290" w:type="dxa"/>
                  <w:vAlign w:val="center"/>
                </w:tcPr>
                <w:p w14:paraId="477D644E">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污染物项目</w:t>
                  </w:r>
                </w:p>
              </w:tc>
              <w:tc>
                <w:tcPr>
                  <w:tcW w:w="660" w:type="dxa"/>
                  <w:vAlign w:val="center"/>
                </w:tcPr>
                <w:p w14:paraId="6A61FB1E">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限值</w:t>
                  </w:r>
                </w:p>
              </w:tc>
              <w:tc>
                <w:tcPr>
                  <w:tcW w:w="2790" w:type="dxa"/>
                  <w:vAlign w:val="center"/>
                </w:tcPr>
                <w:p w14:paraId="17D612C8">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含义</w:t>
                  </w:r>
                </w:p>
              </w:tc>
              <w:tc>
                <w:tcPr>
                  <w:tcW w:w="2238" w:type="dxa"/>
                  <w:vAlign w:val="center"/>
                </w:tcPr>
                <w:p w14:paraId="4FDAC457">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无组织排放监控位置</w:t>
                  </w:r>
                </w:p>
              </w:tc>
            </w:tr>
            <w:tr w14:paraId="197184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5" w:type="dxa"/>
                  <w:vAlign w:val="center"/>
                </w:tcPr>
                <w:p w14:paraId="239C7B8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290" w:type="dxa"/>
                  <w:vAlign w:val="center"/>
                </w:tcPr>
                <w:p w14:paraId="6095E38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660" w:type="dxa"/>
                  <w:vAlign w:val="center"/>
                </w:tcPr>
                <w:p w14:paraId="6E9C68B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c>
                <w:tcPr>
                  <w:tcW w:w="2790" w:type="dxa"/>
                  <w:vAlign w:val="center"/>
                </w:tcPr>
                <w:p w14:paraId="03B89EE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监控点与参照点总悬浮颗粒物（TSP）1小时浓度值的差值</w:t>
                  </w:r>
                </w:p>
              </w:tc>
              <w:tc>
                <w:tcPr>
                  <w:tcW w:w="2238" w:type="dxa"/>
                  <w:vAlign w:val="center"/>
                </w:tcPr>
                <w:p w14:paraId="233D175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厂界外20m处上风向设参照点，下风向设监控点</w:t>
                  </w:r>
                </w:p>
              </w:tc>
            </w:tr>
          </w:tbl>
          <w:p w14:paraId="388611AC">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2.废水</w:t>
            </w:r>
          </w:p>
          <w:p w14:paraId="24933F0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项目运营期主要为生活污水，生活污水经化粪池</w:t>
            </w:r>
            <w:r>
              <w:rPr>
                <w:rFonts w:hint="eastAsia" w:cs="Times New Roman"/>
                <w:color w:val="auto"/>
                <w:highlight w:val="none"/>
                <w:lang w:eastAsia="zh-CN"/>
              </w:rPr>
              <w:t>沉淀满足</w:t>
            </w:r>
            <w:r>
              <w:rPr>
                <w:rFonts w:hint="default" w:ascii="Times New Roman" w:hAnsi="Times New Roman" w:cs="Times New Roman"/>
                <w:color w:val="auto"/>
                <w:highlight w:val="none"/>
              </w:rPr>
              <w:t>《污水综合排放标准》（GB8978－1996）表4中三级标准后，拉运至</w:t>
            </w:r>
            <w:r>
              <w:rPr>
                <w:rFonts w:hint="default" w:ascii="Times New Roman" w:hAnsi="Times New Roman" w:cs="Times New Roman"/>
                <w:color w:val="auto"/>
                <w:highlight w:val="none"/>
                <w:lang w:val="en-US" w:eastAsia="zh-CN"/>
              </w:rPr>
              <w:t>附近</w:t>
            </w:r>
            <w:r>
              <w:rPr>
                <w:rFonts w:hint="default" w:ascii="Times New Roman" w:hAnsi="Times New Roman" w:cs="Times New Roman"/>
                <w:color w:val="auto"/>
                <w:highlight w:val="none"/>
              </w:rPr>
              <w:t>污水处理厂处理。</w:t>
            </w:r>
          </w:p>
          <w:p w14:paraId="45BF6EF2">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表3-1</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《污水综合排放标准》（GB8978-1996）（三级标准）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单位：mg/L</w:t>
            </w:r>
            <w:r>
              <w:rPr>
                <w:rFonts w:hint="default" w:ascii="Times New Roman" w:hAnsi="Times New Roman" w:cs="Times New Roman"/>
                <w:color w:val="auto"/>
                <w:highlight w:val="none"/>
                <w:lang w:eastAsia="zh-CN"/>
              </w:rPr>
              <w:t>）</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04"/>
              <w:gridCol w:w="967"/>
              <w:gridCol w:w="1155"/>
              <w:gridCol w:w="1440"/>
              <w:gridCol w:w="1300"/>
              <w:gridCol w:w="1590"/>
            </w:tblGrid>
            <w:tr w14:paraId="5197AE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exact"/>
                <w:jc w:val="center"/>
              </w:trPr>
              <w:tc>
                <w:tcPr>
                  <w:tcW w:w="1204" w:type="dxa"/>
                  <w:tcMar>
                    <w:top w:w="0" w:type="dxa"/>
                    <w:left w:w="28" w:type="dxa"/>
                    <w:bottom w:w="0" w:type="dxa"/>
                    <w:right w:w="28" w:type="dxa"/>
                  </w:tcMar>
                  <w:vAlign w:val="center"/>
                </w:tcPr>
                <w:p w14:paraId="73A8DAFE">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项目</w:t>
                  </w:r>
                </w:p>
              </w:tc>
              <w:tc>
                <w:tcPr>
                  <w:tcW w:w="967" w:type="dxa"/>
                  <w:tcMar>
                    <w:top w:w="0" w:type="dxa"/>
                    <w:left w:w="28" w:type="dxa"/>
                    <w:bottom w:w="0" w:type="dxa"/>
                    <w:right w:w="28" w:type="dxa"/>
                  </w:tcMar>
                  <w:vAlign w:val="center"/>
                </w:tcPr>
                <w:p w14:paraId="2E324B34">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PH</w:t>
                  </w:r>
                </w:p>
              </w:tc>
              <w:tc>
                <w:tcPr>
                  <w:tcW w:w="1155" w:type="dxa"/>
                  <w:tcMar>
                    <w:top w:w="0" w:type="dxa"/>
                    <w:left w:w="28" w:type="dxa"/>
                    <w:bottom w:w="0" w:type="dxa"/>
                    <w:right w:w="28" w:type="dxa"/>
                  </w:tcMar>
                  <w:vAlign w:val="center"/>
                </w:tcPr>
                <w:p w14:paraId="31DFD4D5">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SS</w:t>
                  </w:r>
                </w:p>
              </w:tc>
              <w:tc>
                <w:tcPr>
                  <w:tcW w:w="1440" w:type="dxa"/>
                  <w:tcMar>
                    <w:top w:w="0" w:type="dxa"/>
                    <w:left w:w="28" w:type="dxa"/>
                    <w:bottom w:w="0" w:type="dxa"/>
                    <w:right w:w="28" w:type="dxa"/>
                  </w:tcMar>
                  <w:vAlign w:val="center"/>
                </w:tcPr>
                <w:p w14:paraId="05C571EC">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COD</w:t>
                  </w:r>
                </w:p>
              </w:tc>
              <w:tc>
                <w:tcPr>
                  <w:tcW w:w="1300" w:type="dxa"/>
                  <w:tcMar>
                    <w:top w:w="0" w:type="dxa"/>
                    <w:left w:w="28" w:type="dxa"/>
                    <w:bottom w:w="0" w:type="dxa"/>
                    <w:right w:w="28" w:type="dxa"/>
                  </w:tcMar>
                  <w:vAlign w:val="center"/>
                </w:tcPr>
                <w:p w14:paraId="613014B2">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BOD</w:t>
                  </w:r>
                  <w:r>
                    <w:rPr>
                      <w:rFonts w:hint="default" w:ascii="Times New Roman" w:hAnsi="Times New Roman" w:cs="Times New Roman"/>
                      <w:b/>
                      <w:bCs/>
                      <w:color w:val="auto"/>
                      <w:highlight w:val="none"/>
                      <w:vertAlign w:val="subscript"/>
                    </w:rPr>
                    <w:t>5</w:t>
                  </w:r>
                </w:p>
              </w:tc>
              <w:tc>
                <w:tcPr>
                  <w:tcW w:w="1590" w:type="dxa"/>
                  <w:tcMar>
                    <w:top w:w="0" w:type="dxa"/>
                    <w:left w:w="28" w:type="dxa"/>
                    <w:bottom w:w="0" w:type="dxa"/>
                    <w:right w:w="28" w:type="dxa"/>
                  </w:tcMar>
                  <w:vAlign w:val="center"/>
                </w:tcPr>
                <w:p w14:paraId="5EDFD6DD">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NH</w:t>
                  </w:r>
                  <w:r>
                    <w:rPr>
                      <w:rFonts w:hint="default" w:ascii="Times New Roman" w:hAnsi="Times New Roman" w:cs="Times New Roman"/>
                      <w:b/>
                      <w:bCs/>
                      <w:color w:val="auto"/>
                      <w:highlight w:val="none"/>
                      <w:vertAlign w:val="subscript"/>
                    </w:rPr>
                    <w:t>3</w:t>
                  </w:r>
                  <w:r>
                    <w:rPr>
                      <w:rFonts w:hint="default" w:ascii="Times New Roman" w:hAnsi="Times New Roman" w:cs="Times New Roman"/>
                      <w:b/>
                      <w:bCs/>
                      <w:color w:val="auto"/>
                      <w:highlight w:val="none"/>
                    </w:rPr>
                    <w:t>－N</w:t>
                  </w:r>
                </w:p>
              </w:tc>
            </w:tr>
            <w:tr w14:paraId="7A8A81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exact"/>
                <w:jc w:val="center"/>
              </w:trPr>
              <w:tc>
                <w:tcPr>
                  <w:tcW w:w="1204" w:type="dxa"/>
                  <w:tcMar>
                    <w:top w:w="0" w:type="dxa"/>
                    <w:left w:w="28" w:type="dxa"/>
                    <w:bottom w:w="0" w:type="dxa"/>
                    <w:right w:w="28" w:type="dxa"/>
                  </w:tcMar>
                  <w:vAlign w:val="center"/>
                </w:tcPr>
                <w:p w14:paraId="00471F0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三级标准</w:t>
                  </w:r>
                </w:p>
              </w:tc>
              <w:tc>
                <w:tcPr>
                  <w:tcW w:w="967" w:type="dxa"/>
                  <w:tcMar>
                    <w:top w:w="0" w:type="dxa"/>
                    <w:left w:w="28" w:type="dxa"/>
                    <w:bottom w:w="0" w:type="dxa"/>
                    <w:right w:w="28" w:type="dxa"/>
                  </w:tcMar>
                  <w:vAlign w:val="center"/>
                </w:tcPr>
                <w:p w14:paraId="0EADC1C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6～9</w:t>
                  </w:r>
                </w:p>
              </w:tc>
              <w:tc>
                <w:tcPr>
                  <w:tcW w:w="1155" w:type="dxa"/>
                  <w:tcMar>
                    <w:top w:w="0" w:type="dxa"/>
                    <w:left w:w="28" w:type="dxa"/>
                    <w:bottom w:w="0" w:type="dxa"/>
                    <w:right w:w="28" w:type="dxa"/>
                  </w:tcMar>
                  <w:vAlign w:val="center"/>
                </w:tcPr>
                <w:p w14:paraId="0C4C853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400</w:t>
                  </w:r>
                </w:p>
              </w:tc>
              <w:tc>
                <w:tcPr>
                  <w:tcW w:w="1440" w:type="dxa"/>
                  <w:tcMar>
                    <w:top w:w="0" w:type="dxa"/>
                    <w:left w:w="28" w:type="dxa"/>
                    <w:bottom w:w="0" w:type="dxa"/>
                    <w:right w:w="28" w:type="dxa"/>
                  </w:tcMar>
                  <w:vAlign w:val="center"/>
                </w:tcPr>
                <w:p w14:paraId="0831297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500</w:t>
                  </w:r>
                </w:p>
              </w:tc>
              <w:tc>
                <w:tcPr>
                  <w:tcW w:w="1300" w:type="dxa"/>
                  <w:tcMar>
                    <w:top w:w="0" w:type="dxa"/>
                    <w:left w:w="28" w:type="dxa"/>
                    <w:bottom w:w="0" w:type="dxa"/>
                    <w:right w:w="28" w:type="dxa"/>
                  </w:tcMar>
                  <w:vAlign w:val="center"/>
                </w:tcPr>
                <w:p w14:paraId="22B127B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300</w:t>
                  </w:r>
                </w:p>
              </w:tc>
              <w:tc>
                <w:tcPr>
                  <w:tcW w:w="1590" w:type="dxa"/>
                  <w:tcMar>
                    <w:top w:w="0" w:type="dxa"/>
                    <w:left w:w="28" w:type="dxa"/>
                    <w:bottom w:w="0" w:type="dxa"/>
                    <w:right w:w="28" w:type="dxa"/>
                  </w:tcMar>
                  <w:vAlign w:val="center"/>
                </w:tcPr>
                <w:p w14:paraId="06DA152E">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w:t>
                  </w:r>
                </w:p>
              </w:tc>
            </w:tr>
          </w:tbl>
          <w:p w14:paraId="369F6EB5">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3.噪声</w:t>
            </w:r>
          </w:p>
          <w:p w14:paraId="1F89F02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本项目施工期噪声排放执行《建筑施工场界环境噪声排放标准》（GB12523-2011），见表3-1</w:t>
            </w:r>
            <w:r>
              <w:rPr>
                <w:rFonts w:hint="eastAsia" w:cs="Times New Roman"/>
                <w:color w:val="auto"/>
                <w:highlight w:val="none"/>
                <w:lang w:val="en-US" w:eastAsia="zh-CN"/>
              </w:rPr>
              <w:t>1</w:t>
            </w:r>
            <w:r>
              <w:rPr>
                <w:rFonts w:hint="default" w:ascii="Times New Roman" w:hAnsi="Times New Roman" w:cs="Times New Roman"/>
                <w:color w:val="auto"/>
                <w:highlight w:val="none"/>
              </w:rPr>
              <w:t>。</w:t>
            </w:r>
          </w:p>
          <w:p w14:paraId="4C3928C6">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表3-1</w:t>
            </w: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《建筑施工场界环境噪声排放标准》（摘录）</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05"/>
              <w:gridCol w:w="1185"/>
              <w:gridCol w:w="5361"/>
            </w:tblGrid>
            <w:tr w14:paraId="63B91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74" w:hRule="atLeast"/>
                <w:jc w:val="center"/>
              </w:trPr>
              <w:tc>
                <w:tcPr>
                  <w:tcW w:w="1110" w:type="dxa"/>
                  <w:gridSpan w:val="2"/>
                  <w:vAlign w:val="center"/>
                </w:tcPr>
                <w:p w14:paraId="766A4AFC">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昼间限值</w:t>
                  </w:r>
                </w:p>
              </w:tc>
              <w:tc>
                <w:tcPr>
                  <w:tcW w:w="1185" w:type="dxa"/>
                  <w:vAlign w:val="center"/>
                </w:tcPr>
                <w:p w14:paraId="0946AB94">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夜间限值</w:t>
                  </w:r>
                </w:p>
              </w:tc>
              <w:tc>
                <w:tcPr>
                  <w:tcW w:w="5361" w:type="dxa"/>
                  <w:vAlign w:val="center"/>
                </w:tcPr>
                <w:p w14:paraId="21DBFF3A">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标准来源</w:t>
                  </w:r>
                </w:p>
              </w:tc>
            </w:tr>
            <w:tr w14:paraId="6F5CF5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005" w:type="dxa"/>
                  <w:vAlign w:val="center"/>
                </w:tcPr>
                <w:p w14:paraId="194D2F6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c>
                <w:tcPr>
                  <w:tcW w:w="1290" w:type="dxa"/>
                  <w:gridSpan w:val="2"/>
                  <w:vAlign w:val="center"/>
                </w:tcPr>
                <w:p w14:paraId="46B1334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55</w:t>
                  </w:r>
                </w:p>
              </w:tc>
              <w:tc>
                <w:tcPr>
                  <w:tcW w:w="5361" w:type="dxa"/>
                  <w:vAlign w:val="center"/>
                </w:tcPr>
                <w:p w14:paraId="48E3775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《建筑施工场界环境噪声排放标准》（GB12523-2011）</w:t>
                  </w:r>
                </w:p>
              </w:tc>
            </w:tr>
          </w:tbl>
          <w:p w14:paraId="4AC02D2F">
            <w:pPr>
              <w:ind w:firstLine="480"/>
              <w:rPr>
                <w:rFonts w:hint="default" w:ascii="Times New Roman" w:hAnsi="Times New Roman" w:cs="Times New Roman"/>
                <w:color w:val="auto"/>
                <w:highlight w:val="none"/>
              </w:rPr>
            </w:pPr>
            <w:r>
              <w:rPr>
                <w:rFonts w:hint="eastAsia" w:cs="Times New Roman"/>
                <w:color w:val="auto"/>
                <w:highlight w:val="none"/>
                <w:lang w:val="en-US" w:eastAsia="zh-CN"/>
              </w:rPr>
              <w:t>根据鄂尔多斯市声环境功能区划图，</w:t>
            </w:r>
            <w:r>
              <w:rPr>
                <w:rFonts w:hint="default" w:ascii="Times New Roman" w:hAnsi="Times New Roman" w:cs="Times New Roman"/>
                <w:color w:val="auto"/>
                <w:highlight w:val="none"/>
                <w:lang w:val="en-US" w:eastAsia="zh-CN"/>
              </w:rPr>
              <w:t>本项目属于2类声功能区</w:t>
            </w:r>
            <w:r>
              <w:rPr>
                <w:rFonts w:hint="eastAsia" w:cs="Times New Roman"/>
                <w:color w:val="auto"/>
                <w:highlight w:val="none"/>
                <w:lang w:val="en-US" w:eastAsia="zh-CN"/>
              </w:rPr>
              <w:t>。</w:t>
            </w:r>
            <w:r>
              <w:rPr>
                <w:rFonts w:hint="default" w:ascii="Times New Roman" w:hAnsi="Times New Roman" w:cs="Times New Roman"/>
                <w:color w:val="auto"/>
                <w:highlight w:val="none"/>
              </w:rPr>
              <w:t>厂界四周噪声值执行《工业企业厂界环境噪声排放标准》（GB12348-2008）表1工业企业厂界环境噪声排放限值，标准值见表3-1</w:t>
            </w:r>
            <w:r>
              <w:rPr>
                <w:rFonts w:hint="eastAsia" w:cs="Times New Roman"/>
                <w:color w:val="auto"/>
                <w:highlight w:val="none"/>
                <w:lang w:val="en-US" w:eastAsia="zh-CN"/>
              </w:rPr>
              <w:t>2</w:t>
            </w:r>
            <w:r>
              <w:rPr>
                <w:rFonts w:hint="default" w:ascii="Times New Roman" w:hAnsi="Times New Roman" w:cs="Times New Roman"/>
                <w:color w:val="auto"/>
                <w:highlight w:val="none"/>
              </w:rPr>
              <w:t>。</w:t>
            </w:r>
          </w:p>
          <w:p w14:paraId="47370579">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表3-1</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《工业企业厂界环境噪声排放标准》（GB12348-2008）</w:t>
            </w:r>
          </w:p>
          <w:tbl>
            <w:tblPr>
              <w:tblStyle w:val="2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75"/>
              <w:gridCol w:w="2217"/>
              <w:gridCol w:w="2661"/>
            </w:tblGrid>
            <w:tr w14:paraId="712E7A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775" w:type="dxa"/>
                  <w:tcBorders>
                    <w:tl2br w:val="nil"/>
                    <w:tr2bl w:val="nil"/>
                  </w:tcBorders>
                  <w:tcMar>
                    <w:left w:w="28" w:type="dxa"/>
                    <w:right w:w="28" w:type="dxa"/>
                  </w:tcMar>
                  <w:vAlign w:val="center"/>
                </w:tcPr>
                <w:p w14:paraId="6B6C3BB2">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类别</w:t>
                  </w:r>
                </w:p>
              </w:tc>
              <w:tc>
                <w:tcPr>
                  <w:tcW w:w="2217" w:type="dxa"/>
                  <w:tcBorders>
                    <w:tl2br w:val="nil"/>
                    <w:tr2bl w:val="nil"/>
                  </w:tcBorders>
                  <w:tcMar>
                    <w:left w:w="28" w:type="dxa"/>
                    <w:right w:w="28" w:type="dxa"/>
                  </w:tcMar>
                  <w:vAlign w:val="center"/>
                </w:tcPr>
                <w:p w14:paraId="37203CF3">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昼间</w:t>
                  </w:r>
                </w:p>
              </w:tc>
              <w:tc>
                <w:tcPr>
                  <w:tcW w:w="2661" w:type="dxa"/>
                  <w:tcBorders>
                    <w:tl2br w:val="nil"/>
                    <w:tr2bl w:val="nil"/>
                  </w:tcBorders>
                  <w:tcMar>
                    <w:left w:w="28" w:type="dxa"/>
                    <w:right w:w="28" w:type="dxa"/>
                  </w:tcMar>
                  <w:vAlign w:val="center"/>
                </w:tcPr>
                <w:p w14:paraId="611292B2">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夜间</w:t>
                  </w:r>
                </w:p>
              </w:tc>
            </w:tr>
            <w:tr w14:paraId="7F1CB7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775" w:type="dxa"/>
                  <w:tcBorders>
                    <w:tl2br w:val="nil"/>
                    <w:tr2bl w:val="nil"/>
                  </w:tcBorders>
                  <w:tcMar>
                    <w:left w:w="28" w:type="dxa"/>
                    <w:right w:w="28" w:type="dxa"/>
                  </w:tcMar>
                  <w:vAlign w:val="center"/>
                </w:tcPr>
                <w:p w14:paraId="6AE5884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类声环境功能区</w:t>
                  </w:r>
                </w:p>
              </w:tc>
              <w:tc>
                <w:tcPr>
                  <w:tcW w:w="2217" w:type="dxa"/>
                  <w:tcBorders>
                    <w:tl2br w:val="nil"/>
                    <w:tr2bl w:val="nil"/>
                  </w:tcBorders>
                  <w:tcMar>
                    <w:left w:w="28" w:type="dxa"/>
                    <w:right w:w="28" w:type="dxa"/>
                  </w:tcMar>
                  <w:vAlign w:val="center"/>
                </w:tcPr>
                <w:p w14:paraId="44BEE03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60</w:t>
                  </w:r>
                  <w:r>
                    <w:rPr>
                      <w:rFonts w:hint="default" w:ascii="Times New Roman" w:hAnsi="Times New Roman" w:cs="Times New Roman"/>
                      <w:color w:val="auto"/>
                      <w:highlight w:val="none"/>
                    </w:rPr>
                    <w:t>d(A)</w:t>
                  </w:r>
                </w:p>
              </w:tc>
              <w:tc>
                <w:tcPr>
                  <w:tcW w:w="2661" w:type="dxa"/>
                  <w:tcBorders>
                    <w:tl2br w:val="nil"/>
                    <w:tr2bl w:val="nil"/>
                  </w:tcBorders>
                  <w:tcMar>
                    <w:left w:w="28" w:type="dxa"/>
                    <w:right w:w="28" w:type="dxa"/>
                  </w:tcMar>
                  <w:vAlign w:val="center"/>
                </w:tcPr>
                <w:p w14:paraId="2072499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50</w:t>
                  </w:r>
                  <w:r>
                    <w:rPr>
                      <w:rFonts w:hint="default" w:ascii="Times New Roman" w:hAnsi="Times New Roman" w:cs="Times New Roman"/>
                      <w:color w:val="auto"/>
                      <w:highlight w:val="none"/>
                    </w:rPr>
                    <w:t>dB(A)</w:t>
                  </w:r>
                </w:p>
              </w:tc>
            </w:tr>
          </w:tbl>
          <w:p w14:paraId="6BA99448">
            <w:pPr>
              <w:ind w:firstLine="482"/>
              <w:rPr>
                <w:rFonts w:hint="default" w:ascii="Times New Roman" w:hAnsi="Times New Roman" w:cs="Times New Roman"/>
                <w:b/>
                <w:color w:val="auto"/>
                <w:highlight w:val="none"/>
              </w:rPr>
            </w:pPr>
            <w:r>
              <w:rPr>
                <w:rFonts w:hint="default" w:ascii="Times New Roman" w:hAnsi="Times New Roman" w:cs="Times New Roman"/>
                <w:color w:val="auto"/>
                <w:highlight w:val="none"/>
              </w:rPr>
              <mc:AlternateContent>
                <mc:Choice Requires="wps">
                  <w:drawing>
                    <wp:anchor distT="0" distB="0" distL="114300" distR="114300" simplePos="0" relativeHeight="251672576" behindDoc="0" locked="1" layoutInCell="1" allowOverlap="1">
                      <wp:simplePos x="0" y="0"/>
                      <wp:positionH relativeFrom="column">
                        <wp:posOffset>2809875</wp:posOffset>
                      </wp:positionH>
                      <wp:positionV relativeFrom="paragraph">
                        <wp:posOffset>707390</wp:posOffset>
                      </wp:positionV>
                      <wp:extent cx="1009015" cy="365760"/>
                      <wp:effectExtent l="381635" t="4445" r="19050" b="239395"/>
                      <wp:wrapNone/>
                      <wp:docPr id="26" name="矩形标注 26"/>
                      <wp:cNvGraphicFramePr/>
                      <a:graphic xmlns:a="http://schemas.openxmlformats.org/drawingml/2006/main">
                        <a:graphicData uri="http://schemas.microsoft.com/office/word/2010/wordprocessingShape">
                          <wps:wsp>
                            <wps:cNvSpPr/>
                            <wps:spPr>
                              <a:xfrm>
                                <a:off x="0" y="0"/>
                                <a:ext cx="1009015" cy="365760"/>
                              </a:xfrm>
                              <a:prstGeom prst="wedgeRectCallout">
                                <a:avLst>
                                  <a:gd name="adj1" fmla="val -84172"/>
                                  <a:gd name="adj2" fmla="val 107291"/>
                                </a:avLst>
                              </a:prstGeom>
                              <a:solidFill>
                                <a:srgbClr val="4F81BD"/>
                              </a:solidFill>
                              <a:ln w="9525" cap="flat" cmpd="sng">
                                <a:solidFill>
                                  <a:srgbClr val="000000"/>
                                </a:solidFill>
                                <a:prstDash val="solid"/>
                                <a:miter/>
                                <a:headEnd type="none" w="med" len="med"/>
                                <a:tailEnd type="none" w="med" len="med"/>
                              </a:ln>
                            </wps:spPr>
                            <wps:txbx>
                              <w:txbxContent>
                                <w:p w14:paraId="35AE1BCF">
                                  <w:pPr>
                                    <w:ind w:firstLine="0" w:firstLineChars="0"/>
                                  </w:pPr>
                                  <w:r>
                                    <w:rPr>
                                      <w:rFonts w:hint="eastAsia"/>
                                      <w:b/>
                                      <w:bCs/>
                                    </w:rPr>
                                    <w:t>本项目位置</w:t>
                                  </w:r>
                                </w:p>
                              </w:txbxContent>
                            </wps:txbx>
                            <wps:bodyPr upright="1"/>
                          </wps:wsp>
                        </a:graphicData>
                      </a:graphic>
                    </wp:anchor>
                  </w:drawing>
                </mc:Choice>
                <mc:Fallback>
                  <w:pict>
                    <v:shape id="_x0000_s1026" o:spid="_x0000_s1026" o:spt="61" type="#_x0000_t61" style="position:absolute;left:0pt;margin-left:221.25pt;margin-top:55.7pt;height:28.8pt;width:79.45pt;z-index:251672576;mso-width-relative:page;mso-height-relative:page;" fillcolor="#4F81BD" filled="t" stroked="t" coordsize="21600,21600" o:gfxdata="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HdpxbXAAAACwEAAA8AAAAAAAAAAQAgAAAAIgAAAGRycy9k&#10;b3ducmV2LnhtbFBLAQIUABQAAAAIAIdO4kAITfBxPAIAAJAEAAAOAAAAAAAAAAEAIAAAACYBAABk&#10;cnMvZTJvRG9jLnhtbFBLBQYAAAAABgAGAFkBAADUBQAAAAA=&#10;" adj="-7381,33975">
                      <v:fill on="t" focussize="0,0"/>
                      <v:stroke color="#000000" joinstyle="miter"/>
                      <v:imagedata o:title=""/>
                      <o:lock v:ext="edit" aspectratio="f"/>
                      <v:textbox>
                        <w:txbxContent>
                          <w:p w14:paraId="35AE1BCF">
                            <w:pPr>
                              <w:ind w:firstLine="0" w:firstLineChars="0"/>
                            </w:pPr>
                            <w:r>
                              <w:rPr>
                                <w:rFonts w:hint="eastAsia"/>
                                <w:b/>
                                <w:bCs/>
                              </w:rPr>
                              <w:t>本项目位置</w:t>
                            </w:r>
                          </w:p>
                        </w:txbxContent>
                      </v:textbox>
                      <w10:anchorlock/>
                    </v:shape>
                  </w:pict>
                </mc:Fallback>
              </mc:AlternateContent>
            </w:r>
            <w:r>
              <w:rPr>
                <w:rFonts w:hint="eastAsia" w:ascii="Times New Roman" w:hAnsi="Times New Roman" w:eastAsia="宋体" w:cs="Times New Roman"/>
                <w:b/>
                <w:color w:val="auto"/>
                <w:highlight w:val="none"/>
                <w:lang w:eastAsia="zh-CN"/>
              </w:rPr>
              <w:drawing>
                <wp:anchor distT="0" distB="0" distL="114300" distR="114300" simplePos="0" relativeHeight="251671552" behindDoc="0" locked="0" layoutInCell="1" allowOverlap="1">
                  <wp:simplePos x="0" y="0"/>
                  <wp:positionH relativeFrom="column">
                    <wp:posOffset>304165</wp:posOffset>
                  </wp:positionH>
                  <wp:positionV relativeFrom="paragraph">
                    <wp:posOffset>42545</wp:posOffset>
                  </wp:positionV>
                  <wp:extent cx="4058285" cy="2871470"/>
                  <wp:effectExtent l="0" t="0" r="18415" b="5080"/>
                  <wp:wrapNone/>
                  <wp:docPr id="25" name="图片 25" descr="微信图片_20250905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微信图片_20250905100115"/>
                          <pic:cNvPicPr>
                            <a:picLocks noChangeAspect="1"/>
                          </pic:cNvPicPr>
                        </pic:nvPicPr>
                        <pic:blipFill>
                          <a:blip r:embed="rId20"/>
                          <a:stretch>
                            <a:fillRect/>
                          </a:stretch>
                        </pic:blipFill>
                        <pic:spPr>
                          <a:xfrm>
                            <a:off x="0" y="0"/>
                            <a:ext cx="4058285" cy="2871470"/>
                          </a:xfrm>
                          <a:prstGeom prst="rect">
                            <a:avLst/>
                          </a:prstGeom>
                        </pic:spPr>
                      </pic:pic>
                    </a:graphicData>
                  </a:graphic>
                </wp:anchor>
              </w:drawing>
            </w:r>
          </w:p>
          <w:p w14:paraId="79A63D6A">
            <w:pPr>
              <w:ind w:firstLine="482"/>
              <w:rPr>
                <w:rFonts w:hint="eastAsia" w:ascii="Times New Roman" w:hAnsi="Times New Roman" w:eastAsia="宋体" w:cs="Times New Roman"/>
                <w:b/>
                <w:color w:val="auto"/>
                <w:highlight w:val="none"/>
                <w:lang w:eastAsia="zh-CN"/>
              </w:rPr>
            </w:pPr>
          </w:p>
          <w:p w14:paraId="21150B12">
            <w:pPr>
              <w:ind w:firstLine="482"/>
              <w:rPr>
                <w:rFonts w:hint="eastAsia" w:ascii="Times New Roman" w:hAnsi="Times New Roman" w:eastAsia="宋体" w:cs="Times New Roman"/>
                <w:b/>
                <w:color w:val="auto"/>
                <w:highlight w:val="none"/>
                <w:lang w:eastAsia="zh-CN"/>
              </w:rPr>
            </w:pPr>
          </w:p>
          <w:p w14:paraId="5335D1FE">
            <w:pPr>
              <w:ind w:firstLine="482"/>
              <w:rPr>
                <w:rFonts w:hint="default" w:ascii="Times New Roman" w:hAnsi="Times New Roman" w:cs="Times New Roman"/>
                <w:b/>
                <w:color w:val="auto"/>
                <w:highlight w:val="none"/>
              </w:rPr>
            </w:pPr>
          </w:p>
          <w:p w14:paraId="2BC76640">
            <w:pPr>
              <w:ind w:firstLine="482"/>
              <w:rPr>
                <w:rFonts w:hint="default" w:ascii="Times New Roman" w:hAnsi="Times New Roman" w:cs="Times New Roman"/>
                <w:b/>
                <w:color w:val="auto"/>
                <w:highlight w:val="none"/>
              </w:rPr>
            </w:pPr>
          </w:p>
          <w:p w14:paraId="6C7B4ECE">
            <w:pPr>
              <w:ind w:firstLine="482"/>
              <w:rPr>
                <w:rFonts w:hint="default" w:ascii="Times New Roman" w:hAnsi="Times New Roman" w:cs="Times New Roman"/>
                <w:b/>
                <w:color w:val="auto"/>
                <w:highlight w:val="none"/>
              </w:rPr>
            </w:pPr>
          </w:p>
          <w:p w14:paraId="076D646D">
            <w:pPr>
              <w:ind w:firstLine="482"/>
              <w:rPr>
                <w:rFonts w:hint="default" w:ascii="Times New Roman" w:hAnsi="Times New Roman" w:cs="Times New Roman"/>
                <w:b/>
                <w:color w:val="auto"/>
                <w:highlight w:val="none"/>
              </w:rPr>
            </w:pPr>
          </w:p>
          <w:p w14:paraId="32F69945">
            <w:pPr>
              <w:ind w:firstLine="482"/>
              <w:rPr>
                <w:rFonts w:hint="default" w:ascii="Times New Roman" w:hAnsi="Times New Roman" w:cs="Times New Roman"/>
                <w:b/>
                <w:color w:val="auto"/>
                <w:highlight w:val="none"/>
              </w:rPr>
            </w:pPr>
          </w:p>
          <w:p w14:paraId="43B34FA9">
            <w:pPr>
              <w:ind w:firstLine="482"/>
              <w:rPr>
                <w:rFonts w:hint="default" w:ascii="Times New Roman" w:hAnsi="Times New Roman" w:cs="Times New Roman"/>
                <w:b/>
                <w:color w:val="auto"/>
                <w:highlight w:val="none"/>
              </w:rPr>
            </w:pPr>
          </w:p>
          <w:p w14:paraId="61E14F8E">
            <w:pPr>
              <w:ind w:firstLine="482"/>
              <w:rPr>
                <w:rFonts w:hint="default" w:ascii="Times New Roman" w:hAnsi="Times New Roman" w:cs="Times New Roman"/>
                <w:b/>
                <w:color w:val="auto"/>
                <w:highlight w:val="none"/>
              </w:rPr>
            </w:pPr>
          </w:p>
          <w:p w14:paraId="6D0EFA11">
            <w:pPr>
              <w:pStyle w:val="27"/>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图3-</w:t>
            </w:r>
            <w:r>
              <w:rPr>
                <w:rFonts w:hint="eastAsia" w:cs="Times New Roman"/>
                <w:color w:val="auto"/>
                <w:highlight w:val="none"/>
                <w:lang w:val="en-US" w:eastAsia="zh-CN"/>
              </w:rPr>
              <w:t>3</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本项目与声环境功能区划</w:t>
            </w:r>
            <w:r>
              <w:rPr>
                <w:rFonts w:hint="default" w:ascii="Times New Roman" w:hAnsi="Times New Roman" w:eastAsia="宋体" w:cs="Times New Roman"/>
                <w:color w:val="auto"/>
                <w:highlight w:val="none"/>
                <w:lang w:val="en-US" w:eastAsia="zh-CN"/>
              </w:rPr>
              <w:t>图</w:t>
            </w:r>
            <w:r>
              <w:rPr>
                <w:rFonts w:hint="eastAsia" w:cs="Times New Roman"/>
                <w:color w:val="auto"/>
                <w:highlight w:val="none"/>
                <w:lang w:val="en-US" w:eastAsia="zh-CN"/>
              </w:rPr>
              <w:t>位置</w:t>
            </w:r>
          </w:p>
          <w:p w14:paraId="61FE034B">
            <w:pPr>
              <w:ind w:firstLine="482"/>
              <w:rPr>
                <w:rFonts w:hint="default" w:ascii="Times New Roman" w:hAnsi="Times New Roman" w:cs="Times New Roman"/>
                <w:b/>
                <w:color w:val="auto"/>
                <w:highlight w:val="none"/>
              </w:rPr>
            </w:pPr>
            <w:r>
              <w:rPr>
                <w:rFonts w:hint="default" w:ascii="Times New Roman" w:hAnsi="Times New Roman" w:cs="Times New Roman"/>
                <w:b/>
                <w:color w:val="auto"/>
                <w:highlight w:val="none"/>
              </w:rPr>
              <w:t>4.固体废物控制标准</w:t>
            </w:r>
          </w:p>
          <w:p w14:paraId="0353392F">
            <w:pPr>
              <w:ind w:firstLine="480"/>
              <w:rPr>
                <w:rFonts w:hint="default" w:ascii="Times New Roman" w:hAnsi="Times New Roman" w:cs="Times New Roman"/>
                <w:color w:val="auto"/>
              </w:rPr>
            </w:pPr>
            <w:r>
              <w:rPr>
                <w:rFonts w:hint="default" w:ascii="Times New Roman" w:hAnsi="Times New Roman" w:cs="Times New Roman"/>
                <w:color w:val="auto"/>
                <w:highlight w:val="none"/>
                <w:lang w:bidi="ar"/>
              </w:rPr>
              <w:t>一般工业固体废物执行《一般工业固体废物贮存和填埋污染控制标准》（GB18599-2020）</w:t>
            </w:r>
            <w:r>
              <w:rPr>
                <w:rFonts w:hint="default" w:ascii="Times New Roman" w:hAnsi="Times New Roman" w:cs="Times New Roman"/>
                <w:color w:val="auto"/>
                <w:highlight w:val="none"/>
              </w:rPr>
              <w:t>中的相关规定。</w:t>
            </w:r>
          </w:p>
        </w:tc>
      </w:tr>
      <w:tr w14:paraId="54D76B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Align w:val="center"/>
          </w:tcPr>
          <w:p w14:paraId="00D1454A">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总量控制指标</w:t>
            </w:r>
          </w:p>
        </w:tc>
        <w:tc>
          <w:tcPr>
            <w:tcW w:w="7872" w:type="dxa"/>
            <w:vAlign w:val="top"/>
          </w:tcPr>
          <w:p w14:paraId="16D5A6CC">
            <w:pPr>
              <w:ind w:firstLine="480"/>
              <w:jc w:val="both"/>
              <w:rPr>
                <w:rFonts w:hint="default" w:ascii="Times New Roman" w:hAnsi="Times New Roman" w:cs="Times New Roman"/>
                <w:color w:val="auto"/>
                <w:highlight w:val="none"/>
              </w:rPr>
            </w:pPr>
          </w:p>
          <w:p w14:paraId="04020646">
            <w:pPr>
              <w:ind w:firstLine="480"/>
              <w:jc w:val="both"/>
              <w:rPr>
                <w:rFonts w:hint="default" w:ascii="Times New Roman" w:hAnsi="Times New Roman" w:cs="Times New Roman"/>
                <w:color w:val="auto"/>
                <w:highlight w:val="none"/>
              </w:rPr>
            </w:pPr>
          </w:p>
          <w:p w14:paraId="5F2BB555">
            <w:pPr>
              <w:ind w:firstLine="480"/>
              <w:jc w:val="both"/>
              <w:rPr>
                <w:rFonts w:hint="default" w:ascii="Times New Roman" w:hAnsi="Times New Roman" w:cs="Times New Roman"/>
                <w:color w:val="auto"/>
                <w:highlight w:val="none"/>
              </w:rPr>
            </w:pPr>
          </w:p>
          <w:p w14:paraId="6D223BC6">
            <w:pPr>
              <w:ind w:firstLine="480"/>
              <w:jc w:val="both"/>
              <w:rPr>
                <w:rFonts w:hint="default" w:ascii="Times New Roman" w:hAnsi="Times New Roman" w:cs="Times New Roman"/>
                <w:color w:val="auto"/>
                <w:highlight w:val="none"/>
              </w:rPr>
            </w:pPr>
          </w:p>
          <w:p w14:paraId="2B9EB835">
            <w:pPr>
              <w:ind w:firstLine="480"/>
              <w:jc w:val="both"/>
              <w:rPr>
                <w:rFonts w:hint="default" w:ascii="Times New Roman" w:hAnsi="Times New Roman" w:cs="Times New Roman"/>
                <w:color w:val="auto"/>
                <w:highlight w:val="none"/>
              </w:rPr>
            </w:pPr>
          </w:p>
          <w:p w14:paraId="677CEC48">
            <w:pPr>
              <w:ind w:firstLine="480"/>
              <w:jc w:val="both"/>
              <w:rPr>
                <w:rFonts w:hint="default" w:ascii="Times New Roman" w:hAnsi="Times New Roman" w:cs="Times New Roman"/>
                <w:color w:val="auto"/>
                <w:highlight w:val="none"/>
              </w:rPr>
            </w:pPr>
          </w:p>
          <w:p w14:paraId="368C5AA5">
            <w:pPr>
              <w:ind w:firstLine="480"/>
              <w:jc w:val="both"/>
              <w:rPr>
                <w:rFonts w:hint="default" w:ascii="Times New Roman" w:hAnsi="Times New Roman" w:cs="Times New Roman"/>
                <w:color w:val="auto"/>
                <w:highlight w:val="none"/>
              </w:rPr>
            </w:pPr>
          </w:p>
          <w:p w14:paraId="1858ECA0">
            <w:pPr>
              <w:ind w:firstLine="480"/>
              <w:jc w:val="both"/>
              <w:rPr>
                <w:rFonts w:hint="default" w:ascii="Times New Roman" w:hAnsi="Times New Roman" w:cs="Times New Roman"/>
                <w:color w:val="auto"/>
                <w:highlight w:val="none"/>
              </w:rPr>
            </w:pPr>
          </w:p>
          <w:p w14:paraId="04EE3279">
            <w:pPr>
              <w:ind w:firstLine="480"/>
              <w:jc w:val="both"/>
              <w:rPr>
                <w:rFonts w:hint="default" w:ascii="Times New Roman" w:hAnsi="Times New Roman" w:cs="Times New Roman"/>
                <w:color w:val="auto"/>
                <w:highlight w:val="none"/>
              </w:rPr>
            </w:pPr>
          </w:p>
          <w:p w14:paraId="56AD01B7">
            <w:pPr>
              <w:ind w:firstLine="480"/>
              <w:jc w:val="both"/>
              <w:rPr>
                <w:rFonts w:hint="default" w:ascii="Times New Roman" w:hAnsi="Times New Roman" w:cs="Times New Roman"/>
                <w:color w:val="auto"/>
                <w:highlight w:val="none"/>
              </w:rPr>
            </w:pPr>
          </w:p>
          <w:p w14:paraId="73257C27">
            <w:pPr>
              <w:ind w:firstLine="48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根据《内蒙古自治区“十四五”生态环境保护规划》中规定，现阶段实施污染物总量控制的指标为挥发性有机物、NOx、COD和NH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-N。本项目产生的大气污染物主要为TSP；生活污水最终进入</w:t>
            </w:r>
            <w:r>
              <w:rPr>
                <w:rFonts w:hint="default" w:ascii="Times New Roman" w:hAnsi="Times New Roman" w:cs="Times New Roman"/>
                <w:color w:val="auto"/>
                <w:highlight w:val="none"/>
                <w:lang w:val="en-US" w:eastAsia="zh-CN"/>
              </w:rPr>
              <w:t>附近</w:t>
            </w:r>
            <w:r>
              <w:rPr>
                <w:rFonts w:hint="default" w:ascii="Times New Roman" w:hAnsi="Times New Roman" w:cs="Times New Roman"/>
                <w:color w:val="auto"/>
                <w:highlight w:val="none"/>
              </w:rPr>
              <w:t>污水处理厂，因此无需申请总量。</w:t>
            </w:r>
          </w:p>
          <w:p w14:paraId="6E005985">
            <w:pPr>
              <w:ind w:firstLine="480"/>
              <w:jc w:val="both"/>
              <w:rPr>
                <w:rFonts w:hint="default" w:ascii="Times New Roman" w:hAnsi="Times New Roman" w:cs="Times New Roman"/>
                <w:color w:val="auto"/>
                <w:highlight w:val="none"/>
              </w:rPr>
            </w:pPr>
          </w:p>
          <w:p w14:paraId="248FE53F">
            <w:pPr>
              <w:ind w:firstLine="480"/>
              <w:jc w:val="both"/>
              <w:rPr>
                <w:rFonts w:hint="default" w:ascii="Times New Roman" w:hAnsi="Times New Roman" w:cs="Times New Roman"/>
                <w:color w:val="auto"/>
                <w:highlight w:val="none"/>
              </w:rPr>
            </w:pPr>
          </w:p>
          <w:p w14:paraId="56DC23AF">
            <w:pPr>
              <w:ind w:firstLine="480"/>
              <w:jc w:val="both"/>
              <w:rPr>
                <w:rFonts w:hint="default" w:ascii="Times New Roman" w:hAnsi="Times New Roman" w:cs="Times New Roman"/>
                <w:color w:val="auto"/>
                <w:highlight w:val="none"/>
              </w:rPr>
            </w:pPr>
          </w:p>
          <w:p w14:paraId="22D4AB2F">
            <w:pPr>
              <w:ind w:firstLine="480"/>
              <w:jc w:val="both"/>
              <w:rPr>
                <w:rFonts w:hint="default" w:ascii="Times New Roman" w:hAnsi="Times New Roman" w:cs="Times New Roman"/>
                <w:color w:val="auto"/>
                <w:highlight w:val="none"/>
              </w:rPr>
            </w:pPr>
          </w:p>
          <w:p w14:paraId="7EEFA8C1">
            <w:pPr>
              <w:ind w:firstLine="480"/>
              <w:jc w:val="both"/>
              <w:rPr>
                <w:rFonts w:hint="default" w:ascii="Times New Roman" w:hAnsi="Times New Roman" w:cs="Times New Roman"/>
                <w:color w:val="auto"/>
                <w:highlight w:val="none"/>
              </w:rPr>
            </w:pPr>
          </w:p>
          <w:p w14:paraId="40C63D0B">
            <w:pPr>
              <w:ind w:firstLine="480"/>
              <w:jc w:val="both"/>
              <w:rPr>
                <w:rFonts w:hint="default" w:ascii="Times New Roman" w:hAnsi="Times New Roman" w:cs="Times New Roman"/>
                <w:color w:val="auto"/>
                <w:highlight w:val="none"/>
              </w:rPr>
            </w:pPr>
          </w:p>
          <w:p w14:paraId="222D09CA">
            <w:pPr>
              <w:ind w:firstLine="480"/>
              <w:jc w:val="both"/>
              <w:rPr>
                <w:rFonts w:hint="default" w:ascii="Times New Roman" w:hAnsi="Times New Roman" w:cs="Times New Roman"/>
                <w:color w:val="auto"/>
                <w:highlight w:val="none"/>
              </w:rPr>
            </w:pPr>
          </w:p>
          <w:p w14:paraId="45523E14">
            <w:pPr>
              <w:ind w:firstLine="480"/>
              <w:jc w:val="both"/>
              <w:rPr>
                <w:rFonts w:hint="default" w:ascii="Times New Roman" w:hAnsi="Times New Roman" w:cs="Times New Roman"/>
                <w:color w:val="auto"/>
                <w:highlight w:val="none"/>
              </w:rPr>
            </w:pPr>
          </w:p>
          <w:p w14:paraId="7EA8959D">
            <w:pPr>
              <w:ind w:firstLine="480"/>
              <w:jc w:val="both"/>
              <w:rPr>
                <w:rFonts w:hint="default" w:ascii="Times New Roman" w:hAnsi="Times New Roman" w:cs="Times New Roman"/>
                <w:color w:val="auto"/>
                <w:highlight w:val="none"/>
              </w:rPr>
            </w:pPr>
          </w:p>
          <w:p w14:paraId="0107137F">
            <w:pPr>
              <w:ind w:firstLine="480"/>
              <w:jc w:val="both"/>
              <w:rPr>
                <w:rFonts w:hint="default" w:ascii="Times New Roman" w:hAnsi="Times New Roman" w:cs="Times New Roman"/>
                <w:color w:val="auto"/>
                <w:highlight w:val="none"/>
              </w:rPr>
            </w:pPr>
          </w:p>
          <w:p w14:paraId="4633D714">
            <w:pPr>
              <w:ind w:firstLine="480"/>
              <w:jc w:val="both"/>
              <w:rPr>
                <w:rFonts w:hint="default" w:ascii="Times New Roman" w:hAnsi="Times New Roman" w:cs="Times New Roman"/>
                <w:color w:val="auto"/>
              </w:rPr>
            </w:pPr>
          </w:p>
        </w:tc>
      </w:tr>
    </w:tbl>
    <w:p w14:paraId="2ADEDC67">
      <w:pPr>
        <w:pStyle w:val="3"/>
        <w:ind w:firstLine="640"/>
        <w:rPr>
          <w:rFonts w:hint="default" w:ascii="Times New Roman" w:hAnsi="Times New Roman" w:cs="Times New Roman"/>
          <w:snapToGrid w:val="0"/>
          <w:color w:val="auto"/>
          <w:highlight w:val="none"/>
        </w:rPr>
        <w:sectPr>
          <w:pgSz w:w="11906" w:h="16838"/>
          <w:pgMar w:top="1440" w:right="1800" w:bottom="1440" w:left="1800" w:header="992" w:footer="992" w:gutter="0"/>
          <w:pgBorders>
            <w:top w:val="none" w:sz="0" w:space="0"/>
            <w:left w:val="none" w:sz="0" w:space="0"/>
            <w:bottom w:val="none" w:sz="0" w:space="0"/>
            <w:right w:val="none" w:sz="0" w:space="0"/>
          </w:pgBorders>
          <w:cols w:space="425" w:num="1"/>
          <w:docGrid w:type="lines" w:linePitch="312" w:charSpace="0"/>
        </w:sectPr>
      </w:pPr>
    </w:p>
    <w:p w14:paraId="65F27148">
      <w:pPr>
        <w:pStyle w:val="3"/>
        <w:ind w:firstLine="640"/>
        <w:jc w:val="center"/>
        <w:rPr>
          <w:rFonts w:hint="default" w:ascii="Times New Roman" w:hAnsi="Times New Roman" w:cs="Times New Roman"/>
          <w:color w:val="auto"/>
          <w:highlight w:val="none"/>
        </w:rPr>
      </w:pPr>
      <w:bookmarkStart w:id="8" w:name="_Toc144507128"/>
      <w:r>
        <w:rPr>
          <w:rFonts w:hint="default" w:ascii="Times New Roman" w:hAnsi="Times New Roman" w:cs="Times New Roman"/>
          <w:snapToGrid w:val="0"/>
          <w:color w:val="auto"/>
          <w:highlight w:val="none"/>
        </w:rPr>
        <w:t>四、主要</w:t>
      </w:r>
      <w:r>
        <w:rPr>
          <w:rFonts w:hint="default" w:ascii="Times New Roman" w:hAnsi="Times New Roman" w:cs="Times New Roman"/>
          <w:snapToGrid w:val="0"/>
          <w:color w:val="auto"/>
          <w:highlight w:val="none"/>
          <w:lang w:eastAsia="zh-CN"/>
        </w:rPr>
        <w:t>的</w:t>
      </w:r>
      <w:r>
        <w:rPr>
          <w:rFonts w:hint="default" w:ascii="Times New Roman" w:hAnsi="Times New Roman" w:cs="Times New Roman"/>
          <w:snapToGrid w:val="0"/>
          <w:color w:val="auto"/>
          <w:highlight w:val="none"/>
        </w:rPr>
        <w:t>环境影响和保护措施</w:t>
      </w:r>
      <w:bookmarkEnd w:id="8"/>
    </w:p>
    <w:tbl>
      <w:tblPr>
        <w:tblStyle w:val="23"/>
        <w:tblW w:w="860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69"/>
        <w:gridCol w:w="8032"/>
      </w:tblGrid>
      <w:tr w14:paraId="41BF13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80" w:hRule="atLeast"/>
          <w:jc w:val="center"/>
        </w:trPr>
        <w:tc>
          <w:tcPr>
            <w:tcW w:w="569" w:type="dxa"/>
            <w:tcMar>
              <w:left w:w="28" w:type="dxa"/>
              <w:right w:w="28" w:type="dxa"/>
            </w:tcMar>
            <w:vAlign w:val="center"/>
          </w:tcPr>
          <w:p w14:paraId="65EE4853">
            <w:pPr>
              <w:ind w:firstLine="0" w:firstLineChars="0"/>
              <w:jc w:val="cente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施工期环境保护措施</w:t>
            </w:r>
          </w:p>
        </w:tc>
        <w:tc>
          <w:tcPr>
            <w:tcW w:w="8032" w:type="dxa"/>
            <w:vAlign w:val="center"/>
          </w:tcPr>
          <w:p w14:paraId="32516750">
            <w:pPr>
              <w:ind w:firstLine="482" w:firstLineChars="20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1.废气</w:t>
            </w:r>
          </w:p>
          <w:p w14:paraId="7BF7527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为把建设项目施工期的扬尘污染降到最低，针对施工阶段提出如下防治措施：</w:t>
            </w:r>
          </w:p>
          <w:p w14:paraId="23BDD74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①严格控制施工作业范围，施工车辆必须行驶在规定道路范围内；</w:t>
            </w:r>
          </w:p>
          <w:p w14:paraId="56FF3DA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②施工过程中通过洒水车运水至场地运输通道，及时洒水以减少汽车行驶扬尘；</w:t>
            </w:r>
          </w:p>
          <w:p w14:paraId="405E9A3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③限制运输车辆的行驶速度，场地内行车速度不得超过15km/h；</w:t>
            </w:r>
          </w:p>
          <w:p w14:paraId="343DBD5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④建筑材料堆放过程</w:t>
            </w:r>
            <w:r>
              <w:rPr>
                <w:rFonts w:hint="default" w:ascii="Times New Roman" w:hAnsi="Times New Roman" w:cs="Times New Roman"/>
                <w:color w:val="auto"/>
                <w:highlight w:val="none"/>
                <w:lang w:eastAsia="zh-CN"/>
              </w:rPr>
              <w:t>中采取</w:t>
            </w:r>
            <w:r>
              <w:rPr>
                <w:rFonts w:hint="default" w:ascii="Times New Roman" w:hAnsi="Times New Roman" w:cs="Times New Roman"/>
                <w:color w:val="auto"/>
                <w:highlight w:val="none"/>
              </w:rPr>
              <w:t>覆盖苫布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对堆场进行洒水</w:t>
            </w:r>
            <w:r>
              <w:rPr>
                <w:rFonts w:hint="default" w:ascii="Times New Roman" w:hAnsi="Times New Roman" w:cs="Times New Roman"/>
                <w:color w:val="auto"/>
                <w:highlight w:val="none"/>
                <w:lang w:eastAsia="zh-CN"/>
              </w:rPr>
              <w:t>措施</w:t>
            </w:r>
            <w:r>
              <w:rPr>
                <w:rFonts w:hint="default" w:ascii="Times New Roman" w:hAnsi="Times New Roman" w:cs="Times New Roman"/>
                <w:color w:val="auto"/>
                <w:highlight w:val="none"/>
              </w:rPr>
              <w:t>；</w:t>
            </w:r>
          </w:p>
          <w:p w14:paraId="5AF93F6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⑤土建工程基坑开挖场地在施工前进行洒水降尘，并在四周设置围挡</w:t>
            </w:r>
          </w:p>
          <w:p w14:paraId="2AFFAAA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⑥开挖土方堆放过程</w:t>
            </w:r>
            <w:r>
              <w:rPr>
                <w:rFonts w:hint="default" w:ascii="Times New Roman" w:hAnsi="Times New Roman" w:cs="Times New Roman"/>
                <w:color w:val="auto"/>
                <w:highlight w:val="none"/>
                <w:lang w:eastAsia="zh-CN"/>
              </w:rPr>
              <w:t>中采取</w:t>
            </w:r>
            <w:r>
              <w:rPr>
                <w:rFonts w:hint="default" w:ascii="Times New Roman" w:hAnsi="Times New Roman" w:cs="Times New Roman"/>
                <w:color w:val="auto"/>
                <w:highlight w:val="none"/>
              </w:rPr>
              <w:t>覆盖苫布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对堆场进行洒水</w:t>
            </w:r>
            <w:r>
              <w:rPr>
                <w:rFonts w:hint="default" w:ascii="Times New Roman" w:hAnsi="Times New Roman" w:cs="Times New Roman"/>
                <w:color w:val="auto"/>
                <w:highlight w:val="none"/>
                <w:lang w:eastAsia="zh-CN"/>
              </w:rPr>
              <w:t>措施。</w:t>
            </w:r>
          </w:p>
          <w:p w14:paraId="14C2492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通过采取以上措施后，工地扬尘量可减少70%～80%，可大幅度降低施工造成的大气污染，施工期扬尘基本控制在施工现场范围内，可满足《大气污染物综合排放标准》（GB16297-1996）表2无组织排放标准的要求。另外，施工产生的扬尘属短期污染，其影响将随施工行为的结束而结束。因此在采取严格的防尘措施后，施工</w:t>
            </w:r>
            <w:r>
              <w:rPr>
                <w:rFonts w:hint="eastAsia" w:cs="Times New Roman"/>
                <w:color w:val="auto"/>
                <w:highlight w:val="none"/>
                <w:lang w:eastAsia="zh-CN"/>
              </w:rPr>
              <w:t>期间</w:t>
            </w:r>
            <w:r>
              <w:rPr>
                <w:rFonts w:hint="default" w:ascii="Times New Roman" w:hAnsi="Times New Roman" w:cs="Times New Roman"/>
                <w:color w:val="auto"/>
                <w:highlight w:val="none"/>
              </w:rPr>
              <w:t>扬尘的影响将大大地降低，其对环境的影响也将随着施工的结束而消失。</w:t>
            </w:r>
          </w:p>
          <w:p w14:paraId="0DCBAA86">
            <w:pPr>
              <w:ind w:firstLine="482" w:firstLineChars="20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2.废水</w:t>
            </w:r>
          </w:p>
          <w:p w14:paraId="36E409E4">
            <w:pPr>
              <w:ind w:firstLine="480"/>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施工期废水来源主要为施工泥浆水、机械设备清洗水</w:t>
            </w:r>
            <w:r>
              <w:rPr>
                <w:rFonts w:hint="default" w:ascii="Times New Roman" w:hAnsi="Times New Roman" w:cs="Times New Roman"/>
                <w:color w:val="auto"/>
                <w:highlight w:val="none"/>
                <w:lang w:eastAsia="zh-CN"/>
              </w:rPr>
              <w:t>等</w:t>
            </w:r>
            <w:r>
              <w:rPr>
                <w:rFonts w:hint="default" w:ascii="Times New Roman" w:hAnsi="Times New Roman" w:cs="Times New Roman"/>
                <w:color w:val="auto"/>
                <w:highlight w:val="none"/>
              </w:rPr>
              <w:t>。本项目施工期施工人员借住周边居民住房，项目施工期不设施工营地，不设食堂，施工雇用当地民工作业，施工人员均不在现场住宿。</w:t>
            </w:r>
            <w:r>
              <w:rPr>
                <w:rFonts w:hint="eastAsia" w:cs="Times New Roman"/>
                <w:color w:val="auto"/>
                <w:highlight w:val="none"/>
                <w:lang w:eastAsia="zh-CN"/>
              </w:rPr>
              <w:t>生活污水依托现有化粪池沉淀后，拉运至附近污水处理厂进行处理。</w:t>
            </w:r>
          </w:p>
          <w:p w14:paraId="092AFBB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施工过程中废水主要包括施工泥浆水、机械设备清洗水</w:t>
            </w:r>
            <w:r>
              <w:rPr>
                <w:rFonts w:hint="default" w:ascii="Times New Roman" w:hAnsi="Times New Roman" w:cs="Times New Roman"/>
                <w:color w:val="auto"/>
                <w:highlight w:val="none"/>
                <w:lang w:eastAsia="zh-CN"/>
              </w:rPr>
              <w:t>等</w:t>
            </w:r>
            <w:r>
              <w:rPr>
                <w:rFonts w:hint="default" w:ascii="Times New Roman" w:hAnsi="Times New Roman" w:cs="Times New Roman"/>
                <w:color w:val="auto"/>
                <w:highlight w:val="none"/>
              </w:rPr>
              <w:t>。施工废水</w:t>
            </w:r>
            <w:r>
              <w:rPr>
                <w:rFonts w:hint="default" w:ascii="Times New Roman" w:hAnsi="Times New Roman" w:cs="Times New Roman"/>
                <w:color w:val="auto"/>
                <w:highlight w:val="none"/>
                <w:lang w:eastAsia="zh-CN"/>
              </w:rPr>
              <w:t>中</w:t>
            </w:r>
            <w:r>
              <w:rPr>
                <w:rFonts w:hint="default" w:ascii="Times New Roman" w:hAnsi="Times New Roman" w:cs="Times New Roman"/>
                <w:color w:val="auto"/>
                <w:highlight w:val="none"/>
              </w:rPr>
              <w:t>主要含有悬浮物。建设过程中对于机械清洗应设固定清洗位置。对清洗废水和泥浆水用收集池收集沉淀，可循环利用，对周边水环境没有影响。</w:t>
            </w:r>
          </w:p>
          <w:p w14:paraId="6D9CE82B">
            <w:pPr>
              <w:ind w:firstLine="482" w:firstLineChars="200"/>
              <w:jc w:val="left"/>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3.噪声</w:t>
            </w:r>
          </w:p>
          <w:p w14:paraId="7F1E3B0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施工期环境影响主要来源于施工现场机械噪声，施工中常用的施工机械主要有推土机、挖掘机、打桩机、混凝土搅拌机、振捣棒、运输车辆等，这些设备都将产生噪声，其噪声源强度可达80-100dB</w:t>
            </w:r>
            <w:r>
              <w:rPr>
                <w:rFonts w:hint="eastAsia" w:cs="Times New Roman"/>
                <w:color w:val="auto"/>
                <w:highlight w:val="none"/>
                <w:lang w:eastAsia="zh-CN"/>
              </w:rPr>
              <w:t>（</w:t>
            </w:r>
            <w:r>
              <w:rPr>
                <w:rFonts w:hint="default" w:ascii="Times New Roman" w:hAnsi="Times New Roman" w:eastAsia="宋体" w:cs="Times New Roman"/>
                <w:color w:val="auto"/>
                <w:highlight w:val="none"/>
              </w:rPr>
              <w:t>A</w:t>
            </w:r>
            <w:r>
              <w:rPr>
                <w:rFonts w:hint="eastAsia" w:cs="Times New Roman"/>
                <w:color w:val="auto"/>
                <w:highlight w:val="none"/>
                <w:lang w:eastAsia="zh-CN"/>
              </w:rPr>
              <w:t>）</w:t>
            </w:r>
            <w:r>
              <w:rPr>
                <w:rFonts w:hint="default" w:ascii="Times New Roman" w:hAnsi="Times New Roman" w:eastAsia="宋体" w:cs="Times New Roman"/>
                <w:color w:val="auto"/>
                <w:highlight w:val="none"/>
              </w:rPr>
              <w:t>。因此，施工过</w:t>
            </w:r>
            <w:r>
              <w:rPr>
                <w:rFonts w:hint="eastAsia" w:cs="Times New Roman"/>
                <w:color w:val="auto"/>
                <w:highlight w:val="none"/>
                <w:lang w:eastAsia="zh-CN"/>
              </w:rPr>
              <w:t>程中</w:t>
            </w:r>
            <w:r>
              <w:rPr>
                <w:rFonts w:hint="default" w:ascii="Times New Roman" w:hAnsi="Times New Roman" w:eastAsia="宋体" w:cs="Times New Roman"/>
                <w:color w:val="auto"/>
                <w:highlight w:val="none"/>
              </w:rPr>
              <w:t>应注重采取相应的控制措施，严格遵照施工噪声管理的时限规定，防止噪声影响周围环境。具体要求如下：</w:t>
            </w:r>
          </w:p>
          <w:p w14:paraId="777312A0">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①合理安排施工计划和施工机械设备组合以及施工时间，禁止在中午（12:00-14:00）施工，避免在同一时间集中使用大量的动力机械设备；</w:t>
            </w:r>
          </w:p>
          <w:p w14:paraId="0326B9FB">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②选择低噪声的机械设备；</w:t>
            </w:r>
          </w:p>
          <w:p w14:paraId="573629E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③控制噪声传播：将各种噪声比较大的机械设备远离敏感点，并进行一定的隔离和防护消声处理；</w:t>
            </w:r>
          </w:p>
          <w:p w14:paraId="7FDF38E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④加强现场运输管理：对施工车辆造成的噪声影响要加强管理，运输车辆尽量采用较低声级的喇叭，并在所经过的道路禁止鸣笛。</w:t>
            </w:r>
          </w:p>
          <w:p w14:paraId="0E08B0E5">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⑤建筑施工需要限制夜间22</w:t>
            </w:r>
            <w:r>
              <w:rPr>
                <w:rFonts w:hint="eastAsia" w:cs="Times New Roman"/>
                <w:color w:val="auto"/>
                <w:highlight w:val="none"/>
                <w:lang w:eastAsia="zh-CN"/>
              </w:rPr>
              <w:t>:</w:t>
            </w:r>
            <w:r>
              <w:rPr>
                <w:rFonts w:hint="default" w:ascii="Times New Roman" w:hAnsi="Times New Roman" w:eastAsia="宋体" w:cs="Times New Roman"/>
                <w:color w:val="auto"/>
                <w:highlight w:val="none"/>
              </w:rPr>
              <w:t>00至6</w:t>
            </w:r>
            <w:r>
              <w:rPr>
                <w:rFonts w:hint="eastAsia" w:cs="Times New Roman"/>
                <w:color w:val="auto"/>
                <w:highlight w:val="none"/>
                <w:lang w:eastAsia="zh-CN"/>
              </w:rPr>
              <w:t>:</w:t>
            </w:r>
            <w:r>
              <w:rPr>
                <w:rFonts w:hint="default" w:ascii="Times New Roman" w:hAnsi="Times New Roman" w:eastAsia="宋体" w:cs="Times New Roman"/>
                <w:color w:val="auto"/>
                <w:highlight w:val="none"/>
              </w:rPr>
              <w:t>00进行机械施工，并严格控制噪声影响强的机械设备在夜间作业。如果需要连续昼夜施工，必须经过相关部门审批同意后方可施工。</w:t>
            </w:r>
          </w:p>
          <w:p w14:paraId="6C75E81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施工噪声具有时段性的特点，因此它的影响只限于施工期，施工结束后</w:t>
            </w:r>
            <w:r>
              <w:rPr>
                <w:rFonts w:hint="default" w:ascii="Times New Roman" w:hAnsi="Times New Roman" w:eastAsia="宋体" w:cs="Times New Roman"/>
                <w:color w:val="auto"/>
                <w:highlight w:val="none"/>
                <w:lang w:eastAsia="zh-CN"/>
              </w:rPr>
              <w:t>即</w:t>
            </w:r>
            <w:r>
              <w:rPr>
                <w:rFonts w:hint="default" w:ascii="Times New Roman" w:hAnsi="Times New Roman" w:eastAsia="宋体" w:cs="Times New Roman"/>
                <w:color w:val="auto"/>
                <w:highlight w:val="none"/>
              </w:rPr>
              <w:t>消失。日常必须加强对施工人员的管理，减少人为原因产生的高噪</w:t>
            </w:r>
            <w:r>
              <w:rPr>
                <w:rFonts w:hint="default" w:ascii="Times New Roman" w:hAnsi="Times New Roman" w:eastAsia="宋体" w:cs="Times New Roman"/>
                <w:color w:val="auto"/>
                <w:highlight w:val="none"/>
                <w:lang w:eastAsia="zh-CN"/>
              </w:rPr>
              <w:t>音</w:t>
            </w:r>
            <w:r>
              <w:rPr>
                <w:rFonts w:hint="default" w:ascii="Times New Roman" w:hAnsi="Times New Roman" w:eastAsia="宋体" w:cs="Times New Roman"/>
                <w:color w:val="auto"/>
                <w:highlight w:val="none"/>
              </w:rPr>
              <w:t>；注意保养机械设备，合理操作，尽量使机械维护</w:t>
            </w:r>
            <w:r>
              <w:rPr>
                <w:rFonts w:hint="default" w:ascii="Times New Roman" w:hAnsi="Times New Roman" w:eastAsia="宋体" w:cs="Times New Roman"/>
                <w:color w:val="auto"/>
                <w:highlight w:val="none"/>
                <w:lang w:eastAsia="zh-CN"/>
              </w:rPr>
              <w:t>保持</w:t>
            </w:r>
            <w:r>
              <w:rPr>
                <w:rFonts w:hint="default" w:ascii="Times New Roman" w:hAnsi="Times New Roman" w:eastAsia="宋体" w:cs="Times New Roman"/>
                <w:color w:val="auto"/>
                <w:highlight w:val="none"/>
              </w:rPr>
              <w:t>在最低噪声级水平。由于施工噪声具有时段性的特点，施工结束后</w:t>
            </w:r>
            <w:r>
              <w:rPr>
                <w:rFonts w:hint="default" w:ascii="Times New Roman" w:hAnsi="Times New Roman" w:eastAsia="宋体" w:cs="Times New Roman"/>
                <w:color w:val="auto"/>
                <w:highlight w:val="none"/>
                <w:lang w:eastAsia="zh-CN"/>
              </w:rPr>
              <w:t>立即</w:t>
            </w:r>
            <w:r>
              <w:rPr>
                <w:rFonts w:hint="default" w:ascii="Times New Roman" w:hAnsi="Times New Roman" w:eastAsia="宋体" w:cs="Times New Roman"/>
                <w:color w:val="auto"/>
                <w:highlight w:val="none"/>
              </w:rPr>
              <w:t>消失。</w:t>
            </w:r>
          </w:p>
          <w:p w14:paraId="639365A5">
            <w:pPr>
              <w:ind w:firstLine="482" w:firstLineChars="20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4.固体废物</w:t>
            </w:r>
          </w:p>
          <w:p w14:paraId="1E4316E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施工期产生的固体废物主要为建筑施工垃圾和生活垃圾。施工过</w:t>
            </w:r>
            <w:r>
              <w:rPr>
                <w:rFonts w:hint="eastAsia" w:cs="Times New Roman"/>
                <w:color w:val="auto"/>
                <w:highlight w:val="none"/>
                <w:lang w:eastAsia="zh-CN"/>
              </w:rPr>
              <w:t>程中</w:t>
            </w:r>
            <w:r>
              <w:rPr>
                <w:rFonts w:hint="default" w:ascii="Times New Roman" w:hAnsi="Times New Roman" w:cs="Times New Roman"/>
                <w:color w:val="auto"/>
                <w:highlight w:val="none"/>
              </w:rPr>
              <w:t>产生的建筑废物主要为新建过程中产生的多余土方及建设过程中产生的建筑垃圾；项目施工期施工人员约20人，生活垃圾产生量按1.0kg/人•天计算，则施工期生活垃圾产生量为20kg/d。项目施工期约为6个月，则生活垃圾产生量为3.6t/a，采用垃圾箱集中收集后，定期由</w:t>
            </w:r>
            <w:r>
              <w:rPr>
                <w:rFonts w:hint="eastAsia" w:cs="Times New Roman"/>
                <w:color w:val="auto"/>
                <w:highlight w:val="none"/>
                <w:lang w:eastAsia="zh-CN"/>
              </w:rPr>
              <w:t>环卫部门</w:t>
            </w:r>
            <w:r>
              <w:rPr>
                <w:rFonts w:hint="default" w:ascii="Times New Roman" w:hAnsi="Times New Roman" w:cs="Times New Roman"/>
                <w:color w:val="auto"/>
                <w:highlight w:val="none"/>
              </w:rPr>
              <w:t>统一清运。</w:t>
            </w:r>
          </w:p>
          <w:p w14:paraId="21C6015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对施工过</w:t>
            </w:r>
            <w:r>
              <w:rPr>
                <w:rFonts w:hint="eastAsia" w:cs="Times New Roman"/>
                <w:color w:val="auto"/>
                <w:highlight w:val="none"/>
                <w:lang w:eastAsia="zh-CN"/>
              </w:rPr>
              <w:t>程中</w:t>
            </w:r>
            <w:r>
              <w:rPr>
                <w:rFonts w:hint="default" w:ascii="Times New Roman" w:hAnsi="Times New Roman" w:cs="Times New Roman"/>
                <w:color w:val="auto"/>
                <w:highlight w:val="none"/>
              </w:rPr>
              <w:t>产生的弃土及时回填，多余的土方和建筑垃圾等废物分类回收，不能回收处理的应及时清运至当地执法部门指定地点进行合理处置。为防止运输过程中垃圾遗撒，运输时应采用封盖、</w:t>
            </w:r>
            <w:r>
              <w:rPr>
                <w:rFonts w:hint="default" w:ascii="Times New Roman" w:hAnsi="Times New Roman" w:cs="Times New Roman"/>
                <w:color w:val="auto"/>
                <w:highlight w:val="none"/>
                <w:lang w:eastAsia="zh-CN"/>
              </w:rPr>
              <w:t>抑</w:t>
            </w:r>
            <w:r>
              <w:rPr>
                <w:rFonts w:hint="default" w:ascii="Times New Roman" w:hAnsi="Times New Roman" w:cs="Times New Roman"/>
                <w:color w:val="auto"/>
                <w:highlight w:val="none"/>
              </w:rPr>
              <w:t>尘措施。施工人员的生活垃圾采用垃圾箱集中收集后，定期由</w:t>
            </w:r>
            <w:r>
              <w:rPr>
                <w:rFonts w:hint="eastAsia" w:cs="Times New Roman"/>
                <w:color w:val="auto"/>
                <w:highlight w:val="none"/>
                <w:lang w:eastAsia="zh-CN"/>
              </w:rPr>
              <w:t>环卫部门</w:t>
            </w:r>
            <w:r>
              <w:rPr>
                <w:rFonts w:hint="default" w:ascii="Times New Roman" w:hAnsi="Times New Roman" w:cs="Times New Roman"/>
                <w:color w:val="auto"/>
                <w:highlight w:val="none"/>
              </w:rPr>
              <w:t>统一清运。经以上措施，本项目施工期固体废物对周边环境的影响较小。</w:t>
            </w:r>
          </w:p>
          <w:p w14:paraId="1F4313BE">
            <w:pPr>
              <w:ind w:firstLine="480"/>
              <w:rPr>
                <w:rFonts w:hint="default" w:ascii="Times New Roman" w:hAnsi="Times New Roman" w:cs="Times New Roman"/>
                <w:color w:val="auto"/>
                <w:highlight w:val="none"/>
              </w:rPr>
            </w:pPr>
          </w:p>
          <w:p w14:paraId="5660356A">
            <w:pPr>
              <w:ind w:firstLine="480"/>
              <w:rPr>
                <w:rFonts w:hint="default" w:ascii="Times New Roman" w:hAnsi="Times New Roman" w:cs="Times New Roman"/>
                <w:color w:val="auto"/>
                <w:highlight w:val="none"/>
              </w:rPr>
            </w:pPr>
          </w:p>
        </w:tc>
      </w:tr>
      <w:tr w14:paraId="3268DB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54" w:hRule="atLeast"/>
          <w:jc w:val="center"/>
        </w:trPr>
        <w:tc>
          <w:tcPr>
            <w:tcW w:w="569" w:type="dxa"/>
            <w:tcMar>
              <w:left w:w="28" w:type="dxa"/>
              <w:right w:w="28" w:type="dxa"/>
            </w:tcMar>
            <w:vAlign w:val="center"/>
          </w:tcPr>
          <w:p w14:paraId="048DB28A">
            <w:pPr>
              <w:ind w:firstLine="0" w:firstLineChars="0"/>
              <w:jc w:val="center"/>
              <w:rPr>
                <w:rFonts w:hint="default" w:ascii="Times New Roman" w:hAnsi="Times New Roman" w:cs="Times New Roman"/>
                <w:color w:val="auto"/>
                <w:szCs w:val="21"/>
                <w:highlight w:val="none"/>
              </w:rPr>
            </w:pPr>
            <w:bookmarkStart w:id="9" w:name="_Hlk78365085"/>
            <w:r>
              <w:rPr>
                <w:rFonts w:hint="default" w:ascii="Times New Roman" w:hAnsi="Times New Roman" w:cs="Times New Roman"/>
                <w:bCs/>
                <w:color w:val="auto"/>
                <w:szCs w:val="21"/>
                <w:highlight w:val="none"/>
              </w:rPr>
              <w:t>运营期环境影响和保护措施</w:t>
            </w:r>
          </w:p>
        </w:tc>
        <w:tc>
          <w:tcPr>
            <w:tcW w:w="8032" w:type="dxa"/>
            <w:vAlign w:val="center"/>
          </w:tcPr>
          <w:p w14:paraId="56351BD8">
            <w:pPr>
              <w:ind w:firstLine="482" w:firstLineChars="200"/>
              <w:rPr>
                <w:rFonts w:hint="default" w:ascii="Times New Roman" w:hAnsi="Times New Roman" w:cs="Times New Roman"/>
                <w:b/>
                <w:bCs/>
                <w:color w:val="auto"/>
                <w:highlight w:val="none"/>
              </w:rPr>
            </w:pPr>
            <w:bookmarkStart w:id="10" w:name="_Hlk78372578"/>
            <w:bookmarkStart w:id="11" w:name="_Hlk78373195"/>
            <w:r>
              <w:rPr>
                <w:rFonts w:hint="default" w:ascii="Times New Roman" w:hAnsi="Times New Roman" w:cs="Times New Roman"/>
                <w:b/>
                <w:bCs/>
                <w:color w:val="auto"/>
                <w:highlight w:val="none"/>
              </w:rPr>
              <w:t>一、大气环境影响分析</w:t>
            </w:r>
          </w:p>
          <w:p w14:paraId="7ECDF65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本项目运营期大气污染物主要为粉尘，运输车辆产生的扬尘；混凝土生产线（筒仓呼吸孔及搅拌粉尘）；砂石库料（砂石卸料车扬尘、砂石配料、投料、皮带输送产生的粉尘）。</w:t>
            </w:r>
          </w:p>
          <w:p w14:paraId="38F4D021">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1.运输车辆产生的扬尘</w:t>
            </w:r>
          </w:p>
          <w:p w14:paraId="2E4C7BF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车辆行驶产生的扬尘，在道路完全干燥的情况下，可按照下列经验公式计算：</w:t>
            </w:r>
          </w:p>
          <w:p w14:paraId="4477D3DC">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drawing>
                <wp:inline distT="0" distB="0" distL="114300" distR="114300">
                  <wp:extent cx="3158490" cy="1555750"/>
                  <wp:effectExtent l="0" t="0" r="3810" b="6350"/>
                  <wp:docPr id="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
                          <pic:cNvPicPr>
                            <a:picLocks noChangeAspect="1"/>
                          </pic:cNvPicPr>
                        </pic:nvPicPr>
                        <pic:blipFill>
                          <a:blip r:embed="rId21"/>
                          <a:stretch>
                            <a:fillRect/>
                          </a:stretch>
                        </pic:blipFill>
                        <pic:spPr>
                          <a:xfrm>
                            <a:off x="0" y="0"/>
                            <a:ext cx="3158490" cy="1555750"/>
                          </a:xfrm>
                          <a:prstGeom prst="rect">
                            <a:avLst/>
                          </a:prstGeom>
                          <a:noFill/>
                          <a:ln>
                            <a:noFill/>
                          </a:ln>
                        </pic:spPr>
                      </pic:pic>
                    </a:graphicData>
                  </a:graphic>
                </wp:inline>
              </w:drawing>
            </w:r>
          </w:p>
          <w:p w14:paraId="7D53BBE0">
            <w:pPr>
              <w:ind w:firstLine="2160" w:firstLineChars="900"/>
              <w:jc w:val="both"/>
              <w:rPr>
                <w:rFonts w:hint="default" w:ascii="Times New Roman" w:hAnsi="Times New Roman" w:cs="Times New Roman"/>
                <w:color w:val="auto"/>
                <w:highlight w:val="none"/>
              </w:rPr>
            </w:pPr>
            <w:r>
              <w:rPr>
                <w:rFonts w:hint="default" w:ascii="Times New Roman" w:hAnsi="Times New Roman" w:cs="Times New Roman"/>
                <w:color w:val="auto"/>
                <w:position w:val="-10"/>
                <w:highlight w:val="none"/>
              </w:rPr>
              <w:object>
                <v:shape id="_x0000_i1026" o:spt="75" type="#_x0000_t75" style="height:16pt;width:93pt;" o:ole="t" filled="f" o:preferrelative="t" stroked="f" coordsize="21600,21600">
                  <v:path/>
                  <v:fill on="f" focussize="0,0"/>
                  <v:stroke on="f"/>
                  <v:imagedata r:id="rId23" o:title=""/>
                  <o:lock v:ext="edit" aspectratio="t"/>
                  <w10:wrap type="none"/>
                  <w10:anchorlock/>
                </v:shape>
                <o:OLEObject Type="Embed" ProgID="Equation.KSEE3" ShapeID="_x0000_i1026" DrawAspect="Content" ObjectID="_1468075727" r:id="rId22">
                  <o:LockedField>false</o:LockedField>
                </o:OLEObject>
              </w:object>
            </w:r>
          </w:p>
          <w:p w14:paraId="39BBF861">
            <w:pPr>
              <w:ind w:firstLine="480"/>
              <w:rPr>
                <w:rFonts w:hint="eastAsia" w:cs="Times New Roman"/>
                <w:color w:val="auto"/>
                <w:highlight w:val="none"/>
                <w:lang w:val="en-US" w:eastAsia="zh-CN"/>
              </w:rPr>
            </w:pPr>
            <w:r>
              <w:rPr>
                <w:rFonts w:hint="eastAsia" w:cs="Times New Roman"/>
                <w:color w:val="auto"/>
                <w:highlight w:val="none"/>
                <w:lang w:val="en-US" w:eastAsia="zh-CN"/>
              </w:rPr>
              <w:t>式中：Qp：总扬尘量，t/a；</w:t>
            </w:r>
          </w:p>
          <w:p w14:paraId="0886F113">
            <w:pPr>
              <w:pStyle w:val="2"/>
              <w:rPr>
                <w:rFonts w:hint="eastAsia" w:eastAsia="宋体" w:cs="Times New Roman"/>
                <w:color w:val="auto"/>
                <w:highlight w:val="none"/>
                <w:lang w:val="en-US" w:eastAsia="zh-CN"/>
              </w:rPr>
            </w:pPr>
            <w:r>
              <w:rPr>
                <w:rFonts w:hint="eastAsia" w:cs="Times New Roman"/>
                <w:color w:val="auto"/>
                <w:highlight w:val="none"/>
                <w:lang w:val="en-US" w:eastAsia="zh-CN"/>
              </w:rPr>
              <w:t xml:space="preserve">      L：运距，km；</w:t>
            </w:r>
          </w:p>
          <w:p w14:paraId="4C155D85">
            <w:pPr>
              <w:rPr>
                <w:rFonts w:hint="default"/>
                <w:color w:val="auto"/>
                <w:lang w:val="en-US" w:eastAsia="zh-CN"/>
              </w:rPr>
            </w:pPr>
            <w:r>
              <w:rPr>
                <w:rFonts w:hint="eastAsia" w:cs="Times New Roman"/>
                <w:color w:val="auto"/>
                <w:highlight w:val="none"/>
                <w:lang w:val="en-US" w:eastAsia="zh-CN"/>
              </w:rPr>
              <w:t xml:space="preserve">      Q’：运输量，t/a。</w:t>
            </w:r>
          </w:p>
          <w:p w14:paraId="3D1A78B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本项目车辆在厂区内行驶距离按200m计</w:t>
            </w:r>
            <w:r>
              <w:rPr>
                <w:rFonts w:hint="eastAsia"/>
                <w:color w:val="auto"/>
                <w:lang w:eastAsia="zh-CN"/>
              </w:rPr>
              <w:t>，本项目原材料运输量共计</w:t>
            </w:r>
            <w:r>
              <w:rPr>
                <w:rFonts w:hint="eastAsia"/>
                <w:color w:val="auto"/>
                <w:lang w:val="en-US" w:eastAsia="zh-CN"/>
              </w:rPr>
              <w:t>690245t</w:t>
            </w:r>
            <w:r>
              <w:rPr>
                <w:rFonts w:hint="default" w:ascii="Times New Roman" w:hAnsi="Times New Roman" w:cs="Times New Roman"/>
                <w:color w:val="auto"/>
                <w:highlight w:val="none"/>
              </w:rPr>
              <w:t>，车</w:t>
            </w:r>
            <w:r>
              <w:rPr>
                <w:rFonts w:hint="eastAsia" w:cs="Times New Roman"/>
                <w:color w:val="auto"/>
                <w:highlight w:val="none"/>
                <w:lang w:eastAsia="zh-CN"/>
              </w:rPr>
              <w:t>运载量</w:t>
            </w:r>
            <w:r>
              <w:rPr>
                <w:rFonts w:hint="default" w:ascii="Times New Roman" w:hAnsi="Times New Roman" w:cs="Times New Roman"/>
                <w:color w:val="auto"/>
                <w:highlight w:val="none"/>
              </w:rPr>
              <w:t>约40t</w:t>
            </w:r>
            <w:r>
              <w:rPr>
                <w:rFonts w:hint="eastAsia" w:cs="Times New Roman"/>
                <w:color w:val="auto"/>
                <w:highlight w:val="none"/>
                <w:lang w:eastAsia="zh-CN"/>
              </w:rPr>
              <w:t>，运输车辆需运输</w:t>
            </w:r>
            <w:r>
              <w:rPr>
                <w:rFonts w:hint="eastAsia" w:cs="Times New Roman"/>
                <w:color w:val="auto"/>
                <w:highlight w:val="none"/>
                <w:lang w:val="en-US" w:eastAsia="zh-CN"/>
              </w:rPr>
              <w:t>230008车</w:t>
            </w:r>
            <w:r>
              <w:rPr>
                <w:rFonts w:hint="eastAsia" w:cs="Times New Roman"/>
                <w:color w:val="auto"/>
                <w:highlight w:val="none"/>
                <w:lang w:eastAsia="zh-CN"/>
              </w:rPr>
              <w:t>，</w:t>
            </w:r>
            <w:r>
              <w:rPr>
                <w:rFonts w:hint="default" w:ascii="Times New Roman" w:hAnsi="Times New Roman" w:cs="Times New Roman"/>
                <w:color w:val="auto"/>
                <w:highlight w:val="none"/>
              </w:rPr>
              <w:t>以速度20km/h行驶，其在不同路面清洁情况下的扬尘量见表4-1所示：</w:t>
            </w:r>
          </w:p>
          <w:p w14:paraId="39981D7C">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表4-1</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车辆行驶扬尘量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单位：kg/d</w:t>
            </w:r>
            <w:r>
              <w:rPr>
                <w:rFonts w:hint="default" w:ascii="Times New Roman" w:hAnsi="Times New Roman" w:cs="Times New Roman"/>
                <w:color w:val="auto"/>
                <w:highlight w:val="none"/>
                <w:lang w:eastAsia="zh-CN"/>
              </w:rPr>
              <w:t>）</w:t>
            </w:r>
          </w:p>
          <w:tbl>
            <w:tblPr>
              <w:tblStyle w:val="23"/>
              <w:tblW w:w="4995"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1080"/>
              <w:gridCol w:w="1130"/>
              <w:gridCol w:w="1128"/>
              <w:gridCol w:w="1069"/>
              <w:gridCol w:w="1153"/>
              <w:gridCol w:w="1146"/>
            </w:tblGrid>
            <w:tr w14:paraId="38190B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2" w:type="dxa"/>
                  <w:vAlign w:val="center"/>
                </w:tcPr>
                <w:p w14:paraId="0A8C50E6">
                  <w:pPr>
                    <w:pStyle w:val="46"/>
                    <w:jc w:val="center"/>
                    <w:rPr>
                      <w:rFonts w:hint="default" w:ascii="Times New Roman" w:hAnsi="Times New Roman" w:cs="Times New Roman"/>
                      <w:b/>
                      <w:bCs/>
                      <w:color w:val="auto"/>
                      <w:highlight w:val="none"/>
                    </w:rPr>
                  </w:pPr>
                  <w:r>
                    <w:rPr>
                      <w:rFonts w:hint="default" w:ascii="Times New Roman" w:hAnsi="Times New Roman" w:cs="Times New Roman"/>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-58420</wp:posOffset>
                            </wp:positionH>
                            <wp:positionV relativeFrom="paragraph">
                              <wp:posOffset>-3175</wp:posOffset>
                            </wp:positionV>
                            <wp:extent cx="687705" cy="347345"/>
                            <wp:effectExtent l="3175" t="5715" r="13970" b="8890"/>
                            <wp:wrapNone/>
                            <wp:docPr id="8" name="直接连接符 8"/>
                            <wp:cNvGraphicFramePr/>
                            <a:graphic xmlns:a="http://schemas.openxmlformats.org/drawingml/2006/main">
                              <a:graphicData uri="http://schemas.microsoft.com/office/word/2010/wordprocessingShape">
                                <wps:wsp>
                                  <wps:cNvCnPr/>
                                  <wps:spPr>
                                    <a:xfrm>
                                      <a:off x="1197610" y="2026285"/>
                                      <a:ext cx="687705" cy="347345"/>
                                    </a:xfrm>
                                    <a:prstGeom prst="line">
                                      <a:avLst/>
                                    </a:prstGeom>
                                  </wps:spPr>
                                  <wps:style>
                                    <a:lnRef idx="2">
                                      <a:prstClr val="black"/>
                                    </a:lnRef>
                                    <a:fillRef idx="0">
                                      <a:prstClr val="black"/>
                                    </a:fillRef>
                                    <a:effectRef idx="1">
                                      <a:prstClr val="black"/>
                                    </a:effectRef>
                                    <a:fontRef idx="minor">
                                      <a:schemeClr val="tx1"/>
                                    </a:fontRef>
                                  </wps:style>
                                  <wps:bodyPr/>
                                </wps:wsp>
                              </a:graphicData>
                            </a:graphic>
                          </wp:anchor>
                        </w:drawing>
                      </mc:Choice>
                      <mc:Fallback>
                        <w:pict>
                          <v:line id="_x0000_s1026" o:spid="_x0000_s1026" o:spt="20" style="position:absolute;left:0pt;margin-left:-4.6pt;margin-top:-0.25pt;height:27.35pt;width:54.15pt;z-index:251662336;mso-width-relative:page;mso-height-relative:page;" filled="f" stroked="t" coordsize="21600,21600" o:gfxdata="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3hKGrXAAAABgEAAA8AAAAAAAAAAQAgAAAAIgAAAGRycy9kb3ducmV2LnhtbFBL&#10;AQIUABQAAAAIAIdO4kAuROCd9wEAAMEDAAAOAAAAAAAAAAEAIAAAACYBAABkcnMvZTJvRG9jLnht&#10;bFBLBQYAAAAABgAGAFkBAACPBQAAAAA=&#10;">
                            <v:fill on="f" focussize="0,0"/>
                            <v:stroke weight="1pt" color="#000000" miterlimit="8" joinstyle="miter"/>
                            <v:imagedata o:title=""/>
                            <o:lock v:ext="edit" aspectratio="f"/>
                          </v:line>
                        </w:pict>
                      </mc:Fallback>
                    </mc:AlternateContent>
                  </w:r>
                  <w:r>
                    <w:rPr>
                      <w:rFonts w:hint="default" w:ascii="Times New Roman" w:hAnsi="Times New Roman" w:cs="Times New Roman"/>
                      <w:b/>
                      <w:bCs/>
                      <w:color w:val="auto"/>
                      <w:highlight w:val="none"/>
                    </w:rPr>
                    <w:t xml:space="preserve">   路况</w:t>
                  </w:r>
                </w:p>
                <w:p w14:paraId="33111094">
                  <w:pPr>
                    <w:pStyle w:val="46"/>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车况</w:t>
                  </w:r>
                </w:p>
              </w:tc>
              <w:tc>
                <w:tcPr>
                  <w:tcW w:w="1080" w:type="dxa"/>
                  <w:vAlign w:val="center"/>
                </w:tcPr>
                <w:p w14:paraId="3E6ABE01">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0.1</w:t>
                  </w:r>
                </w:p>
                <w:p w14:paraId="19F6C87B">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（kg/m</w:t>
                  </w:r>
                  <w:r>
                    <w:rPr>
                      <w:rFonts w:hint="default" w:ascii="Times New Roman" w:hAnsi="Times New Roman" w:cs="Times New Roman"/>
                      <w:b/>
                      <w:bCs/>
                      <w:color w:val="auto"/>
                      <w:highlight w:val="none"/>
                      <w:vertAlign w:val="superscript"/>
                    </w:rPr>
                    <w:t>2</w:t>
                  </w:r>
                  <w:r>
                    <w:rPr>
                      <w:rFonts w:hint="default" w:ascii="Times New Roman" w:hAnsi="Times New Roman" w:cs="Times New Roman"/>
                      <w:b/>
                      <w:bCs/>
                      <w:color w:val="auto"/>
                      <w:highlight w:val="none"/>
                    </w:rPr>
                    <w:t>）</w:t>
                  </w:r>
                </w:p>
              </w:tc>
              <w:tc>
                <w:tcPr>
                  <w:tcW w:w="1130" w:type="dxa"/>
                  <w:vAlign w:val="center"/>
                </w:tcPr>
                <w:p w14:paraId="4FCCB582">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0.2</w:t>
                  </w:r>
                </w:p>
                <w:p w14:paraId="411FBF9F">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（kg/m</w:t>
                  </w:r>
                  <w:r>
                    <w:rPr>
                      <w:rFonts w:hint="default" w:ascii="Times New Roman" w:hAnsi="Times New Roman" w:cs="Times New Roman"/>
                      <w:b/>
                      <w:bCs/>
                      <w:color w:val="auto"/>
                      <w:highlight w:val="none"/>
                      <w:vertAlign w:val="superscript"/>
                    </w:rPr>
                    <w:t>2</w:t>
                  </w:r>
                  <w:r>
                    <w:rPr>
                      <w:rFonts w:hint="default" w:ascii="Times New Roman" w:hAnsi="Times New Roman" w:cs="Times New Roman"/>
                      <w:b/>
                      <w:bCs/>
                      <w:color w:val="auto"/>
                      <w:highlight w:val="none"/>
                    </w:rPr>
                    <w:t>）</w:t>
                  </w:r>
                </w:p>
              </w:tc>
              <w:tc>
                <w:tcPr>
                  <w:tcW w:w="1128" w:type="dxa"/>
                  <w:vAlign w:val="center"/>
                </w:tcPr>
                <w:p w14:paraId="641DA6F9">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0.3</w:t>
                  </w:r>
                </w:p>
                <w:p w14:paraId="4848A67E">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（kg/m</w:t>
                  </w:r>
                  <w:r>
                    <w:rPr>
                      <w:rFonts w:hint="default" w:ascii="Times New Roman" w:hAnsi="Times New Roman" w:cs="Times New Roman"/>
                      <w:b/>
                      <w:bCs/>
                      <w:color w:val="auto"/>
                      <w:highlight w:val="none"/>
                      <w:vertAlign w:val="superscript"/>
                    </w:rPr>
                    <w:t>2</w:t>
                  </w:r>
                  <w:r>
                    <w:rPr>
                      <w:rFonts w:hint="default" w:ascii="Times New Roman" w:hAnsi="Times New Roman" w:cs="Times New Roman"/>
                      <w:b/>
                      <w:bCs/>
                      <w:color w:val="auto"/>
                      <w:highlight w:val="none"/>
                    </w:rPr>
                    <w:t>）</w:t>
                  </w:r>
                </w:p>
              </w:tc>
              <w:tc>
                <w:tcPr>
                  <w:tcW w:w="1069" w:type="dxa"/>
                  <w:vAlign w:val="center"/>
                </w:tcPr>
                <w:p w14:paraId="6C1E5EC2">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0.4</w:t>
                  </w:r>
                </w:p>
                <w:p w14:paraId="60856CFC">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（kg/m</w:t>
                  </w:r>
                  <w:r>
                    <w:rPr>
                      <w:rFonts w:hint="default" w:ascii="Times New Roman" w:hAnsi="Times New Roman" w:cs="Times New Roman"/>
                      <w:b/>
                      <w:bCs/>
                      <w:color w:val="auto"/>
                      <w:highlight w:val="none"/>
                      <w:vertAlign w:val="superscript"/>
                    </w:rPr>
                    <w:t>2</w:t>
                  </w:r>
                  <w:r>
                    <w:rPr>
                      <w:rFonts w:hint="default" w:ascii="Times New Roman" w:hAnsi="Times New Roman" w:cs="Times New Roman"/>
                      <w:b/>
                      <w:bCs/>
                      <w:color w:val="auto"/>
                      <w:highlight w:val="none"/>
                    </w:rPr>
                    <w:t>）</w:t>
                  </w:r>
                </w:p>
              </w:tc>
              <w:tc>
                <w:tcPr>
                  <w:tcW w:w="1153" w:type="dxa"/>
                  <w:vAlign w:val="center"/>
                </w:tcPr>
                <w:p w14:paraId="1B00ACAF">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0.5</w:t>
                  </w:r>
                </w:p>
                <w:p w14:paraId="3EB44976">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（kg/m</w:t>
                  </w:r>
                  <w:r>
                    <w:rPr>
                      <w:rFonts w:hint="default" w:ascii="Times New Roman" w:hAnsi="Times New Roman" w:cs="Times New Roman"/>
                      <w:b/>
                      <w:bCs/>
                      <w:color w:val="auto"/>
                      <w:highlight w:val="none"/>
                      <w:vertAlign w:val="superscript"/>
                    </w:rPr>
                    <w:t>2</w:t>
                  </w:r>
                  <w:r>
                    <w:rPr>
                      <w:rFonts w:hint="default" w:ascii="Times New Roman" w:hAnsi="Times New Roman" w:cs="Times New Roman"/>
                      <w:b/>
                      <w:bCs/>
                      <w:color w:val="auto"/>
                      <w:highlight w:val="none"/>
                    </w:rPr>
                    <w:t>）</w:t>
                  </w:r>
                </w:p>
              </w:tc>
              <w:tc>
                <w:tcPr>
                  <w:tcW w:w="1146" w:type="dxa"/>
                  <w:vAlign w:val="center"/>
                </w:tcPr>
                <w:p w14:paraId="10918480">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0.6</w:t>
                  </w:r>
                </w:p>
                <w:p w14:paraId="67E35664">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（kg/m</w:t>
                  </w:r>
                  <w:r>
                    <w:rPr>
                      <w:rFonts w:hint="default" w:ascii="Times New Roman" w:hAnsi="Times New Roman" w:cs="Times New Roman"/>
                      <w:b/>
                      <w:bCs/>
                      <w:color w:val="auto"/>
                      <w:highlight w:val="none"/>
                      <w:vertAlign w:val="superscript"/>
                    </w:rPr>
                    <w:t>2</w:t>
                  </w:r>
                  <w:r>
                    <w:rPr>
                      <w:rFonts w:hint="default" w:ascii="Times New Roman" w:hAnsi="Times New Roman" w:cs="Times New Roman"/>
                      <w:b/>
                      <w:bCs/>
                      <w:color w:val="auto"/>
                      <w:highlight w:val="none"/>
                    </w:rPr>
                    <w:t>）</w:t>
                  </w:r>
                </w:p>
              </w:tc>
            </w:tr>
            <w:tr w14:paraId="64DE13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02" w:type="dxa"/>
                  <w:vAlign w:val="center"/>
                </w:tcPr>
                <w:p w14:paraId="33072C2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空车</w:t>
                  </w:r>
                </w:p>
              </w:tc>
              <w:tc>
                <w:tcPr>
                  <w:tcW w:w="1080" w:type="dxa"/>
                  <w:vAlign w:val="center"/>
                </w:tcPr>
                <w:p w14:paraId="1C008C9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0.20</w:t>
                  </w:r>
                </w:p>
              </w:tc>
              <w:tc>
                <w:tcPr>
                  <w:tcW w:w="1130" w:type="dxa"/>
                  <w:vAlign w:val="center"/>
                </w:tcPr>
                <w:p w14:paraId="220446C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0.34</w:t>
                  </w:r>
                </w:p>
              </w:tc>
              <w:tc>
                <w:tcPr>
                  <w:tcW w:w="1128" w:type="dxa"/>
                  <w:vAlign w:val="center"/>
                </w:tcPr>
                <w:p w14:paraId="198F9A7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0.47</w:t>
                  </w:r>
                </w:p>
              </w:tc>
              <w:tc>
                <w:tcPr>
                  <w:tcW w:w="1069" w:type="dxa"/>
                  <w:vAlign w:val="center"/>
                </w:tcPr>
                <w:p w14:paraId="7CBACE7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0.58</w:t>
                  </w:r>
                </w:p>
              </w:tc>
              <w:tc>
                <w:tcPr>
                  <w:tcW w:w="1153" w:type="dxa"/>
                  <w:vAlign w:val="center"/>
                </w:tcPr>
                <w:p w14:paraId="78013DB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0.68</w:t>
                  </w:r>
                </w:p>
              </w:tc>
              <w:tc>
                <w:tcPr>
                  <w:tcW w:w="1146" w:type="dxa"/>
                  <w:vAlign w:val="center"/>
                </w:tcPr>
                <w:p w14:paraId="2959BF2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0.78</w:t>
                  </w:r>
                </w:p>
              </w:tc>
            </w:tr>
            <w:tr w14:paraId="3BC8DE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02" w:type="dxa"/>
                  <w:vAlign w:val="center"/>
                </w:tcPr>
                <w:p w14:paraId="0A72C06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重车</w:t>
                  </w:r>
                </w:p>
              </w:tc>
              <w:tc>
                <w:tcPr>
                  <w:tcW w:w="1080" w:type="dxa"/>
                  <w:vAlign w:val="center"/>
                </w:tcPr>
                <w:p w14:paraId="7C471DC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0.66</w:t>
                  </w:r>
                </w:p>
              </w:tc>
              <w:tc>
                <w:tcPr>
                  <w:tcW w:w="1130" w:type="dxa"/>
                  <w:vAlign w:val="center"/>
                </w:tcPr>
                <w:p w14:paraId="1DB252A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1.12</w:t>
                  </w:r>
                </w:p>
              </w:tc>
              <w:tc>
                <w:tcPr>
                  <w:tcW w:w="1128" w:type="dxa"/>
                  <w:vAlign w:val="center"/>
                </w:tcPr>
                <w:p w14:paraId="46475B8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1.51</w:t>
                  </w:r>
                </w:p>
              </w:tc>
              <w:tc>
                <w:tcPr>
                  <w:tcW w:w="1069" w:type="dxa"/>
                  <w:vAlign w:val="center"/>
                </w:tcPr>
                <w:p w14:paraId="1916348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1.88</w:t>
                  </w:r>
                </w:p>
              </w:tc>
              <w:tc>
                <w:tcPr>
                  <w:tcW w:w="1153" w:type="dxa"/>
                  <w:vAlign w:val="center"/>
                </w:tcPr>
                <w:p w14:paraId="76ED14B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2.22</w:t>
                  </w:r>
                </w:p>
              </w:tc>
              <w:tc>
                <w:tcPr>
                  <w:tcW w:w="1146" w:type="dxa"/>
                  <w:vAlign w:val="center"/>
                </w:tcPr>
                <w:p w14:paraId="5446E30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2.54</w:t>
                  </w:r>
                </w:p>
              </w:tc>
            </w:tr>
            <w:tr w14:paraId="57E4D1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02" w:type="dxa"/>
                  <w:vAlign w:val="center"/>
                </w:tcPr>
                <w:p w14:paraId="02613CC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合计</w:t>
                  </w:r>
                </w:p>
              </w:tc>
              <w:tc>
                <w:tcPr>
                  <w:tcW w:w="1080" w:type="dxa"/>
                  <w:vAlign w:val="center"/>
                </w:tcPr>
                <w:p w14:paraId="11CBDE38">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0.8</w:t>
                  </w:r>
                  <w:r>
                    <w:rPr>
                      <w:rFonts w:hint="default" w:ascii="Times New Roman" w:hAnsi="Times New Roman" w:cs="Times New Roman"/>
                      <w:color w:val="auto"/>
                      <w:highlight w:val="none"/>
                      <w:lang w:val="en-US" w:eastAsia="zh-CN"/>
                    </w:rPr>
                    <w:t>6</w:t>
                  </w:r>
                </w:p>
              </w:tc>
              <w:tc>
                <w:tcPr>
                  <w:tcW w:w="1130" w:type="dxa"/>
                  <w:vAlign w:val="center"/>
                </w:tcPr>
                <w:p w14:paraId="6150292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1.46</w:t>
                  </w:r>
                </w:p>
              </w:tc>
              <w:tc>
                <w:tcPr>
                  <w:tcW w:w="1128" w:type="dxa"/>
                  <w:vAlign w:val="center"/>
                </w:tcPr>
                <w:p w14:paraId="63D1563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1.98</w:t>
                  </w:r>
                </w:p>
              </w:tc>
              <w:tc>
                <w:tcPr>
                  <w:tcW w:w="1069" w:type="dxa"/>
                  <w:vAlign w:val="center"/>
                </w:tcPr>
                <w:p w14:paraId="1881D843">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2.4</w:t>
                  </w:r>
                  <w:r>
                    <w:rPr>
                      <w:rFonts w:hint="default" w:ascii="Times New Roman" w:hAnsi="Times New Roman" w:cs="Times New Roman"/>
                      <w:color w:val="auto"/>
                      <w:highlight w:val="none"/>
                      <w:lang w:val="en-US" w:eastAsia="zh-CN"/>
                    </w:rPr>
                    <w:t>6</w:t>
                  </w:r>
                </w:p>
              </w:tc>
              <w:tc>
                <w:tcPr>
                  <w:tcW w:w="1153" w:type="dxa"/>
                  <w:vAlign w:val="center"/>
                </w:tcPr>
                <w:p w14:paraId="532841C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2.90</w:t>
                  </w:r>
                </w:p>
              </w:tc>
              <w:tc>
                <w:tcPr>
                  <w:tcW w:w="1146" w:type="dxa"/>
                  <w:vAlign w:val="center"/>
                </w:tcPr>
                <w:p w14:paraId="2110DADA">
                  <w:pPr>
                    <w:pStyle w:val="46"/>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3.3</w:t>
                  </w:r>
                  <w:r>
                    <w:rPr>
                      <w:rFonts w:hint="default" w:ascii="Times New Roman" w:hAnsi="Times New Roman" w:cs="Times New Roman"/>
                      <w:color w:val="auto"/>
                      <w:highlight w:val="none"/>
                      <w:lang w:val="en-US" w:eastAsia="zh-CN"/>
                    </w:rPr>
                    <w:t>2</w:t>
                  </w:r>
                </w:p>
              </w:tc>
            </w:tr>
          </w:tbl>
          <w:p w14:paraId="753FC289">
            <w:pPr>
              <w:ind w:firstLine="480"/>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运输道路进行水泥硬化、定期对矿区道路覆盖的浮土清理、配备</w:t>
            </w:r>
            <w:r>
              <w:rPr>
                <w:rFonts w:hint="eastAsia" w:cs="Times New Roman"/>
                <w:color w:val="auto"/>
                <w:szCs w:val="21"/>
                <w:highlight w:val="none"/>
                <w:lang w:eastAsia="zh-CN"/>
              </w:rPr>
              <w:t>洒水</w:t>
            </w:r>
            <w:r>
              <w:rPr>
                <w:rFonts w:hint="default" w:ascii="Times New Roman" w:hAnsi="Times New Roman" w:cs="Times New Roman"/>
                <w:color w:val="auto"/>
                <w:szCs w:val="21"/>
                <w:highlight w:val="none"/>
              </w:rPr>
              <w:t>车每日进行数次洒水抑尘、运输车辆加盖苫布等措施，可有效减少运输道路粉尘的排放，其抑尘效率可达80%以上</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基于这种情况，本环评对道路路况进行了0.2kg/m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的计算。</w:t>
            </w:r>
            <w:r>
              <w:rPr>
                <w:rFonts w:hint="default" w:ascii="Times New Roman" w:hAnsi="Times New Roman" w:cs="Times New Roman"/>
                <w:color w:val="auto"/>
                <w:highlight w:val="none"/>
              </w:rPr>
              <w:t>综上，</w:t>
            </w:r>
            <w:r>
              <w:rPr>
                <w:rFonts w:hint="default" w:ascii="Times New Roman" w:hAnsi="Times New Roman" w:cs="Times New Roman"/>
                <w:color w:val="auto"/>
                <w:szCs w:val="21"/>
                <w:highlight w:val="none"/>
              </w:rPr>
              <w:t>汽车动力起尘量</w:t>
            </w:r>
            <w:r>
              <w:rPr>
                <w:rFonts w:hint="default" w:ascii="Times New Roman" w:hAnsi="Times New Roman" w:cs="Times New Roman"/>
                <w:color w:val="auto"/>
                <w:highlight w:val="none"/>
              </w:rPr>
              <w:t>计算结果为：</w:t>
            </w:r>
          </w:p>
          <w:p w14:paraId="3DFD1865">
            <w:pPr>
              <w:ind w:firstLine="480"/>
              <w:jc w:val="both"/>
              <w:rPr>
                <w:rFonts w:hint="default" w:ascii="Times New Roman" w:hAnsi="Times New Roman" w:cs="Times New Roman"/>
                <w:color w:val="auto"/>
                <w:highlight w:val="none"/>
              </w:rPr>
            </w:pPr>
            <w:r>
              <w:rPr>
                <w:rFonts w:hint="default" w:ascii="Times New Roman" w:hAnsi="Times New Roman" w:cs="Times New Roman"/>
                <w:color w:val="auto"/>
                <w:position w:val="-10"/>
                <w:highlight w:val="none"/>
              </w:rPr>
              <w:object>
                <v:shape id="_x0000_i1027" o:spt="75" type="#_x0000_t75" style="height:19pt;width:218pt;" o:ole="t" filled="f" o:preferrelative="t" stroked="f" coordsize="21600,21600">
                  <v:path/>
                  <v:fill on="f" focussize="0,0"/>
                  <v:stroke on="f"/>
                  <v:imagedata r:id="rId25" o:title=""/>
                  <o:lock v:ext="edit" aspectratio="t"/>
                  <w10:wrap type="none"/>
                  <w10:anchorlock/>
                </v:shape>
                <o:OLEObject Type="Embed" ProgID="Equation.KSEE3" ShapeID="_x0000_i1027" DrawAspect="Content" ObjectID="_1468075728" r:id="rId24">
                  <o:LockedField>false</o:LockedField>
                </o:OLEObject>
              </w:object>
            </w:r>
          </w:p>
          <w:p w14:paraId="5731EEC9">
            <w:pPr>
              <w:ind w:firstLine="480"/>
              <w:rPr>
                <w:rFonts w:hint="default" w:ascii="Times New Roman" w:hAnsi="Times New Roman" w:cs="Times New Roman"/>
                <w:color w:val="auto"/>
                <w:position w:val="-10"/>
                <w:highlight w:val="none"/>
              </w:rPr>
            </w:pPr>
            <w:r>
              <w:rPr>
                <w:rFonts w:hint="default" w:ascii="Times New Roman" w:hAnsi="Times New Roman" w:cs="Times New Roman"/>
                <w:color w:val="auto"/>
                <w:position w:val="-10"/>
                <w:highlight w:val="none"/>
              </w:rPr>
              <w:object>
                <v:shape id="_x0000_i1028" o:spt="75" type="#_x0000_t75" style="height:17.35pt;width:78.95pt;" o:ole="t" filled="f" o:preferrelative="t" stroked="f" coordsize="21600,21600">
                  <v:path/>
                  <v:fill on="f" focussize="0,0"/>
                  <v:stroke on="f"/>
                  <v:imagedata r:id="rId27" o:title=""/>
                  <o:lock v:ext="edit" aspectratio="t"/>
                  <w10:wrap type="none"/>
                  <w10:anchorlock/>
                </v:shape>
                <o:OLEObject Type="Embed" ProgID="Equation.KSEE3" ShapeID="_x0000_i1028" DrawAspect="Content" ObjectID="_1468075729" r:id="rId26">
                  <o:LockedField>false</o:LockedField>
                </o:OLEObject>
              </w:object>
            </w:r>
          </w:p>
          <w:p w14:paraId="577BD597">
            <w:pPr>
              <w:ind w:firstLine="480"/>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Qp=1.11</w:t>
            </w:r>
            <w:r>
              <w:rPr>
                <w:rFonts w:hint="default"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lang w:val="en-US" w:eastAsia="zh-CN"/>
              </w:rPr>
              <w:t>10</w:t>
            </w:r>
            <w:r>
              <w:rPr>
                <w:rFonts w:hint="eastAsia" w:ascii="Times New Roman" w:hAnsi="Times New Roman" w:cs="Times New Roman"/>
                <w:color w:val="auto"/>
                <w:szCs w:val="21"/>
                <w:highlight w:val="none"/>
                <w:vertAlign w:val="superscript"/>
                <w:lang w:val="en-US" w:eastAsia="zh-CN"/>
              </w:rPr>
              <w:t>-3</w:t>
            </w:r>
            <w:r>
              <w:rPr>
                <w:rFonts w:hint="default" w:ascii="Times New Roman" w:hAnsi="Times New Roman" w:cs="Times New Roman"/>
                <w:color w:val="auto"/>
                <w:szCs w:val="21"/>
                <w:highlight w:val="none"/>
                <w:lang w:val="en-US" w:eastAsia="zh-CN"/>
              </w:rPr>
              <w:t>×0.2×</w:t>
            </w:r>
            <w:r>
              <w:rPr>
                <w:rFonts w:hint="eastAsia"/>
                <w:color w:val="auto"/>
                <w:lang w:val="en-US" w:eastAsia="zh-CN"/>
              </w:rPr>
              <w:t>690245/40</w:t>
            </w:r>
            <w:r>
              <w:rPr>
                <w:rFonts w:hint="default" w:ascii="Times New Roman" w:hAnsi="Times New Roman" w:cs="Times New Roman"/>
                <w:color w:val="auto"/>
                <w:szCs w:val="21"/>
                <w:highlight w:val="none"/>
                <w:lang w:val="en-US" w:eastAsia="zh-CN"/>
              </w:rPr>
              <w:t>×</w:t>
            </w:r>
            <w:r>
              <w:rPr>
                <w:rFonts w:hint="eastAsia" w:cs="Times New Roman"/>
                <w:color w:val="auto"/>
                <w:szCs w:val="21"/>
                <w:highlight w:val="none"/>
                <w:lang w:val="en-US" w:eastAsia="zh-CN"/>
              </w:rPr>
              <w:t>（1-80%）</w:t>
            </w:r>
            <w:r>
              <w:rPr>
                <w:rFonts w:hint="eastAsia" w:ascii="Times New Roman" w:hAnsi="Times New Roman" w:cs="Times New Roman"/>
                <w:color w:val="auto"/>
                <w:szCs w:val="21"/>
                <w:highlight w:val="none"/>
                <w:lang w:val="en-US" w:eastAsia="zh-CN"/>
              </w:rPr>
              <w:t>=7.28t/a</w:t>
            </w:r>
          </w:p>
          <w:p w14:paraId="690BAD07">
            <w:pPr>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经过计算，项目</w:t>
            </w:r>
            <w:r>
              <w:rPr>
                <w:rFonts w:hint="eastAsia" w:cs="Times New Roman"/>
                <w:color w:val="auto"/>
                <w:szCs w:val="21"/>
                <w:highlight w:val="none"/>
                <w:lang w:eastAsia="zh-CN"/>
              </w:rPr>
              <w:t>运输车辆扬尘无组织排放</w:t>
            </w:r>
            <w:r>
              <w:rPr>
                <w:rFonts w:hint="default" w:ascii="Times New Roman" w:hAnsi="Times New Roman" w:cs="Times New Roman"/>
                <w:color w:val="auto"/>
                <w:szCs w:val="21"/>
                <w:highlight w:val="none"/>
              </w:rPr>
              <w:t>量为</w:t>
            </w:r>
            <w:r>
              <w:rPr>
                <w:rFonts w:hint="eastAsia" w:cs="Times New Roman"/>
                <w:color w:val="auto"/>
                <w:szCs w:val="21"/>
                <w:highlight w:val="none"/>
                <w:lang w:val="en-US" w:eastAsia="zh-CN"/>
              </w:rPr>
              <w:t>7.28</w:t>
            </w:r>
            <w:r>
              <w:rPr>
                <w:rFonts w:hint="default" w:ascii="Times New Roman" w:hAnsi="Times New Roman" w:cs="Times New Roman"/>
                <w:color w:val="auto"/>
                <w:szCs w:val="21"/>
                <w:highlight w:val="none"/>
              </w:rPr>
              <w:t>t/a。</w:t>
            </w:r>
          </w:p>
          <w:p w14:paraId="7B074DDB">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2.砂石料库</w:t>
            </w:r>
          </w:p>
          <w:p w14:paraId="1D89FAC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①砂石装卸、堆放产生扬尘</w:t>
            </w:r>
          </w:p>
          <w:p w14:paraId="1A7A466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本项目砂石料装卸采用卡车装卸，根据《排放源统计调查产排污核算方法和系数手册》附表2 工业源固体物料堆场颗粒物核算系数手册，颗粒物产生量核算公式如下：</w:t>
            </w:r>
          </w:p>
          <w:p w14:paraId="2C4F0CCE">
            <w:pPr>
              <w:ind w:firstLine="480"/>
              <w:jc w:val="center"/>
              <w:rPr>
                <w:rFonts w:hint="default" w:ascii="Times New Roman" w:hAnsi="Times New Roman" w:cs="Times New Roman"/>
                <w:color w:val="auto"/>
                <w:highlight w:val="none"/>
              </w:rPr>
            </w:pPr>
            <w:r>
              <w:rPr>
                <w:rFonts w:hint="default" w:ascii="Times New Roman" w:hAnsi="Times New Roman" w:cs="Times New Roman"/>
                <w:color w:val="auto"/>
                <w:position w:val="-14"/>
                <w:highlight w:val="none"/>
              </w:rPr>
              <w:object>
                <v:shape id="_x0000_i1029" o:spt="75" type="#_x0000_t75" style="height:20.15pt;width:251.3pt;" o:ole="t" filled="f" o:preferrelative="t" stroked="f" coordsize="21600,21600">
                  <v:path/>
                  <v:fill on="f" focussize="0,0"/>
                  <v:stroke on="f" joinstyle="miter"/>
                  <v:imagedata r:id="rId29" o:title=""/>
                  <o:lock v:ext="edit" aspectratio="t"/>
                  <w10:wrap type="none"/>
                  <w10:anchorlock/>
                </v:shape>
                <o:OLEObject Type="Embed" ProgID="Equation.KSEE3" ShapeID="_x0000_i1029" DrawAspect="Content" ObjectID="_1468075730" r:id="rId28">
                  <o:LockedField>false</o:LockedField>
                </o:OLEObject>
              </w:object>
            </w:r>
          </w:p>
          <w:p w14:paraId="1A9474D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color w:val="auto"/>
                <w:position w:val="-4"/>
                <w:highlight w:val="none"/>
              </w:rPr>
              <w:object>
                <v:shape id="_x0000_i1030" o:spt="75" type="#_x0000_t75" style="height:12.95pt;width:12.25pt;" o:ole="t" filled="f" o:preferrelative="t" stroked="f" coordsize="21600,21600">
                  <v:path/>
                  <v:fill on="f" focussize="0,0"/>
                  <v:stroke on="f" joinstyle="miter"/>
                  <v:imagedata r:id="rId31" o:title=""/>
                  <o:lock v:ext="edit" aspectratio="t"/>
                  <w10:wrap type="none"/>
                  <w10:anchorlock/>
                </v:shape>
                <o:OLEObject Type="Embed" ProgID="Equation.KSEE3" ShapeID="_x0000_i1030" DrawAspect="Content" ObjectID="_1468075731" r:id="rId30">
                  <o:LockedField>false</o:LockedField>
                </o:OLEObject>
              </w:object>
            </w:r>
            <w:r>
              <w:rPr>
                <w:rFonts w:hint="default" w:ascii="Times New Roman" w:hAnsi="Times New Roman" w:cs="Times New Roman"/>
                <w:color w:val="auto"/>
                <w:highlight w:val="none"/>
              </w:rPr>
              <w:t>指颗粒物产生量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单位：吨</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p w14:paraId="1A6DBC53">
            <w:pPr>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position w:val="-10"/>
                <w:highlight w:val="none"/>
              </w:rPr>
              <w:object>
                <v:shape id="_x0000_i1031" o:spt="75" type="#_x0000_t75" style="height:15.85pt;width:25.2pt;" o:ole="t" filled="f" o:preferrelative="t" stroked="f" coordsize="21600,21600">
                  <v:path/>
                  <v:fill on="f" focussize="0,0"/>
                  <v:stroke on="f" joinstyle="miter"/>
                  <v:imagedata r:id="rId33" o:title=""/>
                  <o:lock v:ext="edit" aspectratio="t"/>
                  <w10:wrap type="none"/>
                  <w10:anchorlock/>
                </v:shape>
                <o:OLEObject Type="Embed" ProgID="Equation.KSEE3" ShapeID="_x0000_i1031" DrawAspect="Content" ObjectID="_1468075732" r:id="rId32">
                  <o:LockedField>false</o:LockedField>
                </o:OLEObject>
              </w:object>
            </w:r>
            <w:r>
              <w:rPr>
                <w:rFonts w:hint="default" w:ascii="Times New Roman" w:hAnsi="Times New Roman" w:cs="Times New Roman"/>
                <w:color w:val="auto"/>
                <w:highlight w:val="none"/>
              </w:rPr>
              <w:t>指装卸扬尘产生量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单位：吨</w:t>
            </w:r>
            <w:r>
              <w:rPr>
                <w:rFonts w:hint="default" w:ascii="Times New Roman" w:hAnsi="Times New Roman" w:cs="Times New Roman"/>
                <w:color w:val="auto"/>
                <w:highlight w:val="none"/>
                <w:lang w:eastAsia="zh-CN"/>
              </w:rPr>
              <w:t>）</w:t>
            </w:r>
          </w:p>
          <w:p w14:paraId="5B5C1AA9">
            <w:pPr>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position w:val="-10"/>
                <w:highlight w:val="none"/>
              </w:rPr>
              <w:object>
                <v:shape id="_x0000_i1032" o:spt="75" type="#_x0000_t75" style="height:15.85pt;width:25.2pt;" o:ole="t" filled="f" o:preferrelative="t" stroked="f" coordsize="21600,21600">
                  <v:path/>
                  <v:fill on="f" focussize="0,0"/>
                  <v:stroke on="f" joinstyle="miter"/>
                  <v:imagedata r:id="rId35" o:title=""/>
                  <o:lock v:ext="edit" aspectratio="t"/>
                  <w10:wrap type="none"/>
                  <w10:anchorlock/>
                </v:shape>
                <o:OLEObject Type="Embed" ProgID="Equation.KSEE3" ShapeID="_x0000_i1032" DrawAspect="Content" ObjectID="_1468075733" r:id="rId34">
                  <o:LockedField>false</o:LockedField>
                </o:OLEObject>
              </w:object>
            </w:r>
            <w:r>
              <w:rPr>
                <w:rFonts w:hint="default" w:ascii="Times New Roman" w:hAnsi="Times New Roman" w:cs="Times New Roman"/>
                <w:color w:val="auto"/>
                <w:highlight w:val="none"/>
              </w:rPr>
              <w:t>指风蚀扬尘产生量（单位：吨）</w:t>
            </w:r>
          </w:p>
          <w:p w14:paraId="264B81C4">
            <w:pPr>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position w:val="-6"/>
                <w:highlight w:val="none"/>
              </w:rPr>
              <w:object>
                <v:shape id="_x0000_i1033" o:spt="75" type="#_x0000_t75" style="height:13.7pt;width:18pt;" o:ole="t" filled="f" o:preferrelative="t" stroked="f" coordsize="21600,21600">
                  <v:path/>
                  <v:fill on="f" focussize="0,0"/>
                  <v:stroke on="f" joinstyle="miter"/>
                  <v:imagedata r:id="rId37" o:title=""/>
                  <o:lock v:ext="edit" aspectratio="t"/>
                  <w10:wrap type="none"/>
                  <w10:anchorlock/>
                </v:shape>
                <o:OLEObject Type="Embed" ProgID="Equation.KSEE3" ShapeID="_x0000_i1033" DrawAspect="Content" ObjectID="_1468075734" r:id="rId36">
                  <o:LockedField>false</o:LockedField>
                </o:OLEObject>
              </w:object>
            </w:r>
            <w:r>
              <w:rPr>
                <w:rFonts w:hint="default" w:ascii="Times New Roman" w:hAnsi="Times New Roman" w:cs="Times New Roman"/>
                <w:color w:val="auto"/>
                <w:highlight w:val="none"/>
              </w:rPr>
              <w:t>指年物料运载车次（单位：车），本项目年运载约</w:t>
            </w:r>
            <w:r>
              <w:rPr>
                <w:rFonts w:hint="eastAsia" w:cs="Times New Roman"/>
                <w:color w:val="auto"/>
                <w:highlight w:val="none"/>
                <w:lang w:val="en-US" w:eastAsia="zh-CN"/>
              </w:rPr>
              <w:t>14182</w:t>
            </w:r>
            <w:r>
              <w:rPr>
                <w:rFonts w:hint="default" w:ascii="Times New Roman" w:hAnsi="Times New Roman" w:cs="Times New Roman"/>
                <w:color w:val="auto"/>
                <w:highlight w:val="none"/>
              </w:rPr>
              <w:t>车；</w:t>
            </w:r>
          </w:p>
          <w:p w14:paraId="086A2547">
            <w:pPr>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position w:val="-4"/>
                <w:highlight w:val="none"/>
              </w:rPr>
              <w:object>
                <v:shape id="_x0000_i1034" o:spt="75" type="#_x0000_t75" style="height:12.95pt;width:12.95pt;" o:ole="t" filled="f" o:preferrelative="t" stroked="f" coordsize="21600,21600">
                  <v:path/>
                  <v:fill on="f" focussize="0,0"/>
                  <v:stroke on="f" joinstyle="miter"/>
                  <v:imagedata r:id="rId39" o:title=""/>
                  <o:lock v:ext="edit" aspectratio="t"/>
                  <w10:wrap type="none"/>
                  <w10:anchorlock/>
                </v:shape>
                <o:OLEObject Type="Embed" ProgID="Equation.KSEE3" ShapeID="_x0000_i1034" DrawAspect="Content" ObjectID="_1468075735" r:id="rId38">
                  <o:LockedField>false</o:LockedField>
                </o:OLEObject>
              </w:object>
            </w:r>
            <w:r>
              <w:rPr>
                <w:rFonts w:hint="default" w:ascii="Times New Roman" w:hAnsi="Times New Roman" w:cs="Times New Roman"/>
                <w:color w:val="auto"/>
                <w:highlight w:val="none"/>
              </w:rPr>
              <w:t>指单车平均运载量（单位：吨/车），本项目为40t/车；</w:t>
            </w:r>
          </w:p>
          <w:p w14:paraId="4DE00246">
            <w:pPr>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position w:val="-10"/>
                <w:highlight w:val="none"/>
              </w:rPr>
              <w:object>
                <v:shape id="_x0000_i1035" o:spt="75" type="#_x0000_t75" style="height:17.3pt;width:30.25pt;" o:ole="t" filled="f" o:preferrelative="t" stroked="f" coordsize="21600,21600">
                  <v:path/>
                  <v:fill on="f" focussize="0,0"/>
                  <v:stroke on="f" joinstyle="miter"/>
                  <v:imagedata r:id="rId41" o:title=""/>
                  <o:lock v:ext="edit" aspectratio="t"/>
                  <w10:wrap type="none"/>
                  <w10:anchorlock/>
                </v:shape>
                <o:OLEObject Type="Embed" ProgID="Equation.KSEE3" ShapeID="_x0000_i1035" DrawAspect="Content" ObjectID="_1468075736" r:id="rId40">
                  <o:LockedField>false</o:LockedField>
                </o:OLEObject>
              </w:object>
            </w:r>
            <w:r>
              <w:rPr>
                <w:rFonts w:hint="default" w:ascii="Times New Roman" w:hAnsi="Times New Roman" w:cs="Times New Roman"/>
                <w:color w:val="auto"/>
                <w:highlight w:val="none"/>
              </w:rPr>
              <w:t>指装卸扬尘概化系数（单位：千克/吨），</w:t>
            </w:r>
            <w:r>
              <w:rPr>
                <w:rFonts w:hint="default" w:ascii="Times New Roman" w:hAnsi="Times New Roman" w:cs="Times New Roman"/>
                <w:color w:val="auto"/>
                <w:position w:val="-6"/>
                <w:highlight w:val="none"/>
              </w:rPr>
              <w:object>
                <v:shape id="_x0000_i1036" o:spt="75" type="#_x0000_t75" style="height:10.8pt;width:10.1pt;" o:ole="t" filled="f" o:preferrelative="t" stroked="f" coordsize="21600,21600">
                  <v:path/>
                  <v:fill on="f" focussize="0,0"/>
                  <v:stroke on="f" joinstyle="miter"/>
                  <v:imagedata r:id="rId43" o:title=""/>
                  <o:lock v:ext="edit" aspectratio="t"/>
                  <w10:wrap type="none"/>
                  <w10:anchorlock/>
                </v:shape>
                <o:OLEObject Type="Embed" ProgID="Equation.KSEE3" ShapeID="_x0000_i1036" DrawAspect="Content" ObjectID="_1468075737" r:id="rId42">
                  <o:LockedField>false</o:LockedField>
                </o:OLEObject>
              </w:object>
            </w:r>
            <w:r>
              <w:rPr>
                <w:rFonts w:hint="default" w:ascii="Times New Roman" w:hAnsi="Times New Roman" w:cs="Times New Roman"/>
                <w:color w:val="auto"/>
                <w:highlight w:val="none"/>
              </w:rPr>
              <w:t>指各省风速概化系数，见附录1，本项目取0.0017，</w:t>
            </w:r>
            <w:r>
              <w:rPr>
                <w:rFonts w:hint="default" w:ascii="Times New Roman" w:hAnsi="Times New Roman" w:cs="Times New Roman"/>
                <w:color w:val="auto"/>
                <w:position w:val="-6"/>
                <w:highlight w:val="none"/>
              </w:rPr>
              <w:object>
                <v:shape id="_x0000_i1037" o:spt="75" type="#_x0000_t75" style="height:13.7pt;width:10.1pt;" o:ole="t" filled="f" o:preferrelative="t" stroked="f" coordsize="21600,21600">
                  <v:path/>
                  <v:fill on="f" focussize="0,0"/>
                  <v:stroke on="f" joinstyle="miter"/>
                  <v:imagedata r:id="rId45" o:title=""/>
                  <o:lock v:ext="edit" aspectratio="t"/>
                  <w10:wrap type="none"/>
                  <w10:anchorlock/>
                </v:shape>
                <o:OLEObject Type="Embed" ProgID="Equation.KSEE3" ShapeID="_x0000_i1037" DrawAspect="Content" ObjectID="_1468075738" r:id="rId44">
                  <o:LockedField>false</o:LockedField>
                </o:OLEObject>
              </w:object>
            </w:r>
            <w:r>
              <w:rPr>
                <w:rFonts w:hint="default" w:ascii="Times New Roman" w:hAnsi="Times New Roman" w:cs="Times New Roman"/>
                <w:color w:val="auto"/>
                <w:highlight w:val="none"/>
              </w:rPr>
              <w:t>指物料含水率概化系数，见附录2，本项目取0.0017；</w:t>
            </w:r>
          </w:p>
          <w:p w14:paraId="69F9A8B7">
            <w:pPr>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position w:val="-14"/>
                <w:highlight w:val="none"/>
              </w:rPr>
              <w:object>
                <v:shape id="_x0000_i1038" o:spt="75" type="#_x0000_t75" style="height:18.7pt;width:17.3pt;" o:ole="t" filled="f" o:preferrelative="t" stroked="f" coordsize="21600,21600">
                  <v:path/>
                  <v:fill on="f" focussize="0,0"/>
                  <v:stroke on="f" joinstyle="miter"/>
                  <v:imagedata r:id="rId47" o:title=""/>
                  <o:lock v:ext="edit" aspectratio="t"/>
                  <w10:wrap type="none"/>
                  <w10:anchorlock/>
                </v:shape>
                <o:OLEObject Type="Embed" ProgID="Equation.KSEE3" ShapeID="_x0000_i1038" DrawAspect="Content" ObjectID="_1468075739" r:id="rId46">
                  <o:LockedField>false</o:LockedField>
                </o:OLEObject>
              </w:object>
            </w:r>
            <w:r>
              <w:rPr>
                <w:rFonts w:hint="default" w:ascii="Times New Roman" w:hAnsi="Times New Roman" w:cs="Times New Roman"/>
                <w:color w:val="auto"/>
                <w:highlight w:val="none"/>
              </w:rPr>
              <w:t>指堆场风蚀扬尘概化系数，见附录 3（单位：千克/平方米），本项目取3.6062kg/m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p>
          <w:p w14:paraId="727D964D">
            <w:pPr>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position w:val="-6"/>
                <w:highlight w:val="none"/>
              </w:rPr>
              <w:object>
                <v:shape id="_x0000_i1039" o:spt="75" type="#_x0000_t75" style="height:13.7pt;width:10.8pt;" o:ole="t" filled="f" o:preferrelative="t" stroked="f" coordsize="21600,21600">
                  <v:path/>
                  <v:fill on="f" focussize="0,0"/>
                  <v:stroke on="f" joinstyle="miter"/>
                  <v:imagedata r:id="rId49" o:title=""/>
                  <o:lock v:ext="edit" aspectratio="t"/>
                  <w10:wrap type="none"/>
                  <w10:anchorlock/>
                </v:shape>
                <o:OLEObject Type="Embed" ProgID="Equation.KSEE3" ShapeID="_x0000_i1039" DrawAspect="Content" ObjectID="_1468075740" r:id="rId48">
                  <o:LockedField>false</o:LockedField>
                </o:OLEObject>
              </w:object>
            </w:r>
            <w:r>
              <w:rPr>
                <w:rFonts w:hint="default" w:ascii="Times New Roman" w:hAnsi="Times New Roman" w:cs="Times New Roman"/>
                <w:color w:val="auto"/>
                <w:highlight w:val="none"/>
              </w:rPr>
              <w:t>指堆场占地面积（单位：平方米）本项目砂石料库占地面积为</w:t>
            </w:r>
            <w:r>
              <w:rPr>
                <w:rFonts w:hint="eastAsia" w:cs="Times New Roman"/>
                <w:color w:val="auto"/>
                <w:highlight w:val="none"/>
                <w:lang w:val="en-US" w:eastAsia="zh-CN"/>
              </w:rPr>
              <w:t>800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p>
          <w:p w14:paraId="146C935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综上，砂石装卸、堆放产生的扬尘计算结果为：</w:t>
            </w:r>
          </w:p>
          <w:p w14:paraId="26F320AE">
            <w:pPr>
              <w:ind w:firstLine="480"/>
              <w:jc w:val="center"/>
              <w:rPr>
                <w:rFonts w:hint="default" w:ascii="Times New Roman" w:hAnsi="Times New Roman" w:cs="Times New Roman"/>
                <w:color w:val="auto"/>
                <w:highlight w:val="none"/>
              </w:rPr>
            </w:pPr>
            <w:r>
              <w:rPr>
                <w:rFonts w:hint="default" w:ascii="Times New Roman" w:hAnsi="Times New Roman" w:cs="Times New Roman"/>
                <w:color w:val="auto"/>
                <w:position w:val="-10"/>
                <w:highlight w:val="none"/>
              </w:rPr>
              <w:object>
                <v:shape id="_x0000_i1040" o:spt="75" type="#_x0000_t75" style="height:18pt;width:294.75pt;" o:ole="t" filled="f" o:preferrelative="t" stroked="f" coordsize="21600,21600">
                  <v:path/>
                  <v:fill on="f" focussize="0,0"/>
                  <v:stroke on="f"/>
                  <v:imagedata r:id="rId51" o:title=""/>
                  <o:lock v:ext="edit" aspectratio="t"/>
                  <w10:wrap type="none"/>
                  <w10:anchorlock/>
                </v:shape>
                <o:OLEObject Type="Embed" ProgID="Equation.KSEE3" ShapeID="_x0000_i1040" DrawAspect="Content" ObjectID="_1468075741" r:id="rId50">
                  <o:LockedField>false</o:LockedField>
                </o:OLEObject>
              </w:object>
            </w:r>
          </w:p>
          <w:p w14:paraId="558623D0">
            <w:pPr>
              <w:ind w:firstLine="1680" w:firstLineChars="700"/>
              <w:rPr>
                <w:rFonts w:hint="default" w:ascii="Times New Roman" w:hAnsi="Times New Roman" w:cs="Times New Roman"/>
                <w:color w:val="auto"/>
                <w:highlight w:val="none"/>
              </w:rPr>
            </w:pPr>
            <w:r>
              <w:rPr>
                <w:rFonts w:hint="default" w:ascii="Times New Roman" w:hAnsi="Times New Roman" w:cs="Times New Roman"/>
                <w:color w:val="auto"/>
                <w:position w:val="-10"/>
                <w:highlight w:val="none"/>
              </w:rPr>
              <w:object>
                <v:shape id="_x0000_i1041" o:spt="75" type="#_x0000_t75" style="height:17.3pt;width:122.95pt;" o:ole="t" filled="f" o:preferrelative="t" stroked="f" coordsize="21600,21600">
                  <v:path/>
                  <v:fill on="f" focussize="0,0"/>
                  <v:stroke on="f"/>
                  <v:imagedata r:id="rId53" o:title=""/>
                  <o:lock v:ext="edit" aspectratio="t"/>
                  <w10:wrap type="none"/>
                  <w10:anchorlock/>
                </v:shape>
                <o:OLEObject Type="Embed" ProgID="Equation.KSEE3" ShapeID="_x0000_i1041" DrawAspect="Content" ObjectID="_1468075742" r:id="rId52">
                  <o:LockedField>false</o:LockedField>
                </o:OLEObject>
              </w:object>
            </w:r>
          </w:p>
          <w:p w14:paraId="5D25553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颗粒物排放量核算公式如下：</w:t>
            </w:r>
          </w:p>
          <w:p w14:paraId="02CFFB02">
            <w:pPr>
              <w:ind w:firstLine="480"/>
              <w:jc w:val="center"/>
              <w:rPr>
                <w:rFonts w:hint="default" w:ascii="Times New Roman" w:hAnsi="Times New Roman" w:cs="Times New Roman"/>
                <w:color w:val="auto"/>
                <w:highlight w:val="none"/>
              </w:rPr>
            </w:pPr>
            <w:r>
              <w:rPr>
                <w:rFonts w:hint="default" w:ascii="Times New Roman" w:hAnsi="Times New Roman" w:cs="Times New Roman"/>
                <w:color w:val="auto"/>
                <w:position w:val="-12"/>
                <w:highlight w:val="none"/>
              </w:rPr>
              <w:object>
                <v:shape id="_x0000_i1042" o:spt="75" type="#_x0000_t75" style="height:18pt;width:126pt;" o:ole="t" filled="f" o:preferrelative="t" stroked="f" coordsize="21600,21600">
                  <v:path/>
                  <v:fill on="f" focussize="0,0"/>
                  <v:stroke on="f" joinstyle="miter"/>
                  <v:imagedata r:id="rId55" o:title=""/>
                  <o:lock v:ext="edit" aspectratio="t"/>
                  <w10:wrap type="none"/>
                  <w10:anchorlock/>
                </v:shape>
                <o:OLEObject Type="Embed" ProgID="Equation.KSEE3" ShapeID="_x0000_i1042" DrawAspect="Content" ObjectID="_1468075743" r:id="rId54">
                  <o:LockedField>false</o:LockedField>
                </o:OLEObject>
              </w:object>
            </w:r>
          </w:p>
          <w:p w14:paraId="25EF4C1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color w:val="auto"/>
                <w:position w:val="-4"/>
                <w:highlight w:val="none"/>
              </w:rPr>
              <w:object>
                <v:shape id="_x0000_i1043" o:spt="75" type="#_x0000_t75" style="height:12.95pt;width:12.25pt;" o:ole="t" filled="f" o:preferrelative="t" stroked="f" coordsize="21600,21600">
                  <v:path/>
                  <v:fill on="f" focussize="0,0"/>
                  <v:stroke on="f" joinstyle="miter"/>
                  <v:imagedata r:id="rId57" o:title=""/>
                  <o:lock v:ext="edit" aspectratio="t"/>
                  <w10:wrap type="none"/>
                  <w10:anchorlock/>
                </v:shape>
                <o:OLEObject Type="Embed" ProgID="Equation.KSEE3" ShapeID="_x0000_i1043" DrawAspect="Content" ObjectID="_1468075744" r:id="rId56">
                  <o:LockedField>false</o:LockedField>
                </o:OLEObject>
              </w:object>
            </w:r>
            <w:r>
              <w:rPr>
                <w:rFonts w:hint="default" w:ascii="Times New Roman" w:hAnsi="Times New Roman" w:cs="Times New Roman"/>
                <w:color w:val="auto"/>
                <w:highlight w:val="none"/>
              </w:rPr>
              <w:t>指颗粒物产生量（单位：吨）；</w:t>
            </w:r>
          </w:p>
          <w:p w14:paraId="53835368">
            <w:pPr>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position w:val="-12"/>
                <w:highlight w:val="none"/>
              </w:rPr>
              <w:object>
                <v:shape id="_x0000_i1044" o:spt="75" type="#_x0000_t75" style="height:18pt;width:18pt;" o:ole="t" filled="f" o:preferrelative="t" stroked="f" coordsize="21600,21600">
                  <v:path/>
                  <v:fill on="f" focussize="0,0"/>
                  <v:stroke on="f" joinstyle="miter"/>
                  <v:imagedata r:id="rId59" o:title=""/>
                  <o:lock v:ext="edit" aspectratio="t"/>
                  <w10:wrap type="none"/>
                  <w10:anchorlock/>
                </v:shape>
                <o:OLEObject Type="Embed" ProgID="Equation.KSEE3" ShapeID="_x0000_i1044" DrawAspect="Content" ObjectID="_1468075745" r:id="rId58">
                  <o:LockedField>false</o:LockedField>
                </o:OLEObject>
              </w:object>
            </w:r>
            <w:r>
              <w:rPr>
                <w:rFonts w:hint="default" w:ascii="Times New Roman" w:hAnsi="Times New Roman" w:cs="Times New Roman"/>
                <w:color w:val="auto"/>
                <w:highlight w:val="none"/>
              </w:rPr>
              <w:t>指颗粒物排放量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单位：吨</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p w14:paraId="37A986D9">
            <w:pPr>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position w:val="-12"/>
                <w:highlight w:val="none"/>
              </w:rPr>
              <w:object>
                <v:shape id="_x0000_i1045" o:spt="75" type="#_x0000_t75" style="height:18pt;width:17.3pt;" o:ole="t" filled="f" o:preferrelative="t" stroked="f" coordsize="21600,21600">
                  <v:path/>
                  <v:fill on="f" focussize="0,0"/>
                  <v:stroke on="f" joinstyle="miter"/>
                  <v:imagedata r:id="rId61" o:title=""/>
                  <o:lock v:ext="edit" aspectratio="t"/>
                  <w10:wrap type="none"/>
                  <w10:anchorlock/>
                </v:shape>
                <o:OLEObject Type="Embed" ProgID="Equation.KSEE3" ShapeID="_x0000_i1045" DrawAspect="Content" ObjectID="_1468075746" r:id="rId60">
                  <o:LockedField>false</o:LockedField>
                </o:OLEObject>
              </w:object>
            </w:r>
            <w:r>
              <w:rPr>
                <w:rFonts w:hint="default" w:ascii="Times New Roman" w:hAnsi="Times New Roman" w:cs="Times New Roman"/>
                <w:color w:val="auto"/>
                <w:highlight w:val="none"/>
              </w:rPr>
              <w:t>指颗粒物控制措施效率（单位：%），见附录</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本项目采用洒水抑尘，</w:t>
            </w:r>
            <w:r>
              <w:rPr>
                <w:rFonts w:hint="default" w:ascii="Times New Roman" w:hAnsi="Times New Roman" w:cs="Times New Roman"/>
                <w:color w:val="auto"/>
                <w:highlight w:val="none"/>
                <w:lang w:eastAsia="zh-CN"/>
              </w:rPr>
              <w:t>降尘量达</w:t>
            </w:r>
            <w:r>
              <w:rPr>
                <w:rFonts w:hint="default" w:ascii="Times New Roman" w:hAnsi="Times New Roman" w:cs="Times New Roman"/>
                <w:color w:val="auto"/>
                <w:highlight w:val="none"/>
              </w:rPr>
              <w:t>74%；</w:t>
            </w:r>
          </w:p>
          <w:p w14:paraId="739505F9">
            <w:pPr>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position w:val="-12"/>
                <w:highlight w:val="none"/>
              </w:rPr>
              <w:object>
                <v:shape id="_x0000_i1046" o:spt="75" type="#_x0000_t75" style="height:18pt;width:15.1pt;" o:ole="t" filled="f" o:preferrelative="t" stroked="f" coordsize="21600,21600">
                  <v:path/>
                  <v:fill on="f" focussize="0,0"/>
                  <v:stroke on="f" joinstyle="miter"/>
                  <v:imagedata r:id="rId63" o:title=""/>
                  <o:lock v:ext="edit" aspectratio="t"/>
                  <w10:wrap type="none"/>
                  <w10:anchorlock/>
                </v:shape>
                <o:OLEObject Type="Embed" ProgID="Equation.KSEE3" ShapeID="_x0000_i1046" DrawAspect="Content" ObjectID="_1468075747" r:id="rId62">
                  <o:LockedField>false</o:LockedField>
                </o:OLEObject>
              </w:object>
            </w:r>
            <w:r>
              <w:rPr>
                <w:rFonts w:hint="default" w:ascii="Times New Roman" w:hAnsi="Times New Roman" w:cs="Times New Roman"/>
                <w:color w:val="auto"/>
                <w:highlight w:val="none"/>
              </w:rPr>
              <w:t>指堆场类型控制效率（单位：%），见附录5</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本项目为全封闭堆场，取90%。</w:t>
            </w:r>
          </w:p>
          <w:p w14:paraId="19BEB81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综上，砂石装卸、堆放扬尘排放量计算结果为：</w:t>
            </w:r>
          </w:p>
          <w:p w14:paraId="656DAB07">
            <w:pPr>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position w:val="-12"/>
                <w:highlight w:val="none"/>
              </w:rPr>
              <w:object>
                <v:shape id="_x0000_i1047" o:spt="75" type="#_x0000_t75" style="height:18pt;width:270pt;" o:ole="t" filled="f" o:preferrelative="t" stroked="f" coordsize="21600,21600">
                  <v:path/>
                  <v:fill on="f" focussize="0,0"/>
                  <v:stroke on="f"/>
                  <v:imagedata r:id="rId65" o:title=""/>
                  <o:lock v:ext="edit" aspectratio="t"/>
                  <w10:wrap type="none"/>
                  <w10:anchorlock/>
                </v:shape>
                <o:OLEObject Type="Embed" ProgID="Equation.KSEE3" ShapeID="_x0000_i1047" DrawAspect="Content" ObjectID="_1468075748" r:id="rId64">
                  <o:LockedField>false</o:LockedField>
                </o:OLEObject>
              </w:object>
            </w:r>
          </w:p>
          <w:p w14:paraId="4F01AAA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根据以上计算，砂石装卸、堆放扬尘产生量为</w:t>
            </w:r>
            <w:r>
              <w:rPr>
                <w:rFonts w:hint="eastAsia" w:cs="Times New Roman"/>
                <w:color w:val="auto"/>
                <w:highlight w:val="none"/>
                <w:lang w:val="en-US" w:eastAsia="zh-CN"/>
              </w:rPr>
              <w:t>574.5</w:t>
            </w:r>
            <w:r>
              <w:rPr>
                <w:rFonts w:hint="default" w:ascii="Times New Roman" w:hAnsi="Times New Roman" w:cs="Times New Roman"/>
                <w:color w:val="auto"/>
                <w:highlight w:val="none"/>
              </w:rPr>
              <w:t>t/a，产生速率为</w:t>
            </w:r>
            <w:r>
              <w:rPr>
                <w:rFonts w:hint="eastAsia" w:cs="Times New Roman"/>
                <w:color w:val="auto"/>
                <w:highlight w:val="none"/>
                <w:lang w:val="en-US" w:eastAsia="zh-CN"/>
              </w:rPr>
              <w:t>478.75</w:t>
            </w:r>
            <w:r>
              <w:rPr>
                <w:rFonts w:hint="default" w:ascii="Times New Roman" w:hAnsi="Times New Roman" w:cs="Times New Roman"/>
                <w:color w:val="auto"/>
                <w:highlight w:val="none"/>
              </w:rPr>
              <w:t>kg/h；本项目砂石料库采用全封闭措施，并定期进行洒水抑尘。</w:t>
            </w:r>
            <w:r>
              <w:rPr>
                <w:rFonts w:hint="eastAsia" w:cs="Times New Roman"/>
                <w:color w:val="auto"/>
                <w:highlight w:val="none"/>
                <w:lang w:eastAsia="zh-CN"/>
              </w:rPr>
              <w:t>本项目为</w:t>
            </w:r>
            <w:r>
              <w:rPr>
                <w:rFonts w:hint="default" w:ascii="Times New Roman" w:hAnsi="Times New Roman" w:cs="Times New Roman"/>
                <w:color w:val="auto"/>
                <w:highlight w:val="none"/>
              </w:rPr>
              <w:t>全封闭堆场</w:t>
            </w:r>
            <w:r>
              <w:rPr>
                <w:rFonts w:hint="eastAsia" w:cs="Times New Roman"/>
                <w:color w:val="auto"/>
                <w:highlight w:val="none"/>
                <w:lang w:eastAsia="zh-CN"/>
              </w:rPr>
              <w:t>，</w:t>
            </w:r>
            <w:r>
              <w:rPr>
                <w:rFonts w:hint="default" w:ascii="Times New Roman" w:hAnsi="Times New Roman" w:cs="Times New Roman"/>
                <w:color w:val="auto"/>
                <w:highlight w:val="none"/>
              </w:rPr>
              <w:t>抑尘效率</w:t>
            </w:r>
            <w:r>
              <w:rPr>
                <w:rFonts w:hint="eastAsia" w:cs="Times New Roman"/>
                <w:color w:val="auto"/>
                <w:highlight w:val="none"/>
                <w:lang w:val="en-US" w:eastAsia="zh-CN"/>
              </w:rPr>
              <w:t>9</w:t>
            </w:r>
            <w:r>
              <w:rPr>
                <w:rFonts w:hint="default" w:ascii="Times New Roman" w:hAnsi="Times New Roman" w:cs="Times New Roman"/>
                <w:color w:val="auto"/>
                <w:highlight w:val="none"/>
              </w:rPr>
              <w:t>0%</w:t>
            </w:r>
            <w:r>
              <w:rPr>
                <w:rFonts w:hint="eastAsia" w:cs="Times New Roman"/>
                <w:color w:val="auto"/>
                <w:highlight w:val="none"/>
                <w:lang w:eastAsia="zh-CN"/>
              </w:rPr>
              <w:t>；</w:t>
            </w:r>
            <w:r>
              <w:rPr>
                <w:rFonts w:hint="default" w:ascii="Times New Roman" w:hAnsi="Times New Roman" w:cs="Times New Roman"/>
                <w:color w:val="auto"/>
                <w:highlight w:val="none"/>
              </w:rPr>
              <w:t>采用洒水抑尘</w:t>
            </w:r>
            <w:r>
              <w:rPr>
                <w:rFonts w:hint="eastAsia" w:cs="Times New Roman"/>
                <w:color w:val="auto"/>
                <w:highlight w:val="none"/>
                <w:lang w:eastAsia="zh-CN"/>
              </w:rPr>
              <w:t>，</w:t>
            </w:r>
            <w:r>
              <w:rPr>
                <w:rFonts w:hint="default" w:ascii="Times New Roman" w:hAnsi="Times New Roman" w:cs="Times New Roman"/>
                <w:color w:val="auto"/>
                <w:highlight w:val="none"/>
              </w:rPr>
              <w:t>抑尘效率</w:t>
            </w:r>
            <w:r>
              <w:rPr>
                <w:rFonts w:hint="eastAsia" w:cs="Times New Roman"/>
                <w:color w:val="auto"/>
                <w:highlight w:val="none"/>
                <w:lang w:val="en-US" w:eastAsia="zh-CN"/>
              </w:rPr>
              <w:t>74</w:t>
            </w:r>
            <w:r>
              <w:rPr>
                <w:rFonts w:hint="default" w:ascii="Times New Roman" w:hAnsi="Times New Roman" w:cs="Times New Roman"/>
                <w:color w:val="auto"/>
                <w:highlight w:val="none"/>
              </w:rPr>
              <w:t>%，</w:t>
            </w:r>
            <w:r>
              <w:rPr>
                <w:rFonts w:hint="eastAsia" w:cs="Times New Roman"/>
                <w:color w:val="auto"/>
                <w:highlight w:val="none"/>
                <w:lang w:eastAsia="zh-CN"/>
              </w:rPr>
              <w:t>最终</w:t>
            </w:r>
            <w:r>
              <w:rPr>
                <w:rFonts w:hint="default" w:ascii="Times New Roman" w:hAnsi="Times New Roman" w:cs="Times New Roman"/>
                <w:color w:val="auto"/>
                <w:highlight w:val="none"/>
              </w:rPr>
              <w:t>砂石装卸和堆放</w:t>
            </w:r>
            <w:r>
              <w:rPr>
                <w:rFonts w:hint="eastAsia" w:cs="Times New Roman"/>
                <w:color w:val="auto"/>
                <w:highlight w:val="none"/>
                <w:lang w:eastAsia="zh-CN"/>
              </w:rPr>
              <w:t>无组织</w:t>
            </w:r>
            <w:r>
              <w:rPr>
                <w:rFonts w:hint="default" w:ascii="Times New Roman" w:hAnsi="Times New Roman" w:cs="Times New Roman"/>
                <w:color w:val="auto"/>
                <w:highlight w:val="none"/>
              </w:rPr>
              <w:t>扬尘排放量为</w:t>
            </w:r>
            <w:r>
              <w:rPr>
                <w:rFonts w:hint="eastAsia" w:cs="Times New Roman"/>
                <w:color w:val="auto"/>
                <w:highlight w:val="none"/>
                <w:lang w:val="en-US" w:eastAsia="zh-CN"/>
              </w:rPr>
              <w:t>14.9</w:t>
            </w:r>
            <w:r>
              <w:rPr>
                <w:rFonts w:hint="default" w:ascii="Times New Roman" w:hAnsi="Times New Roman" w:cs="Times New Roman"/>
                <w:color w:val="auto"/>
                <w:highlight w:val="none"/>
              </w:rPr>
              <w:t>t/a，排放速率为</w:t>
            </w:r>
            <w:r>
              <w:rPr>
                <w:rFonts w:hint="eastAsia" w:cs="Times New Roman"/>
                <w:color w:val="auto"/>
                <w:highlight w:val="none"/>
                <w:lang w:val="en-US" w:eastAsia="zh-CN"/>
              </w:rPr>
              <w:t>12.34</w:t>
            </w:r>
            <w:r>
              <w:rPr>
                <w:rFonts w:hint="default" w:ascii="Times New Roman" w:hAnsi="Times New Roman" w:cs="Times New Roman"/>
                <w:color w:val="auto"/>
                <w:highlight w:val="none"/>
              </w:rPr>
              <w:t>kg/h。</w:t>
            </w:r>
          </w:p>
          <w:p w14:paraId="4D30C1F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②砂石输送粉尘</w:t>
            </w:r>
          </w:p>
          <w:p w14:paraId="4D2F8BA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本项目的砂石提升采用搅拌站配套的皮带输送方式，而水泥和粉煤灰则通过压缩空气吹入散装水泥和粉煤灰筒仓。此外，螺旋输送机还为粉料计量仓（又称粉料进料仓</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提供供料，本项目所有生产工序均采用电脑集中控制，各工序之间的</w:t>
            </w:r>
            <w:r>
              <w:rPr>
                <w:rFonts w:hint="eastAsia" w:cs="Times New Roman"/>
                <w:color w:val="auto"/>
                <w:highlight w:val="none"/>
                <w:lang w:eastAsia="zh-CN"/>
              </w:rPr>
              <w:t>联锁</w:t>
            </w:r>
            <w:r>
              <w:rPr>
                <w:rFonts w:hint="default" w:ascii="Times New Roman" w:hAnsi="Times New Roman" w:cs="Times New Roman"/>
                <w:color w:val="auto"/>
                <w:highlight w:val="none"/>
              </w:rPr>
              <w:t>、联动协调性和安全性非常强。</w:t>
            </w:r>
          </w:p>
          <w:p w14:paraId="3A882BD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粉料设置于密闭的仓筒内，粉料卸料过程中产生的少量粉尘全部密封在仓筒内，由于仓筒顶部设置除尘器，因此收集后的粉尘又逐渐沉降至仓筒内；砂石材料配料斗、投料斗均为全密闭并设有1台雾炮，用于洒水抑尘，在配料仓的料斗上方设置彩钢板遮挡，抑尘效率可达到80%，最后经全封闭皮带输送至搅拌站主机仓内。</w:t>
            </w:r>
          </w:p>
          <w:p w14:paraId="397082E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项目进料物料主要为砂子和碎石，进料量约为567245t/a，根据《排放源统计调查产排污核算方法和系数手册》302</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水泥制品制造（含3022砼结构构件、3029其他水泥类似制品制造）行业，物料输送储存颗粒物产污系数为0.12kg/t-产品</w:t>
            </w:r>
            <w:r>
              <w:rPr>
                <w:rFonts w:hint="default" w:ascii="Times New Roman" w:hAnsi="Times New Roman" w:cs="Times New Roman"/>
                <w:color w:val="auto"/>
                <w:highlight w:val="none"/>
                <w:lang w:eastAsia="zh-CN"/>
              </w:rPr>
              <w:t>。</w:t>
            </w:r>
          </w:p>
          <w:p w14:paraId="03A898BB">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w:t>
            </w:r>
            <w:r>
              <w:rPr>
                <w:rFonts w:hint="default" w:ascii="Times New Roman" w:hAnsi="Times New Roman" w:cs="Times New Roman"/>
                <w:color w:val="auto"/>
                <w:highlight w:val="none"/>
                <w:lang w:val="en-US" w:eastAsia="zh-CN"/>
              </w:rPr>
              <w:t xml:space="preserve">2  </w:t>
            </w:r>
            <w:r>
              <w:rPr>
                <w:rFonts w:hint="default" w:ascii="Times New Roman" w:hAnsi="Times New Roman" w:cs="Times New Roman"/>
                <w:color w:val="auto"/>
                <w:highlight w:val="none"/>
              </w:rPr>
              <w:t>砂石输送污染物产排情况一览表</w:t>
            </w:r>
          </w:p>
          <w:tbl>
            <w:tblPr>
              <w:tblStyle w:val="23"/>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972"/>
              <w:gridCol w:w="974"/>
              <w:gridCol w:w="917"/>
              <w:gridCol w:w="955"/>
              <w:gridCol w:w="1202"/>
              <w:gridCol w:w="860"/>
              <w:gridCol w:w="924"/>
            </w:tblGrid>
            <w:tr w14:paraId="1F85C2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006" w:type="dxa"/>
                  <w:vAlign w:val="center"/>
                </w:tcPr>
                <w:p w14:paraId="644C2EFB">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物料</w:t>
                  </w:r>
                </w:p>
              </w:tc>
              <w:tc>
                <w:tcPr>
                  <w:tcW w:w="972" w:type="dxa"/>
                  <w:vAlign w:val="center"/>
                </w:tcPr>
                <w:p w14:paraId="67AD0E10">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产尘系数</w:t>
                  </w:r>
                </w:p>
              </w:tc>
              <w:tc>
                <w:tcPr>
                  <w:tcW w:w="974" w:type="dxa"/>
                  <w:vAlign w:val="center"/>
                </w:tcPr>
                <w:p w14:paraId="1B1A21DF">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时间</w:t>
                  </w:r>
                </w:p>
              </w:tc>
              <w:tc>
                <w:tcPr>
                  <w:tcW w:w="1872" w:type="dxa"/>
                  <w:gridSpan w:val="2"/>
                  <w:vAlign w:val="center"/>
                </w:tcPr>
                <w:p w14:paraId="7983B2B0">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产生量</w:t>
                  </w:r>
                </w:p>
              </w:tc>
              <w:tc>
                <w:tcPr>
                  <w:tcW w:w="1202" w:type="dxa"/>
                  <w:vAlign w:val="center"/>
                </w:tcPr>
                <w:p w14:paraId="28294C43">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雾炮抑尘率</w:t>
                  </w:r>
                </w:p>
              </w:tc>
              <w:tc>
                <w:tcPr>
                  <w:tcW w:w="1784" w:type="dxa"/>
                  <w:gridSpan w:val="2"/>
                  <w:vAlign w:val="center"/>
                </w:tcPr>
                <w:p w14:paraId="03666DE3">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排放量</w:t>
                  </w:r>
                </w:p>
              </w:tc>
            </w:tr>
            <w:tr w14:paraId="71C89D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006" w:type="dxa"/>
                  <w:vAlign w:val="center"/>
                </w:tcPr>
                <w:p w14:paraId="50BF857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t/a</w:t>
                  </w:r>
                </w:p>
              </w:tc>
              <w:tc>
                <w:tcPr>
                  <w:tcW w:w="972" w:type="dxa"/>
                  <w:vAlign w:val="center"/>
                </w:tcPr>
                <w:p w14:paraId="3D7806D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kg/t</w:t>
                  </w:r>
                </w:p>
              </w:tc>
              <w:tc>
                <w:tcPr>
                  <w:tcW w:w="974" w:type="dxa"/>
                  <w:vAlign w:val="center"/>
                </w:tcPr>
                <w:p w14:paraId="022D491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w:t>
                  </w:r>
                </w:p>
              </w:tc>
              <w:tc>
                <w:tcPr>
                  <w:tcW w:w="917" w:type="dxa"/>
                  <w:vAlign w:val="center"/>
                </w:tcPr>
                <w:p w14:paraId="03C8C6E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t/a</w:t>
                  </w:r>
                </w:p>
              </w:tc>
              <w:tc>
                <w:tcPr>
                  <w:tcW w:w="955" w:type="dxa"/>
                  <w:vAlign w:val="center"/>
                </w:tcPr>
                <w:p w14:paraId="6C17AA0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kg/h</w:t>
                  </w:r>
                </w:p>
              </w:tc>
              <w:tc>
                <w:tcPr>
                  <w:tcW w:w="1202" w:type="dxa"/>
                  <w:vAlign w:val="center"/>
                </w:tcPr>
                <w:p w14:paraId="356FE44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860" w:type="dxa"/>
                  <w:vAlign w:val="center"/>
                </w:tcPr>
                <w:p w14:paraId="1DE358F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t/a</w:t>
                  </w:r>
                </w:p>
              </w:tc>
              <w:tc>
                <w:tcPr>
                  <w:tcW w:w="924" w:type="dxa"/>
                  <w:vAlign w:val="center"/>
                </w:tcPr>
                <w:p w14:paraId="1FCC644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kg/h</w:t>
                  </w:r>
                </w:p>
              </w:tc>
            </w:tr>
            <w:tr w14:paraId="4B4BF0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006" w:type="dxa"/>
                  <w:vAlign w:val="center"/>
                </w:tcPr>
                <w:p w14:paraId="08F43BB3">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567245</w:t>
                  </w:r>
                </w:p>
              </w:tc>
              <w:tc>
                <w:tcPr>
                  <w:tcW w:w="972" w:type="dxa"/>
                  <w:vAlign w:val="center"/>
                </w:tcPr>
                <w:p w14:paraId="4F01F4D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0.12</w:t>
                  </w:r>
                </w:p>
              </w:tc>
              <w:tc>
                <w:tcPr>
                  <w:tcW w:w="974" w:type="dxa"/>
                  <w:vAlign w:val="center"/>
                </w:tcPr>
                <w:p w14:paraId="4E518200">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1200</w:t>
                  </w:r>
                </w:p>
              </w:tc>
              <w:tc>
                <w:tcPr>
                  <w:tcW w:w="917" w:type="dxa"/>
                  <w:vAlign w:val="center"/>
                </w:tcPr>
                <w:p w14:paraId="63D89FAA">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68.07</w:t>
                  </w:r>
                </w:p>
              </w:tc>
              <w:tc>
                <w:tcPr>
                  <w:tcW w:w="955" w:type="dxa"/>
                  <w:vAlign w:val="center"/>
                </w:tcPr>
                <w:p w14:paraId="5D9D1DEF">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56.72</w:t>
                  </w:r>
                </w:p>
              </w:tc>
              <w:tc>
                <w:tcPr>
                  <w:tcW w:w="1202" w:type="dxa"/>
                  <w:vAlign w:val="center"/>
                </w:tcPr>
                <w:p w14:paraId="0D80773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80</w:t>
                  </w:r>
                </w:p>
              </w:tc>
              <w:tc>
                <w:tcPr>
                  <w:tcW w:w="860" w:type="dxa"/>
                  <w:vAlign w:val="center"/>
                </w:tcPr>
                <w:p w14:paraId="3826A680">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13.6</w:t>
                  </w:r>
                </w:p>
              </w:tc>
              <w:tc>
                <w:tcPr>
                  <w:tcW w:w="924" w:type="dxa"/>
                  <w:vAlign w:val="center"/>
                </w:tcPr>
                <w:p w14:paraId="307119E5">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11.34</w:t>
                  </w:r>
                </w:p>
              </w:tc>
            </w:tr>
          </w:tbl>
          <w:p w14:paraId="1F76C007">
            <w:pPr>
              <w:ind w:firstLine="480"/>
              <w:rPr>
                <w:rFonts w:hint="default" w:ascii="Times New Roman" w:hAnsi="Times New Roman" w:cs="Times New Roman"/>
                <w:color w:val="auto"/>
                <w:highlight w:val="none"/>
              </w:rPr>
            </w:pPr>
            <w:r>
              <w:rPr>
                <w:rFonts w:hint="eastAsia" w:cs="宋体"/>
                <w:bCs/>
                <w:color w:val="auto"/>
                <w:szCs w:val="21"/>
              </w:rPr>
              <w:t>本项目砂石料装卸均在密闭厂房进行，输送粉尘采用搅拌站内采用</w:t>
            </w:r>
            <w:r>
              <w:rPr>
                <w:rFonts w:hint="eastAsia" w:cs="宋体"/>
                <w:bCs/>
                <w:color w:val="auto"/>
                <w:szCs w:val="21"/>
                <w:lang w:eastAsia="zh-CN"/>
              </w:rPr>
              <w:t>雾炮</w:t>
            </w:r>
            <w:r>
              <w:rPr>
                <w:rFonts w:hint="eastAsia" w:cs="宋体"/>
                <w:bCs/>
                <w:color w:val="auto"/>
                <w:szCs w:val="21"/>
              </w:rPr>
              <w:t>抑尘，通过以上处理措施砂石投料粉尘排放量可削减约</w:t>
            </w:r>
            <w:r>
              <w:rPr>
                <w:rFonts w:hint="eastAsia" w:cs="宋体"/>
                <w:bCs/>
                <w:color w:val="auto"/>
                <w:szCs w:val="21"/>
                <w:lang w:val="en-US" w:eastAsia="zh-CN"/>
              </w:rPr>
              <w:t>80</w:t>
            </w:r>
            <w:r>
              <w:rPr>
                <w:rFonts w:hint="eastAsia" w:cs="宋体"/>
                <w:bCs/>
                <w:color w:val="auto"/>
                <w:szCs w:val="21"/>
              </w:rPr>
              <w:t>%以上，</w:t>
            </w:r>
            <w:r>
              <w:rPr>
                <w:rFonts w:hint="default" w:ascii="Times New Roman" w:hAnsi="Times New Roman" w:cs="Times New Roman"/>
                <w:color w:val="auto"/>
                <w:highlight w:val="none"/>
              </w:rPr>
              <w:t>砂石输送粉尘</w:t>
            </w:r>
            <w:r>
              <w:rPr>
                <w:rFonts w:hint="eastAsia" w:cs="Times New Roman"/>
                <w:color w:val="auto"/>
                <w:highlight w:val="none"/>
                <w:lang w:eastAsia="zh-CN"/>
              </w:rPr>
              <w:t>无组织排放</w:t>
            </w:r>
            <w:r>
              <w:rPr>
                <w:rFonts w:hint="default" w:ascii="Times New Roman" w:hAnsi="Times New Roman" w:cs="Times New Roman"/>
                <w:color w:val="auto"/>
                <w:highlight w:val="none"/>
              </w:rPr>
              <w:t>量约为</w:t>
            </w:r>
            <w:r>
              <w:rPr>
                <w:rFonts w:hint="eastAsia" w:cs="Times New Roman"/>
                <w:color w:val="auto"/>
                <w:highlight w:val="none"/>
                <w:lang w:val="en-US" w:eastAsia="zh-CN"/>
              </w:rPr>
              <w:t>13.6</w:t>
            </w:r>
            <w:r>
              <w:rPr>
                <w:rFonts w:hint="default" w:ascii="Times New Roman" w:hAnsi="Times New Roman" w:cs="Times New Roman"/>
                <w:color w:val="auto"/>
                <w:highlight w:val="none"/>
              </w:rPr>
              <w:t>t/a，</w:t>
            </w:r>
            <w:r>
              <w:rPr>
                <w:rFonts w:hint="eastAsia" w:cs="Times New Roman"/>
                <w:color w:val="auto"/>
                <w:highlight w:val="none"/>
                <w:lang w:eastAsia="zh-CN"/>
              </w:rPr>
              <w:t>排放</w:t>
            </w:r>
            <w:r>
              <w:rPr>
                <w:rFonts w:hint="default" w:ascii="Times New Roman" w:hAnsi="Times New Roman" w:cs="Times New Roman"/>
                <w:color w:val="auto"/>
                <w:highlight w:val="none"/>
              </w:rPr>
              <w:t>速率为</w:t>
            </w:r>
            <w:r>
              <w:rPr>
                <w:rFonts w:hint="eastAsia" w:cs="Times New Roman"/>
                <w:color w:val="auto"/>
                <w:highlight w:val="none"/>
                <w:lang w:val="en-US" w:eastAsia="zh-CN"/>
              </w:rPr>
              <w:t>11.34</w:t>
            </w:r>
            <w:r>
              <w:rPr>
                <w:rFonts w:hint="default" w:ascii="Times New Roman" w:hAnsi="Times New Roman" w:cs="Times New Roman"/>
                <w:color w:val="auto"/>
                <w:highlight w:val="none"/>
              </w:rPr>
              <w:t>kg/h。无组织排放满足《水泥工业大气污染物排放标准》（GB4915-2013）表3无组织排放限值要求，对环境空气影响较小。</w:t>
            </w:r>
          </w:p>
          <w:p w14:paraId="38FDF811">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3</w:t>
            </w:r>
            <w:r>
              <w:rPr>
                <w:rFonts w:hint="default" w:ascii="Times New Roman" w:hAnsi="Times New Roman" w:cs="Times New Roman"/>
                <w:b/>
                <w:bCs/>
                <w:color w:val="auto"/>
                <w:highlight w:val="none"/>
                <w:lang w:val="en-US" w:eastAsia="zh-CN"/>
              </w:rPr>
              <w:t>.</w:t>
            </w:r>
            <w:r>
              <w:rPr>
                <w:rFonts w:hint="default" w:ascii="Times New Roman" w:hAnsi="Times New Roman" w:cs="Times New Roman"/>
                <w:b/>
                <w:bCs/>
                <w:color w:val="auto"/>
                <w:highlight w:val="none"/>
              </w:rPr>
              <w:t>混凝土生产线</w:t>
            </w:r>
          </w:p>
          <w:p w14:paraId="26992BA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根据《排放源统计调查产排污核算方法和系数手册》中3021、3022、3029水泥制品制造行业系数手册，参考混凝土制品废气产排系数，项目筒仓呼吸孔及搅拌粉尘产生系数详见下表。</w:t>
            </w:r>
          </w:p>
          <w:p w14:paraId="673B6943">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表4-3</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项目筒仓呼吸孔及搅拌粉尘产生系数一览表</w:t>
            </w:r>
          </w:p>
          <w:tbl>
            <w:tblPr>
              <w:tblStyle w:val="23"/>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80"/>
              <w:gridCol w:w="802"/>
              <w:gridCol w:w="885"/>
              <w:gridCol w:w="2001"/>
              <w:gridCol w:w="725"/>
              <w:gridCol w:w="1188"/>
              <w:gridCol w:w="753"/>
            </w:tblGrid>
            <w:tr w14:paraId="37ED49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6" w:type="dxa"/>
                  <w:vAlign w:val="center"/>
                </w:tcPr>
                <w:p w14:paraId="5406C4F1">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产品名称</w:t>
                  </w:r>
                </w:p>
              </w:tc>
              <w:tc>
                <w:tcPr>
                  <w:tcW w:w="780" w:type="dxa"/>
                  <w:vAlign w:val="center"/>
                </w:tcPr>
                <w:p w14:paraId="7EEAD978">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原料名称</w:t>
                  </w:r>
                </w:p>
              </w:tc>
              <w:tc>
                <w:tcPr>
                  <w:tcW w:w="802" w:type="dxa"/>
                  <w:vAlign w:val="center"/>
                </w:tcPr>
                <w:p w14:paraId="727D372E">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工艺名称</w:t>
                  </w:r>
                </w:p>
              </w:tc>
              <w:tc>
                <w:tcPr>
                  <w:tcW w:w="885" w:type="dxa"/>
                  <w:vAlign w:val="center"/>
                </w:tcPr>
                <w:p w14:paraId="4074929A">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污染物指标</w:t>
                  </w:r>
                </w:p>
              </w:tc>
              <w:tc>
                <w:tcPr>
                  <w:tcW w:w="2001" w:type="dxa"/>
                  <w:vAlign w:val="center"/>
                </w:tcPr>
                <w:p w14:paraId="4D844B73">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系数单位</w:t>
                  </w:r>
                </w:p>
              </w:tc>
              <w:tc>
                <w:tcPr>
                  <w:tcW w:w="725" w:type="dxa"/>
                  <w:vAlign w:val="center"/>
                </w:tcPr>
                <w:p w14:paraId="7525A482">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产污系数</w:t>
                  </w:r>
                </w:p>
              </w:tc>
              <w:tc>
                <w:tcPr>
                  <w:tcW w:w="1188" w:type="dxa"/>
                  <w:vAlign w:val="center"/>
                </w:tcPr>
                <w:p w14:paraId="1BD93A20">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末端治理技术名称</w:t>
                  </w:r>
                </w:p>
              </w:tc>
              <w:tc>
                <w:tcPr>
                  <w:tcW w:w="753" w:type="dxa"/>
                  <w:vAlign w:val="center"/>
                </w:tcPr>
                <w:p w14:paraId="77AD69C9">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治理效率</w:t>
                  </w:r>
                </w:p>
              </w:tc>
            </w:tr>
            <w:tr w14:paraId="7258CB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6" w:type="dxa"/>
                  <w:vMerge w:val="restart"/>
                  <w:vAlign w:val="center"/>
                </w:tcPr>
                <w:p w14:paraId="3C0A0F3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混凝土制品</w:t>
                  </w:r>
                </w:p>
              </w:tc>
              <w:tc>
                <w:tcPr>
                  <w:tcW w:w="780" w:type="dxa"/>
                  <w:vMerge w:val="restart"/>
                  <w:vAlign w:val="center"/>
                </w:tcPr>
                <w:p w14:paraId="715B106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水泥、砂子、石子等</w:t>
                  </w:r>
                </w:p>
              </w:tc>
              <w:tc>
                <w:tcPr>
                  <w:tcW w:w="802" w:type="dxa"/>
                  <w:vMerge w:val="restart"/>
                  <w:vAlign w:val="center"/>
                </w:tcPr>
                <w:p w14:paraId="078767A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物料输送储存</w:t>
                  </w:r>
                </w:p>
              </w:tc>
              <w:tc>
                <w:tcPr>
                  <w:tcW w:w="885" w:type="dxa"/>
                  <w:vAlign w:val="center"/>
                </w:tcPr>
                <w:p w14:paraId="15FEAC8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废气量</w:t>
                  </w:r>
                </w:p>
              </w:tc>
              <w:tc>
                <w:tcPr>
                  <w:tcW w:w="2001" w:type="dxa"/>
                  <w:vAlign w:val="center"/>
                </w:tcPr>
                <w:p w14:paraId="487DCA8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标立方米/吨</w:t>
                  </w:r>
                  <w:r>
                    <w:rPr>
                      <w:rFonts w:hint="default" w:ascii="Times New Roman" w:hAnsi="Times New Roman" w:eastAsia="宋体" w:cs="Times New Roman"/>
                      <w:color w:val="auto"/>
                      <w:kern w:val="0"/>
                      <w:sz w:val="21"/>
                      <w:szCs w:val="21"/>
                      <w:highlight w:val="none"/>
                      <w:lang w:val="en-US" w:eastAsia="zh-CN" w:bidi="ar-SA"/>
                    </w:rPr>
                    <w:t>—</w:t>
                  </w:r>
                  <w:r>
                    <w:rPr>
                      <w:rFonts w:hint="default" w:ascii="Times New Roman" w:hAnsi="Times New Roman" w:cs="Times New Roman"/>
                      <w:color w:val="auto"/>
                      <w:sz w:val="21"/>
                      <w:szCs w:val="21"/>
                      <w:highlight w:val="none"/>
                    </w:rPr>
                    <w:t>产品</w:t>
                  </w:r>
                </w:p>
              </w:tc>
              <w:tc>
                <w:tcPr>
                  <w:tcW w:w="725" w:type="dxa"/>
                  <w:vAlign w:val="center"/>
                </w:tcPr>
                <w:p w14:paraId="07D5029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22.0</w:t>
                  </w:r>
                </w:p>
              </w:tc>
              <w:tc>
                <w:tcPr>
                  <w:tcW w:w="1188" w:type="dxa"/>
                  <w:vAlign w:val="center"/>
                </w:tcPr>
                <w:p w14:paraId="13EE8EE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753" w:type="dxa"/>
                  <w:vAlign w:val="center"/>
                </w:tcPr>
                <w:p w14:paraId="38CAD3F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23E618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6" w:type="dxa"/>
                  <w:vMerge w:val="continue"/>
                  <w:vAlign w:val="center"/>
                </w:tcPr>
                <w:p w14:paraId="39B830C4">
                  <w:pPr>
                    <w:pStyle w:val="46"/>
                    <w:jc w:val="center"/>
                    <w:rPr>
                      <w:rFonts w:hint="default" w:ascii="Times New Roman" w:hAnsi="Times New Roman" w:cs="Times New Roman"/>
                      <w:color w:val="auto"/>
                      <w:sz w:val="21"/>
                      <w:szCs w:val="21"/>
                      <w:highlight w:val="none"/>
                    </w:rPr>
                  </w:pPr>
                </w:p>
              </w:tc>
              <w:tc>
                <w:tcPr>
                  <w:tcW w:w="780" w:type="dxa"/>
                  <w:vMerge w:val="continue"/>
                  <w:vAlign w:val="center"/>
                </w:tcPr>
                <w:p w14:paraId="18342071">
                  <w:pPr>
                    <w:pStyle w:val="46"/>
                    <w:jc w:val="center"/>
                    <w:rPr>
                      <w:rFonts w:hint="default" w:ascii="Times New Roman" w:hAnsi="Times New Roman" w:cs="Times New Roman"/>
                      <w:color w:val="auto"/>
                      <w:sz w:val="21"/>
                      <w:szCs w:val="21"/>
                      <w:highlight w:val="none"/>
                    </w:rPr>
                  </w:pPr>
                </w:p>
              </w:tc>
              <w:tc>
                <w:tcPr>
                  <w:tcW w:w="802" w:type="dxa"/>
                  <w:vMerge w:val="continue"/>
                  <w:vAlign w:val="center"/>
                </w:tcPr>
                <w:p w14:paraId="6AE67E70">
                  <w:pPr>
                    <w:pStyle w:val="46"/>
                    <w:jc w:val="center"/>
                    <w:rPr>
                      <w:rFonts w:hint="default" w:ascii="Times New Roman" w:hAnsi="Times New Roman" w:cs="Times New Roman"/>
                      <w:color w:val="auto"/>
                      <w:sz w:val="21"/>
                      <w:szCs w:val="21"/>
                      <w:highlight w:val="none"/>
                    </w:rPr>
                  </w:pPr>
                </w:p>
              </w:tc>
              <w:tc>
                <w:tcPr>
                  <w:tcW w:w="885" w:type="dxa"/>
                  <w:vAlign w:val="center"/>
                </w:tcPr>
                <w:p w14:paraId="23C13C7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2001" w:type="dxa"/>
                  <w:vAlign w:val="center"/>
                </w:tcPr>
                <w:p w14:paraId="216A2CA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千克/吨</w:t>
                  </w:r>
                  <w:r>
                    <w:rPr>
                      <w:rFonts w:hint="default" w:ascii="Times New Roman" w:hAnsi="Times New Roman" w:eastAsia="宋体" w:cs="Times New Roman"/>
                      <w:color w:val="auto"/>
                      <w:kern w:val="0"/>
                      <w:sz w:val="21"/>
                      <w:szCs w:val="21"/>
                      <w:highlight w:val="none"/>
                      <w:lang w:val="en-US" w:eastAsia="zh-CN" w:bidi="ar-SA"/>
                    </w:rPr>
                    <w:t>—</w:t>
                  </w:r>
                  <w:r>
                    <w:rPr>
                      <w:rFonts w:hint="default" w:ascii="Times New Roman" w:hAnsi="Times New Roman" w:cs="Times New Roman"/>
                      <w:color w:val="auto"/>
                      <w:sz w:val="21"/>
                      <w:szCs w:val="21"/>
                      <w:highlight w:val="none"/>
                    </w:rPr>
                    <w:t>产品</w:t>
                  </w:r>
                </w:p>
              </w:tc>
              <w:tc>
                <w:tcPr>
                  <w:tcW w:w="725" w:type="dxa"/>
                  <w:vAlign w:val="center"/>
                </w:tcPr>
                <w:p w14:paraId="423AAFA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0.12</w:t>
                  </w:r>
                </w:p>
              </w:tc>
              <w:tc>
                <w:tcPr>
                  <w:tcW w:w="1188" w:type="dxa"/>
                  <w:vAlign w:val="center"/>
                </w:tcPr>
                <w:p w14:paraId="1C67E5CC">
                  <w:pPr>
                    <w:pStyle w:val="46"/>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袋式除尘</w:t>
                  </w:r>
                  <w:r>
                    <w:rPr>
                      <w:rFonts w:hint="default" w:ascii="Times New Roman" w:hAnsi="Times New Roman" w:cs="Times New Roman"/>
                      <w:color w:val="auto"/>
                      <w:sz w:val="21"/>
                      <w:szCs w:val="21"/>
                      <w:highlight w:val="none"/>
                      <w:lang w:eastAsia="zh-CN"/>
                    </w:rPr>
                    <w:t>器</w:t>
                  </w:r>
                </w:p>
              </w:tc>
              <w:tc>
                <w:tcPr>
                  <w:tcW w:w="753" w:type="dxa"/>
                  <w:vAlign w:val="center"/>
                </w:tcPr>
                <w:p w14:paraId="576A9E78">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99.7</w:t>
                  </w:r>
                  <w:r>
                    <w:rPr>
                      <w:rFonts w:hint="default" w:ascii="Times New Roman" w:hAnsi="Times New Roman" w:cs="Times New Roman"/>
                      <w:color w:val="auto"/>
                      <w:sz w:val="21"/>
                      <w:szCs w:val="21"/>
                      <w:highlight w:val="none"/>
                      <w:lang w:val="en-US" w:eastAsia="zh-CN"/>
                    </w:rPr>
                    <w:t>%</w:t>
                  </w:r>
                </w:p>
              </w:tc>
            </w:tr>
            <w:tr w14:paraId="465876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6" w:type="dxa"/>
                  <w:vMerge w:val="continue"/>
                  <w:vAlign w:val="center"/>
                </w:tcPr>
                <w:p w14:paraId="0183AA8B">
                  <w:pPr>
                    <w:pStyle w:val="46"/>
                    <w:jc w:val="center"/>
                    <w:rPr>
                      <w:rFonts w:hint="default" w:ascii="Times New Roman" w:hAnsi="Times New Roman" w:cs="Times New Roman"/>
                      <w:color w:val="auto"/>
                      <w:sz w:val="21"/>
                      <w:szCs w:val="21"/>
                      <w:highlight w:val="none"/>
                    </w:rPr>
                  </w:pPr>
                </w:p>
              </w:tc>
              <w:tc>
                <w:tcPr>
                  <w:tcW w:w="780" w:type="dxa"/>
                  <w:vMerge w:val="continue"/>
                  <w:vAlign w:val="center"/>
                </w:tcPr>
                <w:p w14:paraId="1EF9E6A4">
                  <w:pPr>
                    <w:pStyle w:val="46"/>
                    <w:jc w:val="center"/>
                    <w:rPr>
                      <w:rFonts w:hint="default" w:ascii="Times New Roman" w:hAnsi="Times New Roman" w:cs="Times New Roman"/>
                      <w:color w:val="auto"/>
                      <w:sz w:val="21"/>
                      <w:szCs w:val="21"/>
                      <w:highlight w:val="none"/>
                    </w:rPr>
                  </w:pPr>
                </w:p>
              </w:tc>
              <w:tc>
                <w:tcPr>
                  <w:tcW w:w="802" w:type="dxa"/>
                  <w:vMerge w:val="restart"/>
                  <w:vAlign w:val="center"/>
                </w:tcPr>
                <w:p w14:paraId="3311D5B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物料混合搅拌</w:t>
                  </w:r>
                </w:p>
              </w:tc>
              <w:tc>
                <w:tcPr>
                  <w:tcW w:w="885" w:type="dxa"/>
                  <w:vAlign w:val="center"/>
                </w:tcPr>
                <w:p w14:paraId="493F2C7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废气量</w:t>
                  </w:r>
                </w:p>
              </w:tc>
              <w:tc>
                <w:tcPr>
                  <w:tcW w:w="2001" w:type="dxa"/>
                  <w:vAlign w:val="center"/>
                </w:tcPr>
                <w:p w14:paraId="413FA96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标立方米</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吨</w:t>
                  </w:r>
                  <w:r>
                    <w:rPr>
                      <w:rFonts w:hint="default" w:ascii="Times New Roman" w:hAnsi="Times New Roman" w:eastAsia="宋体" w:cs="Times New Roman"/>
                      <w:color w:val="auto"/>
                      <w:kern w:val="0"/>
                      <w:sz w:val="21"/>
                      <w:szCs w:val="21"/>
                      <w:highlight w:val="none"/>
                      <w:lang w:val="en-US" w:eastAsia="zh-CN" w:bidi="ar-SA"/>
                    </w:rPr>
                    <w:t>—</w:t>
                  </w:r>
                  <w:r>
                    <w:rPr>
                      <w:rFonts w:hint="default" w:ascii="Times New Roman" w:hAnsi="Times New Roman" w:cs="Times New Roman"/>
                      <w:color w:val="auto"/>
                      <w:sz w:val="21"/>
                      <w:szCs w:val="21"/>
                      <w:highlight w:val="none"/>
                    </w:rPr>
                    <w:t>产品</w:t>
                  </w:r>
                </w:p>
              </w:tc>
              <w:tc>
                <w:tcPr>
                  <w:tcW w:w="725" w:type="dxa"/>
                  <w:vAlign w:val="center"/>
                </w:tcPr>
                <w:p w14:paraId="1C4C8FE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25</w:t>
                  </w:r>
                </w:p>
              </w:tc>
              <w:tc>
                <w:tcPr>
                  <w:tcW w:w="1188" w:type="dxa"/>
                  <w:vAlign w:val="center"/>
                </w:tcPr>
                <w:p w14:paraId="4859F5C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753" w:type="dxa"/>
                  <w:vAlign w:val="center"/>
                </w:tcPr>
                <w:p w14:paraId="40A13D8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187AFF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6" w:type="dxa"/>
                  <w:vMerge w:val="continue"/>
                  <w:vAlign w:val="center"/>
                </w:tcPr>
                <w:p w14:paraId="1BAA63CE">
                  <w:pPr>
                    <w:pStyle w:val="46"/>
                    <w:jc w:val="center"/>
                    <w:rPr>
                      <w:rFonts w:hint="default" w:ascii="Times New Roman" w:hAnsi="Times New Roman" w:cs="Times New Roman"/>
                      <w:color w:val="auto"/>
                      <w:sz w:val="21"/>
                      <w:szCs w:val="21"/>
                      <w:highlight w:val="none"/>
                    </w:rPr>
                  </w:pPr>
                </w:p>
              </w:tc>
              <w:tc>
                <w:tcPr>
                  <w:tcW w:w="780" w:type="dxa"/>
                  <w:vMerge w:val="continue"/>
                  <w:vAlign w:val="center"/>
                </w:tcPr>
                <w:p w14:paraId="286FCE2B">
                  <w:pPr>
                    <w:pStyle w:val="46"/>
                    <w:jc w:val="center"/>
                    <w:rPr>
                      <w:rFonts w:hint="default" w:ascii="Times New Roman" w:hAnsi="Times New Roman" w:cs="Times New Roman"/>
                      <w:color w:val="auto"/>
                      <w:sz w:val="21"/>
                      <w:szCs w:val="21"/>
                      <w:highlight w:val="none"/>
                    </w:rPr>
                  </w:pPr>
                </w:p>
              </w:tc>
              <w:tc>
                <w:tcPr>
                  <w:tcW w:w="802" w:type="dxa"/>
                  <w:vMerge w:val="continue"/>
                  <w:vAlign w:val="center"/>
                </w:tcPr>
                <w:p w14:paraId="21AFDC52">
                  <w:pPr>
                    <w:pStyle w:val="46"/>
                    <w:jc w:val="center"/>
                    <w:rPr>
                      <w:rFonts w:hint="default" w:ascii="Times New Roman" w:hAnsi="Times New Roman" w:cs="Times New Roman"/>
                      <w:color w:val="auto"/>
                      <w:sz w:val="21"/>
                      <w:szCs w:val="21"/>
                      <w:highlight w:val="none"/>
                    </w:rPr>
                  </w:pPr>
                </w:p>
              </w:tc>
              <w:tc>
                <w:tcPr>
                  <w:tcW w:w="885" w:type="dxa"/>
                  <w:vAlign w:val="center"/>
                </w:tcPr>
                <w:p w14:paraId="0146CCE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2001" w:type="dxa"/>
                  <w:vAlign w:val="center"/>
                </w:tcPr>
                <w:p w14:paraId="104A334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千克/吨</w:t>
                  </w:r>
                  <w:r>
                    <w:rPr>
                      <w:rFonts w:hint="default" w:ascii="Times New Roman" w:hAnsi="Times New Roman" w:eastAsia="宋体" w:cs="Times New Roman"/>
                      <w:color w:val="auto"/>
                      <w:kern w:val="0"/>
                      <w:sz w:val="21"/>
                      <w:szCs w:val="21"/>
                      <w:highlight w:val="none"/>
                      <w:lang w:val="en-US" w:eastAsia="zh-CN" w:bidi="ar-SA"/>
                    </w:rPr>
                    <w:t>—</w:t>
                  </w:r>
                  <w:r>
                    <w:rPr>
                      <w:rFonts w:hint="default" w:ascii="Times New Roman" w:hAnsi="Times New Roman" w:cs="Times New Roman"/>
                      <w:color w:val="auto"/>
                      <w:sz w:val="21"/>
                      <w:szCs w:val="21"/>
                      <w:highlight w:val="none"/>
                    </w:rPr>
                    <w:t>产品</w:t>
                  </w:r>
                </w:p>
              </w:tc>
              <w:tc>
                <w:tcPr>
                  <w:tcW w:w="725" w:type="dxa"/>
                  <w:vAlign w:val="center"/>
                </w:tcPr>
                <w:p w14:paraId="26186E2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0.13</w:t>
                  </w:r>
                </w:p>
              </w:tc>
              <w:tc>
                <w:tcPr>
                  <w:tcW w:w="1188" w:type="dxa"/>
                  <w:vAlign w:val="center"/>
                </w:tcPr>
                <w:p w14:paraId="0CE76761">
                  <w:pPr>
                    <w:pStyle w:val="46"/>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袋式除尘</w:t>
                  </w:r>
                  <w:r>
                    <w:rPr>
                      <w:rFonts w:hint="default" w:ascii="Times New Roman" w:hAnsi="Times New Roman" w:cs="Times New Roman"/>
                      <w:color w:val="auto"/>
                      <w:sz w:val="21"/>
                      <w:szCs w:val="21"/>
                      <w:highlight w:val="none"/>
                      <w:lang w:eastAsia="zh-CN"/>
                    </w:rPr>
                    <w:t>器</w:t>
                  </w:r>
                </w:p>
              </w:tc>
              <w:tc>
                <w:tcPr>
                  <w:tcW w:w="753" w:type="dxa"/>
                  <w:vAlign w:val="center"/>
                </w:tcPr>
                <w:p w14:paraId="76D1A907">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99.7</w:t>
                  </w:r>
                  <w:r>
                    <w:rPr>
                      <w:rFonts w:hint="default" w:ascii="Times New Roman" w:hAnsi="Times New Roman" w:cs="Times New Roman"/>
                      <w:color w:val="auto"/>
                      <w:sz w:val="21"/>
                      <w:szCs w:val="21"/>
                      <w:highlight w:val="none"/>
                      <w:lang w:val="en-US" w:eastAsia="zh-CN"/>
                    </w:rPr>
                    <w:t>%</w:t>
                  </w:r>
                </w:p>
              </w:tc>
            </w:tr>
          </w:tbl>
          <w:p w14:paraId="7E2D98A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①筒仓呼吸孔</w:t>
            </w:r>
          </w:p>
          <w:p w14:paraId="2ED0D8F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本项目水泥、粉煤灰原料均采用筒仓储存，厂区共有</w:t>
            </w:r>
            <w:r>
              <w:rPr>
                <w:rFonts w:hint="eastAsia" w:cs="Times New Roman"/>
                <w:color w:val="auto"/>
                <w:highlight w:val="none"/>
                <w:lang w:val="en-US" w:eastAsia="zh-CN"/>
              </w:rPr>
              <w:t>8</w:t>
            </w:r>
            <w:r>
              <w:rPr>
                <w:rFonts w:hint="default" w:ascii="Times New Roman" w:hAnsi="Times New Roman" w:cs="Times New Roman"/>
                <w:color w:val="auto"/>
                <w:highlight w:val="none"/>
              </w:rPr>
              <w:t>个粉料筒仓（</w:t>
            </w:r>
            <w:r>
              <w:rPr>
                <w:rFonts w:hint="eastAsia" w:cs="Times New Roman"/>
                <w:color w:val="auto"/>
                <w:highlight w:val="none"/>
                <w:lang w:val="en-US" w:eastAsia="zh-CN"/>
              </w:rPr>
              <w:t>4</w:t>
            </w:r>
            <w:r>
              <w:rPr>
                <w:rFonts w:hint="default" w:ascii="Times New Roman" w:hAnsi="Times New Roman" w:cs="Times New Roman"/>
                <w:color w:val="auto"/>
                <w:highlight w:val="none"/>
              </w:rPr>
              <w:t>水泥筒仓，</w:t>
            </w:r>
            <w:r>
              <w:rPr>
                <w:rFonts w:hint="eastAsia" w:cs="Times New Roman"/>
                <w:color w:val="auto"/>
                <w:highlight w:val="none"/>
                <w:lang w:val="en-US" w:eastAsia="zh-CN"/>
              </w:rPr>
              <w:t>4</w:t>
            </w:r>
            <w:r>
              <w:rPr>
                <w:rFonts w:hint="default" w:ascii="Times New Roman" w:hAnsi="Times New Roman" w:cs="Times New Roman"/>
                <w:color w:val="auto"/>
                <w:highlight w:val="none"/>
              </w:rPr>
              <w:t>粉煤灰筒仓）。在往筒仓中输送水泥（粉煤灰）时均经过仓顶除尘器过滤后排放，本项目设置筒仓</w:t>
            </w:r>
            <w:r>
              <w:rPr>
                <w:rFonts w:hint="eastAsia" w:cs="Times New Roman"/>
                <w:color w:val="auto"/>
                <w:highlight w:val="none"/>
                <w:lang w:val="en-US" w:eastAsia="zh-CN"/>
              </w:rPr>
              <w:t>8</w:t>
            </w:r>
            <w:r>
              <w:rPr>
                <w:rFonts w:hint="default" w:ascii="Times New Roman" w:hAnsi="Times New Roman" w:cs="Times New Roman"/>
                <w:color w:val="auto"/>
                <w:highlight w:val="none"/>
              </w:rPr>
              <w:t>个</w:t>
            </w:r>
            <w:r>
              <w:rPr>
                <w:rFonts w:hint="eastAsia" w:cs="Times New Roman"/>
                <w:color w:val="auto"/>
                <w:highlight w:val="none"/>
                <w:lang w:eastAsia="zh-CN"/>
              </w:rPr>
              <w:t>，</w:t>
            </w:r>
            <w:r>
              <w:rPr>
                <w:rFonts w:hint="default" w:ascii="Times New Roman" w:hAnsi="Times New Roman" w:cs="Times New Roman"/>
                <w:color w:val="auto"/>
                <w:highlight w:val="none"/>
              </w:rPr>
              <w:t>配置袋式除尘器安装位置于筒仓仓顶，</w:t>
            </w:r>
            <w:r>
              <w:rPr>
                <w:rFonts w:hint="eastAsia" w:cs="Times New Roman"/>
                <w:bCs/>
                <w:color w:val="auto"/>
                <w:szCs w:val="21"/>
                <w:highlight w:val="none"/>
                <w:lang w:eastAsia="zh-CN"/>
              </w:rPr>
              <w:t>仓顶</w:t>
            </w:r>
            <w:r>
              <w:rPr>
                <w:rFonts w:hint="eastAsia" w:cs="Times New Roman"/>
                <w:bCs/>
                <w:color w:val="auto"/>
                <w:szCs w:val="21"/>
                <w:highlight w:val="none"/>
                <w:lang w:val="en-US" w:eastAsia="zh-CN"/>
              </w:rPr>
              <w:t>高22m，</w:t>
            </w:r>
            <w:r>
              <w:rPr>
                <w:rFonts w:hint="default" w:ascii="Times New Roman" w:hAnsi="Times New Roman" w:cs="Times New Roman"/>
                <w:color w:val="auto"/>
                <w:highlight w:val="none"/>
              </w:rPr>
              <w:t>除尘效率达99.7%。</w:t>
            </w:r>
          </w:p>
          <w:p w14:paraId="2BC249A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本项目粉料筒仓产排污情况见下表。</w:t>
            </w:r>
          </w:p>
          <w:p w14:paraId="6D018734">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w:t>
            </w:r>
            <w:r>
              <w:rPr>
                <w:rFonts w:hint="default" w:ascii="Times New Roman" w:hAnsi="Times New Roman" w:cs="Times New Roman"/>
                <w:color w:val="auto"/>
                <w:highlight w:val="none"/>
                <w:lang w:val="en-US" w:eastAsia="zh-CN"/>
              </w:rPr>
              <w:t xml:space="preserve">4  </w:t>
            </w:r>
            <w:r>
              <w:rPr>
                <w:rFonts w:hint="default" w:ascii="Times New Roman" w:hAnsi="Times New Roman" w:cs="Times New Roman"/>
                <w:color w:val="auto"/>
                <w:highlight w:val="none"/>
              </w:rPr>
              <w:t>筒仓呼吸孔产排污一览表</w:t>
            </w:r>
          </w:p>
          <w:tbl>
            <w:tblPr>
              <w:tblStyle w:val="24"/>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5"/>
              <w:gridCol w:w="1930"/>
              <w:gridCol w:w="1387"/>
              <w:gridCol w:w="1328"/>
              <w:gridCol w:w="1134"/>
              <w:gridCol w:w="1136"/>
            </w:tblGrid>
            <w:tr w14:paraId="21087F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74" w:hRule="atLeast"/>
              </w:trPr>
              <w:tc>
                <w:tcPr>
                  <w:tcW w:w="2825" w:type="dxa"/>
                  <w:gridSpan w:val="2"/>
                  <w:tcBorders>
                    <w:tl2br w:val="nil"/>
                    <w:tr2bl w:val="nil"/>
                  </w:tcBorders>
                  <w:vAlign w:val="center"/>
                </w:tcPr>
                <w:p w14:paraId="1DD17314">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排放源</w:t>
                  </w:r>
                </w:p>
              </w:tc>
              <w:tc>
                <w:tcPr>
                  <w:tcW w:w="4985" w:type="dxa"/>
                  <w:gridSpan w:val="4"/>
                  <w:tcBorders>
                    <w:tl2br w:val="nil"/>
                    <w:tr2bl w:val="nil"/>
                  </w:tcBorders>
                  <w:vAlign w:val="center"/>
                </w:tcPr>
                <w:p w14:paraId="325106F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筒仓</w:t>
                  </w:r>
                </w:p>
              </w:tc>
            </w:tr>
            <w:tr w14:paraId="0BA685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825" w:type="dxa"/>
                  <w:gridSpan w:val="2"/>
                  <w:tcBorders>
                    <w:tl2br w:val="nil"/>
                    <w:tr2bl w:val="nil"/>
                  </w:tcBorders>
                  <w:vAlign w:val="center"/>
                </w:tcPr>
                <w:p w14:paraId="384A7506">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混凝土产量（t/a）</w:t>
                  </w:r>
                </w:p>
              </w:tc>
              <w:tc>
                <w:tcPr>
                  <w:tcW w:w="4985" w:type="dxa"/>
                  <w:gridSpan w:val="4"/>
                  <w:tcBorders>
                    <w:tl2br w:val="nil"/>
                    <w:tr2bl w:val="nil"/>
                  </w:tcBorders>
                  <w:vAlign w:val="center"/>
                </w:tcPr>
                <w:p w14:paraId="19B3DA56">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735000</w:t>
                  </w:r>
                </w:p>
              </w:tc>
            </w:tr>
            <w:tr w14:paraId="5E336F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825" w:type="dxa"/>
                  <w:gridSpan w:val="2"/>
                  <w:tcBorders>
                    <w:tl2br w:val="nil"/>
                    <w:tr2bl w:val="nil"/>
                  </w:tcBorders>
                  <w:vAlign w:val="center"/>
                </w:tcPr>
                <w:p w14:paraId="54D8A6A5">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运行时间（h）</w:t>
                  </w:r>
                </w:p>
              </w:tc>
              <w:tc>
                <w:tcPr>
                  <w:tcW w:w="4985" w:type="dxa"/>
                  <w:gridSpan w:val="4"/>
                  <w:tcBorders>
                    <w:tl2br w:val="nil"/>
                    <w:tr2bl w:val="nil"/>
                  </w:tcBorders>
                  <w:vAlign w:val="center"/>
                </w:tcPr>
                <w:p w14:paraId="024420E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1200</w:t>
                  </w:r>
                </w:p>
              </w:tc>
            </w:tr>
            <w:tr w14:paraId="43FB9F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825" w:type="dxa"/>
                  <w:gridSpan w:val="2"/>
                  <w:tcBorders>
                    <w:tl2br w:val="nil"/>
                    <w:tr2bl w:val="nil"/>
                  </w:tcBorders>
                  <w:vAlign w:val="center"/>
                </w:tcPr>
                <w:p w14:paraId="29810D42">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颗粒物产污系数</w:t>
                  </w:r>
                </w:p>
              </w:tc>
              <w:tc>
                <w:tcPr>
                  <w:tcW w:w="4985" w:type="dxa"/>
                  <w:gridSpan w:val="4"/>
                  <w:tcBorders>
                    <w:tl2br w:val="nil"/>
                    <w:tr2bl w:val="nil"/>
                  </w:tcBorders>
                  <w:vAlign w:val="center"/>
                </w:tcPr>
                <w:p w14:paraId="2FD0B36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0.12kg/t</w:t>
                  </w:r>
                </w:p>
              </w:tc>
            </w:tr>
            <w:tr w14:paraId="3EC1D9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825" w:type="dxa"/>
                  <w:gridSpan w:val="2"/>
                  <w:tcBorders>
                    <w:tl2br w:val="nil"/>
                    <w:tr2bl w:val="nil"/>
                  </w:tcBorders>
                  <w:vAlign w:val="center"/>
                </w:tcPr>
                <w:p w14:paraId="6361E95D">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废气量产污系数（Nm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/t-产品）</w:t>
                  </w:r>
                </w:p>
              </w:tc>
              <w:tc>
                <w:tcPr>
                  <w:tcW w:w="4985" w:type="dxa"/>
                  <w:gridSpan w:val="4"/>
                  <w:tcBorders>
                    <w:tl2br w:val="nil"/>
                    <w:tr2bl w:val="nil"/>
                  </w:tcBorders>
                  <w:vAlign w:val="center"/>
                </w:tcPr>
                <w:p w14:paraId="3EC977D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22.0</w:t>
                  </w:r>
                </w:p>
              </w:tc>
            </w:tr>
            <w:tr w14:paraId="7473B1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825" w:type="dxa"/>
                  <w:gridSpan w:val="2"/>
                  <w:tcBorders>
                    <w:tl2br w:val="nil"/>
                    <w:tr2bl w:val="nil"/>
                  </w:tcBorders>
                  <w:vAlign w:val="center"/>
                </w:tcPr>
                <w:p w14:paraId="6939EB8E">
                  <w:pPr>
                    <w:pStyle w:val="46"/>
                    <w:ind w:firstLine="0" w:firstLineChars="0"/>
                    <w:jc w:val="center"/>
                    <w:rPr>
                      <w:rFonts w:hint="default" w:ascii="Times New Roman" w:hAnsi="Times New Roman" w:cs="Times New Roman"/>
                      <w:b/>
                      <w:bCs/>
                      <w:color w:val="auto"/>
                      <w:sz w:val="21"/>
                      <w:szCs w:val="21"/>
                      <w:highlight w:val="none"/>
                    </w:rPr>
                  </w:pPr>
                  <w:r>
                    <w:rPr>
                      <w:rFonts w:hint="eastAsia" w:cs="Times New Roman"/>
                      <w:b/>
                      <w:bCs/>
                      <w:color w:val="auto"/>
                      <w:highlight w:val="none"/>
                      <w:lang w:eastAsia="zh-CN"/>
                    </w:rPr>
                    <w:t>排放高度（</w:t>
                  </w:r>
                  <w:r>
                    <w:rPr>
                      <w:rFonts w:hint="eastAsia" w:cs="Times New Roman"/>
                      <w:b/>
                      <w:bCs/>
                      <w:color w:val="auto"/>
                      <w:highlight w:val="none"/>
                      <w:lang w:val="en-US" w:eastAsia="zh-CN"/>
                    </w:rPr>
                    <w:t>m</w:t>
                  </w:r>
                  <w:r>
                    <w:rPr>
                      <w:rFonts w:hint="eastAsia" w:cs="Times New Roman"/>
                      <w:b/>
                      <w:bCs/>
                      <w:color w:val="auto"/>
                      <w:highlight w:val="none"/>
                      <w:lang w:eastAsia="zh-CN"/>
                    </w:rPr>
                    <w:t>）</w:t>
                  </w:r>
                </w:p>
              </w:tc>
              <w:tc>
                <w:tcPr>
                  <w:tcW w:w="4985" w:type="dxa"/>
                  <w:gridSpan w:val="4"/>
                  <w:tcBorders>
                    <w:tl2br w:val="nil"/>
                    <w:tr2bl w:val="nil"/>
                  </w:tcBorders>
                  <w:vAlign w:val="center"/>
                </w:tcPr>
                <w:p w14:paraId="4C2A4A73">
                  <w:pPr>
                    <w:pStyle w:val="46"/>
                    <w:ind w:firstLine="0" w:firstLineChars="0"/>
                    <w:jc w:val="center"/>
                    <w:rPr>
                      <w:rFonts w:hint="default" w:ascii="Times New Roman" w:hAnsi="Times New Roman" w:cs="Times New Roman"/>
                      <w:color w:val="auto"/>
                      <w:sz w:val="21"/>
                      <w:szCs w:val="21"/>
                      <w:highlight w:val="none"/>
                      <w:lang w:val="en-US"/>
                    </w:rPr>
                  </w:pPr>
                  <w:r>
                    <w:rPr>
                      <w:rFonts w:hint="eastAsia" w:cs="Times New Roman"/>
                      <w:color w:val="auto"/>
                      <w:highlight w:val="none"/>
                      <w:lang w:val="en-US" w:eastAsia="zh-CN"/>
                    </w:rPr>
                    <w:t>22</w:t>
                  </w:r>
                </w:p>
              </w:tc>
            </w:tr>
            <w:tr w14:paraId="63727B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95" w:type="dxa"/>
                  <w:vMerge w:val="restart"/>
                  <w:tcBorders>
                    <w:tl2br w:val="nil"/>
                    <w:tr2bl w:val="nil"/>
                  </w:tcBorders>
                  <w:vAlign w:val="center"/>
                </w:tcPr>
                <w:p w14:paraId="3125EE55">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粉尘产生情况</w:t>
                  </w:r>
                </w:p>
              </w:tc>
              <w:tc>
                <w:tcPr>
                  <w:tcW w:w="1930" w:type="dxa"/>
                  <w:tcBorders>
                    <w:tl2br w:val="nil"/>
                    <w:tr2bl w:val="nil"/>
                  </w:tcBorders>
                  <w:vAlign w:val="center"/>
                </w:tcPr>
                <w:p w14:paraId="540632C0">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产生量（t/a）</w:t>
                  </w:r>
                </w:p>
              </w:tc>
              <w:tc>
                <w:tcPr>
                  <w:tcW w:w="4985" w:type="dxa"/>
                  <w:gridSpan w:val="4"/>
                  <w:tcBorders>
                    <w:tl2br w:val="nil"/>
                    <w:tr2bl w:val="nil"/>
                  </w:tcBorders>
                  <w:vAlign w:val="center"/>
                </w:tcPr>
                <w:p w14:paraId="183BBC9B">
                  <w:pPr>
                    <w:pStyle w:val="46"/>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88.2</w:t>
                  </w:r>
                </w:p>
              </w:tc>
            </w:tr>
            <w:tr w14:paraId="1955E0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95" w:type="dxa"/>
                  <w:vMerge w:val="continue"/>
                  <w:tcBorders>
                    <w:tl2br w:val="nil"/>
                    <w:tr2bl w:val="nil"/>
                  </w:tcBorders>
                  <w:vAlign w:val="center"/>
                </w:tcPr>
                <w:p w14:paraId="12CF75EC">
                  <w:pPr>
                    <w:pStyle w:val="46"/>
                    <w:jc w:val="center"/>
                    <w:rPr>
                      <w:rFonts w:hint="default" w:ascii="Times New Roman" w:hAnsi="Times New Roman" w:cs="Times New Roman"/>
                      <w:b/>
                      <w:bCs/>
                      <w:color w:val="auto"/>
                      <w:sz w:val="21"/>
                      <w:szCs w:val="21"/>
                      <w:highlight w:val="none"/>
                    </w:rPr>
                  </w:pPr>
                </w:p>
              </w:tc>
              <w:tc>
                <w:tcPr>
                  <w:tcW w:w="1930" w:type="dxa"/>
                  <w:tcBorders>
                    <w:tl2br w:val="nil"/>
                    <w:tr2bl w:val="nil"/>
                  </w:tcBorders>
                  <w:vAlign w:val="center"/>
                </w:tcPr>
                <w:p w14:paraId="1D37CDA9">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产生速率（kg/h）</w:t>
                  </w:r>
                </w:p>
              </w:tc>
              <w:tc>
                <w:tcPr>
                  <w:tcW w:w="4985" w:type="dxa"/>
                  <w:gridSpan w:val="4"/>
                  <w:tcBorders>
                    <w:tl2br w:val="nil"/>
                    <w:tr2bl w:val="nil"/>
                  </w:tcBorders>
                  <w:vAlign w:val="center"/>
                </w:tcPr>
                <w:p w14:paraId="00274C41">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73.5</w:t>
                  </w:r>
                </w:p>
              </w:tc>
            </w:tr>
            <w:tr w14:paraId="50DE9C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95" w:type="dxa"/>
                  <w:vMerge w:val="continue"/>
                  <w:tcBorders>
                    <w:tl2br w:val="nil"/>
                    <w:tr2bl w:val="nil"/>
                  </w:tcBorders>
                  <w:vAlign w:val="center"/>
                </w:tcPr>
                <w:p w14:paraId="5F6F896C">
                  <w:pPr>
                    <w:pStyle w:val="46"/>
                    <w:jc w:val="center"/>
                    <w:rPr>
                      <w:rFonts w:hint="default" w:ascii="Times New Roman" w:hAnsi="Times New Roman" w:cs="Times New Roman"/>
                      <w:b/>
                      <w:bCs/>
                      <w:color w:val="auto"/>
                      <w:sz w:val="21"/>
                      <w:szCs w:val="21"/>
                      <w:highlight w:val="none"/>
                    </w:rPr>
                  </w:pPr>
                </w:p>
              </w:tc>
              <w:tc>
                <w:tcPr>
                  <w:tcW w:w="1930" w:type="dxa"/>
                  <w:tcBorders>
                    <w:tl2br w:val="nil"/>
                    <w:tr2bl w:val="nil"/>
                  </w:tcBorders>
                  <w:vAlign w:val="center"/>
                </w:tcPr>
                <w:p w14:paraId="25C4BED5">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产生浓度（mg/m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c>
              <w:tc>
                <w:tcPr>
                  <w:tcW w:w="1387" w:type="dxa"/>
                  <w:tcBorders>
                    <w:tl2br w:val="nil"/>
                    <w:tr2bl w:val="nil"/>
                  </w:tcBorders>
                  <w:vAlign w:val="center"/>
                </w:tcPr>
                <w:p w14:paraId="47BF5632">
                  <w:pPr>
                    <w:pStyle w:val="46"/>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5454.55</w:t>
                  </w:r>
                </w:p>
              </w:tc>
              <w:tc>
                <w:tcPr>
                  <w:tcW w:w="1328" w:type="dxa"/>
                  <w:tcBorders>
                    <w:tl2br w:val="nil"/>
                    <w:tr2bl w:val="nil"/>
                  </w:tcBorders>
                  <w:vAlign w:val="center"/>
                </w:tcPr>
                <w:p w14:paraId="2CA283B7">
                  <w:pPr>
                    <w:pStyle w:val="46"/>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5454.55</w:t>
                  </w:r>
                </w:p>
              </w:tc>
              <w:tc>
                <w:tcPr>
                  <w:tcW w:w="1134" w:type="dxa"/>
                  <w:tcBorders>
                    <w:tl2br w:val="nil"/>
                    <w:tr2bl w:val="nil"/>
                  </w:tcBorders>
                  <w:vAlign w:val="center"/>
                </w:tcPr>
                <w:p w14:paraId="70E75D84">
                  <w:pPr>
                    <w:pStyle w:val="46"/>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5454.55</w:t>
                  </w:r>
                </w:p>
              </w:tc>
              <w:tc>
                <w:tcPr>
                  <w:tcW w:w="1136" w:type="dxa"/>
                  <w:tcBorders>
                    <w:tl2br w:val="nil"/>
                    <w:tr2bl w:val="nil"/>
                  </w:tcBorders>
                  <w:vAlign w:val="center"/>
                </w:tcPr>
                <w:p w14:paraId="39A9D5B7">
                  <w:pPr>
                    <w:pStyle w:val="46"/>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5454.55</w:t>
                  </w:r>
                </w:p>
              </w:tc>
            </w:tr>
            <w:tr w14:paraId="482E40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825" w:type="dxa"/>
                  <w:gridSpan w:val="2"/>
                  <w:tcBorders>
                    <w:tl2br w:val="nil"/>
                    <w:tr2bl w:val="nil"/>
                  </w:tcBorders>
                  <w:vAlign w:val="center"/>
                </w:tcPr>
                <w:p w14:paraId="636F25D1">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废气量（m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/h）</w:t>
                  </w:r>
                </w:p>
              </w:tc>
              <w:tc>
                <w:tcPr>
                  <w:tcW w:w="4985" w:type="dxa"/>
                  <w:gridSpan w:val="4"/>
                  <w:tcBorders>
                    <w:tl2br w:val="nil"/>
                    <w:tr2bl w:val="nil"/>
                  </w:tcBorders>
                  <w:vAlign w:val="center"/>
                </w:tcPr>
                <w:p w14:paraId="6BEE3D1B">
                  <w:pPr>
                    <w:pStyle w:val="46"/>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16170000</w:t>
                  </w:r>
                </w:p>
              </w:tc>
            </w:tr>
            <w:tr w14:paraId="02D4BE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825" w:type="dxa"/>
                  <w:gridSpan w:val="2"/>
                  <w:tcBorders>
                    <w:tl2br w:val="nil"/>
                    <w:tr2bl w:val="nil"/>
                  </w:tcBorders>
                  <w:vAlign w:val="center"/>
                </w:tcPr>
                <w:p w14:paraId="6712CF40">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除尘效率（%）</w:t>
                  </w:r>
                </w:p>
              </w:tc>
              <w:tc>
                <w:tcPr>
                  <w:tcW w:w="1387" w:type="dxa"/>
                  <w:tcBorders>
                    <w:tl2br w:val="nil"/>
                    <w:tr2bl w:val="nil"/>
                  </w:tcBorders>
                  <w:vAlign w:val="center"/>
                </w:tcPr>
                <w:p w14:paraId="07FB0400">
                  <w:pPr>
                    <w:pStyle w:val="46"/>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99.7</w:t>
                  </w:r>
                </w:p>
              </w:tc>
              <w:tc>
                <w:tcPr>
                  <w:tcW w:w="1328" w:type="dxa"/>
                  <w:tcBorders>
                    <w:tl2br w:val="nil"/>
                    <w:tr2bl w:val="nil"/>
                  </w:tcBorders>
                  <w:vAlign w:val="center"/>
                </w:tcPr>
                <w:p w14:paraId="1EBB9EA9">
                  <w:pPr>
                    <w:pStyle w:val="46"/>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99.7</w:t>
                  </w:r>
                </w:p>
              </w:tc>
              <w:tc>
                <w:tcPr>
                  <w:tcW w:w="1134" w:type="dxa"/>
                  <w:tcBorders>
                    <w:tl2br w:val="nil"/>
                    <w:tr2bl w:val="nil"/>
                  </w:tcBorders>
                  <w:vAlign w:val="center"/>
                </w:tcPr>
                <w:p w14:paraId="43D6F1B3">
                  <w:pPr>
                    <w:pStyle w:val="46"/>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99.7</w:t>
                  </w:r>
                </w:p>
              </w:tc>
              <w:tc>
                <w:tcPr>
                  <w:tcW w:w="1136" w:type="dxa"/>
                  <w:tcBorders>
                    <w:tl2br w:val="nil"/>
                    <w:tr2bl w:val="nil"/>
                  </w:tcBorders>
                  <w:vAlign w:val="center"/>
                </w:tcPr>
                <w:p w14:paraId="266A1F35">
                  <w:pPr>
                    <w:pStyle w:val="46"/>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99.7</w:t>
                  </w:r>
                </w:p>
              </w:tc>
            </w:tr>
            <w:tr w14:paraId="6BA07F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95" w:type="dxa"/>
                  <w:vMerge w:val="restart"/>
                  <w:tcBorders>
                    <w:tl2br w:val="nil"/>
                    <w:tr2bl w:val="nil"/>
                  </w:tcBorders>
                  <w:vAlign w:val="center"/>
                </w:tcPr>
                <w:p w14:paraId="2C128F7D">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粉尘排放情况</w:t>
                  </w:r>
                </w:p>
              </w:tc>
              <w:tc>
                <w:tcPr>
                  <w:tcW w:w="1930" w:type="dxa"/>
                  <w:tcBorders>
                    <w:tl2br w:val="nil"/>
                    <w:tr2bl w:val="nil"/>
                  </w:tcBorders>
                  <w:vAlign w:val="center"/>
                </w:tcPr>
                <w:p w14:paraId="110E3889">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排放量（t/a）</w:t>
                  </w:r>
                </w:p>
              </w:tc>
              <w:tc>
                <w:tcPr>
                  <w:tcW w:w="4985" w:type="dxa"/>
                  <w:gridSpan w:val="4"/>
                  <w:tcBorders>
                    <w:tl2br w:val="nil"/>
                    <w:tr2bl w:val="nil"/>
                  </w:tcBorders>
                  <w:vAlign w:val="center"/>
                </w:tcPr>
                <w:p w14:paraId="7995ECE2">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r>
                    <w:rPr>
                      <w:rFonts w:hint="eastAsia" w:cs="Times New Roman"/>
                      <w:color w:val="auto"/>
                      <w:sz w:val="21"/>
                      <w:szCs w:val="21"/>
                      <w:highlight w:val="none"/>
                      <w:lang w:val="en-US" w:eastAsia="zh-CN"/>
                    </w:rPr>
                    <w:t>26</w:t>
                  </w:r>
                </w:p>
              </w:tc>
            </w:tr>
            <w:tr w14:paraId="54A4A8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5" w:type="dxa"/>
                  <w:vMerge w:val="continue"/>
                  <w:tcBorders>
                    <w:tl2br w:val="nil"/>
                    <w:tr2bl w:val="nil"/>
                  </w:tcBorders>
                  <w:vAlign w:val="center"/>
                </w:tcPr>
                <w:p w14:paraId="16E2EA14">
                  <w:pPr>
                    <w:pStyle w:val="46"/>
                    <w:jc w:val="center"/>
                    <w:rPr>
                      <w:rFonts w:hint="default" w:ascii="Times New Roman" w:hAnsi="Times New Roman" w:cs="Times New Roman"/>
                      <w:b/>
                      <w:bCs/>
                      <w:color w:val="auto"/>
                      <w:sz w:val="21"/>
                      <w:szCs w:val="21"/>
                      <w:highlight w:val="none"/>
                    </w:rPr>
                  </w:pPr>
                </w:p>
              </w:tc>
              <w:tc>
                <w:tcPr>
                  <w:tcW w:w="1930" w:type="dxa"/>
                  <w:tcBorders>
                    <w:tl2br w:val="nil"/>
                    <w:tr2bl w:val="nil"/>
                  </w:tcBorders>
                  <w:vAlign w:val="center"/>
                </w:tcPr>
                <w:p w14:paraId="5DDE94EC">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排放速率（kg/h）</w:t>
                  </w:r>
                </w:p>
              </w:tc>
              <w:tc>
                <w:tcPr>
                  <w:tcW w:w="4985" w:type="dxa"/>
                  <w:gridSpan w:val="4"/>
                  <w:tcBorders>
                    <w:tl2br w:val="nil"/>
                    <w:tr2bl w:val="nil"/>
                  </w:tcBorders>
                  <w:vAlign w:val="center"/>
                </w:tcPr>
                <w:p w14:paraId="68EEED3B">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r>
                    <w:rPr>
                      <w:rFonts w:hint="eastAsia" w:cs="Times New Roman"/>
                      <w:color w:val="auto"/>
                      <w:sz w:val="21"/>
                      <w:szCs w:val="21"/>
                      <w:highlight w:val="none"/>
                      <w:lang w:val="en-US" w:eastAsia="zh-CN"/>
                    </w:rPr>
                    <w:t>22</w:t>
                  </w:r>
                </w:p>
              </w:tc>
            </w:tr>
            <w:tr w14:paraId="2D2983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95" w:type="dxa"/>
                  <w:vMerge w:val="continue"/>
                  <w:tcBorders>
                    <w:tl2br w:val="nil"/>
                    <w:tr2bl w:val="nil"/>
                  </w:tcBorders>
                  <w:vAlign w:val="center"/>
                </w:tcPr>
                <w:p w14:paraId="20ED1AD5">
                  <w:pPr>
                    <w:pStyle w:val="46"/>
                    <w:jc w:val="center"/>
                    <w:rPr>
                      <w:rFonts w:hint="default" w:ascii="Times New Roman" w:hAnsi="Times New Roman" w:cs="Times New Roman"/>
                      <w:b/>
                      <w:bCs/>
                      <w:color w:val="auto"/>
                      <w:sz w:val="21"/>
                      <w:szCs w:val="21"/>
                      <w:highlight w:val="none"/>
                    </w:rPr>
                  </w:pPr>
                </w:p>
              </w:tc>
              <w:tc>
                <w:tcPr>
                  <w:tcW w:w="1930" w:type="dxa"/>
                  <w:tcBorders>
                    <w:tl2br w:val="nil"/>
                    <w:tr2bl w:val="nil"/>
                  </w:tcBorders>
                  <w:vAlign w:val="center"/>
                </w:tcPr>
                <w:p w14:paraId="689C9A89">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排放浓度（mg/m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c>
              <w:tc>
                <w:tcPr>
                  <w:tcW w:w="1387" w:type="dxa"/>
                  <w:tcBorders>
                    <w:tl2br w:val="nil"/>
                    <w:tr2bl w:val="nil"/>
                  </w:tcBorders>
                  <w:vAlign w:val="center"/>
                </w:tcPr>
                <w:p w14:paraId="3C75191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16.36</w:t>
                  </w:r>
                </w:p>
              </w:tc>
              <w:tc>
                <w:tcPr>
                  <w:tcW w:w="1328" w:type="dxa"/>
                  <w:tcBorders>
                    <w:tl2br w:val="nil"/>
                    <w:tr2bl w:val="nil"/>
                  </w:tcBorders>
                  <w:vAlign w:val="center"/>
                </w:tcPr>
                <w:p w14:paraId="3D6B7E3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16.36</w:t>
                  </w:r>
                </w:p>
              </w:tc>
              <w:tc>
                <w:tcPr>
                  <w:tcW w:w="1134" w:type="dxa"/>
                  <w:tcBorders>
                    <w:tl2br w:val="nil"/>
                    <w:tr2bl w:val="nil"/>
                  </w:tcBorders>
                  <w:vAlign w:val="center"/>
                </w:tcPr>
                <w:p w14:paraId="054906A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16.36</w:t>
                  </w:r>
                </w:p>
              </w:tc>
              <w:tc>
                <w:tcPr>
                  <w:tcW w:w="1136" w:type="dxa"/>
                  <w:tcBorders>
                    <w:tl2br w:val="nil"/>
                    <w:tr2bl w:val="nil"/>
                  </w:tcBorders>
                  <w:vAlign w:val="center"/>
                </w:tcPr>
                <w:p w14:paraId="1A8C675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16.36</w:t>
                  </w:r>
                </w:p>
              </w:tc>
            </w:tr>
            <w:tr w14:paraId="422D3B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825" w:type="dxa"/>
                  <w:gridSpan w:val="2"/>
                  <w:tcBorders>
                    <w:tl2br w:val="nil"/>
                    <w:tr2bl w:val="nil"/>
                  </w:tcBorders>
                  <w:vAlign w:val="center"/>
                </w:tcPr>
                <w:p w14:paraId="31E938D2">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排放形式</w:t>
                  </w:r>
                </w:p>
              </w:tc>
              <w:tc>
                <w:tcPr>
                  <w:tcW w:w="4985" w:type="dxa"/>
                  <w:gridSpan w:val="4"/>
                  <w:tcBorders>
                    <w:tl2br w:val="nil"/>
                    <w:tr2bl w:val="nil"/>
                  </w:tcBorders>
                  <w:vAlign w:val="center"/>
                </w:tcPr>
                <w:p w14:paraId="226ECC0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有组织</w:t>
                  </w:r>
                </w:p>
              </w:tc>
            </w:tr>
            <w:tr w14:paraId="030BB6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95" w:type="dxa"/>
                  <w:tcBorders>
                    <w:tl2br w:val="nil"/>
                    <w:tr2bl w:val="nil"/>
                  </w:tcBorders>
                  <w:vAlign w:val="center"/>
                </w:tcPr>
                <w:p w14:paraId="58BE536F">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排放标准</w:t>
                  </w:r>
                </w:p>
              </w:tc>
              <w:tc>
                <w:tcPr>
                  <w:tcW w:w="1930" w:type="dxa"/>
                  <w:tcBorders>
                    <w:tl2br w:val="nil"/>
                    <w:tr2bl w:val="nil"/>
                  </w:tcBorders>
                  <w:vAlign w:val="center"/>
                </w:tcPr>
                <w:p w14:paraId="3B3E6C4D">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排放浓度（mg/m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c>
              <w:tc>
                <w:tcPr>
                  <w:tcW w:w="4985" w:type="dxa"/>
                  <w:gridSpan w:val="4"/>
                  <w:tcBorders>
                    <w:tl2br w:val="nil"/>
                    <w:tr2bl w:val="nil"/>
                  </w:tcBorders>
                  <w:vAlign w:val="center"/>
                </w:tcPr>
                <w:p w14:paraId="5471C8F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r>
          </w:tbl>
          <w:p w14:paraId="7B0D7D7D">
            <w:pPr>
              <w:ind w:firstLine="487" w:firstLineChars="203"/>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项目</w:t>
            </w:r>
            <w:r>
              <w:rPr>
                <w:rFonts w:hint="eastAsia" w:cs="Times New Roman"/>
                <w:bCs/>
                <w:color w:val="auto"/>
                <w:szCs w:val="21"/>
                <w:highlight w:val="none"/>
                <w:lang w:eastAsia="zh-CN"/>
              </w:rPr>
              <w:t>仓顶</w:t>
            </w:r>
            <w:r>
              <w:rPr>
                <w:rFonts w:hint="default" w:ascii="Times New Roman" w:hAnsi="Times New Roman" w:cs="Times New Roman"/>
                <w:bCs/>
                <w:color w:val="auto"/>
                <w:szCs w:val="21"/>
                <w:highlight w:val="none"/>
              </w:rPr>
              <w:t>设置布袋除尘器，除尘后</w:t>
            </w:r>
            <w:r>
              <w:rPr>
                <w:rFonts w:hint="eastAsia" w:cs="Times New Roman"/>
                <w:bCs/>
                <w:color w:val="auto"/>
                <w:szCs w:val="21"/>
                <w:highlight w:val="none"/>
                <w:lang w:eastAsia="zh-CN"/>
              </w:rPr>
              <w:t>经仓顶</w:t>
            </w:r>
            <w:r>
              <w:rPr>
                <w:rFonts w:hint="eastAsia" w:cs="Times New Roman"/>
                <w:bCs/>
                <w:color w:val="auto"/>
                <w:szCs w:val="21"/>
                <w:highlight w:val="none"/>
                <w:lang w:val="en-US" w:eastAsia="zh-CN"/>
              </w:rPr>
              <w:t>22m高</w:t>
            </w:r>
            <w:r>
              <w:rPr>
                <w:rFonts w:hint="eastAsia" w:cs="Times New Roman"/>
                <w:bCs/>
                <w:color w:val="auto"/>
                <w:szCs w:val="21"/>
                <w:highlight w:val="none"/>
                <w:lang w:eastAsia="zh-CN"/>
              </w:rPr>
              <w:t>呼吸孔排放，</w:t>
            </w:r>
            <w:r>
              <w:rPr>
                <w:rFonts w:hint="default" w:ascii="Times New Roman" w:hAnsi="Times New Roman" w:cs="Times New Roman"/>
                <w:bCs/>
                <w:color w:val="auto"/>
                <w:szCs w:val="21"/>
                <w:highlight w:val="none"/>
              </w:rPr>
              <w:t>粉尘排放浓度为</w:t>
            </w:r>
            <w:r>
              <w:rPr>
                <w:rFonts w:hint="default" w:ascii="Times New Roman" w:hAnsi="Times New Roman" w:cs="Times New Roman"/>
                <w:color w:val="auto"/>
                <w:szCs w:val="21"/>
                <w:highlight w:val="none"/>
              </w:rPr>
              <w:t>16.36</w:t>
            </w:r>
            <w:r>
              <w:rPr>
                <w:rFonts w:hint="default" w:ascii="Times New Roman" w:hAnsi="Times New Roman" w:cs="Times New Roman"/>
                <w:bCs/>
                <w:color w:val="auto"/>
                <w:szCs w:val="21"/>
                <w:highlight w:val="none"/>
              </w:rPr>
              <w:t>mg/m</w:t>
            </w:r>
            <w:r>
              <w:rPr>
                <w:rFonts w:hint="default" w:ascii="Times New Roman" w:hAnsi="Times New Roman" w:cs="Times New Roman"/>
                <w:bCs/>
                <w:color w:val="auto"/>
                <w:szCs w:val="21"/>
                <w:highlight w:val="none"/>
                <w:vertAlign w:val="superscript"/>
              </w:rPr>
              <w:t>3</w:t>
            </w:r>
            <w:r>
              <w:rPr>
                <w:rFonts w:hint="default" w:ascii="Times New Roman" w:hAnsi="Times New Roman" w:cs="Times New Roman"/>
                <w:bCs/>
                <w:color w:val="auto"/>
                <w:szCs w:val="21"/>
                <w:highlight w:val="none"/>
              </w:rPr>
              <w:t>，满足《水泥工业大气污染物排放标准》（GB4915-2013）中排放标准。</w:t>
            </w:r>
          </w:p>
          <w:p w14:paraId="0C1CAAE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②搅拌粉尘</w:t>
            </w:r>
          </w:p>
          <w:p w14:paraId="09CB394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粉料（水泥、粉煤灰）由管式螺旋输送机喂入粉料配料仓叠加计量后投入混合机进行混合，搅拌过程中产生粉尘。本项目搅拌机顶部装有袋式除尘器。</w:t>
            </w:r>
            <w:r>
              <w:rPr>
                <w:rFonts w:hint="eastAsia" w:cs="Times New Roman"/>
                <w:color w:val="auto"/>
                <w:highlight w:val="none"/>
                <w:lang w:eastAsia="zh-CN"/>
              </w:rPr>
              <w:t>搅拌机</w:t>
            </w:r>
            <w:r>
              <w:rPr>
                <w:rFonts w:hint="eastAsia" w:cs="Times New Roman"/>
                <w:color w:val="auto"/>
                <w:highlight w:val="none"/>
                <w:lang w:val="en-US" w:eastAsia="zh-CN"/>
              </w:rPr>
              <w:t>设</w:t>
            </w:r>
            <w:r>
              <w:rPr>
                <w:rFonts w:hint="eastAsia" w:cs="Times New Roman"/>
                <w:color w:val="auto"/>
                <w:highlight w:val="none"/>
                <w:lang w:eastAsia="zh-CN"/>
              </w:rPr>
              <w:t>在全封闭搅拌楼内，搅拌楼高</w:t>
            </w:r>
            <w:r>
              <w:rPr>
                <w:rFonts w:hint="eastAsia" w:cs="Times New Roman"/>
                <w:color w:val="auto"/>
                <w:highlight w:val="none"/>
                <w:lang w:val="en-US" w:eastAsia="zh-CN"/>
              </w:rPr>
              <w:t>16m，</w:t>
            </w:r>
            <w:r>
              <w:rPr>
                <w:rFonts w:hint="eastAsia" w:cs="Times New Roman"/>
                <w:color w:val="auto"/>
                <w:highlight w:val="none"/>
                <w:lang w:eastAsia="zh-CN"/>
              </w:rPr>
              <w:t>少量粉尘</w:t>
            </w:r>
            <w:r>
              <w:rPr>
                <w:rFonts w:hint="default" w:ascii="Times New Roman" w:hAnsi="Times New Roman" w:cs="Times New Roman"/>
                <w:color w:val="auto"/>
                <w:highlight w:val="none"/>
              </w:rPr>
              <w:t>经</w:t>
            </w:r>
            <w:r>
              <w:rPr>
                <w:rFonts w:hint="eastAsia" w:cs="Times New Roman"/>
                <w:color w:val="auto"/>
                <w:highlight w:val="none"/>
                <w:lang w:eastAsia="zh-CN"/>
              </w:rPr>
              <w:t>处理</w:t>
            </w:r>
            <w:r>
              <w:rPr>
                <w:rFonts w:hint="eastAsia" w:cs="Times New Roman"/>
                <w:color w:val="auto"/>
                <w:highlight w:val="none"/>
                <w:lang w:val="en-US" w:eastAsia="zh-CN"/>
              </w:rPr>
              <w:t>后</w:t>
            </w:r>
            <w:r>
              <w:rPr>
                <w:rFonts w:hint="eastAsia" w:cs="Times New Roman"/>
                <w:color w:val="auto"/>
                <w:highlight w:val="none"/>
                <w:lang w:eastAsia="zh-CN"/>
              </w:rPr>
              <w:t>在搅拌机排口排放</w:t>
            </w:r>
            <w:r>
              <w:rPr>
                <w:rFonts w:hint="default" w:ascii="Times New Roman" w:hAnsi="Times New Roman" w:cs="Times New Roman"/>
                <w:color w:val="auto"/>
                <w:highlight w:val="none"/>
              </w:rPr>
              <w:t>。建设单位选用袋式除尘器，并加强日常管理，保证除尘器除尘效率达99.7%。</w:t>
            </w:r>
          </w:p>
          <w:p w14:paraId="5983F3F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本项目搅拌机产排污情况见下表。</w:t>
            </w:r>
          </w:p>
          <w:p w14:paraId="2E408A23">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表4-5  搅拌机粉尘污染物产排情况一览表</w:t>
            </w:r>
          </w:p>
          <w:tbl>
            <w:tblPr>
              <w:tblStyle w:val="23"/>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54"/>
              <w:gridCol w:w="147"/>
              <w:gridCol w:w="2106"/>
              <w:gridCol w:w="3603"/>
            </w:tblGrid>
            <w:tr w14:paraId="419879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207" w:type="dxa"/>
                  <w:gridSpan w:val="3"/>
                  <w:vAlign w:val="center"/>
                </w:tcPr>
                <w:p w14:paraId="52B55D35">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产品量（t/a）</w:t>
                  </w:r>
                </w:p>
              </w:tc>
              <w:tc>
                <w:tcPr>
                  <w:tcW w:w="3603" w:type="dxa"/>
                  <w:vAlign w:val="center"/>
                </w:tcPr>
                <w:p w14:paraId="388CFB52">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sz w:val="21"/>
                      <w:szCs w:val="21"/>
                      <w:highlight w:val="none"/>
                      <w:lang w:val="en-US" w:eastAsia="zh-CN"/>
                    </w:rPr>
                    <w:t>735000</w:t>
                  </w:r>
                </w:p>
              </w:tc>
            </w:tr>
            <w:tr w14:paraId="5A4436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207" w:type="dxa"/>
                  <w:gridSpan w:val="3"/>
                  <w:vAlign w:val="center"/>
                </w:tcPr>
                <w:p w14:paraId="7D9B655A">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运行时间（h）</w:t>
                  </w:r>
                </w:p>
              </w:tc>
              <w:tc>
                <w:tcPr>
                  <w:tcW w:w="3603" w:type="dxa"/>
                  <w:vAlign w:val="center"/>
                </w:tcPr>
                <w:p w14:paraId="1305A05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1200</w:t>
                  </w:r>
                </w:p>
              </w:tc>
            </w:tr>
            <w:tr w14:paraId="02BD39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207" w:type="dxa"/>
                  <w:gridSpan w:val="3"/>
                  <w:vAlign w:val="center"/>
                </w:tcPr>
                <w:p w14:paraId="728D7573">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颗粒物产污系数</w:t>
                  </w:r>
                </w:p>
              </w:tc>
              <w:tc>
                <w:tcPr>
                  <w:tcW w:w="3603" w:type="dxa"/>
                  <w:vAlign w:val="center"/>
                </w:tcPr>
                <w:p w14:paraId="66DAC29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0.13kg/t</w:t>
                  </w:r>
                </w:p>
              </w:tc>
            </w:tr>
            <w:tr w14:paraId="0DEBF1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207" w:type="dxa"/>
                  <w:gridSpan w:val="3"/>
                  <w:vAlign w:val="center"/>
                </w:tcPr>
                <w:p w14:paraId="20AB86E8">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废气量产污系数（Nm</w:t>
                  </w:r>
                  <w:r>
                    <w:rPr>
                      <w:rFonts w:hint="default" w:ascii="Times New Roman" w:hAnsi="Times New Roman" w:cs="Times New Roman"/>
                      <w:b/>
                      <w:bCs/>
                      <w:color w:val="auto"/>
                      <w:highlight w:val="none"/>
                      <w:vertAlign w:val="superscript"/>
                    </w:rPr>
                    <w:t>3</w:t>
                  </w:r>
                  <w:r>
                    <w:rPr>
                      <w:rFonts w:hint="default" w:ascii="Times New Roman" w:hAnsi="Times New Roman" w:cs="Times New Roman"/>
                      <w:b/>
                      <w:bCs/>
                      <w:color w:val="auto"/>
                      <w:highlight w:val="none"/>
                    </w:rPr>
                    <w:t>/t-产品）</w:t>
                  </w:r>
                </w:p>
              </w:tc>
              <w:tc>
                <w:tcPr>
                  <w:tcW w:w="3603" w:type="dxa"/>
                  <w:vAlign w:val="center"/>
                </w:tcPr>
                <w:p w14:paraId="356C4D8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25.0</w:t>
                  </w:r>
                </w:p>
              </w:tc>
            </w:tr>
            <w:tr w14:paraId="30C859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954" w:type="dxa"/>
                  <w:vMerge w:val="restart"/>
                  <w:vAlign w:val="center"/>
                </w:tcPr>
                <w:p w14:paraId="4ADF9A26">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粉尘产生情况</w:t>
                  </w:r>
                </w:p>
              </w:tc>
              <w:tc>
                <w:tcPr>
                  <w:tcW w:w="2253" w:type="dxa"/>
                  <w:gridSpan w:val="2"/>
                  <w:vAlign w:val="center"/>
                </w:tcPr>
                <w:p w14:paraId="4F863F8C">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产生量（t/a）</w:t>
                  </w:r>
                </w:p>
              </w:tc>
              <w:tc>
                <w:tcPr>
                  <w:tcW w:w="3603" w:type="dxa"/>
                  <w:vAlign w:val="center"/>
                </w:tcPr>
                <w:p w14:paraId="56CCFB23">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95.55</w:t>
                  </w:r>
                </w:p>
              </w:tc>
            </w:tr>
            <w:tr w14:paraId="688F0F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954" w:type="dxa"/>
                  <w:vMerge w:val="continue"/>
                  <w:vAlign w:val="center"/>
                </w:tcPr>
                <w:p w14:paraId="7EF3D812">
                  <w:pPr>
                    <w:pStyle w:val="46"/>
                    <w:jc w:val="center"/>
                    <w:rPr>
                      <w:rFonts w:hint="default" w:ascii="Times New Roman" w:hAnsi="Times New Roman" w:cs="Times New Roman"/>
                      <w:b/>
                      <w:bCs/>
                      <w:color w:val="auto"/>
                      <w:highlight w:val="none"/>
                    </w:rPr>
                  </w:pPr>
                </w:p>
              </w:tc>
              <w:tc>
                <w:tcPr>
                  <w:tcW w:w="2253" w:type="dxa"/>
                  <w:gridSpan w:val="2"/>
                  <w:vAlign w:val="center"/>
                </w:tcPr>
                <w:p w14:paraId="6C034C51">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产生速率（kg/h）</w:t>
                  </w:r>
                </w:p>
              </w:tc>
              <w:tc>
                <w:tcPr>
                  <w:tcW w:w="3603" w:type="dxa"/>
                  <w:vAlign w:val="center"/>
                </w:tcPr>
                <w:p w14:paraId="6076F2D3">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79.62</w:t>
                  </w:r>
                </w:p>
              </w:tc>
            </w:tr>
            <w:tr w14:paraId="5BA234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954" w:type="dxa"/>
                  <w:vMerge w:val="continue"/>
                  <w:vAlign w:val="center"/>
                </w:tcPr>
                <w:p w14:paraId="1F87C0C4">
                  <w:pPr>
                    <w:pStyle w:val="46"/>
                    <w:jc w:val="center"/>
                    <w:rPr>
                      <w:rFonts w:hint="default" w:ascii="Times New Roman" w:hAnsi="Times New Roman" w:cs="Times New Roman"/>
                      <w:b/>
                      <w:bCs/>
                      <w:color w:val="auto"/>
                      <w:highlight w:val="none"/>
                    </w:rPr>
                  </w:pPr>
                </w:p>
              </w:tc>
              <w:tc>
                <w:tcPr>
                  <w:tcW w:w="2253" w:type="dxa"/>
                  <w:gridSpan w:val="2"/>
                  <w:vAlign w:val="center"/>
                </w:tcPr>
                <w:p w14:paraId="421CB9CC">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产生浓度（mg/m</w:t>
                  </w:r>
                  <w:r>
                    <w:rPr>
                      <w:rFonts w:hint="default" w:ascii="Times New Roman" w:hAnsi="Times New Roman" w:cs="Times New Roman"/>
                      <w:b/>
                      <w:bCs/>
                      <w:color w:val="auto"/>
                      <w:highlight w:val="none"/>
                      <w:vertAlign w:val="superscript"/>
                    </w:rPr>
                    <w:t>3</w:t>
                  </w:r>
                  <w:r>
                    <w:rPr>
                      <w:rFonts w:hint="default" w:ascii="Times New Roman" w:hAnsi="Times New Roman" w:cs="Times New Roman"/>
                      <w:b/>
                      <w:bCs/>
                      <w:color w:val="auto"/>
                      <w:highlight w:val="none"/>
                    </w:rPr>
                    <w:t>）</w:t>
                  </w:r>
                </w:p>
              </w:tc>
              <w:tc>
                <w:tcPr>
                  <w:tcW w:w="3603" w:type="dxa"/>
                  <w:vAlign w:val="center"/>
                </w:tcPr>
                <w:p w14:paraId="41B303B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5200</w:t>
                  </w:r>
                </w:p>
              </w:tc>
            </w:tr>
            <w:tr w14:paraId="5EE2F6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207" w:type="dxa"/>
                  <w:gridSpan w:val="3"/>
                  <w:vAlign w:val="center"/>
                </w:tcPr>
                <w:p w14:paraId="3B217070">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除尘效率（%）</w:t>
                  </w:r>
                </w:p>
              </w:tc>
              <w:tc>
                <w:tcPr>
                  <w:tcW w:w="3603" w:type="dxa"/>
                  <w:vAlign w:val="center"/>
                </w:tcPr>
                <w:p w14:paraId="247FBB5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99.7</w:t>
                  </w:r>
                </w:p>
              </w:tc>
            </w:tr>
            <w:tr w14:paraId="7EDBF6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954" w:type="dxa"/>
                  <w:vMerge w:val="restart"/>
                  <w:vAlign w:val="center"/>
                </w:tcPr>
                <w:p w14:paraId="5A12B96A">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一级除尘粉尘排放情况</w:t>
                  </w:r>
                </w:p>
              </w:tc>
              <w:tc>
                <w:tcPr>
                  <w:tcW w:w="2253" w:type="dxa"/>
                  <w:gridSpan w:val="2"/>
                  <w:vAlign w:val="center"/>
                </w:tcPr>
                <w:p w14:paraId="0B0A468F">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排放量（t/a）</w:t>
                  </w:r>
                </w:p>
              </w:tc>
              <w:tc>
                <w:tcPr>
                  <w:tcW w:w="3603" w:type="dxa"/>
                  <w:vAlign w:val="center"/>
                </w:tcPr>
                <w:p w14:paraId="36A1AA48">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0.</w:t>
                  </w:r>
                  <w:r>
                    <w:rPr>
                      <w:rFonts w:hint="eastAsia" w:cs="Times New Roman"/>
                      <w:color w:val="auto"/>
                      <w:highlight w:val="none"/>
                      <w:lang w:val="en-US" w:eastAsia="zh-CN"/>
                    </w:rPr>
                    <w:t>286</w:t>
                  </w:r>
                </w:p>
              </w:tc>
            </w:tr>
            <w:tr w14:paraId="48C615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954" w:type="dxa"/>
                  <w:vMerge w:val="continue"/>
                  <w:vAlign w:val="center"/>
                </w:tcPr>
                <w:p w14:paraId="5A191C08">
                  <w:pPr>
                    <w:pStyle w:val="46"/>
                    <w:jc w:val="center"/>
                    <w:rPr>
                      <w:rFonts w:hint="default" w:ascii="Times New Roman" w:hAnsi="Times New Roman" w:cs="Times New Roman"/>
                      <w:b/>
                      <w:bCs/>
                      <w:color w:val="auto"/>
                      <w:highlight w:val="none"/>
                    </w:rPr>
                  </w:pPr>
                </w:p>
              </w:tc>
              <w:tc>
                <w:tcPr>
                  <w:tcW w:w="2253" w:type="dxa"/>
                  <w:gridSpan w:val="2"/>
                  <w:vAlign w:val="center"/>
                </w:tcPr>
                <w:p w14:paraId="3CED3295">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排放速率（kg/h）</w:t>
                  </w:r>
                </w:p>
              </w:tc>
              <w:tc>
                <w:tcPr>
                  <w:tcW w:w="3603" w:type="dxa"/>
                  <w:vAlign w:val="center"/>
                </w:tcPr>
                <w:p w14:paraId="79A962C9">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0.</w:t>
                  </w:r>
                  <w:r>
                    <w:rPr>
                      <w:rFonts w:hint="eastAsia" w:cs="Times New Roman"/>
                      <w:color w:val="auto"/>
                      <w:highlight w:val="none"/>
                      <w:lang w:val="en-US" w:eastAsia="zh-CN"/>
                    </w:rPr>
                    <w:t>238</w:t>
                  </w:r>
                </w:p>
              </w:tc>
            </w:tr>
            <w:tr w14:paraId="3FA2FF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954" w:type="dxa"/>
                  <w:vMerge w:val="continue"/>
                  <w:vAlign w:val="center"/>
                </w:tcPr>
                <w:p w14:paraId="0D4DE9F1">
                  <w:pPr>
                    <w:pStyle w:val="46"/>
                    <w:jc w:val="center"/>
                    <w:rPr>
                      <w:rFonts w:hint="default" w:ascii="Times New Roman" w:hAnsi="Times New Roman" w:cs="Times New Roman"/>
                      <w:b/>
                      <w:bCs/>
                      <w:color w:val="auto"/>
                      <w:highlight w:val="none"/>
                    </w:rPr>
                  </w:pPr>
                </w:p>
              </w:tc>
              <w:tc>
                <w:tcPr>
                  <w:tcW w:w="2253" w:type="dxa"/>
                  <w:gridSpan w:val="2"/>
                  <w:vAlign w:val="center"/>
                </w:tcPr>
                <w:p w14:paraId="1DD95B89">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排放浓度（mg/m</w:t>
                  </w:r>
                  <w:r>
                    <w:rPr>
                      <w:rFonts w:hint="default" w:ascii="Times New Roman" w:hAnsi="Times New Roman" w:cs="Times New Roman"/>
                      <w:b/>
                      <w:bCs/>
                      <w:color w:val="auto"/>
                      <w:highlight w:val="none"/>
                      <w:vertAlign w:val="superscript"/>
                    </w:rPr>
                    <w:t>3</w:t>
                  </w:r>
                  <w:r>
                    <w:rPr>
                      <w:rFonts w:hint="default" w:ascii="Times New Roman" w:hAnsi="Times New Roman" w:cs="Times New Roman"/>
                      <w:b/>
                      <w:bCs/>
                      <w:color w:val="auto"/>
                      <w:highlight w:val="none"/>
                    </w:rPr>
                    <w:t>）</w:t>
                  </w:r>
                </w:p>
              </w:tc>
              <w:tc>
                <w:tcPr>
                  <w:tcW w:w="3603" w:type="dxa"/>
                  <w:vAlign w:val="center"/>
                </w:tcPr>
                <w:p w14:paraId="0C11FCF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15.6</w:t>
                  </w:r>
                </w:p>
              </w:tc>
            </w:tr>
            <w:tr w14:paraId="7718D9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207" w:type="dxa"/>
                  <w:gridSpan w:val="3"/>
                  <w:vAlign w:val="center"/>
                </w:tcPr>
                <w:p w14:paraId="01DA683A">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排放形式</w:t>
                  </w:r>
                </w:p>
              </w:tc>
              <w:tc>
                <w:tcPr>
                  <w:tcW w:w="3603" w:type="dxa"/>
                  <w:vAlign w:val="center"/>
                </w:tcPr>
                <w:p w14:paraId="00563343">
                  <w:pPr>
                    <w:pStyle w:val="46"/>
                    <w:jc w:val="center"/>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无组织</w:t>
                  </w:r>
                </w:p>
              </w:tc>
            </w:tr>
            <w:tr w14:paraId="2045DE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101" w:type="dxa"/>
                  <w:gridSpan w:val="2"/>
                  <w:vAlign w:val="center"/>
                </w:tcPr>
                <w:p w14:paraId="1015FEEE">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排放标准</w:t>
                  </w:r>
                </w:p>
              </w:tc>
              <w:tc>
                <w:tcPr>
                  <w:tcW w:w="2106" w:type="dxa"/>
                  <w:vAlign w:val="center"/>
                </w:tcPr>
                <w:p w14:paraId="387E6EFF">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排放浓度（mg/m</w:t>
                  </w:r>
                  <w:r>
                    <w:rPr>
                      <w:rFonts w:hint="default" w:ascii="Times New Roman" w:hAnsi="Times New Roman" w:cs="Times New Roman"/>
                      <w:b/>
                      <w:bCs/>
                      <w:color w:val="auto"/>
                      <w:highlight w:val="none"/>
                      <w:vertAlign w:val="superscript"/>
                    </w:rPr>
                    <w:t>3</w:t>
                  </w:r>
                  <w:r>
                    <w:rPr>
                      <w:rFonts w:hint="default" w:ascii="Times New Roman" w:hAnsi="Times New Roman" w:cs="Times New Roman"/>
                      <w:b/>
                      <w:bCs/>
                      <w:color w:val="auto"/>
                      <w:highlight w:val="none"/>
                    </w:rPr>
                    <w:t>）</w:t>
                  </w:r>
                </w:p>
              </w:tc>
              <w:tc>
                <w:tcPr>
                  <w:tcW w:w="3603" w:type="dxa"/>
                  <w:vAlign w:val="center"/>
                </w:tcPr>
                <w:p w14:paraId="4DD4326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20</w:t>
                  </w:r>
                </w:p>
              </w:tc>
            </w:tr>
          </w:tbl>
          <w:p w14:paraId="205E1E7E">
            <w:pPr>
              <w:ind w:firstLine="480"/>
              <w:rPr>
                <w:rFonts w:hint="default" w:ascii="Times New Roman" w:hAnsi="Times New Roman" w:cs="Times New Roman"/>
                <w:color w:val="auto"/>
                <w:highlight w:val="none"/>
              </w:rPr>
            </w:pPr>
            <w:r>
              <w:rPr>
                <w:rFonts w:hint="eastAsia" w:cs="Times New Roman"/>
                <w:color w:val="auto"/>
                <w:highlight w:val="none"/>
                <w:lang w:eastAsia="zh-CN"/>
              </w:rPr>
              <w:t>搅拌机</w:t>
            </w:r>
            <w:r>
              <w:rPr>
                <w:rFonts w:hint="eastAsia" w:cs="Times New Roman"/>
                <w:color w:val="auto"/>
                <w:highlight w:val="none"/>
                <w:lang w:val="en-US" w:eastAsia="zh-CN"/>
              </w:rPr>
              <w:t>设</w:t>
            </w:r>
            <w:r>
              <w:rPr>
                <w:rFonts w:hint="eastAsia" w:cs="Times New Roman"/>
                <w:color w:val="auto"/>
                <w:highlight w:val="none"/>
                <w:lang w:eastAsia="zh-CN"/>
              </w:rPr>
              <w:t>在全封闭搅拌楼内，少量粉尘</w:t>
            </w:r>
            <w:r>
              <w:rPr>
                <w:rFonts w:hint="default" w:ascii="Times New Roman" w:hAnsi="Times New Roman" w:cs="Times New Roman"/>
                <w:color w:val="auto"/>
                <w:highlight w:val="none"/>
              </w:rPr>
              <w:t>经</w:t>
            </w:r>
            <w:r>
              <w:rPr>
                <w:rFonts w:hint="eastAsia" w:cs="Times New Roman"/>
                <w:color w:val="auto"/>
                <w:highlight w:val="none"/>
                <w:lang w:eastAsia="zh-CN"/>
              </w:rPr>
              <w:t>处理</w:t>
            </w:r>
            <w:r>
              <w:rPr>
                <w:rFonts w:hint="eastAsia" w:cs="Times New Roman"/>
                <w:color w:val="auto"/>
                <w:highlight w:val="none"/>
                <w:lang w:val="en-US" w:eastAsia="zh-CN"/>
              </w:rPr>
              <w:t>后</w:t>
            </w:r>
            <w:r>
              <w:rPr>
                <w:rFonts w:hint="eastAsia" w:cs="Times New Roman"/>
                <w:color w:val="auto"/>
                <w:highlight w:val="none"/>
                <w:lang w:eastAsia="zh-CN"/>
              </w:rPr>
              <w:t>在搅拌机排口排放</w:t>
            </w:r>
            <w:r>
              <w:rPr>
                <w:rFonts w:hint="default" w:ascii="Times New Roman" w:hAnsi="Times New Roman" w:cs="Times New Roman"/>
                <w:color w:val="auto"/>
                <w:highlight w:val="none"/>
              </w:rPr>
              <w:t>，排放浓度为0.0</w:t>
            </w:r>
            <w:r>
              <w:rPr>
                <w:rFonts w:hint="eastAsia" w:cs="Times New Roman"/>
                <w:color w:val="auto"/>
                <w:highlight w:val="none"/>
                <w:lang w:val="en-US" w:eastAsia="zh-CN"/>
              </w:rPr>
              <w:t>39</w:t>
            </w:r>
            <w:r>
              <w:rPr>
                <w:rFonts w:hint="default" w:ascii="Times New Roman" w:hAnsi="Times New Roman" w:cs="Times New Roman"/>
                <w:color w:val="auto"/>
                <w:highlight w:val="none"/>
              </w:rPr>
              <w:t>mg/m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，满足《水泥工业大气污染物排放标准》（GB4915-2013）中排放标准。</w:t>
            </w:r>
          </w:p>
          <w:p w14:paraId="1A496450">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4</w:t>
            </w:r>
            <w:r>
              <w:rPr>
                <w:rFonts w:hint="default" w:ascii="Times New Roman" w:hAnsi="Times New Roman" w:cs="Times New Roman"/>
                <w:b/>
                <w:bCs/>
                <w:color w:val="auto"/>
                <w:highlight w:val="none"/>
                <w:lang w:val="en-US" w:eastAsia="zh-CN"/>
              </w:rPr>
              <w:t>.</w:t>
            </w:r>
            <w:r>
              <w:rPr>
                <w:rFonts w:hint="default" w:ascii="Times New Roman" w:hAnsi="Times New Roman" w:cs="Times New Roman"/>
                <w:b/>
                <w:bCs/>
                <w:color w:val="auto"/>
                <w:highlight w:val="none"/>
              </w:rPr>
              <w:t>大气污染物产排及治理情况汇总</w:t>
            </w:r>
          </w:p>
          <w:p w14:paraId="35DA3356">
            <w:pPr>
              <w:ind w:firstLine="480"/>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w:t>
            </w:r>
            <w:r>
              <w:rPr>
                <w:rFonts w:hint="eastAsia" w:cs="Times New Roman"/>
                <w:color w:val="auto"/>
                <w:highlight w:val="none"/>
                <w:lang w:val="en-US" w:eastAsia="zh-CN"/>
              </w:rPr>
              <w:t>1</w:t>
            </w:r>
            <w:r>
              <w:rPr>
                <w:rFonts w:hint="eastAsia" w:cs="Times New Roman"/>
                <w:color w:val="auto"/>
                <w:highlight w:val="none"/>
                <w:lang w:eastAsia="zh-CN"/>
              </w:rPr>
              <w:t>）正常工况</w:t>
            </w:r>
          </w:p>
          <w:p w14:paraId="6B8DC4F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本项目大气污染源产排</w:t>
            </w:r>
            <w:r>
              <w:rPr>
                <w:rFonts w:hint="default" w:ascii="Times New Roman" w:hAnsi="Times New Roman" w:cs="Times New Roman"/>
                <w:color w:val="auto"/>
                <w:highlight w:val="none"/>
                <w:lang w:eastAsia="zh-CN"/>
              </w:rPr>
              <w:t>及</w:t>
            </w:r>
            <w:r>
              <w:rPr>
                <w:rFonts w:hint="default" w:ascii="Times New Roman" w:hAnsi="Times New Roman" w:cs="Times New Roman"/>
                <w:color w:val="auto"/>
                <w:highlight w:val="none"/>
              </w:rPr>
              <w:t>治理情况汇总见下表。</w:t>
            </w:r>
          </w:p>
          <w:p w14:paraId="54957EEB">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表4-6  大气污染物产生、排放、治理情况汇总表</w:t>
            </w:r>
          </w:p>
          <w:tbl>
            <w:tblPr>
              <w:tblStyle w:val="23"/>
              <w:tblW w:w="8083" w:type="dxa"/>
              <w:tblInd w:w="-15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17"/>
              <w:gridCol w:w="564"/>
              <w:gridCol w:w="763"/>
              <w:gridCol w:w="3"/>
              <w:gridCol w:w="787"/>
              <w:gridCol w:w="775"/>
              <w:gridCol w:w="585"/>
              <w:gridCol w:w="2"/>
              <w:gridCol w:w="1456"/>
              <w:gridCol w:w="2"/>
              <w:gridCol w:w="693"/>
              <w:gridCol w:w="9"/>
              <w:gridCol w:w="508"/>
              <w:gridCol w:w="2"/>
              <w:gridCol w:w="1032"/>
              <w:gridCol w:w="2"/>
              <w:gridCol w:w="83"/>
            </w:tblGrid>
            <w:tr w14:paraId="4C11DB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gridAfter w:val="1"/>
                <w:wAfter w:w="83" w:type="dxa"/>
                <w:trHeight w:val="374" w:hRule="atLeast"/>
              </w:trPr>
              <w:tc>
                <w:tcPr>
                  <w:tcW w:w="817" w:type="dxa"/>
                  <w:vMerge w:val="restart"/>
                  <w:tcMar>
                    <w:left w:w="28" w:type="dxa"/>
                    <w:right w:w="28" w:type="dxa"/>
                  </w:tcMar>
                  <w:vAlign w:val="center"/>
                </w:tcPr>
                <w:p w14:paraId="6BEC55C6">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污染源</w:t>
                  </w:r>
                </w:p>
              </w:tc>
              <w:tc>
                <w:tcPr>
                  <w:tcW w:w="564" w:type="dxa"/>
                  <w:vMerge w:val="restart"/>
                  <w:tcMar>
                    <w:left w:w="28" w:type="dxa"/>
                    <w:right w:w="28" w:type="dxa"/>
                  </w:tcMar>
                  <w:vAlign w:val="center"/>
                </w:tcPr>
                <w:p w14:paraId="1DC8D4DF">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排放方式</w:t>
                  </w:r>
                </w:p>
              </w:tc>
              <w:tc>
                <w:tcPr>
                  <w:tcW w:w="763" w:type="dxa"/>
                  <w:vMerge w:val="restart"/>
                  <w:tcMar>
                    <w:left w:w="28" w:type="dxa"/>
                    <w:right w:w="28" w:type="dxa"/>
                  </w:tcMar>
                  <w:vAlign w:val="center"/>
                </w:tcPr>
                <w:p w14:paraId="023F85DA">
                  <w:pPr>
                    <w:pStyle w:val="46"/>
                    <w:jc w:val="center"/>
                    <w:rPr>
                      <w:rFonts w:hint="eastAsia" w:ascii="Times New Roman" w:hAnsi="Times New Roman" w:eastAsia="宋体" w:cs="Times New Roman"/>
                      <w:b/>
                      <w:bCs/>
                      <w:color w:val="auto"/>
                      <w:sz w:val="21"/>
                      <w:szCs w:val="21"/>
                      <w:highlight w:val="none"/>
                      <w:lang w:eastAsia="zh-CN"/>
                    </w:rPr>
                  </w:pPr>
                  <w:r>
                    <w:rPr>
                      <w:rFonts w:hint="eastAsia" w:cs="Times New Roman"/>
                      <w:b/>
                      <w:bCs/>
                      <w:color w:val="auto"/>
                      <w:sz w:val="21"/>
                      <w:szCs w:val="21"/>
                      <w:highlight w:val="none"/>
                      <w:lang w:eastAsia="zh-CN"/>
                    </w:rPr>
                    <w:t>排放口编号</w:t>
                  </w:r>
                </w:p>
              </w:tc>
              <w:tc>
                <w:tcPr>
                  <w:tcW w:w="790" w:type="dxa"/>
                  <w:gridSpan w:val="2"/>
                  <w:vMerge w:val="restart"/>
                  <w:tcMar>
                    <w:left w:w="28" w:type="dxa"/>
                    <w:right w:w="28" w:type="dxa"/>
                  </w:tcMar>
                  <w:vAlign w:val="center"/>
                </w:tcPr>
                <w:p w14:paraId="1961FB28">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污染因子</w:t>
                  </w:r>
                </w:p>
              </w:tc>
              <w:tc>
                <w:tcPr>
                  <w:tcW w:w="1362" w:type="dxa"/>
                  <w:gridSpan w:val="3"/>
                  <w:tcMar>
                    <w:left w:w="28" w:type="dxa"/>
                    <w:right w:w="28" w:type="dxa"/>
                  </w:tcMar>
                  <w:vAlign w:val="center"/>
                </w:tcPr>
                <w:p w14:paraId="70F0F6DF">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污染物产生情况</w:t>
                  </w:r>
                </w:p>
              </w:tc>
              <w:tc>
                <w:tcPr>
                  <w:tcW w:w="1458" w:type="dxa"/>
                  <w:gridSpan w:val="2"/>
                  <w:tcMar>
                    <w:left w:w="28" w:type="dxa"/>
                    <w:right w:w="28" w:type="dxa"/>
                  </w:tcMar>
                  <w:vAlign w:val="center"/>
                </w:tcPr>
                <w:p w14:paraId="4F5EC456">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治理措施</w:t>
                  </w:r>
                </w:p>
              </w:tc>
              <w:tc>
                <w:tcPr>
                  <w:tcW w:w="1212" w:type="dxa"/>
                  <w:gridSpan w:val="4"/>
                  <w:tcMar>
                    <w:left w:w="28" w:type="dxa"/>
                    <w:right w:w="28" w:type="dxa"/>
                  </w:tcMar>
                  <w:vAlign w:val="center"/>
                </w:tcPr>
                <w:p w14:paraId="4C28EA89">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污染物排放情况</w:t>
                  </w:r>
                </w:p>
              </w:tc>
              <w:tc>
                <w:tcPr>
                  <w:tcW w:w="1034" w:type="dxa"/>
                  <w:gridSpan w:val="2"/>
                  <w:tcMar>
                    <w:left w:w="28" w:type="dxa"/>
                    <w:right w:w="28" w:type="dxa"/>
                  </w:tcMar>
                  <w:vAlign w:val="center"/>
                </w:tcPr>
                <w:p w14:paraId="0AC02FDC">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达标情况</w:t>
                  </w:r>
                </w:p>
              </w:tc>
            </w:tr>
            <w:tr w14:paraId="5A2FDE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gridAfter w:val="2"/>
                <w:wAfter w:w="85" w:type="dxa"/>
                <w:trHeight w:val="374" w:hRule="atLeast"/>
              </w:trPr>
              <w:tc>
                <w:tcPr>
                  <w:tcW w:w="817" w:type="dxa"/>
                  <w:vMerge w:val="continue"/>
                  <w:tcMar>
                    <w:left w:w="28" w:type="dxa"/>
                    <w:right w:w="28" w:type="dxa"/>
                  </w:tcMar>
                  <w:vAlign w:val="center"/>
                </w:tcPr>
                <w:p w14:paraId="048CEB4C">
                  <w:pPr>
                    <w:pStyle w:val="46"/>
                    <w:jc w:val="center"/>
                    <w:rPr>
                      <w:rFonts w:hint="default" w:ascii="Times New Roman" w:hAnsi="Times New Roman" w:cs="Times New Roman"/>
                      <w:color w:val="auto"/>
                      <w:sz w:val="21"/>
                      <w:szCs w:val="21"/>
                      <w:highlight w:val="none"/>
                    </w:rPr>
                  </w:pPr>
                </w:p>
              </w:tc>
              <w:tc>
                <w:tcPr>
                  <w:tcW w:w="564" w:type="dxa"/>
                  <w:vMerge w:val="continue"/>
                  <w:tcMar>
                    <w:left w:w="28" w:type="dxa"/>
                    <w:right w:w="28" w:type="dxa"/>
                  </w:tcMar>
                  <w:vAlign w:val="center"/>
                </w:tcPr>
                <w:p w14:paraId="6751AF67">
                  <w:pPr>
                    <w:pStyle w:val="46"/>
                    <w:jc w:val="center"/>
                    <w:rPr>
                      <w:rFonts w:hint="default" w:ascii="Times New Roman" w:hAnsi="Times New Roman" w:cs="Times New Roman"/>
                      <w:color w:val="auto"/>
                      <w:sz w:val="21"/>
                      <w:szCs w:val="21"/>
                      <w:highlight w:val="none"/>
                    </w:rPr>
                  </w:pPr>
                </w:p>
              </w:tc>
              <w:tc>
                <w:tcPr>
                  <w:tcW w:w="763" w:type="dxa"/>
                  <w:vMerge w:val="continue"/>
                  <w:tcMar>
                    <w:left w:w="28" w:type="dxa"/>
                    <w:right w:w="28" w:type="dxa"/>
                  </w:tcMar>
                  <w:vAlign w:val="center"/>
                </w:tcPr>
                <w:p w14:paraId="6A341165">
                  <w:pPr>
                    <w:pStyle w:val="46"/>
                    <w:jc w:val="center"/>
                    <w:rPr>
                      <w:rFonts w:hint="default" w:ascii="Times New Roman" w:hAnsi="Times New Roman" w:cs="Times New Roman"/>
                      <w:color w:val="auto"/>
                      <w:sz w:val="21"/>
                      <w:szCs w:val="21"/>
                      <w:highlight w:val="none"/>
                    </w:rPr>
                  </w:pPr>
                </w:p>
              </w:tc>
              <w:tc>
                <w:tcPr>
                  <w:tcW w:w="790" w:type="dxa"/>
                  <w:gridSpan w:val="2"/>
                  <w:vMerge w:val="continue"/>
                  <w:tcMar>
                    <w:left w:w="28" w:type="dxa"/>
                    <w:right w:w="28" w:type="dxa"/>
                  </w:tcMar>
                  <w:vAlign w:val="center"/>
                </w:tcPr>
                <w:p w14:paraId="517F287A">
                  <w:pPr>
                    <w:pStyle w:val="46"/>
                    <w:jc w:val="center"/>
                    <w:rPr>
                      <w:rFonts w:hint="default" w:ascii="Times New Roman" w:hAnsi="Times New Roman" w:cs="Times New Roman"/>
                      <w:color w:val="auto"/>
                      <w:sz w:val="21"/>
                      <w:szCs w:val="21"/>
                      <w:highlight w:val="none"/>
                    </w:rPr>
                  </w:pPr>
                </w:p>
              </w:tc>
              <w:tc>
                <w:tcPr>
                  <w:tcW w:w="775" w:type="dxa"/>
                  <w:tcMar>
                    <w:left w:w="28" w:type="dxa"/>
                    <w:right w:w="28" w:type="dxa"/>
                  </w:tcMar>
                  <w:vAlign w:val="center"/>
                </w:tcPr>
                <w:p w14:paraId="2B80FC55">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mg/m</w:t>
                  </w:r>
                  <w:r>
                    <w:rPr>
                      <w:rFonts w:hint="default" w:ascii="Times New Roman" w:hAnsi="Times New Roman" w:cs="Times New Roman"/>
                      <w:b/>
                      <w:bCs/>
                      <w:color w:val="auto"/>
                      <w:sz w:val="21"/>
                      <w:szCs w:val="21"/>
                      <w:highlight w:val="none"/>
                      <w:vertAlign w:val="superscript"/>
                    </w:rPr>
                    <w:t>3</w:t>
                  </w:r>
                </w:p>
              </w:tc>
              <w:tc>
                <w:tcPr>
                  <w:tcW w:w="585" w:type="dxa"/>
                  <w:tcMar>
                    <w:left w:w="28" w:type="dxa"/>
                    <w:right w:w="28" w:type="dxa"/>
                  </w:tcMar>
                  <w:vAlign w:val="center"/>
                </w:tcPr>
                <w:p w14:paraId="6CB2271F">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t/a</w:t>
                  </w:r>
                </w:p>
              </w:tc>
              <w:tc>
                <w:tcPr>
                  <w:tcW w:w="1458" w:type="dxa"/>
                  <w:gridSpan w:val="2"/>
                  <w:tcMar>
                    <w:left w:w="28" w:type="dxa"/>
                    <w:right w:w="28" w:type="dxa"/>
                  </w:tcMar>
                  <w:vAlign w:val="center"/>
                </w:tcPr>
                <w:p w14:paraId="75ED2DD5">
                  <w:pPr>
                    <w:pStyle w:val="46"/>
                    <w:jc w:val="center"/>
                    <w:rPr>
                      <w:rFonts w:hint="default" w:ascii="Times New Roman" w:hAnsi="Times New Roman" w:cs="Times New Roman"/>
                      <w:b/>
                      <w:bCs/>
                      <w:color w:val="auto"/>
                      <w:sz w:val="21"/>
                      <w:szCs w:val="21"/>
                      <w:highlight w:val="none"/>
                    </w:rPr>
                  </w:pPr>
                </w:p>
              </w:tc>
              <w:tc>
                <w:tcPr>
                  <w:tcW w:w="695" w:type="dxa"/>
                  <w:gridSpan w:val="2"/>
                  <w:tcMar>
                    <w:left w:w="28" w:type="dxa"/>
                    <w:right w:w="28" w:type="dxa"/>
                  </w:tcMar>
                  <w:vAlign w:val="center"/>
                </w:tcPr>
                <w:p w14:paraId="02388E35">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mg/m</w:t>
                  </w:r>
                  <w:r>
                    <w:rPr>
                      <w:rFonts w:hint="default" w:ascii="Times New Roman" w:hAnsi="Times New Roman" w:cs="Times New Roman"/>
                      <w:b/>
                      <w:bCs/>
                      <w:color w:val="auto"/>
                      <w:sz w:val="21"/>
                      <w:szCs w:val="21"/>
                      <w:highlight w:val="none"/>
                      <w:vertAlign w:val="superscript"/>
                    </w:rPr>
                    <w:t>3</w:t>
                  </w:r>
                </w:p>
              </w:tc>
              <w:tc>
                <w:tcPr>
                  <w:tcW w:w="517" w:type="dxa"/>
                  <w:gridSpan w:val="2"/>
                  <w:tcMar>
                    <w:left w:w="28" w:type="dxa"/>
                    <w:right w:w="28" w:type="dxa"/>
                  </w:tcMar>
                  <w:vAlign w:val="center"/>
                </w:tcPr>
                <w:p w14:paraId="05C26AA2">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t/a</w:t>
                  </w:r>
                </w:p>
              </w:tc>
              <w:tc>
                <w:tcPr>
                  <w:tcW w:w="1034" w:type="dxa"/>
                  <w:gridSpan w:val="2"/>
                  <w:tcMar>
                    <w:left w:w="28" w:type="dxa"/>
                    <w:right w:w="28" w:type="dxa"/>
                  </w:tcMar>
                  <w:vAlign w:val="center"/>
                </w:tcPr>
                <w:p w14:paraId="47B6A389">
                  <w:pPr>
                    <w:pStyle w:val="46"/>
                    <w:jc w:val="center"/>
                    <w:rPr>
                      <w:rFonts w:hint="default" w:ascii="Times New Roman" w:hAnsi="Times New Roman" w:cs="Times New Roman"/>
                      <w:color w:val="auto"/>
                      <w:sz w:val="21"/>
                      <w:szCs w:val="21"/>
                      <w:highlight w:val="none"/>
                    </w:rPr>
                  </w:pPr>
                </w:p>
              </w:tc>
            </w:tr>
            <w:tr w14:paraId="50A32F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gridAfter w:val="2"/>
                <w:wAfter w:w="85" w:type="dxa"/>
                <w:trHeight w:val="374" w:hRule="atLeast"/>
              </w:trPr>
              <w:tc>
                <w:tcPr>
                  <w:tcW w:w="817" w:type="dxa"/>
                  <w:tcMar>
                    <w:left w:w="28" w:type="dxa"/>
                    <w:right w:w="28" w:type="dxa"/>
                  </w:tcMar>
                  <w:vAlign w:val="center"/>
                </w:tcPr>
                <w:p w14:paraId="0F5E892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运输车辆</w:t>
                  </w:r>
                </w:p>
              </w:tc>
              <w:tc>
                <w:tcPr>
                  <w:tcW w:w="564" w:type="dxa"/>
                  <w:tcMar>
                    <w:left w:w="28" w:type="dxa"/>
                    <w:right w:w="28" w:type="dxa"/>
                  </w:tcMar>
                  <w:vAlign w:val="center"/>
                </w:tcPr>
                <w:p w14:paraId="5B0AA68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无组织</w:t>
                  </w:r>
                </w:p>
              </w:tc>
              <w:tc>
                <w:tcPr>
                  <w:tcW w:w="763" w:type="dxa"/>
                  <w:tcMar>
                    <w:left w:w="28" w:type="dxa"/>
                    <w:right w:w="28" w:type="dxa"/>
                  </w:tcMar>
                  <w:vAlign w:val="center"/>
                </w:tcPr>
                <w:p w14:paraId="4BFCEB46">
                  <w:pPr>
                    <w:pStyle w:val="46"/>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790" w:type="dxa"/>
                  <w:gridSpan w:val="2"/>
                  <w:tcMar>
                    <w:left w:w="28" w:type="dxa"/>
                    <w:right w:w="28" w:type="dxa"/>
                  </w:tcMar>
                  <w:vAlign w:val="center"/>
                </w:tcPr>
                <w:p w14:paraId="7E1CD56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775" w:type="dxa"/>
                  <w:tcMar>
                    <w:left w:w="28" w:type="dxa"/>
                    <w:right w:w="28" w:type="dxa"/>
                  </w:tcMar>
                  <w:vAlign w:val="center"/>
                </w:tcPr>
                <w:p w14:paraId="3E7CD0D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585" w:type="dxa"/>
                  <w:tcMar>
                    <w:left w:w="28" w:type="dxa"/>
                    <w:right w:w="28" w:type="dxa"/>
                  </w:tcMar>
                  <w:vAlign w:val="center"/>
                </w:tcPr>
                <w:p w14:paraId="138610DD">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0.85</w:t>
                  </w:r>
                </w:p>
              </w:tc>
              <w:tc>
                <w:tcPr>
                  <w:tcW w:w="1458" w:type="dxa"/>
                  <w:gridSpan w:val="2"/>
                  <w:tcMar>
                    <w:left w:w="28" w:type="dxa"/>
                    <w:right w:w="28" w:type="dxa"/>
                  </w:tcMar>
                  <w:vAlign w:val="center"/>
                </w:tcPr>
                <w:p w14:paraId="670A003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路面清扫+洒水</w:t>
                  </w:r>
                </w:p>
              </w:tc>
              <w:tc>
                <w:tcPr>
                  <w:tcW w:w="695" w:type="dxa"/>
                  <w:gridSpan w:val="2"/>
                  <w:tcMar>
                    <w:left w:w="28" w:type="dxa"/>
                    <w:right w:w="28" w:type="dxa"/>
                  </w:tcMar>
                  <w:vAlign w:val="center"/>
                </w:tcPr>
                <w:p w14:paraId="3E113C7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517" w:type="dxa"/>
                  <w:gridSpan w:val="2"/>
                  <w:tcMar>
                    <w:left w:w="28" w:type="dxa"/>
                    <w:right w:w="28" w:type="dxa"/>
                  </w:tcMar>
                  <w:vAlign w:val="center"/>
                </w:tcPr>
                <w:p w14:paraId="646E4EBC">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7.28</w:t>
                  </w:r>
                </w:p>
              </w:tc>
              <w:tc>
                <w:tcPr>
                  <w:tcW w:w="1034" w:type="dxa"/>
                  <w:gridSpan w:val="2"/>
                  <w:vMerge w:val="restart"/>
                  <w:tcMar>
                    <w:left w:w="28" w:type="dxa"/>
                    <w:right w:w="28" w:type="dxa"/>
                  </w:tcMar>
                  <w:vAlign w:val="center"/>
                </w:tcPr>
                <w:p w14:paraId="0ADC4AC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《水泥工业大气污染物排放标准》（GB4915-2013）表3标准限值要求，颗粒物0.5mg/m</w:t>
                  </w:r>
                  <w:r>
                    <w:rPr>
                      <w:rFonts w:hint="default" w:ascii="Times New Roman" w:hAnsi="Times New Roman" w:cs="Times New Roman"/>
                      <w:color w:val="auto"/>
                      <w:sz w:val="21"/>
                      <w:szCs w:val="21"/>
                      <w:highlight w:val="none"/>
                      <w:vertAlign w:val="superscript"/>
                    </w:rPr>
                    <w:t>3</w:t>
                  </w:r>
                </w:p>
              </w:tc>
            </w:tr>
            <w:tr w14:paraId="1392CE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gridAfter w:val="2"/>
                <w:wAfter w:w="85" w:type="dxa"/>
                <w:trHeight w:val="374" w:hRule="atLeast"/>
              </w:trPr>
              <w:tc>
                <w:tcPr>
                  <w:tcW w:w="817" w:type="dxa"/>
                  <w:tcMar>
                    <w:left w:w="28" w:type="dxa"/>
                    <w:right w:w="28" w:type="dxa"/>
                  </w:tcMar>
                  <w:vAlign w:val="center"/>
                </w:tcPr>
                <w:p w14:paraId="148B283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砂石装卸、堆放</w:t>
                  </w:r>
                </w:p>
              </w:tc>
              <w:tc>
                <w:tcPr>
                  <w:tcW w:w="564" w:type="dxa"/>
                  <w:tcMar>
                    <w:left w:w="28" w:type="dxa"/>
                    <w:right w:w="28" w:type="dxa"/>
                  </w:tcMar>
                  <w:vAlign w:val="center"/>
                </w:tcPr>
                <w:p w14:paraId="5BF1BE4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无组织</w:t>
                  </w:r>
                </w:p>
              </w:tc>
              <w:tc>
                <w:tcPr>
                  <w:tcW w:w="763" w:type="dxa"/>
                  <w:tcMar>
                    <w:left w:w="28" w:type="dxa"/>
                    <w:right w:w="28" w:type="dxa"/>
                  </w:tcMar>
                  <w:vAlign w:val="center"/>
                </w:tcPr>
                <w:p w14:paraId="0B5C53EE">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c>
                <w:tcPr>
                  <w:tcW w:w="790" w:type="dxa"/>
                  <w:gridSpan w:val="2"/>
                  <w:tcMar>
                    <w:left w:w="28" w:type="dxa"/>
                    <w:right w:w="28" w:type="dxa"/>
                  </w:tcMar>
                  <w:vAlign w:val="center"/>
                </w:tcPr>
                <w:p w14:paraId="5DC649C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775" w:type="dxa"/>
                  <w:tcMar>
                    <w:left w:w="28" w:type="dxa"/>
                    <w:right w:w="28" w:type="dxa"/>
                  </w:tcMar>
                  <w:vAlign w:val="center"/>
                </w:tcPr>
                <w:p w14:paraId="78961B6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585" w:type="dxa"/>
                  <w:tcMar>
                    <w:left w:w="28" w:type="dxa"/>
                    <w:right w:w="28" w:type="dxa"/>
                  </w:tcMar>
                  <w:vAlign w:val="center"/>
                </w:tcPr>
                <w:p w14:paraId="737B43DE">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573</w:t>
                  </w:r>
                </w:p>
              </w:tc>
              <w:tc>
                <w:tcPr>
                  <w:tcW w:w="1458" w:type="dxa"/>
                  <w:gridSpan w:val="2"/>
                  <w:tcMar>
                    <w:left w:w="28" w:type="dxa"/>
                    <w:right w:w="28" w:type="dxa"/>
                  </w:tcMar>
                  <w:vAlign w:val="center"/>
                </w:tcPr>
                <w:p w14:paraId="58D40BA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密闭厂房+洒水抑尘</w:t>
                  </w:r>
                </w:p>
              </w:tc>
              <w:tc>
                <w:tcPr>
                  <w:tcW w:w="695" w:type="dxa"/>
                  <w:gridSpan w:val="2"/>
                  <w:tcMar>
                    <w:left w:w="28" w:type="dxa"/>
                    <w:right w:w="28" w:type="dxa"/>
                  </w:tcMar>
                  <w:vAlign w:val="center"/>
                </w:tcPr>
                <w:p w14:paraId="4DA924D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517" w:type="dxa"/>
                  <w:gridSpan w:val="2"/>
                  <w:tcMar>
                    <w:left w:w="28" w:type="dxa"/>
                    <w:right w:w="28" w:type="dxa"/>
                  </w:tcMar>
                  <w:vAlign w:val="center"/>
                </w:tcPr>
                <w:p w14:paraId="336FF8EA">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14.9</w:t>
                  </w:r>
                </w:p>
              </w:tc>
              <w:tc>
                <w:tcPr>
                  <w:tcW w:w="1034" w:type="dxa"/>
                  <w:gridSpan w:val="2"/>
                  <w:vMerge w:val="continue"/>
                  <w:tcMar>
                    <w:left w:w="28" w:type="dxa"/>
                    <w:right w:w="28" w:type="dxa"/>
                  </w:tcMar>
                  <w:vAlign w:val="center"/>
                </w:tcPr>
                <w:p w14:paraId="6579B267">
                  <w:pPr>
                    <w:pStyle w:val="46"/>
                    <w:jc w:val="center"/>
                    <w:rPr>
                      <w:rFonts w:hint="default" w:ascii="Times New Roman" w:hAnsi="Times New Roman" w:cs="Times New Roman"/>
                      <w:color w:val="auto"/>
                      <w:sz w:val="21"/>
                      <w:szCs w:val="21"/>
                      <w:highlight w:val="none"/>
                    </w:rPr>
                  </w:pPr>
                </w:p>
              </w:tc>
            </w:tr>
            <w:tr w14:paraId="799B14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gridAfter w:val="2"/>
                <w:wAfter w:w="85" w:type="dxa"/>
                <w:trHeight w:val="374" w:hRule="atLeast"/>
              </w:trPr>
              <w:tc>
                <w:tcPr>
                  <w:tcW w:w="817" w:type="dxa"/>
                  <w:tcMar>
                    <w:left w:w="28" w:type="dxa"/>
                    <w:right w:w="28" w:type="dxa"/>
                  </w:tcMar>
                  <w:vAlign w:val="center"/>
                </w:tcPr>
                <w:p w14:paraId="18B6ECA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砂石输送</w:t>
                  </w:r>
                </w:p>
              </w:tc>
              <w:tc>
                <w:tcPr>
                  <w:tcW w:w="564" w:type="dxa"/>
                  <w:tcMar>
                    <w:left w:w="28" w:type="dxa"/>
                    <w:right w:w="28" w:type="dxa"/>
                  </w:tcMar>
                  <w:vAlign w:val="center"/>
                </w:tcPr>
                <w:p w14:paraId="75BD243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无组织</w:t>
                  </w:r>
                </w:p>
              </w:tc>
              <w:tc>
                <w:tcPr>
                  <w:tcW w:w="763" w:type="dxa"/>
                  <w:tcMar>
                    <w:left w:w="28" w:type="dxa"/>
                    <w:right w:w="28" w:type="dxa"/>
                  </w:tcMar>
                  <w:vAlign w:val="center"/>
                </w:tcPr>
                <w:p w14:paraId="2038BC0A">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c>
                <w:tcPr>
                  <w:tcW w:w="790" w:type="dxa"/>
                  <w:gridSpan w:val="2"/>
                  <w:tcMar>
                    <w:left w:w="28" w:type="dxa"/>
                    <w:right w:w="28" w:type="dxa"/>
                  </w:tcMar>
                  <w:vAlign w:val="center"/>
                </w:tcPr>
                <w:p w14:paraId="20F1D01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775" w:type="dxa"/>
                  <w:tcMar>
                    <w:left w:w="28" w:type="dxa"/>
                    <w:right w:w="28" w:type="dxa"/>
                  </w:tcMar>
                  <w:vAlign w:val="center"/>
                </w:tcPr>
                <w:p w14:paraId="6B5AF06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585" w:type="dxa"/>
                  <w:tcMar>
                    <w:left w:w="28" w:type="dxa"/>
                    <w:right w:w="28" w:type="dxa"/>
                  </w:tcMar>
                  <w:vAlign w:val="center"/>
                </w:tcPr>
                <w:p w14:paraId="0C3244C6">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68.07</w:t>
                  </w:r>
                </w:p>
              </w:tc>
              <w:tc>
                <w:tcPr>
                  <w:tcW w:w="1458" w:type="dxa"/>
                  <w:gridSpan w:val="2"/>
                  <w:tcMar>
                    <w:left w:w="28" w:type="dxa"/>
                    <w:right w:w="28" w:type="dxa"/>
                  </w:tcMar>
                  <w:vAlign w:val="center"/>
                </w:tcPr>
                <w:p w14:paraId="35F2F04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半封闭料斗+雾炮抑尘</w:t>
                  </w:r>
                </w:p>
              </w:tc>
              <w:tc>
                <w:tcPr>
                  <w:tcW w:w="695" w:type="dxa"/>
                  <w:gridSpan w:val="2"/>
                  <w:tcMar>
                    <w:left w:w="28" w:type="dxa"/>
                    <w:right w:w="28" w:type="dxa"/>
                  </w:tcMar>
                  <w:vAlign w:val="center"/>
                </w:tcPr>
                <w:p w14:paraId="1DDC4A9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517" w:type="dxa"/>
                  <w:gridSpan w:val="2"/>
                  <w:tcMar>
                    <w:left w:w="28" w:type="dxa"/>
                    <w:right w:w="28" w:type="dxa"/>
                  </w:tcMar>
                  <w:vAlign w:val="center"/>
                </w:tcPr>
                <w:p w14:paraId="11FD79AE">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13.6</w:t>
                  </w:r>
                </w:p>
              </w:tc>
              <w:tc>
                <w:tcPr>
                  <w:tcW w:w="1034" w:type="dxa"/>
                  <w:gridSpan w:val="2"/>
                  <w:vMerge w:val="continue"/>
                  <w:tcMar>
                    <w:left w:w="28" w:type="dxa"/>
                    <w:right w:w="28" w:type="dxa"/>
                  </w:tcMar>
                  <w:vAlign w:val="center"/>
                </w:tcPr>
                <w:p w14:paraId="48C7AC36">
                  <w:pPr>
                    <w:pStyle w:val="46"/>
                    <w:jc w:val="center"/>
                    <w:rPr>
                      <w:rFonts w:hint="default" w:ascii="Times New Roman" w:hAnsi="Times New Roman" w:cs="Times New Roman"/>
                      <w:color w:val="auto"/>
                      <w:sz w:val="21"/>
                      <w:szCs w:val="21"/>
                      <w:highlight w:val="none"/>
                    </w:rPr>
                  </w:pPr>
                </w:p>
              </w:tc>
            </w:tr>
            <w:tr w14:paraId="6E9B9D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gridAfter w:val="2"/>
                <w:wAfter w:w="85" w:type="dxa"/>
                <w:trHeight w:val="792" w:hRule="atLeast"/>
              </w:trPr>
              <w:tc>
                <w:tcPr>
                  <w:tcW w:w="817" w:type="dxa"/>
                  <w:vMerge w:val="restart"/>
                  <w:tcMar>
                    <w:left w:w="28" w:type="dxa"/>
                    <w:right w:w="28" w:type="dxa"/>
                  </w:tcMar>
                  <w:vAlign w:val="center"/>
                </w:tcPr>
                <w:p w14:paraId="317B0D9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筒仓呼吸孔粉尘</w:t>
                  </w:r>
                </w:p>
              </w:tc>
              <w:tc>
                <w:tcPr>
                  <w:tcW w:w="564" w:type="dxa"/>
                  <w:vMerge w:val="restart"/>
                  <w:tcMar>
                    <w:left w:w="28" w:type="dxa"/>
                    <w:right w:w="28" w:type="dxa"/>
                  </w:tcMar>
                  <w:vAlign w:val="center"/>
                </w:tcPr>
                <w:p w14:paraId="767E3EB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有组织</w:t>
                  </w:r>
                </w:p>
              </w:tc>
              <w:tc>
                <w:tcPr>
                  <w:tcW w:w="763" w:type="dxa"/>
                  <w:vMerge w:val="restart"/>
                  <w:tcMar>
                    <w:left w:w="28" w:type="dxa"/>
                    <w:right w:w="28" w:type="dxa"/>
                  </w:tcMar>
                  <w:vAlign w:val="center"/>
                </w:tcPr>
                <w:p w14:paraId="56AC77EE">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1#、2#、3#、4#、5#、6#、7#、8#</w:t>
                  </w:r>
                </w:p>
              </w:tc>
              <w:tc>
                <w:tcPr>
                  <w:tcW w:w="790" w:type="dxa"/>
                  <w:gridSpan w:val="2"/>
                  <w:tcMar>
                    <w:left w:w="28" w:type="dxa"/>
                    <w:right w:w="28" w:type="dxa"/>
                  </w:tcMar>
                  <w:vAlign w:val="center"/>
                </w:tcPr>
                <w:p w14:paraId="1443344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775" w:type="dxa"/>
                  <w:tcMar>
                    <w:left w:w="28" w:type="dxa"/>
                    <w:right w:w="28" w:type="dxa"/>
                  </w:tcMar>
                  <w:vAlign w:val="center"/>
                </w:tcPr>
                <w:p w14:paraId="6A3D08D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5454.55</w:t>
                  </w:r>
                </w:p>
              </w:tc>
              <w:tc>
                <w:tcPr>
                  <w:tcW w:w="585" w:type="dxa"/>
                  <w:vMerge w:val="restart"/>
                  <w:tcMar>
                    <w:left w:w="28" w:type="dxa"/>
                    <w:right w:w="28" w:type="dxa"/>
                  </w:tcMar>
                  <w:vAlign w:val="center"/>
                </w:tcPr>
                <w:p w14:paraId="21C75EE0">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88.2</w:t>
                  </w:r>
                </w:p>
              </w:tc>
              <w:tc>
                <w:tcPr>
                  <w:tcW w:w="1458" w:type="dxa"/>
                  <w:gridSpan w:val="2"/>
                  <w:vMerge w:val="restart"/>
                  <w:tcMar>
                    <w:left w:w="28" w:type="dxa"/>
                    <w:right w:w="28" w:type="dxa"/>
                  </w:tcMar>
                  <w:vAlign w:val="center"/>
                </w:tcPr>
                <w:p w14:paraId="12A1C564">
                  <w:pPr>
                    <w:pStyle w:val="46"/>
                    <w:jc w:val="center"/>
                    <w:rPr>
                      <w:rFonts w:hint="default" w:ascii="Times New Roman" w:hAnsi="Times New Roman" w:cs="Times New Roman"/>
                      <w:color w:val="auto"/>
                      <w:sz w:val="21"/>
                      <w:szCs w:val="21"/>
                      <w:highlight w:val="none"/>
                    </w:rPr>
                  </w:pPr>
                  <w:r>
                    <w:rPr>
                      <w:rFonts w:hint="eastAsia"/>
                      <w:color w:val="auto"/>
                      <w:sz w:val="21"/>
                      <w:szCs w:val="21"/>
                    </w:rPr>
                    <w:t>全封闭输送带</w:t>
                  </w:r>
                  <w:r>
                    <w:rPr>
                      <w:rFonts w:cs="Times New Roman"/>
                      <w:color w:val="auto"/>
                      <w:sz w:val="21"/>
                      <w:szCs w:val="21"/>
                    </w:rPr>
                    <w:t>+</w:t>
                  </w:r>
                  <w:r>
                    <w:rPr>
                      <w:rFonts w:hint="eastAsia"/>
                      <w:color w:val="auto"/>
                      <w:sz w:val="21"/>
                      <w:szCs w:val="21"/>
                    </w:rPr>
                    <w:t>密闭筒仓</w:t>
                  </w:r>
                  <w:r>
                    <w:rPr>
                      <w:rFonts w:hint="eastAsia"/>
                      <w:color w:val="auto"/>
                      <w:sz w:val="21"/>
                      <w:szCs w:val="21"/>
                      <w:lang w:val="en-US" w:eastAsia="zh-CN"/>
                    </w:rPr>
                    <w:t>+</w:t>
                  </w:r>
                  <w:r>
                    <w:rPr>
                      <w:rFonts w:hint="default" w:ascii="Times New Roman" w:hAnsi="Times New Roman" w:cs="Times New Roman"/>
                      <w:color w:val="auto"/>
                      <w:sz w:val="21"/>
                      <w:szCs w:val="21"/>
                      <w:highlight w:val="none"/>
                    </w:rPr>
                    <w:t>袋式除尘器+</w:t>
                  </w:r>
                  <w:r>
                    <w:rPr>
                      <w:rFonts w:hint="eastAsia" w:cs="Times New Roman"/>
                      <w:color w:val="auto"/>
                      <w:sz w:val="21"/>
                      <w:szCs w:val="21"/>
                      <w:highlight w:val="none"/>
                      <w:lang w:val="en-US" w:eastAsia="zh-CN"/>
                    </w:rPr>
                    <w:t>22m</w:t>
                  </w:r>
                  <w:r>
                    <w:rPr>
                      <w:rFonts w:hint="default" w:ascii="Times New Roman" w:hAnsi="Times New Roman" w:cs="Times New Roman"/>
                      <w:color w:val="auto"/>
                      <w:sz w:val="21"/>
                      <w:szCs w:val="21"/>
                      <w:highlight w:val="none"/>
                    </w:rPr>
                    <w:t>仓顶排放</w:t>
                  </w:r>
                </w:p>
              </w:tc>
              <w:tc>
                <w:tcPr>
                  <w:tcW w:w="695" w:type="dxa"/>
                  <w:gridSpan w:val="2"/>
                  <w:tcMar>
                    <w:left w:w="28" w:type="dxa"/>
                    <w:right w:w="28" w:type="dxa"/>
                  </w:tcMar>
                  <w:vAlign w:val="center"/>
                </w:tcPr>
                <w:p w14:paraId="2433278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16.36</w:t>
                  </w:r>
                </w:p>
              </w:tc>
              <w:tc>
                <w:tcPr>
                  <w:tcW w:w="517" w:type="dxa"/>
                  <w:gridSpan w:val="2"/>
                  <w:vMerge w:val="restart"/>
                  <w:tcMar>
                    <w:left w:w="28" w:type="dxa"/>
                    <w:right w:w="28" w:type="dxa"/>
                  </w:tcMar>
                  <w:vAlign w:val="center"/>
                </w:tcPr>
                <w:p w14:paraId="291A10DD">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r>
                    <w:rPr>
                      <w:rFonts w:hint="eastAsia" w:cs="Times New Roman"/>
                      <w:color w:val="auto"/>
                      <w:sz w:val="21"/>
                      <w:szCs w:val="21"/>
                      <w:highlight w:val="none"/>
                      <w:lang w:val="en-US" w:eastAsia="zh-CN"/>
                    </w:rPr>
                    <w:t>26</w:t>
                  </w:r>
                </w:p>
              </w:tc>
              <w:tc>
                <w:tcPr>
                  <w:tcW w:w="1034" w:type="dxa"/>
                  <w:gridSpan w:val="2"/>
                  <w:vMerge w:val="restart"/>
                  <w:tcMar>
                    <w:left w:w="28" w:type="dxa"/>
                    <w:right w:w="28" w:type="dxa"/>
                  </w:tcMar>
                  <w:vAlign w:val="center"/>
                </w:tcPr>
                <w:p w14:paraId="325DD8D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《水泥工业大气污染物排放标准》（GB4915-2013）表1标准限值要求，颗粒物20mg/m</w:t>
                  </w:r>
                  <w:r>
                    <w:rPr>
                      <w:rFonts w:hint="default" w:ascii="Times New Roman" w:hAnsi="Times New Roman" w:cs="Times New Roman"/>
                      <w:color w:val="auto"/>
                      <w:sz w:val="21"/>
                      <w:szCs w:val="21"/>
                      <w:highlight w:val="none"/>
                      <w:vertAlign w:val="superscript"/>
                    </w:rPr>
                    <w:t>3</w:t>
                  </w:r>
                </w:p>
              </w:tc>
            </w:tr>
            <w:tr w14:paraId="46EDAF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gridAfter w:val="2"/>
                <w:wAfter w:w="85" w:type="dxa"/>
                <w:trHeight w:val="374" w:hRule="atLeast"/>
              </w:trPr>
              <w:tc>
                <w:tcPr>
                  <w:tcW w:w="817" w:type="dxa"/>
                  <w:vMerge w:val="continue"/>
                  <w:tcMar>
                    <w:left w:w="28" w:type="dxa"/>
                    <w:right w:w="28" w:type="dxa"/>
                  </w:tcMar>
                  <w:vAlign w:val="center"/>
                </w:tcPr>
                <w:p w14:paraId="042BCD16">
                  <w:pPr>
                    <w:pStyle w:val="46"/>
                    <w:jc w:val="center"/>
                    <w:rPr>
                      <w:rFonts w:hint="default" w:ascii="Times New Roman" w:hAnsi="Times New Roman" w:cs="Times New Roman"/>
                      <w:color w:val="auto"/>
                      <w:sz w:val="21"/>
                      <w:szCs w:val="21"/>
                      <w:highlight w:val="none"/>
                    </w:rPr>
                  </w:pPr>
                </w:p>
              </w:tc>
              <w:tc>
                <w:tcPr>
                  <w:tcW w:w="564" w:type="dxa"/>
                  <w:vMerge w:val="continue"/>
                  <w:tcMar>
                    <w:left w:w="28" w:type="dxa"/>
                    <w:right w:w="28" w:type="dxa"/>
                  </w:tcMar>
                  <w:vAlign w:val="center"/>
                </w:tcPr>
                <w:p w14:paraId="6DB9F963">
                  <w:pPr>
                    <w:pStyle w:val="46"/>
                    <w:jc w:val="center"/>
                    <w:rPr>
                      <w:rFonts w:hint="default" w:ascii="Times New Roman" w:hAnsi="Times New Roman" w:cs="Times New Roman"/>
                      <w:color w:val="auto"/>
                      <w:sz w:val="21"/>
                      <w:szCs w:val="21"/>
                      <w:highlight w:val="none"/>
                    </w:rPr>
                  </w:pPr>
                </w:p>
              </w:tc>
              <w:tc>
                <w:tcPr>
                  <w:tcW w:w="763" w:type="dxa"/>
                  <w:vMerge w:val="continue"/>
                  <w:tcMar>
                    <w:left w:w="28" w:type="dxa"/>
                    <w:right w:w="28" w:type="dxa"/>
                  </w:tcMar>
                  <w:vAlign w:val="center"/>
                </w:tcPr>
                <w:p w14:paraId="2463EEF5">
                  <w:pPr>
                    <w:pStyle w:val="46"/>
                    <w:jc w:val="center"/>
                    <w:rPr>
                      <w:rFonts w:hint="default" w:ascii="Times New Roman" w:hAnsi="Times New Roman" w:cs="Times New Roman"/>
                      <w:color w:val="auto"/>
                      <w:sz w:val="21"/>
                      <w:szCs w:val="21"/>
                      <w:highlight w:val="none"/>
                    </w:rPr>
                  </w:pPr>
                </w:p>
              </w:tc>
              <w:tc>
                <w:tcPr>
                  <w:tcW w:w="790" w:type="dxa"/>
                  <w:gridSpan w:val="2"/>
                  <w:tcMar>
                    <w:left w:w="28" w:type="dxa"/>
                    <w:right w:w="28" w:type="dxa"/>
                  </w:tcMar>
                  <w:vAlign w:val="center"/>
                </w:tcPr>
                <w:p w14:paraId="56DC460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775" w:type="dxa"/>
                  <w:tcMar>
                    <w:left w:w="28" w:type="dxa"/>
                    <w:right w:w="28" w:type="dxa"/>
                  </w:tcMar>
                  <w:vAlign w:val="center"/>
                </w:tcPr>
                <w:p w14:paraId="2E6BE83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5454.55</w:t>
                  </w:r>
                </w:p>
              </w:tc>
              <w:tc>
                <w:tcPr>
                  <w:tcW w:w="585" w:type="dxa"/>
                  <w:vMerge w:val="continue"/>
                  <w:tcMar>
                    <w:left w:w="28" w:type="dxa"/>
                    <w:right w:w="28" w:type="dxa"/>
                  </w:tcMar>
                  <w:vAlign w:val="center"/>
                </w:tcPr>
                <w:p w14:paraId="670CA8BB">
                  <w:pPr>
                    <w:pStyle w:val="46"/>
                    <w:jc w:val="center"/>
                    <w:rPr>
                      <w:rFonts w:hint="default" w:ascii="Times New Roman" w:hAnsi="Times New Roman" w:cs="Times New Roman"/>
                      <w:color w:val="auto"/>
                      <w:sz w:val="21"/>
                      <w:szCs w:val="21"/>
                      <w:highlight w:val="none"/>
                    </w:rPr>
                  </w:pPr>
                </w:p>
              </w:tc>
              <w:tc>
                <w:tcPr>
                  <w:tcW w:w="1458" w:type="dxa"/>
                  <w:gridSpan w:val="2"/>
                  <w:vMerge w:val="continue"/>
                  <w:tcMar>
                    <w:left w:w="28" w:type="dxa"/>
                    <w:right w:w="28" w:type="dxa"/>
                  </w:tcMar>
                  <w:vAlign w:val="center"/>
                </w:tcPr>
                <w:p w14:paraId="20A25F1E">
                  <w:pPr>
                    <w:pStyle w:val="46"/>
                    <w:jc w:val="center"/>
                    <w:rPr>
                      <w:rFonts w:hint="default" w:ascii="Times New Roman" w:hAnsi="Times New Roman" w:cs="Times New Roman"/>
                      <w:color w:val="auto"/>
                      <w:sz w:val="21"/>
                      <w:szCs w:val="21"/>
                      <w:highlight w:val="none"/>
                    </w:rPr>
                  </w:pPr>
                </w:p>
              </w:tc>
              <w:tc>
                <w:tcPr>
                  <w:tcW w:w="695" w:type="dxa"/>
                  <w:gridSpan w:val="2"/>
                  <w:tcMar>
                    <w:left w:w="28" w:type="dxa"/>
                    <w:right w:w="28" w:type="dxa"/>
                  </w:tcMar>
                  <w:vAlign w:val="center"/>
                </w:tcPr>
                <w:p w14:paraId="246D449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16.36</w:t>
                  </w:r>
                </w:p>
              </w:tc>
              <w:tc>
                <w:tcPr>
                  <w:tcW w:w="517" w:type="dxa"/>
                  <w:gridSpan w:val="2"/>
                  <w:vMerge w:val="continue"/>
                  <w:tcMar>
                    <w:left w:w="28" w:type="dxa"/>
                    <w:right w:w="28" w:type="dxa"/>
                  </w:tcMar>
                  <w:vAlign w:val="center"/>
                </w:tcPr>
                <w:p w14:paraId="203D302E">
                  <w:pPr>
                    <w:pStyle w:val="46"/>
                    <w:jc w:val="center"/>
                    <w:rPr>
                      <w:rFonts w:hint="default" w:ascii="Times New Roman" w:hAnsi="Times New Roman" w:cs="Times New Roman"/>
                      <w:color w:val="auto"/>
                      <w:sz w:val="21"/>
                      <w:szCs w:val="21"/>
                      <w:highlight w:val="none"/>
                    </w:rPr>
                  </w:pPr>
                </w:p>
              </w:tc>
              <w:tc>
                <w:tcPr>
                  <w:tcW w:w="1034" w:type="dxa"/>
                  <w:gridSpan w:val="2"/>
                  <w:vMerge w:val="continue"/>
                  <w:tcMar>
                    <w:left w:w="28" w:type="dxa"/>
                    <w:right w:w="28" w:type="dxa"/>
                  </w:tcMar>
                  <w:vAlign w:val="center"/>
                </w:tcPr>
                <w:p w14:paraId="2F19217D">
                  <w:pPr>
                    <w:pStyle w:val="46"/>
                    <w:jc w:val="center"/>
                    <w:rPr>
                      <w:rFonts w:hint="default" w:ascii="Times New Roman" w:hAnsi="Times New Roman" w:cs="Times New Roman"/>
                      <w:color w:val="auto"/>
                      <w:sz w:val="21"/>
                      <w:szCs w:val="21"/>
                      <w:highlight w:val="none"/>
                    </w:rPr>
                  </w:pPr>
                </w:p>
              </w:tc>
            </w:tr>
            <w:tr w14:paraId="013962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gridAfter w:val="2"/>
                <w:wAfter w:w="85" w:type="dxa"/>
                <w:trHeight w:val="374" w:hRule="atLeast"/>
              </w:trPr>
              <w:tc>
                <w:tcPr>
                  <w:tcW w:w="817" w:type="dxa"/>
                  <w:vMerge w:val="continue"/>
                  <w:tcMar>
                    <w:left w:w="28" w:type="dxa"/>
                    <w:right w:w="28" w:type="dxa"/>
                  </w:tcMar>
                  <w:vAlign w:val="center"/>
                </w:tcPr>
                <w:p w14:paraId="6213C59E">
                  <w:pPr>
                    <w:pStyle w:val="46"/>
                    <w:jc w:val="center"/>
                    <w:rPr>
                      <w:rFonts w:hint="default" w:ascii="Times New Roman" w:hAnsi="Times New Roman" w:cs="Times New Roman"/>
                      <w:color w:val="auto"/>
                      <w:sz w:val="21"/>
                      <w:szCs w:val="21"/>
                      <w:highlight w:val="none"/>
                    </w:rPr>
                  </w:pPr>
                </w:p>
              </w:tc>
              <w:tc>
                <w:tcPr>
                  <w:tcW w:w="564" w:type="dxa"/>
                  <w:vMerge w:val="continue"/>
                  <w:tcMar>
                    <w:left w:w="28" w:type="dxa"/>
                    <w:right w:w="28" w:type="dxa"/>
                  </w:tcMar>
                  <w:vAlign w:val="center"/>
                </w:tcPr>
                <w:p w14:paraId="75F8F20A">
                  <w:pPr>
                    <w:pStyle w:val="46"/>
                    <w:jc w:val="center"/>
                    <w:rPr>
                      <w:rFonts w:hint="default" w:ascii="Times New Roman" w:hAnsi="Times New Roman" w:cs="Times New Roman"/>
                      <w:color w:val="auto"/>
                      <w:sz w:val="21"/>
                      <w:szCs w:val="21"/>
                      <w:highlight w:val="none"/>
                    </w:rPr>
                  </w:pPr>
                </w:p>
              </w:tc>
              <w:tc>
                <w:tcPr>
                  <w:tcW w:w="763" w:type="dxa"/>
                  <w:vMerge w:val="continue"/>
                  <w:tcMar>
                    <w:left w:w="28" w:type="dxa"/>
                    <w:right w:w="28" w:type="dxa"/>
                  </w:tcMar>
                  <w:vAlign w:val="center"/>
                </w:tcPr>
                <w:p w14:paraId="14EE0782">
                  <w:pPr>
                    <w:pStyle w:val="46"/>
                    <w:jc w:val="center"/>
                    <w:rPr>
                      <w:rFonts w:hint="default" w:ascii="Times New Roman" w:hAnsi="Times New Roman" w:cs="Times New Roman"/>
                      <w:color w:val="auto"/>
                      <w:sz w:val="21"/>
                      <w:szCs w:val="21"/>
                      <w:highlight w:val="none"/>
                    </w:rPr>
                  </w:pPr>
                </w:p>
              </w:tc>
              <w:tc>
                <w:tcPr>
                  <w:tcW w:w="790" w:type="dxa"/>
                  <w:gridSpan w:val="2"/>
                  <w:tcMar>
                    <w:left w:w="28" w:type="dxa"/>
                    <w:right w:w="28" w:type="dxa"/>
                  </w:tcMar>
                  <w:vAlign w:val="center"/>
                </w:tcPr>
                <w:p w14:paraId="42A5FD0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775" w:type="dxa"/>
                  <w:tcMar>
                    <w:left w:w="28" w:type="dxa"/>
                    <w:right w:w="28" w:type="dxa"/>
                  </w:tcMar>
                  <w:vAlign w:val="center"/>
                </w:tcPr>
                <w:p w14:paraId="0D0E370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5454.55</w:t>
                  </w:r>
                </w:p>
              </w:tc>
              <w:tc>
                <w:tcPr>
                  <w:tcW w:w="585" w:type="dxa"/>
                  <w:vMerge w:val="continue"/>
                  <w:tcMar>
                    <w:left w:w="28" w:type="dxa"/>
                    <w:right w:w="28" w:type="dxa"/>
                  </w:tcMar>
                  <w:vAlign w:val="center"/>
                </w:tcPr>
                <w:p w14:paraId="48C044BD">
                  <w:pPr>
                    <w:pStyle w:val="46"/>
                    <w:jc w:val="center"/>
                    <w:rPr>
                      <w:rFonts w:hint="default" w:ascii="Times New Roman" w:hAnsi="Times New Roman" w:cs="Times New Roman"/>
                      <w:color w:val="auto"/>
                      <w:sz w:val="21"/>
                      <w:szCs w:val="21"/>
                      <w:highlight w:val="none"/>
                    </w:rPr>
                  </w:pPr>
                </w:p>
              </w:tc>
              <w:tc>
                <w:tcPr>
                  <w:tcW w:w="1458" w:type="dxa"/>
                  <w:gridSpan w:val="2"/>
                  <w:vMerge w:val="continue"/>
                  <w:tcMar>
                    <w:left w:w="28" w:type="dxa"/>
                    <w:right w:w="28" w:type="dxa"/>
                  </w:tcMar>
                  <w:vAlign w:val="center"/>
                </w:tcPr>
                <w:p w14:paraId="7BBFCAA5">
                  <w:pPr>
                    <w:pStyle w:val="46"/>
                    <w:jc w:val="center"/>
                    <w:rPr>
                      <w:rFonts w:hint="default" w:ascii="Times New Roman" w:hAnsi="Times New Roman" w:cs="Times New Roman"/>
                      <w:color w:val="auto"/>
                      <w:sz w:val="21"/>
                      <w:szCs w:val="21"/>
                      <w:highlight w:val="none"/>
                    </w:rPr>
                  </w:pPr>
                </w:p>
              </w:tc>
              <w:tc>
                <w:tcPr>
                  <w:tcW w:w="695" w:type="dxa"/>
                  <w:gridSpan w:val="2"/>
                  <w:tcMar>
                    <w:left w:w="28" w:type="dxa"/>
                    <w:right w:w="28" w:type="dxa"/>
                  </w:tcMar>
                  <w:vAlign w:val="center"/>
                </w:tcPr>
                <w:p w14:paraId="1AE1A01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16.36</w:t>
                  </w:r>
                </w:p>
              </w:tc>
              <w:tc>
                <w:tcPr>
                  <w:tcW w:w="517" w:type="dxa"/>
                  <w:gridSpan w:val="2"/>
                  <w:vMerge w:val="continue"/>
                  <w:tcMar>
                    <w:left w:w="28" w:type="dxa"/>
                    <w:right w:w="28" w:type="dxa"/>
                  </w:tcMar>
                  <w:vAlign w:val="center"/>
                </w:tcPr>
                <w:p w14:paraId="21E752E6">
                  <w:pPr>
                    <w:pStyle w:val="46"/>
                    <w:jc w:val="center"/>
                    <w:rPr>
                      <w:rFonts w:hint="default" w:ascii="Times New Roman" w:hAnsi="Times New Roman" w:cs="Times New Roman"/>
                      <w:color w:val="auto"/>
                      <w:sz w:val="21"/>
                      <w:szCs w:val="21"/>
                      <w:highlight w:val="none"/>
                    </w:rPr>
                  </w:pPr>
                </w:p>
              </w:tc>
              <w:tc>
                <w:tcPr>
                  <w:tcW w:w="1034" w:type="dxa"/>
                  <w:gridSpan w:val="2"/>
                  <w:vMerge w:val="continue"/>
                  <w:tcMar>
                    <w:left w:w="28" w:type="dxa"/>
                    <w:right w:w="28" w:type="dxa"/>
                  </w:tcMar>
                  <w:vAlign w:val="center"/>
                </w:tcPr>
                <w:p w14:paraId="0A1DFB1C">
                  <w:pPr>
                    <w:pStyle w:val="46"/>
                    <w:jc w:val="center"/>
                    <w:rPr>
                      <w:rFonts w:hint="default" w:ascii="Times New Roman" w:hAnsi="Times New Roman" w:cs="Times New Roman"/>
                      <w:color w:val="auto"/>
                      <w:sz w:val="21"/>
                      <w:szCs w:val="21"/>
                      <w:highlight w:val="none"/>
                    </w:rPr>
                  </w:pPr>
                </w:p>
              </w:tc>
            </w:tr>
            <w:tr w14:paraId="672B92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gridAfter w:val="2"/>
                <w:wAfter w:w="85" w:type="dxa"/>
                <w:trHeight w:val="90" w:hRule="atLeast"/>
              </w:trPr>
              <w:tc>
                <w:tcPr>
                  <w:tcW w:w="817" w:type="dxa"/>
                  <w:vMerge w:val="continue"/>
                  <w:tcMar>
                    <w:left w:w="28" w:type="dxa"/>
                    <w:right w:w="28" w:type="dxa"/>
                  </w:tcMar>
                  <w:vAlign w:val="center"/>
                </w:tcPr>
                <w:p w14:paraId="43D67F9A">
                  <w:pPr>
                    <w:pStyle w:val="46"/>
                    <w:jc w:val="center"/>
                    <w:rPr>
                      <w:rFonts w:hint="default" w:ascii="Times New Roman" w:hAnsi="Times New Roman" w:cs="Times New Roman"/>
                      <w:color w:val="auto"/>
                      <w:sz w:val="21"/>
                      <w:szCs w:val="21"/>
                      <w:highlight w:val="none"/>
                    </w:rPr>
                  </w:pPr>
                </w:p>
              </w:tc>
              <w:tc>
                <w:tcPr>
                  <w:tcW w:w="564" w:type="dxa"/>
                  <w:vMerge w:val="continue"/>
                  <w:tcMar>
                    <w:left w:w="28" w:type="dxa"/>
                    <w:right w:w="28" w:type="dxa"/>
                  </w:tcMar>
                  <w:vAlign w:val="center"/>
                </w:tcPr>
                <w:p w14:paraId="0C677FEC">
                  <w:pPr>
                    <w:pStyle w:val="46"/>
                    <w:jc w:val="center"/>
                    <w:rPr>
                      <w:rFonts w:hint="default" w:ascii="Times New Roman" w:hAnsi="Times New Roman" w:cs="Times New Roman"/>
                      <w:color w:val="auto"/>
                      <w:sz w:val="21"/>
                      <w:szCs w:val="21"/>
                      <w:highlight w:val="none"/>
                    </w:rPr>
                  </w:pPr>
                </w:p>
              </w:tc>
              <w:tc>
                <w:tcPr>
                  <w:tcW w:w="763" w:type="dxa"/>
                  <w:vMerge w:val="continue"/>
                  <w:tcMar>
                    <w:left w:w="28" w:type="dxa"/>
                    <w:right w:w="28" w:type="dxa"/>
                  </w:tcMar>
                  <w:vAlign w:val="center"/>
                </w:tcPr>
                <w:p w14:paraId="710DBCE3">
                  <w:pPr>
                    <w:pStyle w:val="46"/>
                    <w:jc w:val="center"/>
                    <w:rPr>
                      <w:rFonts w:hint="default" w:ascii="Times New Roman" w:hAnsi="Times New Roman" w:cs="Times New Roman"/>
                      <w:color w:val="auto"/>
                      <w:sz w:val="21"/>
                      <w:szCs w:val="21"/>
                      <w:highlight w:val="none"/>
                    </w:rPr>
                  </w:pPr>
                </w:p>
              </w:tc>
              <w:tc>
                <w:tcPr>
                  <w:tcW w:w="790" w:type="dxa"/>
                  <w:gridSpan w:val="2"/>
                  <w:tcMar>
                    <w:left w:w="28" w:type="dxa"/>
                    <w:right w:w="28" w:type="dxa"/>
                  </w:tcMar>
                  <w:vAlign w:val="center"/>
                </w:tcPr>
                <w:p w14:paraId="642EAD5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775" w:type="dxa"/>
                  <w:tcMar>
                    <w:left w:w="28" w:type="dxa"/>
                    <w:right w:w="28" w:type="dxa"/>
                  </w:tcMar>
                  <w:vAlign w:val="center"/>
                </w:tcPr>
                <w:p w14:paraId="2E4878F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5454.55</w:t>
                  </w:r>
                </w:p>
              </w:tc>
              <w:tc>
                <w:tcPr>
                  <w:tcW w:w="585" w:type="dxa"/>
                  <w:vMerge w:val="continue"/>
                  <w:tcMar>
                    <w:left w:w="28" w:type="dxa"/>
                    <w:right w:w="28" w:type="dxa"/>
                  </w:tcMar>
                  <w:vAlign w:val="center"/>
                </w:tcPr>
                <w:p w14:paraId="1976A9F8">
                  <w:pPr>
                    <w:pStyle w:val="46"/>
                    <w:jc w:val="center"/>
                    <w:rPr>
                      <w:rFonts w:hint="default" w:ascii="Times New Roman" w:hAnsi="Times New Roman" w:cs="Times New Roman"/>
                      <w:color w:val="auto"/>
                      <w:sz w:val="21"/>
                      <w:szCs w:val="21"/>
                      <w:highlight w:val="none"/>
                    </w:rPr>
                  </w:pPr>
                </w:p>
              </w:tc>
              <w:tc>
                <w:tcPr>
                  <w:tcW w:w="1458" w:type="dxa"/>
                  <w:gridSpan w:val="2"/>
                  <w:vMerge w:val="continue"/>
                  <w:tcMar>
                    <w:left w:w="28" w:type="dxa"/>
                    <w:right w:w="28" w:type="dxa"/>
                  </w:tcMar>
                  <w:vAlign w:val="center"/>
                </w:tcPr>
                <w:p w14:paraId="163412DA">
                  <w:pPr>
                    <w:pStyle w:val="46"/>
                    <w:jc w:val="center"/>
                    <w:rPr>
                      <w:rFonts w:hint="default" w:ascii="Times New Roman" w:hAnsi="Times New Roman" w:cs="Times New Roman"/>
                      <w:color w:val="auto"/>
                      <w:sz w:val="21"/>
                      <w:szCs w:val="21"/>
                      <w:highlight w:val="none"/>
                    </w:rPr>
                  </w:pPr>
                </w:p>
              </w:tc>
              <w:tc>
                <w:tcPr>
                  <w:tcW w:w="695" w:type="dxa"/>
                  <w:gridSpan w:val="2"/>
                  <w:tcMar>
                    <w:left w:w="28" w:type="dxa"/>
                    <w:right w:w="28" w:type="dxa"/>
                  </w:tcMar>
                  <w:vAlign w:val="center"/>
                </w:tcPr>
                <w:p w14:paraId="7AF4C9B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16.36</w:t>
                  </w:r>
                </w:p>
              </w:tc>
              <w:tc>
                <w:tcPr>
                  <w:tcW w:w="517" w:type="dxa"/>
                  <w:gridSpan w:val="2"/>
                  <w:vMerge w:val="continue"/>
                  <w:tcMar>
                    <w:left w:w="28" w:type="dxa"/>
                    <w:right w:w="28" w:type="dxa"/>
                  </w:tcMar>
                  <w:vAlign w:val="center"/>
                </w:tcPr>
                <w:p w14:paraId="02B886AF">
                  <w:pPr>
                    <w:pStyle w:val="46"/>
                    <w:jc w:val="center"/>
                    <w:rPr>
                      <w:rFonts w:hint="default" w:ascii="Times New Roman" w:hAnsi="Times New Roman" w:cs="Times New Roman"/>
                      <w:color w:val="auto"/>
                      <w:sz w:val="21"/>
                      <w:szCs w:val="21"/>
                      <w:highlight w:val="none"/>
                    </w:rPr>
                  </w:pPr>
                </w:p>
              </w:tc>
              <w:tc>
                <w:tcPr>
                  <w:tcW w:w="1034" w:type="dxa"/>
                  <w:gridSpan w:val="2"/>
                  <w:vMerge w:val="continue"/>
                  <w:tcMar>
                    <w:left w:w="28" w:type="dxa"/>
                    <w:right w:w="28" w:type="dxa"/>
                  </w:tcMar>
                  <w:vAlign w:val="center"/>
                </w:tcPr>
                <w:p w14:paraId="6789B780">
                  <w:pPr>
                    <w:pStyle w:val="46"/>
                    <w:jc w:val="center"/>
                    <w:rPr>
                      <w:rFonts w:hint="default" w:ascii="Times New Roman" w:hAnsi="Times New Roman" w:cs="Times New Roman"/>
                      <w:color w:val="auto"/>
                      <w:sz w:val="21"/>
                      <w:szCs w:val="21"/>
                      <w:highlight w:val="none"/>
                    </w:rPr>
                  </w:pPr>
                </w:p>
              </w:tc>
            </w:tr>
            <w:tr w14:paraId="64E971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gridAfter w:val="2"/>
                <w:wAfter w:w="85" w:type="dxa"/>
                <w:trHeight w:val="374" w:hRule="atLeast"/>
              </w:trPr>
              <w:tc>
                <w:tcPr>
                  <w:tcW w:w="817" w:type="dxa"/>
                  <w:tcMar>
                    <w:left w:w="28" w:type="dxa"/>
                    <w:right w:w="28" w:type="dxa"/>
                  </w:tcMar>
                  <w:vAlign w:val="center"/>
                </w:tcPr>
                <w:p w14:paraId="1BE25F7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搅拌粉尘</w:t>
                  </w:r>
                </w:p>
              </w:tc>
              <w:tc>
                <w:tcPr>
                  <w:tcW w:w="564" w:type="dxa"/>
                  <w:tcMar>
                    <w:left w:w="28" w:type="dxa"/>
                    <w:right w:w="28" w:type="dxa"/>
                  </w:tcMar>
                  <w:vAlign w:val="center"/>
                </w:tcPr>
                <w:p w14:paraId="1DB46527">
                  <w:pPr>
                    <w:pStyle w:val="46"/>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无组织</w:t>
                  </w:r>
                </w:p>
              </w:tc>
              <w:tc>
                <w:tcPr>
                  <w:tcW w:w="763" w:type="dxa"/>
                  <w:tcMar>
                    <w:left w:w="28" w:type="dxa"/>
                    <w:right w:w="28" w:type="dxa"/>
                  </w:tcMar>
                  <w:vAlign w:val="center"/>
                </w:tcPr>
                <w:p w14:paraId="00F2A4A8">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9#、10#</w:t>
                  </w:r>
                </w:p>
              </w:tc>
              <w:tc>
                <w:tcPr>
                  <w:tcW w:w="790" w:type="dxa"/>
                  <w:gridSpan w:val="2"/>
                  <w:tcMar>
                    <w:left w:w="28" w:type="dxa"/>
                    <w:right w:w="28" w:type="dxa"/>
                  </w:tcMar>
                  <w:vAlign w:val="center"/>
                </w:tcPr>
                <w:p w14:paraId="3317F40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775" w:type="dxa"/>
                  <w:tcMar>
                    <w:left w:w="28" w:type="dxa"/>
                    <w:right w:w="28" w:type="dxa"/>
                  </w:tcMar>
                  <w:vAlign w:val="center"/>
                </w:tcPr>
                <w:p w14:paraId="1BD7E03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5200</w:t>
                  </w:r>
                </w:p>
              </w:tc>
              <w:tc>
                <w:tcPr>
                  <w:tcW w:w="585" w:type="dxa"/>
                  <w:tcMar>
                    <w:left w:w="28" w:type="dxa"/>
                    <w:right w:w="28" w:type="dxa"/>
                  </w:tcMar>
                  <w:vAlign w:val="center"/>
                </w:tcPr>
                <w:p w14:paraId="2B52F459">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95.55</w:t>
                  </w:r>
                </w:p>
              </w:tc>
              <w:tc>
                <w:tcPr>
                  <w:tcW w:w="1458" w:type="dxa"/>
                  <w:gridSpan w:val="2"/>
                  <w:tcMar>
                    <w:left w:w="28" w:type="dxa"/>
                    <w:right w:w="28" w:type="dxa"/>
                  </w:tcMar>
                  <w:vAlign w:val="center"/>
                </w:tcPr>
                <w:p w14:paraId="7A924A67">
                  <w:pPr>
                    <w:pStyle w:val="46"/>
                    <w:jc w:val="center"/>
                    <w:rPr>
                      <w:rFonts w:hint="default" w:ascii="Times New Roman" w:hAnsi="Times New Roman" w:cs="Times New Roman"/>
                      <w:color w:val="auto"/>
                      <w:sz w:val="21"/>
                      <w:szCs w:val="21"/>
                      <w:highlight w:val="none"/>
                    </w:rPr>
                  </w:pPr>
                  <w:r>
                    <w:rPr>
                      <w:rFonts w:hint="eastAsia"/>
                      <w:color w:val="auto"/>
                      <w:sz w:val="21"/>
                      <w:szCs w:val="21"/>
                    </w:rPr>
                    <w:t>搅拌主机全封闭</w:t>
                  </w:r>
                  <w:r>
                    <w:rPr>
                      <w:rFonts w:hint="eastAsia"/>
                      <w:color w:val="auto"/>
                      <w:sz w:val="21"/>
                      <w:szCs w:val="21"/>
                      <w:lang w:val="en-US" w:eastAsia="zh-CN"/>
                    </w:rPr>
                    <w:t>+</w:t>
                  </w:r>
                  <w:r>
                    <w:rPr>
                      <w:rFonts w:hint="default" w:ascii="Times New Roman" w:hAnsi="Times New Roman" w:cs="Times New Roman"/>
                      <w:color w:val="auto"/>
                      <w:sz w:val="21"/>
                      <w:szCs w:val="21"/>
                      <w:highlight w:val="none"/>
                    </w:rPr>
                    <w:t>袋式除尘器</w:t>
                  </w:r>
                </w:p>
              </w:tc>
              <w:tc>
                <w:tcPr>
                  <w:tcW w:w="695" w:type="dxa"/>
                  <w:gridSpan w:val="2"/>
                  <w:tcMar>
                    <w:left w:w="28" w:type="dxa"/>
                    <w:right w:w="28" w:type="dxa"/>
                  </w:tcMar>
                  <w:vAlign w:val="center"/>
                </w:tcPr>
                <w:p w14:paraId="23BAA927">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r>
                    <w:rPr>
                      <w:rFonts w:hint="eastAsia" w:cs="Times New Roman"/>
                      <w:color w:val="auto"/>
                      <w:sz w:val="21"/>
                      <w:szCs w:val="21"/>
                      <w:highlight w:val="none"/>
                      <w:lang w:val="en-US" w:eastAsia="zh-CN"/>
                    </w:rPr>
                    <w:t>238</w:t>
                  </w:r>
                </w:p>
              </w:tc>
              <w:tc>
                <w:tcPr>
                  <w:tcW w:w="517" w:type="dxa"/>
                  <w:gridSpan w:val="2"/>
                  <w:tcMar>
                    <w:left w:w="28" w:type="dxa"/>
                    <w:right w:w="28" w:type="dxa"/>
                  </w:tcMar>
                  <w:vAlign w:val="center"/>
                </w:tcPr>
                <w:p w14:paraId="260F95B3">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0.</w:t>
                  </w:r>
                  <w:r>
                    <w:rPr>
                      <w:rFonts w:hint="eastAsia" w:cs="Times New Roman"/>
                      <w:color w:val="auto"/>
                      <w:highlight w:val="none"/>
                      <w:lang w:val="en-US" w:eastAsia="zh-CN"/>
                    </w:rPr>
                    <w:t>286</w:t>
                  </w:r>
                </w:p>
              </w:tc>
              <w:tc>
                <w:tcPr>
                  <w:tcW w:w="1034" w:type="dxa"/>
                  <w:gridSpan w:val="2"/>
                  <w:vMerge w:val="continue"/>
                  <w:tcMar>
                    <w:left w:w="28" w:type="dxa"/>
                    <w:right w:w="28" w:type="dxa"/>
                  </w:tcMar>
                  <w:vAlign w:val="center"/>
                </w:tcPr>
                <w:p w14:paraId="00C1B853">
                  <w:pPr>
                    <w:pStyle w:val="46"/>
                    <w:jc w:val="center"/>
                    <w:rPr>
                      <w:rFonts w:hint="default" w:ascii="Times New Roman" w:hAnsi="Times New Roman" w:cs="Times New Roman"/>
                      <w:color w:val="auto"/>
                      <w:sz w:val="21"/>
                      <w:szCs w:val="21"/>
                      <w:highlight w:val="none"/>
                    </w:rPr>
                  </w:pPr>
                </w:p>
              </w:tc>
            </w:tr>
            <w:tr w14:paraId="31D332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6456" w:type="dxa"/>
                  <w:gridSpan w:val="12"/>
                  <w:tcMar>
                    <w:left w:w="28" w:type="dxa"/>
                    <w:right w:w="28" w:type="dxa"/>
                  </w:tcMar>
                  <w:vAlign w:val="center"/>
                </w:tcPr>
                <w:p w14:paraId="388F163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w:t>
                  </w:r>
                </w:p>
              </w:tc>
              <w:tc>
                <w:tcPr>
                  <w:tcW w:w="1627" w:type="dxa"/>
                  <w:gridSpan w:val="5"/>
                  <w:tcMar>
                    <w:left w:w="28" w:type="dxa"/>
                    <w:right w:w="28" w:type="dxa"/>
                  </w:tcMar>
                  <w:vAlign w:val="center"/>
                </w:tcPr>
                <w:p w14:paraId="236C9B4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排放量（t/a）</w:t>
                  </w:r>
                </w:p>
              </w:tc>
            </w:tr>
            <w:tr w14:paraId="04F257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2147" w:type="dxa"/>
                  <w:gridSpan w:val="4"/>
                  <w:tcMar>
                    <w:left w:w="28" w:type="dxa"/>
                    <w:right w:w="28" w:type="dxa"/>
                  </w:tcMar>
                  <w:vAlign w:val="center"/>
                </w:tcPr>
                <w:p w14:paraId="226BE5F2">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有组织</w:t>
                  </w:r>
                </w:p>
              </w:tc>
              <w:tc>
                <w:tcPr>
                  <w:tcW w:w="4309" w:type="dxa"/>
                  <w:gridSpan w:val="8"/>
                  <w:vMerge w:val="restart"/>
                  <w:tcMar>
                    <w:left w:w="28" w:type="dxa"/>
                    <w:right w:w="28" w:type="dxa"/>
                  </w:tcMar>
                  <w:vAlign w:val="center"/>
                </w:tcPr>
                <w:p w14:paraId="4B49F6F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1627" w:type="dxa"/>
                  <w:gridSpan w:val="5"/>
                  <w:tcMar>
                    <w:left w:w="28" w:type="dxa"/>
                    <w:right w:w="28" w:type="dxa"/>
                  </w:tcMar>
                  <w:vAlign w:val="center"/>
                </w:tcPr>
                <w:p w14:paraId="5690DFC8">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r>
                    <w:rPr>
                      <w:rFonts w:hint="eastAsia" w:cs="Times New Roman"/>
                      <w:color w:val="auto"/>
                      <w:sz w:val="21"/>
                      <w:szCs w:val="21"/>
                      <w:highlight w:val="none"/>
                      <w:lang w:val="en-US" w:eastAsia="zh-CN"/>
                    </w:rPr>
                    <w:t>.26</w:t>
                  </w:r>
                </w:p>
              </w:tc>
            </w:tr>
            <w:tr w14:paraId="0864C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2147" w:type="dxa"/>
                  <w:gridSpan w:val="4"/>
                  <w:tcMar>
                    <w:left w:w="28" w:type="dxa"/>
                    <w:right w:w="28" w:type="dxa"/>
                  </w:tcMar>
                  <w:vAlign w:val="center"/>
                </w:tcPr>
                <w:p w14:paraId="76A91665">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无组织</w:t>
                  </w:r>
                </w:p>
              </w:tc>
              <w:tc>
                <w:tcPr>
                  <w:tcW w:w="4309" w:type="dxa"/>
                  <w:gridSpan w:val="8"/>
                  <w:vMerge w:val="continue"/>
                  <w:tcMar>
                    <w:left w:w="28" w:type="dxa"/>
                    <w:right w:w="28" w:type="dxa"/>
                  </w:tcMar>
                  <w:vAlign w:val="center"/>
                </w:tcPr>
                <w:p w14:paraId="0B3B76D3">
                  <w:pPr>
                    <w:pStyle w:val="46"/>
                    <w:jc w:val="center"/>
                    <w:rPr>
                      <w:rFonts w:hint="default" w:ascii="Times New Roman" w:hAnsi="Times New Roman" w:cs="Times New Roman"/>
                      <w:color w:val="auto"/>
                      <w:sz w:val="21"/>
                      <w:szCs w:val="21"/>
                      <w:highlight w:val="none"/>
                    </w:rPr>
                  </w:pPr>
                </w:p>
              </w:tc>
              <w:tc>
                <w:tcPr>
                  <w:tcW w:w="1627" w:type="dxa"/>
                  <w:gridSpan w:val="5"/>
                  <w:tcMar>
                    <w:left w:w="28" w:type="dxa"/>
                    <w:right w:w="28" w:type="dxa"/>
                  </w:tcMar>
                  <w:vAlign w:val="center"/>
                </w:tcPr>
                <w:p w14:paraId="545BE506">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36.066</w:t>
                  </w:r>
                </w:p>
              </w:tc>
            </w:tr>
          </w:tbl>
          <w:p w14:paraId="3C8D358D">
            <w:pPr>
              <w:ind w:firstLine="482"/>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（2）非正常工况</w:t>
            </w:r>
          </w:p>
          <w:p w14:paraId="7528585E">
            <w:pPr>
              <w:ind w:firstLine="482"/>
              <w:rPr>
                <w:rFonts w:hint="default" w:ascii="Times New Roman" w:hAnsi="Times New Roman" w:cs="Times New Roman"/>
                <w:b/>
                <w:bCs/>
                <w:color w:val="auto"/>
                <w:highlight w:val="none"/>
              </w:rPr>
            </w:pPr>
            <w:r>
              <w:rPr>
                <w:rFonts w:hint="default" w:ascii="Times New Roman" w:hAnsi="Times New Roman" w:eastAsia="宋体" w:cs="Times New Roman"/>
                <w:color w:val="auto"/>
                <w:sz w:val="24"/>
                <w:szCs w:val="24"/>
                <w:highlight w:val="none"/>
                <w:lang w:val="en-US" w:eastAsia="zh-CN"/>
              </w:rPr>
              <w:t>本项目非正常排放主要考虑除尘系统出现故障时，引起高浓度污染物排放。非正常排放时间一年发生的次数按5次计，一次持续时间为1h。评价考虑环保设备故障时处理效率降至30%，发生一般事故时，在设备运行的同时进行抢修，如废气处理系统必须停止运行，则立即通知生产车间停止生产。非正常工况下废气污染物排放情况详见表4-7。</w:t>
            </w:r>
          </w:p>
          <w:p w14:paraId="4E3A8E07">
            <w:pPr>
              <w:pStyle w:val="27"/>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表4-7    非正常工况废气排放情况</w:t>
            </w:r>
          </w:p>
          <w:tbl>
            <w:tblPr>
              <w:tblStyle w:val="23"/>
              <w:tblW w:w="4943"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779"/>
              <w:gridCol w:w="1558"/>
              <w:gridCol w:w="856"/>
              <w:gridCol w:w="1078"/>
              <w:gridCol w:w="1476"/>
              <w:gridCol w:w="1980"/>
            </w:tblGrid>
            <w:tr w14:paraId="43B8BD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4" w:hRule="atLeast"/>
              </w:trPr>
              <w:tc>
                <w:tcPr>
                  <w:tcW w:w="2337" w:type="dxa"/>
                  <w:gridSpan w:val="2"/>
                  <w:vMerge w:val="restart"/>
                  <w:tcBorders>
                    <w:tl2br w:val="nil"/>
                    <w:tr2bl w:val="nil"/>
                  </w:tcBorders>
                  <w:shd w:val="clear" w:color="auto" w:fill="auto"/>
                  <w:vAlign w:val="center"/>
                </w:tcPr>
                <w:p w14:paraId="26BCD929">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污染源</w:t>
                  </w:r>
                </w:p>
              </w:tc>
              <w:tc>
                <w:tcPr>
                  <w:tcW w:w="856" w:type="dxa"/>
                  <w:vMerge w:val="restart"/>
                  <w:tcBorders>
                    <w:tl2br w:val="nil"/>
                    <w:tr2bl w:val="nil"/>
                  </w:tcBorders>
                  <w:shd w:val="clear" w:color="auto" w:fill="auto"/>
                  <w:vAlign w:val="center"/>
                </w:tcPr>
                <w:p w14:paraId="4441EC63">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排放方式</w:t>
                  </w:r>
                </w:p>
              </w:tc>
              <w:tc>
                <w:tcPr>
                  <w:tcW w:w="1078" w:type="dxa"/>
                  <w:vMerge w:val="restart"/>
                  <w:tcBorders>
                    <w:tl2br w:val="nil"/>
                    <w:tr2bl w:val="nil"/>
                  </w:tcBorders>
                  <w:shd w:val="clear" w:color="auto" w:fill="auto"/>
                  <w:vAlign w:val="center"/>
                </w:tcPr>
                <w:p w14:paraId="296CCADF">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污染因子</w:t>
                  </w:r>
                </w:p>
              </w:tc>
              <w:tc>
                <w:tcPr>
                  <w:tcW w:w="3456" w:type="dxa"/>
                  <w:gridSpan w:val="2"/>
                  <w:tcBorders>
                    <w:tl2br w:val="nil"/>
                    <w:tr2bl w:val="nil"/>
                  </w:tcBorders>
                  <w:shd w:val="clear" w:color="auto" w:fill="auto"/>
                  <w:vAlign w:val="center"/>
                </w:tcPr>
                <w:p w14:paraId="0C3AC636">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污染物产生情况</w:t>
                  </w:r>
                </w:p>
              </w:tc>
            </w:tr>
            <w:tr w14:paraId="641008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2337" w:type="dxa"/>
                  <w:gridSpan w:val="2"/>
                  <w:vMerge w:val="continue"/>
                  <w:tcBorders>
                    <w:tl2br w:val="nil"/>
                    <w:tr2bl w:val="nil"/>
                  </w:tcBorders>
                  <w:shd w:val="clear" w:color="auto" w:fill="auto"/>
                  <w:vAlign w:val="center"/>
                </w:tcPr>
                <w:p w14:paraId="4541398F">
                  <w:pPr>
                    <w:pStyle w:val="46"/>
                    <w:jc w:val="center"/>
                    <w:rPr>
                      <w:rFonts w:hint="default" w:ascii="Times New Roman" w:hAnsi="Times New Roman" w:eastAsia="宋体" w:cs="Times New Roman"/>
                      <w:color w:val="auto"/>
                      <w:sz w:val="21"/>
                      <w:szCs w:val="21"/>
                      <w:highlight w:val="none"/>
                    </w:rPr>
                  </w:pPr>
                </w:p>
              </w:tc>
              <w:tc>
                <w:tcPr>
                  <w:tcW w:w="856" w:type="dxa"/>
                  <w:vMerge w:val="continue"/>
                  <w:tcBorders>
                    <w:tl2br w:val="nil"/>
                    <w:tr2bl w:val="nil"/>
                  </w:tcBorders>
                  <w:shd w:val="clear" w:color="auto" w:fill="auto"/>
                  <w:vAlign w:val="center"/>
                </w:tcPr>
                <w:p w14:paraId="79F5240C">
                  <w:pPr>
                    <w:pStyle w:val="46"/>
                    <w:jc w:val="center"/>
                    <w:rPr>
                      <w:rFonts w:hint="default" w:ascii="Times New Roman" w:hAnsi="Times New Roman" w:eastAsia="宋体" w:cs="Times New Roman"/>
                      <w:color w:val="auto"/>
                      <w:sz w:val="21"/>
                      <w:szCs w:val="21"/>
                      <w:highlight w:val="none"/>
                    </w:rPr>
                  </w:pPr>
                </w:p>
              </w:tc>
              <w:tc>
                <w:tcPr>
                  <w:tcW w:w="1078" w:type="dxa"/>
                  <w:vMerge w:val="continue"/>
                  <w:tcBorders>
                    <w:tl2br w:val="nil"/>
                    <w:tr2bl w:val="nil"/>
                  </w:tcBorders>
                  <w:shd w:val="clear" w:color="auto" w:fill="auto"/>
                  <w:vAlign w:val="center"/>
                </w:tcPr>
                <w:p w14:paraId="0F7A08C9">
                  <w:pPr>
                    <w:pStyle w:val="46"/>
                    <w:jc w:val="center"/>
                    <w:rPr>
                      <w:rFonts w:hint="default" w:ascii="Times New Roman" w:hAnsi="Times New Roman" w:eastAsia="宋体" w:cs="Times New Roman"/>
                      <w:color w:val="auto"/>
                      <w:sz w:val="21"/>
                      <w:szCs w:val="21"/>
                      <w:highlight w:val="none"/>
                    </w:rPr>
                  </w:pPr>
                </w:p>
              </w:tc>
              <w:tc>
                <w:tcPr>
                  <w:tcW w:w="1476" w:type="dxa"/>
                  <w:tcBorders>
                    <w:tl2br w:val="nil"/>
                    <w:tr2bl w:val="nil"/>
                  </w:tcBorders>
                  <w:shd w:val="clear" w:color="auto" w:fill="auto"/>
                  <w:vAlign w:val="center"/>
                </w:tcPr>
                <w:p w14:paraId="1890E68D">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mg/m</w:t>
                  </w:r>
                  <w:r>
                    <w:rPr>
                      <w:rFonts w:hint="default" w:ascii="Times New Roman" w:hAnsi="Times New Roman" w:eastAsia="宋体" w:cs="Times New Roman"/>
                      <w:color w:val="auto"/>
                      <w:sz w:val="21"/>
                      <w:szCs w:val="21"/>
                      <w:highlight w:val="none"/>
                      <w:vertAlign w:val="superscript"/>
                      <w:lang w:val="en-US" w:eastAsia="zh-CN"/>
                    </w:rPr>
                    <w:t>3</w:t>
                  </w:r>
                </w:p>
              </w:tc>
              <w:tc>
                <w:tcPr>
                  <w:tcW w:w="1980" w:type="dxa"/>
                  <w:tcBorders>
                    <w:tl2br w:val="nil"/>
                    <w:tr2bl w:val="nil"/>
                  </w:tcBorders>
                  <w:shd w:val="clear" w:color="auto" w:fill="auto"/>
                  <w:vAlign w:val="center"/>
                </w:tcPr>
                <w:p w14:paraId="63E40659">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t/a</w:t>
                  </w:r>
                </w:p>
              </w:tc>
            </w:tr>
            <w:tr w14:paraId="3B1397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779" w:type="dxa"/>
                  <w:vMerge w:val="restart"/>
                  <w:tcBorders>
                    <w:tl2br w:val="nil"/>
                    <w:tr2bl w:val="nil"/>
                  </w:tcBorders>
                  <w:shd w:val="clear" w:color="auto" w:fill="auto"/>
                  <w:vAlign w:val="center"/>
                </w:tcPr>
                <w:p w14:paraId="22D77329">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筒仓呼吸孔</w:t>
                  </w:r>
                </w:p>
              </w:tc>
              <w:tc>
                <w:tcPr>
                  <w:tcW w:w="1558" w:type="dxa"/>
                  <w:tcBorders>
                    <w:tl2br w:val="nil"/>
                    <w:tr2bl w:val="nil"/>
                  </w:tcBorders>
                  <w:shd w:val="clear" w:color="auto" w:fill="auto"/>
                  <w:vAlign w:val="center"/>
                </w:tcPr>
                <w:p w14:paraId="675BD42E">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水泥筒仓</w:t>
                  </w:r>
                </w:p>
              </w:tc>
              <w:tc>
                <w:tcPr>
                  <w:tcW w:w="856" w:type="dxa"/>
                  <w:vMerge w:val="restart"/>
                  <w:tcBorders>
                    <w:tl2br w:val="nil"/>
                    <w:tr2bl w:val="nil"/>
                  </w:tcBorders>
                  <w:shd w:val="clear" w:color="auto" w:fill="auto"/>
                  <w:vAlign w:val="center"/>
                </w:tcPr>
                <w:p w14:paraId="74763742">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有组织</w:t>
                  </w:r>
                </w:p>
              </w:tc>
              <w:tc>
                <w:tcPr>
                  <w:tcW w:w="1078" w:type="dxa"/>
                  <w:tcBorders>
                    <w:tl2br w:val="nil"/>
                    <w:tr2bl w:val="nil"/>
                  </w:tcBorders>
                  <w:shd w:val="clear" w:color="auto" w:fill="auto"/>
                  <w:vAlign w:val="center"/>
                </w:tcPr>
                <w:p w14:paraId="3FA3CFC2">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颗粒物</w:t>
                  </w:r>
                </w:p>
              </w:tc>
              <w:tc>
                <w:tcPr>
                  <w:tcW w:w="1476" w:type="dxa"/>
                  <w:tcBorders>
                    <w:tl2br w:val="nil"/>
                    <w:tr2bl w:val="nil"/>
                  </w:tcBorders>
                  <w:shd w:val="clear" w:color="auto" w:fill="auto"/>
                  <w:vAlign w:val="center"/>
                </w:tcPr>
                <w:p w14:paraId="1801A6BE">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5454.55</w:t>
                  </w:r>
                </w:p>
              </w:tc>
              <w:tc>
                <w:tcPr>
                  <w:tcW w:w="1980" w:type="dxa"/>
                  <w:vMerge w:val="restart"/>
                  <w:tcBorders>
                    <w:tl2br w:val="nil"/>
                    <w:tr2bl w:val="nil"/>
                  </w:tcBorders>
                  <w:shd w:val="clear" w:color="auto" w:fill="auto"/>
                  <w:vAlign w:val="center"/>
                </w:tcPr>
                <w:p w14:paraId="03511D60">
                  <w:pPr>
                    <w:pStyle w:val="46"/>
                    <w:jc w:val="center"/>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0.37</w:t>
                  </w:r>
                </w:p>
              </w:tc>
            </w:tr>
            <w:tr w14:paraId="470D37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779" w:type="dxa"/>
                  <w:vMerge w:val="continue"/>
                  <w:tcBorders>
                    <w:tl2br w:val="nil"/>
                    <w:tr2bl w:val="nil"/>
                  </w:tcBorders>
                  <w:shd w:val="clear" w:color="auto" w:fill="auto"/>
                  <w:vAlign w:val="center"/>
                </w:tcPr>
                <w:p w14:paraId="0E1288AE">
                  <w:pPr>
                    <w:pStyle w:val="46"/>
                    <w:jc w:val="center"/>
                    <w:rPr>
                      <w:rFonts w:hint="default" w:ascii="Times New Roman" w:hAnsi="Times New Roman" w:eastAsia="宋体" w:cs="Times New Roman"/>
                      <w:color w:val="auto"/>
                      <w:sz w:val="21"/>
                      <w:szCs w:val="21"/>
                      <w:highlight w:val="none"/>
                    </w:rPr>
                  </w:pPr>
                </w:p>
              </w:tc>
              <w:tc>
                <w:tcPr>
                  <w:tcW w:w="1558" w:type="dxa"/>
                  <w:tcBorders>
                    <w:tl2br w:val="nil"/>
                    <w:tr2bl w:val="nil"/>
                  </w:tcBorders>
                  <w:shd w:val="clear" w:color="auto" w:fill="auto"/>
                  <w:vAlign w:val="center"/>
                </w:tcPr>
                <w:p w14:paraId="60813AEF">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粉煤灰筒仓</w:t>
                  </w:r>
                </w:p>
              </w:tc>
              <w:tc>
                <w:tcPr>
                  <w:tcW w:w="856" w:type="dxa"/>
                  <w:vMerge w:val="continue"/>
                  <w:tcBorders>
                    <w:tl2br w:val="nil"/>
                    <w:tr2bl w:val="nil"/>
                  </w:tcBorders>
                  <w:shd w:val="clear" w:color="auto" w:fill="auto"/>
                  <w:vAlign w:val="center"/>
                </w:tcPr>
                <w:p w14:paraId="4D44F051">
                  <w:pPr>
                    <w:pStyle w:val="46"/>
                    <w:jc w:val="center"/>
                    <w:rPr>
                      <w:rFonts w:hint="default" w:ascii="Times New Roman" w:hAnsi="Times New Roman" w:eastAsia="宋体" w:cs="Times New Roman"/>
                      <w:color w:val="auto"/>
                      <w:sz w:val="21"/>
                      <w:szCs w:val="21"/>
                      <w:highlight w:val="none"/>
                    </w:rPr>
                  </w:pPr>
                </w:p>
              </w:tc>
              <w:tc>
                <w:tcPr>
                  <w:tcW w:w="1078" w:type="dxa"/>
                  <w:tcBorders>
                    <w:tl2br w:val="nil"/>
                    <w:tr2bl w:val="nil"/>
                  </w:tcBorders>
                  <w:shd w:val="clear" w:color="auto" w:fill="auto"/>
                  <w:vAlign w:val="center"/>
                </w:tcPr>
                <w:p w14:paraId="0B4A3B02">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颗粒物</w:t>
                  </w:r>
                </w:p>
              </w:tc>
              <w:tc>
                <w:tcPr>
                  <w:tcW w:w="1476" w:type="dxa"/>
                  <w:tcBorders>
                    <w:tl2br w:val="nil"/>
                    <w:tr2bl w:val="nil"/>
                  </w:tcBorders>
                  <w:shd w:val="clear" w:color="auto" w:fill="auto"/>
                  <w:vAlign w:val="center"/>
                </w:tcPr>
                <w:p w14:paraId="68D47B94">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5454.55</w:t>
                  </w:r>
                </w:p>
              </w:tc>
              <w:tc>
                <w:tcPr>
                  <w:tcW w:w="1980" w:type="dxa"/>
                  <w:vMerge w:val="continue"/>
                  <w:tcBorders>
                    <w:tl2br w:val="nil"/>
                    <w:tr2bl w:val="nil"/>
                  </w:tcBorders>
                  <w:shd w:val="clear" w:color="auto" w:fill="auto"/>
                  <w:vAlign w:val="center"/>
                </w:tcPr>
                <w:p w14:paraId="16A940A2">
                  <w:pPr>
                    <w:pStyle w:val="46"/>
                    <w:jc w:val="center"/>
                    <w:rPr>
                      <w:rFonts w:hint="default" w:ascii="Times New Roman" w:hAnsi="Times New Roman" w:eastAsia="宋体" w:cs="Times New Roman"/>
                      <w:color w:val="auto"/>
                      <w:sz w:val="21"/>
                      <w:szCs w:val="21"/>
                      <w:highlight w:val="none"/>
                    </w:rPr>
                  </w:pPr>
                </w:p>
              </w:tc>
            </w:tr>
            <w:tr w14:paraId="4D1BB7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2337" w:type="dxa"/>
                  <w:gridSpan w:val="2"/>
                  <w:tcBorders>
                    <w:tl2br w:val="nil"/>
                    <w:tr2bl w:val="nil"/>
                  </w:tcBorders>
                  <w:shd w:val="clear" w:color="auto" w:fill="auto"/>
                  <w:vAlign w:val="center"/>
                </w:tcPr>
                <w:p w14:paraId="34EF7EE3">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搅拌粉尘</w:t>
                  </w:r>
                </w:p>
              </w:tc>
              <w:tc>
                <w:tcPr>
                  <w:tcW w:w="856" w:type="dxa"/>
                  <w:tcBorders>
                    <w:tl2br w:val="nil"/>
                    <w:tr2bl w:val="nil"/>
                  </w:tcBorders>
                  <w:shd w:val="clear" w:color="auto" w:fill="auto"/>
                  <w:vAlign w:val="center"/>
                </w:tcPr>
                <w:p w14:paraId="084821A0">
                  <w:pPr>
                    <w:pStyle w:val="46"/>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无</w:t>
                  </w:r>
                  <w:r>
                    <w:rPr>
                      <w:rFonts w:hint="default" w:ascii="Times New Roman" w:hAnsi="Times New Roman" w:eastAsia="宋体" w:cs="Times New Roman"/>
                      <w:color w:val="auto"/>
                      <w:sz w:val="21"/>
                      <w:szCs w:val="21"/>
                      <w:highlight w:val="none"/>
                      <w:lang w:val="en-US" w:eastAsia="zh-CN"/>
                    </w:rPr>
                    <w:t>组织</w:t>
                  </w:r>
                </w:p>
              </w:tc>
              <w:tc>
                <w:tcPr>
                  <w:tcW w:w="1078" w:type="dxa"/>
                  <w:tcBorders>
                    <w:tl2br w:val="nil"/>
                    <w:tr2bl w:val="nil"/>
                  </w:tcBorders>
                  <w:shd w:val="clear" w:color="auto" w:fill="auto"/>
                  <w:vAlign w:val="center"/>
                </w:tcPr>
                <w:p w14:paraId="1D580227">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颗粒物</w:t>
                  </w:r>
                </w:p>
              </w:tc>
              <w:tc>
                <w:tcPr>
                  <w:tcW w:w="1476" w:type="dxa"/>
                  <w:tcBorders>
                    <w:tl2br w:val="nil"/>
                    <w:tr2bl w:val="nil"/>
                  </w:tcBorders>
                  <w:shd w:val="clear" w:color="auto" w:fill="auto"/>
                  <w:vAlign w:val="center"/>
                </w:tcPr>
                <w:p w14:paraId="6C54205C">
                  <w:pPr>
                    <w:pStyle w:val="4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5200</w:t>
                  </w:r>
                </w:p>
              </w:tc>
              <w:tc>
                <w:tcPr>
                  <w:tcW w:w="1980" w:type="dxa"/>
                  <w:tcBorders>
                    <w:tl2br w:val="nil"/>
                    <w:tr2bl w:val="nil"/>
                  </w:tcBorders>
                  <w:shd w:val="clear" w:color="auto" w:fill="auto"/>
                  <w:vAlign w:val="center"/>
                </w:tcPr>
                <w:p w14:paraId="1DD26832">
                  <w:pPr>
                    <w:pStyle w:val="46"/>
                    <w:jc w:val="center"/>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0.4</w:t>
                  </w:r>
                </w:p>
              </w:tc>
            </w:tr>
          </w:tbl>
          <w:p w14:paraId="42A04F9E">
            <w:pPr>
              <w:ind w:firstLine="480"/>
              <w:rPr>
                <w:rFonts w:hint="default" w:ascii="Times New Roman" w:hAnsi="Times New Roman" w:cs="Times New Roman"/>
                <w:color w:val="auto"/>
                <w:highlight w:val="none"/>
                <w:lang w:val="zh-CN"/>
              </w:rPr>
            </w:pPr>
            <w:r>
              <w:rPr>
                <w:rFonts w:hint="default" w:ascii="Times New Roman" w:hAnsi="Times New Roman" w:cs="Times New Roman"/>
                <w:color w:val="auto"/>
                <w:highlight w:val="none"/>
                <w:lang w:val="zh-CN"/>
              </w:rPr>
              <w:t>本项目废气产生源废气污染物排放量均较小，且配备了技术可行的废气处理装置，车间可密闭，废气捕集效率高，废气经收集处理后排放；在正常工况下，项目采取的污染防治措施技术可行，可以实现污染物的稳定达标排放，且项目距离敏感目标较远，非正常工况下，通过立即停产，加强管理等措施，可减小对周围环境影响。综上，本项目在严格落实各项</w:t>
            </w:r>
            <w:r>
              <w:rPr>
                <w:rFonts w:hint="eastAsia" w:cs="Times New Roman"/>
                <w:color w:val="auto"/>
                <w:highlight w:val="none"/>
                <w:lang w:val="zh-CN"/>
              </w:rPr>
              <w:t>大气污染治理</w:t>
            </w:r>
            <w:r>
              <w:rPr>
                <w:rFonts w:hint="default" w:ascii="Times New Roman" w:hAnsi="Times New Roman" w:cs="Times New Roman"/>
                <w:color w:val="auto"/>
                <w:highlight w:val="none"/>
                <w:lang w:val="zh-CN"/>
              </w:rPr>
              <w:t>措施、制定完善的环境管理制度并有效执行的前提下，本项目废气排放对周边环境影响可接受。</w:t>
            </w:r>
          </w:p>
          <w:p w14:paraId="4FF5A794">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二、水环境影响分析</w:t>
            </w:r>
          </w:p>
          <w:p w14:paraId="0A302268">
            <w:pPr>
              <w:ind w:firstLine="480"/>
              <w:rPr>
                <w:rFonts w:hint="default" w:ascii="Times New Roman" w:hAnsi="Times New Roman" w:cs="Times New Roman"/>
                <w:color w:val="auto"/>
                <w:highlight w:val="none"/>
                <w:lang w:val="zh-CN"/>
              </w:rPr>
            </w:pPr>
            <w:r>
              <w:rPr>
                <w:rFonts w:hint="default" w:ascii="Times New Roman" w:hAnsi="Times New Roman" w:cs="Times New Roman"/>
                <w:color w:val="auto"/>
                <w:highlight w:val="none"/>
                <w:lang w:val="zh-CN"/>
              </w:rPr>
              <w:t>项目用水量主要为混凝土配制用水（生产工艺用水）、设备清洗用水、场地冲洗用水和生活用水。项目生产工艺用水全部进入产品，不产生废水。</w:t>
            </w:r>
            <w:r>
              <w:rPr>
                <w:rFonts w:hint="eastAsia" w:cs="Times New Roman"/>
                <w:color w:val="auto"/>
                <w:highlight w:val="none"/>
                <w:lang w:val="zh-CN"/>
              </w:rPr>
              <w:t>项目洗砂水循环使用，</w:t>
            </w:r>
            <w:r>
              <w:rPr>
                <w:rFonts w:hint="default" w:ascii="Times New Roman" w:hAnsi="Times New Roman" w:cs="Times New Roman"/>
                <w:color w:val="auto"/>
                <w:highlight w:val="none"/>
                <w:lang w:val="zh-CN"/>
              </w:rPr>
              <w:t>不产生废水</w:t>
            </w:r>
            <w:r>
              <w:rPr>
                <w:rFonts w:hint="eastAsia" w:cs="Times New Roman"/>
                <w:color w:val="auto"/>
                <w:highlight w:val="none"/>
                <w:lang w:val="zh-CN"/>
              </w:rPr>
              <w:t>。</w:t>
            </w:r>
          </w:p>
          <w:p w14:paraId="05A3B9F5">
            <w:pPr>
              <w:ind w:firstLine="482"/>
              <w:rPr>
                <w:rFonts w:hint="default" w:ascii="Times New Roman" w:hAnsi="Times New Roman" w:cs="Times New Roman"/>
                <w:b/>
                <w:bCs/>
                <w:color w:val="auto"/>
                <w:highlight w:val="none"/>
                <w:lang w:val="zh-CN"/>
              </w:rPr>
            </w:pPr>
            <w:r>
              <w:rPr>
                <w:rFonts w:hint="default" w:ascii="Times New Roman" w:hAnsi="Times New Roman" w:cs="Times New Roman"/>
                <w:b/>
                <w:bCs/>
                <w:color w:val="auto"/>
                <w:highlight w:val="none"/>
              </w:rPr>
              <w:t>1.</w:t>
            </w:r>
            <w:r>
              <w:rPr>
                <w:rFonts w:hint="default" w:ascii="Times New Roman" w:hAnsi="Times New Roman" w:cs="Times New Roman"/>
                <w:b/>
                <w:bCs/>
                <w:color w:val="auto"/>
                <w:highlight w:val="none"/>
                <w:lang w:val="zh-CN"/>
              </w:rPr>
              <w:t>生产废水</w:t>
            </w:r>
          </w:p>
          <w:p w14:paraId="2DD89A27">
            <w:pPr>
              <w:ind w:firstLine="480"/>
              <w:rPr>
                <w:rFonts w:hint="default" w:ascii="Times New Roman" w:hAnsi="Times New Roman" w:cs="Times New Roman"/>
                <w:color w:val="auto"/>
                <w:highlight w:val="none"/>
                <w:lang w:val="zh-CN"/>
              </w:rPr>
            </w:pPr>
            <w:r>
              <w:rPr>
                <w:rFonts w:hint="default" w:ascii="Times New Roman" w:hAnsi="Times New Roman" w:cs="Times New Roman"/>
                <w:color w:val="auto"/>
                <w:highlight w:val="none"/>
                <w:lang w:val="zh-CN"/>
              </w:rPr>
              <w:t>生产废水包括设备清洗废水和场地冲洗废水。根据前述水平衡分析，设备清洗废水和场地冲洗废水产生量为</w:t>
            </w:r>
            <w:r>
              <w:rPr>
                <w:rFonts w:hint="default" w:ascii="Times New Roman" w:hAnsi="Times New Roman" w:cs="Times New Roman"/>
                <w:color w:val="auto"/>
                <w:highlight w:val="none"/>
              </w:rPr>
              <w:t>3.2</w:t>
            </w:r>
            <w:r>
              <w:rPr>
                <w:rFonts w:hint="default" w:ascii="Times New Roman" w:hAnsi="Times New Roman" w:cs="Times New Roman"/>
                <w:color w:val="auto"/>
                <w:highlight w:val="none"/>
                <w:lang w:val="zh-CN"/>
              </w:rPr>
              <w:t>m</w:t>
            </w:r>
            <w:r>
              <w:rPr>
                <w:rFonts w:hint="default" w:ascii="Times New Roman" w:hAnsi="Times New Roman" w:cs="Times New Roman"/>
                <w:color w:val="auto"/>
                <w:highlight w:val="none"/>
                <w:vertAlign w:val="superscript"/>
                <w:lang w:val="zh-CN"/>
              </w:rPr>
              <w:t>3</w:t>
            </w:r>
            <w:r>
              <w:rPr>
                <w:rFonts w:hint="default" w:ascii="Times New Roman" w:hAnsi="Times New Roman" w:cs="Times New Roman"/>
                <w:color w:val="auto"/>
                <w:highlight w:val="none"/>
                <w:lang w:val="zh-CN"/>
              </w:rPr>
              <w:t>/</w:t>
            </w:r>
            <w:r>
              <w:rPr>
                <w:rFonts w:hint="default" w:ascii="Times New Roman" w:hAnsi="Times New Roman" w:cs="Times New Roman"/>
                <w:color w:val="auto"/>
                <w:highlight w:val="none"/>
              </w:rPr>
              <w:t>d（480</w:t>
            </w:r>
            <w:r>
              <w:rPr>
                <w:rFonts w:hint="default" w:ascii="Times New Roman" w:hAnsi="Times New Roman" w:cs="Times New Roman"/>
                <w:color w:val="auto"/>
                <w:highlight w:val="none"/>
                <w:lang w:val="zh-CN"/>
              </w:rPr>
              <w:t>m</w:t>
            </w:r>
            <w:r>
              <w:rPr>
                <w:rFonts w:hint="default" w:ascii="Times New Roman" w:hAnsi="Times New Roman" w:cs="Times New Roman"/>
                <w:color w:val="auto"/>
                <w:highlight w:val="none"/>
                <w:vertAlign w:val="superscript"/>
                <w:lang w:val="zh-CN"/>
              </w:rPr>
              <w:t>3</w:t>
            </w:r>
            <w:r>
              <w:rPr>
                <w:rFonts w:hint="default" w:ascii="Times New Roman" w:hAnsi="Times New Roman" w:cs="Times New Roman"/>
                <w:color w:val="auto"/>
                <w:highlight w:val="none"/>
                <w:lang w:val="zh-CN"/>
              </w:rPr>
              <w:t>/</w:t>
            </w:r>
            <w:r>
              <w:rPr>
                <w:rFonts w:hint="default" w:ascii="Times New Roman" w:hAnsi="Times New Roman" w:cs="Times New Roman"/>
                <w:color w:val="auto"/>
                <w:highlight w:val="none"/>
              </w:rPr>
              <w:t>a）</w:t>
            </w:r>
            <w:r>
              <w:rPr>
                <w:rFonts w:hint="default" w:ascii="Times New Roman" w:hAnsi="Times New Roman" w:cs="Times New Roman"/>
                <w:color w:val="auto"/>
                <w:highlight w:val="none"/>
                <w:lang w:val="zh-CN"/>
              </w:rPr>
              <w:t>，生产废水中主要污染物为悬浮物。项目产生生产废水经沉淀池处理后上清水回用至生产用水。因此，产生的废水不外排，不会对环境产生不良影响。</w:t>
            </w:r>
          </w:p>
          <w:p w14:paraId="4257CA90">
            <w:pPr>
              <w:ind w:firstLine="482"/>
              <w:rPr>
                <w:rFonts w:hint="default" w:ascii="Times New Roman" w:hAnsi="Times New Roman" w:cs="Times New Roman"/>
                <w:b/>
                <w:bCs/>
                <w:color w:val="auto"/>
                <w:highlight w:val="none"/>
                <w:lang w:val="zh-CN"/>
              </w:rPr>
            </w:pPr>
            <w:r>
              <w:rPr>
                <w:rFonts w:hint="default" w:ascii="Times New Roman" w:hAnsi="Times New Roman" w:cs="Times New Roman"/>
                <w:b/>
                <w:bCs/>
                <w:color w:val="auto"/>
                <w:highlight w:val="none"/>
              </w:rPr>
              <w:t>2</w:t>
            </w:r>
            <w:r>
              <w:rPr>
                <w:rFonts w:hint="default" w:ascii="Times New Roman" w:hAnsi="Times New Roman" w:cs="Times New Roman"/>
                <w:b/>
                <w:bCs/>
                <w:color w:val="auto"/>
                <w:highlight w:val="none"/>
                <w:lang w:val="en-US" w:eastAsia="zh-CN"/>
              </w:rPr>
              <w:t>.</w:t>
            </w:r>
            <w:r>
              <w:rPr>
                <w:rFonts w:hint="default" w:ascii="Times New Roman" w:hAnsi="Times New Roman" w:cs="Times New Roman"/>
                <w:b/>
                <w:bCs/>
                <w:color w:val="auto"/>
                <w:highlight w:val="none"/>
                <w:lang w:val="zh-CN"/>
              </w:rPr>
              <w:t>生活污水</w:t>
            </w:r>
          </w:p>
          <w:p w14:paraId="60C8934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本项目劳动定员为5人，员工生活排水量为0.24m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/d（36m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/a）。生活污水污染物主要为COD、BOD</w:t>
            </w:r>
            <w:r>
              <w:rPr>
                <w:rFonts w:hint="default" w:ascii="Times New Roman" w:hAnsi="Times New Roman" w:cs="Times New Roman"/>
                <w:color w:val="auto"/>
                <w:highlight w:val="none"/>
                <w:vertAlign w:val="subscript"/>
              </w:rPr>
              <w:t>5</w:t>
            </w:r>
            <w:r>
              <w:rPr>
                <w:rFonts w:hint="default" w:ascii="Times New Roman" w:hAnsi="Times New Roman" w:cs="Times New Roman"/>
                <w:color w:val="auto"/>
                <w:highlight w:val="none"/>
              </w:rPr>
              <w:t>、SS、NH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-N。根据《给水排水设计手册（第六册）》，我国北方典型生活污水水质，确定项目生活污水产生浓度分别为COD 350mg/L，BOD</w:t>
            </w:r>
            <w:r>
              <w:rPr>
                <w:rFonts w:hint="default" w:ascii="Times New Roman" w:hAnsi="Times New Roman" w:cs="Times New Roman"/>
                <w:color w:val="auto"/>
                <w:highlight w:val="none"/>
                <w:vertAlign w:val="subscript"/>
              </w:rPr>
              <w:t xml:space="preserve">5 </w:t>
            </w:r>
            <w:r>
              <w:rPr>
                <w:rFonts w:hint="default" w:ascii="Times New Roman" w:hAnsi="Times New Roman" w:cs="Times New Roman"/>
                <w:color w:val="auto"/>
                <w:highlight w:val="none"/>
              </w:rPr>
              <w:t>240mg/L，SS 100mg/L，氨氮35mg/L。本项目污染物产排情况见下表。</w:t>
            </w:r>
          </w:p>
          <w:p w14:paraId="34E95306">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w:t>
            </w:r>
            <w:r>
              <w:rPr>
                <w:rFonts w:hint="default" w:ascii="Times New Roman" w:hAnsi="Times New Roman" w:cs="Times New Roman"/>
                <w:color w:val="auto"/>
                <w:highlight w:val="none"/>
                <w:lang w:val="en-US" w:eastAsia="zh-CN"/>
              </w:rPr>
              <w:t xml:space="preserve">8  </w:t>
            </w:r>
            <w:r>
              <w:rPr>
                <w:rFonts w:hint="default" w:ascii="Times New Roman" w:hAnsi="Times New Roman" w:cs="Times New Roman"/>
                <w:color w:val="auto"/>
                <w:highlight w:val="none"/>
              </w:rPr>
              <w:t>生活污水中各污染物产生浓度及产生量</w:t>
            </w:r>
          </w:p>
          <w:tbl>
            <w:tblPr>
              <w:tblStyle w:val="23"/>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562"/>
              <w:gridCol w:w="1563"/>
              <w:gridCol w:w="1563"/>
              <w:gridCol w:w="1563"/>
            </w:tblGrid>
            <w:tr w14:paraId="643696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560" w:type="dxa"/>
                  <w:vAlign w:val="center"/>
                </w:tcPr>
                <w:p w14:paraId="6BE98782">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废水量</w:t>
                  </w:r>
                </w:p>
              </w:tc>
              <w:tc>
                <w:tcPr>
                  <w:tcW w:w="1562" w:type="dxa"/>
                  <w:vAlign w:val="center"/>
                </w:tcPr>
                <w:p w14:paraId="5C72450D">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COD</w:t>
                  </w:r>
                </w:p>
              </w:tc>
              <w:tc>
                <w:tcPr>
                  <w:tcW w:w="1563" w:type="dxa"/>
                  <w:vAlign w:val="center"/>
                </w:tcPr>
                <w:p w14:paraId="5B05990E">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BOD</w:t>
                  </w:r>
                  <w:r>
                    <w:rPr>
                      <w:rFonts w:hint="default" w:ascii="Times New Roman" w:hAnsi="Times New Roman" w:cs="Times New Roman"/>
                      <w:b/>
                      <w:bCs/>
                      <w:color w:val="auto"/>
                      <w:highlight w:val="none"/>
                      <w:vertAlign w:val="subscript"/>
                    </w:rPr>
                    <w:t>5</w:t>
                  </w:r>
                </w:p>
              </w:tc>
              <w:tc>
                <w:tcPr>
                  <w:tcW w:w="1563" w:type="dxa"/>
                  <w:vAlign w:val="center"/>
                </w:tcPr>
                <w:p w14:paraId="3229AD7E">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SS</w:t>
                  </w:r>
                </w:p>
              </w:tc>
              <w:tc>
                <w:tcPr>
                  <w:tcW w:w="1563" w:type="dxa"/>
                  <w:vAlign w:val="center"/>
                </w:tcPr>
                <w:p w14:paraId="34980BE7">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NH</w:t>
                  </w:r>
                  <w:r>
                    <w:rPr>
                      <w:rFonts w:hint="default" w:ascii="Times New Roman" w:hAnsi="Times New Roman" w:cs="Times New Roman"/>
                      <w:b/>
                      <w:bCs/>
                      <w:color w:val="auto"/>
                      <w:highlight w:val="none"/>
                      <w:vertAlign w:val="subscript"/>
                    </w:rPr>
                    <w:t>3</w:t>
                  </w:r>
                  <w:r>
                    <w:rPr>
                      <w:rFonts w:hint="default" w:ascii="Times New Roman" w:hAnsi="Times New Roman" w:cs="Times New Roman"/>
                      <w:b/>
                      <w:bCs/>
                      <w:color w:val="auto"/>
                      <w:highlight w:val="none"/>
                    </w:rPr>
                    <w:t>-N</w:t>
                  </w:r>
                </w:p>
              </w:tc>
            </w:tr>
            <w:tr w14:paraId="329611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560" w:type="dxa"/>
                  <w:vMerge w:val="restart"/>
                  <w:vAlign w:val="center"/>
                </w:tcPr>
                <w:p w14:paraId="57B2782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/a</w:t>
                  </w:r>
                </w:p>
              </w:tc>
              <w:tc>
                <w:tcPr>
                  <w:tcW w:w="1562" w:type="dxa"/>
                  <w:vAlign w:val="center"/>
                </w:tcPr>
                <w:p w14:paraId="460E159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350</w:t>
                  </w:r>
                </w:p>
              </w:tc>
              <w:tc>
                <w:tcPr>
                  <w:tcW w:w="1563" w:type="dxa"/>
                  <w:vAlign w:val="center"/>
                </w:tcPr>
                <w:p w14:paraId="4750964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240</w:t>
                  </w:r>
                </w:p>
              </w:tc>
              <w:tc>
                <w:tcPr>
                  <w:tcW w:w="1563" w:type="dxa"/>
                  <w:vAlign w:val="center"/>
                </w:tcPr>
                <w:p w14:paraId="7745441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100</w:t>
                  </w:r>
                </w:p>
              </w:tc>
              <w:tc>
                <w:tcPr>
                  <w:tcW w:w="1563" w:type="dxa"/>
                  <w:vAlign w:val="center"/>
                </w:tcPr>
                <w:p w14:paraId="5EE393E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35</w:t>
                  </w:r>
                </w:p>
              </w:tc>
            </w:tr>
            <w:tr w14:paraId="64274C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560" w:type="dxa"/>
                  <w:vMerge w:val="continue"/>
                  <w:vAlign w:val="center"/>
                </w:tcPr>
                <w:p w14:paraId="02668D81">
                  <w:pPr>
                    <w:pStyle w:val="46"/>
                    <w:jc w:val="center"/>
                    <w:rPr>
                      <w:rFonts w:hint="default" w:ascii="Times New Roman" w:hAnsi="Times New Roman" w:cs="Times New Roman"/>
                      <w:color w:val="auto"/>
                      <w:highlight w:val="none"/>
                    </w:rPr>
                  </w:pPr>
                </w:p>
              </w:tc>
              <w:tc>
                <w:tcPr>
                  <w:tcW w:w="1562" w:type="dxa"/>
                  <w:vAlign w:val="center"/>
                </w:tcPr>
                <w:p w14:paraId="27A2431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0.013</w:t>
                  </w:r>
                </w:p>
              </w:tc>
              <w:tc>
                <w:tcPr>
                  <w:tcW w:w="1563" w:type="dxa"/>
                  <w:vAlign w:val="center"/>
                </w:tcPr>
                <w:p w14:paraId="6025C78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0.009</w:t>
                  </w:r>
                </w:p>
              </w:tc>
              <w:tc>
                <w:tcPr>
                  <w:tcW w:w="1563" w:type="dxa"/>
                  <w:vAlign w:val="center"/>
                </w:tcPr>
                <w:p w14:paraId="5DA089D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0.004</w:t>
                  </w:r>
                </w:p>
              </w:tc>
              <w:tc>
                <w:tcPr>
                  <w:tcW w:w="1563" w:type="dxa"/>
                  <w:vAlign w:val="center"/>
                </w:tcPr>
                <w:p w14:paraId="535C96A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0.001</w:t>
                  </w:r>
                </w:p>
              </w:tc>
            </w:tr>
          </w:tbl>
          <w:p w14:paraId="1736A0E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生活污水经化粪池</w:t>
            </w:r>
            <w:r>
              <w:rPr>
                <w:rFonts w:hint="eastAsia" w:cs="Times New Roman"/>
                <w:color w:val="auto"/>
                <w:highlight w:val="none"/>
                <w:lang w:eastAsia="zh-CN"/>
              </w:rPr>
              <w:t>沉淀</w:t>
            </w:r>
            <w:r>
              <w:rPr>
                <w:rFonts w:hint="default" w:ascii="Times New Roman" w:hAnsi="Times New Roman" w:cs="Times New Roman"/>
                <w:color w:val="auto"/>
                <w:highlight w:val="none"/>
              </w:rPr>
              <w:t>后，定期拉运至</w:t>
            </w:r>
            <w:r>
              <w:rPr>
                <w:rFonts w:hint="default" w:ascii="Times New Roman" w:hAnsi="Times New Roman" w:cs="Times New Roman"/>
                <w:color w:val="auto"/>
                <w:highlight w:val="none"/>
                <w:lang w:val="en-US" w:eastAsia="zh-CN"/>
              </w:rPr>
              <w:t>附近</w:t>
            </w:r>
            <w:r>
              <w:rPr>
                <w:rFonts w:hint="default" w:ascii="Times New Roman" w:hAnsi="Times New Roman" w:cs="Times New Roman"/>
                <w:color w:val="auto"/>
                <w:highlight w:val="none"/>
              </w:rPr>
              <w:t>污水处理厂处理。</w:t>
            </w:r>
          </w:p>
          <w:p w14:paraId="655E6406">
            <w:pPr>
              <w:pStyle w:val="27"/>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w:t>
            </w:r>
            <w:r>
              <w:rPr>
                <w:rFonts w:hint="default" w:ascii="Times New Roman" w:hAnsi="Times New Roman" w:eastAsia="宋体" w:cs="Times New Roman"/>
                <w:color w:val="auto"/>
                <w:highlight w:val="none"/>
                <w:lang w:val="en-US" w:eastAsia="zh-CN"/>
              </w:rPr>
              <w:t xml:space="preserve">4-9    </w:t>
            </w:r>
            <w:r>
              <w:rPr>
                <w:rFonts w:hint="default" w:ascii="Times New Roman" w:hAnsi="Times New Roman" w:eastAsia="宋体" w:cs="Times New Roman"/>
                <w:color w:val="auto"/>
                <w:highlight w:val="none"/>
              </w:rPr>
              <w:t>防渗情况一览表</w:t>
            </w:r>
          </w:p>
          <w:tbl>
            <w:tblPr>
              <w:tblStyle w:val="23"/>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00"/>
              <w:gridCol w:w="2736"/>
              <w:gridCol w:w="3011"/>
              <w:gridCol w:w="1066"/>
            </w:tblGrid>
            <w:tr w14:paraId="2CA438C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3736" w:type="dxa"/>
                  <w:gridSpan w:val="2"/>
                  <w:tcBorders>
                    <w:tl2br w:val="nil"/>
                    <w:tr2bl w:val="nil"/>
                  </w:tcBorders>
                  <w:vAlign w:val="center"/>
                </w:tcPr>
                <w:p w14:paraId="2265D85E">
                  <w:pPr>
                    <w:adjustRightIn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名称</w:t>
                  </w:r>
                </w:p>
              </w:tc>
              <w:tc>
                <w:tcPr>
                  <w:tcW w:w="3011" w:type="dxa"/>
                  <w:tcBorders>
                    <w:right w:val="single" w:color="auto" w:sz="4" w:space="0"/>
                    <w:tl2br w:val="nil"/>
                    <w:tr2bl w:val="nil"/>
                  </w:tcBorders>
                  <w:vAlign w:val="center"/>
                </w:tcPr>
                <w:p w14:paraId="4B9BC7F6">
                  <w:pPr>
                    <w:adjustRightIn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采取措施</w:t>
                  </w:r>
                </w:p>
              </w:tc>
              <w:tc>
                <w:tcPr>
                  <w:tcW w:w="1066" w:type="dxa"/>
                  <w:tcBorders>
                    <w:left w:val="single" w:color="auto" w:sz="4" w:space="0"/>
                    <w:tl2br w:val="nil"/>
                    <w:tr2bl w:val="nil"/>
                  </w:tcBorders>
                  <w:vAlign w:val="center"/>
                </w:tcPr>
                <w:p w14:paraId="01187E13">
                  <w:pPr>
                    <w:adjustRightInd w:val="0"/>
                    <w:spacing w:line="240" w:lineRule="auto"/>
                    <w:ind w:left="0" w:leftChars="0" w:firstLine="0" w:firstLineChars="0"/>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建设情况</w:t>
                  </w:r>
                </w:p>
              </w:tc>
            </w:tr>
            <w:tr w14:paraId="3C2153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1000" w:type="dxa"/>
                  <w:tcBorders>
                    <w:tl2br w:val="nil"/>
                    <w:tr2bl w:val="nil"/>
                  </w:tcBorders>
                  <w:vAlign w:val="center"/>
                </w:tcPr>
                <w:p w14:paraId="2E34B407">
                  <w:pPr>
                    <w:adjustRightIn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一般防渗区</w:t>
                  </w:r>
                </w:p>
              </w:tc>
              <w:tc>
                <w:tcPr>
                  <w:tcW w:w="2736" w:type="dxa"/>
                  <w:tcBorders>
                    <w:tl2br w:val="nil"/>
                    <w:tr2bl w:val="nil"/>
                  </w:tcBorders>
                  <w:vAlign w:val="center"/>
                </w:tcPr>
                <w:p w14:paraId="261AF2CC">
                  <w:pPr>
                    <w:adjustRightIn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snapToGrid w:val="0"/>
                      <w:color w:val="auto"/>
                      <w:sz w:val="21"/>
                      <w:szCs w:val="21"/>
                      <w:highlight w:val="none"/>
                    </w:rPr>
                    <w:t>沉淀池、化粪池及外加剂罐区地面</w:t>
                  </w:r>
                </w:p>
              </w:tc>
              <w:tc>
                <w:tcPr>
                  <w:tcW w:w="3011" w:type="dxa"/>
                  <w:tcBorders>
                    <w:right w:val="single" w:color="auto" w:sz="4" w:space="0"/>
                    <w:tl2br w:val="nil"/>
                    <w:tr2bl w:val="nil"/>
                  </w:tcBorders>
                  <w:vAlign w:val="center"/>
                </w:tcPr>
                <w:p w14:paraId="4354675B">
                  <w:pPr>
                    <w:adjustRightInd w:val="0"/>
                    <w:spacing w:line="240" w:lineRule="auto"/>
                    <w:ind w:left="0" w:leftChars="0" w:firstLine="0" w:firstLineChars="0"/>
                    <w:jc w:val="center"/>
                    <w:rPr>
                      <w:rFonts w:hint="default" w:ascii="Times New Roman" w:hAnsi="Times New Roman" w:cs="Times New Roman"/>
                      <w:snapToGrid w:val="0"/>
                      <w:color w:val="auto"/>
                      <w:sz w:val="21"/>
                      <w:szCs w:val="21"/>
                      <w:highlight w:val="none"/>
                    </w:rPr>
                  </w:pPr>
                  <w:r>
                    <w:rPr>
                      <w:rFonts w:hint="eastAsia" w:ascii="Times New Roman" w:hAnsi="Times New Roman" w:cs="Times New Roman"/>
                      <w:snapToGrid w:val="0"/>
                      <w:color w:val="auto"/>
                      <w:sz w:val="21"/>
                      <w:szCs w:val="21"/>
                      <w:highlight w:val="none"/>
                      <w:lang w:eastAsia="zh-CN"/>
                    </w:rPr>
                    <w:t>主体为</w:t>
                  </w:r>
                  <w:r>
                    <w:rPr>
                      <w:rFonts w:hint="eastAsia" w:ascii="Times New Roman" w:hAnsi="Times New Roman" w:cs="Times New Roman"/>
                      <w:snapToGrid w:val="0"/>
                      <w:color w:val="auto"/>
                      <w:sz w:val="21"/>
                      <w:szCs w:val="21"/>
                      <w:highlight w:val="none"/>
                      <w:lang w:val="en-US" w:eastAsia="zh-CN"/>
                    </w:rPr>
                    <w:t>30cm厚的C30抗渗等级为P6的混凝土结构，内部抹防水砂浆，等效黏土防渗层Mb≥6.0m（渗透系数≤10</w:t>
                  </w:r>
                  <w:r>
                    <w:rPr>
                      <w:rFonts w:hint="eastAsia" w:ascii="Times New Roman" w:hAnsi="Times New Roman" w:cs="Times New Roman"/>
                      <w:snapToGrid w:val="0"/>
                      <w:color w:val="auto"/>
                      <w:sz w:val="21"/>
                      <w:szCs w:val="21"/>
                      <w:highlight w:val="none"/>
                      <w:vertAlign w:val="superscript"/>
                      <w:lang w:val="en-US" w:eastAsia="zh-CN"/>
                    </w:rPr>
                    <w:t>-7</w:t>
                  </w:r>
                  <w:r>
                    <w:rPr>
                      <w:rFonts w:hint="eastAsia" w:ascii="Times New Roman" w:hAnsi="Times New Roman" w:cs="Times New Roman"/>
                      <w:snapToGrid w:val="0"/>
                      <w:color w:val="auto"/>
                      <w:sz w:val="21"/>
                      <w:szCs w:val="21"/>
                      <w:highlight w:val="none"/>
                      <w:lang w:val="en-US" w:eastAsia="zh-CN"/>
                    </w:rPr>
                    <w:t>cm/s）</w:t>
                  </w:r>
                </w:p>
              </w:tc>
              <w:tc>
                <w:tcPr>
                  <w:tcW w:w="1066" w:type="dxa"/>
                  <w:tcBorders>
                    <w:left w:val="single" w:color="auto" w:sz="4" w:space="0"/>
                    <w:tl2br w:val="nil"/>
                    <w:tr2bl w:val="nil"/>
                  </w:tcBorders>
                  <w:vAlign w:val="center"/>
                </w:tcPr>
                <w:p w14:paraId="6F59A00B">
                  <w:pPr>
                    <w:adjustRightInd w:val="0"/>
                    <w:spacing w:line="240" w:lineRule="auto"/>
                    <w:ind w:left="0" w:leftChars="0" w:firstLine="0" w:firstLineChars="0"/>
                    <w:jc w:val="center"/>
                    <w:rPr>
                      <w:rFonts w:hint="eastAsia" w:ascii="Times New Roman" w:hAnsi="Times New Roman" w:eastAsia="宋体" w:cs="Times New Roman"/>
                      <w:snapToGrid w:val="0"/>
                      <w:color w:val="auto"/>
                      <w:sz w:val="21"/>
                      <w:szCs w:val="21"/>
                      <w:highlight w:val="none"/>
                      <w:lang w:eastAsia="zh-CN"/>
                    </w:rPr>
                  </w:pPr>
                  <w:r>
                    <w:rPr>
                      <w:rFonts w:hint="eastAsia" w:cs="Times New Roman"/>
                      <w:snapToGrid w:val="0"/>
                      <w:color w:val="auto"/>
                      <w:sz w:val="21"/>
                      <w:szCs w:val="21"/>
                      <w:highlight w:val="none"/>
                      <w:lang w:eastAsia="zh-CN"/>
                    </w:rPr>
                    <w:t>已建</w:t>
                  </w:r>
                </w:p>
              </w:tc>
            </w:tr>
            <w:tr w14:paraId="19DE15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1000" w:type="dxa"/>
                  <w:vMerge w:val="restart"/>
                  <w:tcBorders>
                    <w:tl2br w:val="nil"/>
                    <w:tr2bl w:val="nil"/>
                  </w:tcBorders>
                  <w:vAlign w:val="center"/>
                </w:tcPr>
                <w:p w14:paraId="44F17326">
                  <w:pPr>
                    <w:adjustRightIn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简单防渗区</w:t>
                  </w:r>
                </w:p>
              </w:tc>
              <w:tc>
                <w:tcPr>
                  <w:tcW w:w="2736" w:type="dxa"/>
                  <w:tcBorders>
                    <w:bottom w:val="single" w:color="auto" w:sz="4" w:space="0"/>
                    <w:tl2br w:val="nil"/>
                    <w:tr2bl w:val="nil"/>
                  </w:tcBorders>
                  <w:vAlign w:val="center"/>
                </w:tcPr>
                <w:p w14:paraId="754C6F2C">
                  <w:pPr>
                    <w:adjustRightIn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办公区、厂区道路、搅拌机主楼</w:t>
                  </w:r>
                </w:p>
              </w:tc>
              <w:tc>
                <w:tcPr>
                  <w:tcW w:w="3011" w:type="dxa"/>
                  <w:tcBorders>
                    <w:bottom w:val="single" w:color="auto" w:sz="4" w:space="0"/>
                    <w:right w:val="single" w:color="auto" w:sz="4" w:space="0"/>
                    <w:tl2br w:val="nil"/>
                    <w:tr2bl w:val="nil"/>
                  </w:tcBorders>
                  <w:vAlign w:val="center"/>
                </w:tcPr>
                <w:p w14:paraId="2E83C33A">
                  <w:pPr>
                    <w:adjustRightInd w:val="0"/>
                    <w:spacing w:line="240" w:lineRule="auto"/>
                    <w:ind w:left="0" w:leftChars="0" w:firstLine="0" w:firstLineChars="0"/>
                    <w:jc w:val="center"/>
                    <w:rPr>
                      <w:rFonts w:hint="default" w:ascii="Times New Roman" w:hAnsi="Times New Roman" w:cs="Times New Roman"/>
                      <w:snapToGrid w:val="0"/>
                      <w:color w:val="auto"/>
                      <w:sz w:val="21"/>
                      <w:szCs w:val="21"/>
                      <w:highlight w:val="none"/>
                    </w:rPr>
                  </w:pPr>
                  <w:r>
                    <w:rPr>
                      <w:rFonts w:hint="eastAsia" w:ascii="Times New Roman" w:hAnsi="Times New Roman" w:cs="Times New Roman"/>
                      <w:snapToGrid w:val="0"/>
                      <w:color w:val="auto"/>
                      <w:sz w:val="21"/>
                      <w:szCs w:val="21"/>
                      <w:highlight w:val="none"/>
                      <w:lang w:val="en-US" w:eastAsia="zh-CN"/>
                    </w:rPr>
                    <w:t>C30抗渗等级为P6的混凝土</w:t>
                  </w:r>
                  <w:r>
                    <w:rPr>
                      <w:rFonts w:hint="default" w:ascii="Times New Roman" w:hAnsi="Times New Roman" w:cs="Times New Roman"/>
                      <w:snapToGrid w:val="0"/>
                      <w:color w:val="auto"/>
                      <w:sz w:val="21"/>
                      <w:szCs w:val="21"/>
                      <w:highlight w:val="none"/>
                    </w:rPr>
                    <w:t>铺设15cm水泥地面</w:t>
                  </w:r>
                  <w:r>
                    <w:rPr>
                      <w:rFonts w:hint="eastAsia" w:ascii="Times New Roman" w:hAnsi="Times New Roman" w:cs="Times New Roman"/>
                      <w:snapToGrid w:val="0"/>
                      <w:color w:val="auto"/>
                      <w:sz w:val="21"/>
                      <w:szCs w:val="21"/>
                      <w:highlight w:val="none"/>
                      <w:lang w:val="en-US" w:eastAsia="zh-CN"/>
                    </w:rPr>
                    <w:t>，等效黏土防渗层Mb≥1.5m（渗透系数≤10</w:t>
                  </w:r>
                  <w:r>
                    <w:rPr>
                      <w:rFonts w:hint="eastAsia" w:ascii="Times New Roman" w:hAnsi="Times New Roman" w:cs="Times New Roman"/>
                      <w:snapToGrid w:val="0"/>
                      <w:color w:val="auto"/>
                      <w:sz w:val="21"/>
                      <w:szCs w:val="21"/>
                      <w:highlight w:val="none"/>
                      <w:vertAlign w:val="superscript"/>
                      <w:lang w:val="en-US" w:eastAsia="zh-CN"/>
                    </w:rPr>
                    <w:t>-7</w:t>
                  </w:r>
                  <w:r>
                    <w:rPr>
                      <w:rFonts w:hint="eastAsia" w:ascii="Times New Roman" w:hAnsi="Times New Roman" w:cs="Times New Roman"/>
                      <w:snapToGrid w:val="0"/>
                      <w:color w:val="auto"/>
                      <w:sz w:val="21"/>
                      <w:szCs w:val="21"/>
                      <w:highlight w:val="none"/>
                      <w:lang w:val="en-US" w:eastAsia="zh-CN"/>
                    </w:rPr>
                    <w:t>cm/s）</w:t>
                  </w:r>
                </w:p>
              </w:tc>
              <w:tc>
                <w:tcPr>
                  <w:tcW w:w="1066" w:type="dxa"/>
                  <w:tcBorders>
                    <w:left w:val="single" w:color="auto" w:sz="4" w:space="0"/>
                    <w:bottom w:val="single" w:color="auto" w:sz="4" w:space="0"/>
                    <w:tl2br w:val="nil"/>
                    <w:tr2bl w:val="nil"/>
                  </w:tcBorders>
                  <w:vAlign w:val="center"/>
                </w:tcPr>
                <w:p w14:paraId="05293F35">
                  <w:pPr>
                    <w:adjustRightIn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hint="eastAsia" w:cs="Times New Roman"/>
                      <w:snapToGrid w:val="0"/>
                      <w:color w:val="auto"/>
                      <w:sz w:val="21"/>
                      <w:szCs w:val="21"/>
                      <w:highlight w:val="none"/>
                      <w:lang w:eastAsia="zh-CN"/>
                    </w:rPr>
                    <w:t>已建</w:t>
                  </w:r>
                </w:p>
              </w:tc>
            </w:tr>
            <w:tr w14:paraId="653D5A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63" w:hRule="atLeast"/>
                <w:jc w:val="center"/>
              </w:trPr>
              <w:tc>
                <w:tcPr>
                  <w:tcW w:w="1000" w:type="dxa"/>
                  <w:vMerge w:val="continue"/>
                  <w:tcBorders>
                    <w:tl2br w:val="nil"/>
                    <w:tr2bl w:val="nil"/>
                  </w:tcBorders>
                  <w:vAlign w:val="center"/>
                </w:tcPr>
                <w:p w14:paraId="3EBEABC6">
                  <w:pPr>
                    <w:adjustRightInd w:val="0"/>
                    <w:spacing w:line="240" w:lineRule="auto"/>
                    <w:ind w:left="0" w:leftChars="0" w:firstLine="0" w:firstLineChars="0"/>
                    <w:jc w:val="center"/>
                    <w:rPr>
                      <w:rFonts w:hint="default" w:ascii="Times New Roman" w:hAnsi="Times New Roman" w:eastAsia="宋体" w:cs="Times New Roman"/>
                      <w:color w:val="auto"/>
                      <w:sz w:val="21"/>
                      <w:szCs w:val="21"/>
                    </w:rPr>
                  </w:pPr>
                </w:p>
              </w:tc>
              <w:tc>
                <w:tcPr>
                  <w:tcW w:w="2736" w:type="dxa"/>
                  <w:tcBorders>
                    <w:top w:val="single" w:color="auto" w:sz="4" w:space="0"/>
                    <w:tl2br w:val="nil"/>
                    <w:tr2bl w:val="nil"/>
                  </w:tcBorders>
                  <w:vAlign w:val="center"/>
                </w:tcPr>
                <w:p w14:paraId="56D5C7F4">
                  <w:pPr>
                    <w:adjustRightIn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砂石料棚</w:t>
                  </w:r>
                </w:p>
              </w:tc>
              <w:tc>
                <w:tcPr>
                  <w:tcW w:w="3011" w:type="dxa"/>
                  <w:tcBorders>
                    <w:top w:val="single" w:color="auto" w:sz="4" w:space="0"/>
                    <w:right w:val="single" w:color="auto" w:sz="4" w:space="0"/>
                    <w:tl2br w:val="nil"/>
                    <w:tr2bl w:val="nil"/>
                  </w:tcBorders>
                  <w:vAlign w:val="center"/>
                </w:tcPr>
                <w:p w14:paraId="0BB26BC1">
                  <w:pPr>
                    <w:adjustRightInd w:val="0"/>
                    <w:spacing w:line="240" w:lineRule="auto"/>
                    <w:ind w:left="0" w:leftChars="0" w:firstLine="0" w:firstLineChars="0"/>
                    <w:jc w:val="center"/>
                    <w:rPr>
                      <w:rFonts w:hint="default" w:ascii="Times New Roman" w:hAnsi="Times New Roman" w:cs="Times New Roman"/>
                      <w:snapToGrid w:val="0"/>
                      <w:color w:val="auto"/>
                      <w:sz w:val="21"/>
                      <w:szCs w:val="21"/>
                      <w:highlight w:val="none"/>
                    </w:rPr>
                  </w:pPr>
                  <w:r>
                    <w:rPr>
                      <w:rFonts w:hint="eastAsia" w:ascii="Times New Roman" w:hAnsi="Times New Roman" w:cs="Times New Roman"/>
                      <w:snapToGrid w:val="0"/>
                      <w:color w:val="auto"/>
                      <w:sz w:val="21"/>
                      <w:szCs w:val="21"/>
                      <w:highlight w:val="none"/>
                      <w:lang w:val="en-US" w:eastAsia="zh-CN"/>
                    </w:rPr>
                    <w:t>C30抗渗等级为P6的混凝土</w:t>
                  </w:r>
                  <w:r>
                    <w:rPr>
                      <w:rFonts w:hint="default" w:ascii="Times New Roman" w:hAnsi="Times New Roman" w:cs="Times New Roman"/>
                      <w:snapToGrid w:val="0"/>
                      <w:color w:val="auto"/>
                      <w:sz w:val="21"/>
                      <w:szCs w:val="21"/>
                      <w:highlight w:val="none"/>
                    </w:rPr>
                    <w:t>铺设15cm水泥地面</w:t>
                  </w:r>
                  <w:r>
                    <w:rPr>
                      <w:rFonts w:hint="eastAsia" w:ascii="Times New Roman" w:hAnsi="Times New Roman" w:cs="Times New Roman"/>
                      <w:snapToGrid w:val="0"/>
                      <w:color w:val="auto"/>
                      <w:sz w:val="21"/>
                      <w:szCs w:val="21"/>
                      <w:highlight w:val="none"/>
                      <w:lang w:val="en-US" w:eastAsia="zh-CN"/>
                    </w:rPr>
                    <w:t>，等效黏土防渗层Mb≥1.5m（渗透系数≤10</w:t>
                  </w:r>
                  <w:r>
                    <w:rPr>
                      <w:rFonts w:hint="eastAsia" w:ascii="Times New Roman" w:hAnsi="Times New Roman" w:cs="Times New Roman"/>
                      <w:snapToGrid w:val="0"/>
                      <w:color w:val="auto"/>
                      <w:sz w:val="21"/>
                      <w:szCs w:val="21"/>
                      <w:highlight w:val="none"/>
                      <w:vertAlign w:val="superscript"/>
                      <w:lang w:val="en-US" w:eastAsia="zh-CN"/>
                    </w:rPr>
                    <w:t>-7</w:t>
                  </w:r>
                  <w:r>
                    <w:rPr>
                      <w:rFonts w:hint="eastAsia" w:ascii="Times New Roman" w:hAnsi="Times New Roman" w:cs="Times New Roman"/>
                      <w:snapToGrid w:val="0"/>
                      <w:color w:val="auto"/>
                      <w:sz w:val="21"/>
                      <w:szCs w:val="21"/>
                      <w:highlight w:val="none"/>
                      <w:lang w:val="en-US" w:eastAsia="zh-CN"/>
                    </w:rPr>
                    <w:t>cm/s</w:t>
                  </w:r>
                </w:p>
              </w:tc>
              <w:tc>
                <w:tcPr>
                  <w:tcW w:w="1066" w:type="dxa"/>
                  <w:tcBorders>
                    <w:top w:val="single" w:color="auto" w:sz="4" w:space="0"/>
                    <w:left w:val="single" w:color="auto" w:sz="4" w:space="0"/>
                    <w:tl2br w:val="nil"/>
                    <w:tr2bl w:val="nil"/>
                  </w:tcBorders>
                  <w:vAlign w:val="center"/>
                </w:tcPr>
                <w:p w14:paraId="56293078">
                  <w:pPr>
                    <w:adjustRightInd w:val="0"/>
                    <w:spacing w:line="240" w:lineRule="auto"/>
                    <w:ind w:left="0" w:leftChars="0" w:firstLine="0" w:firstLineChars="0"/>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新建</w:t>
                  </w:r>
                </w:p>
              </w:tc>
            </w:tr>
          </w:tbl>
          <w:p w14:paraId="550B3D6A">
            <w:pPr>
              <w:ind w:firstLine="482"/>
              <w:rPr>
                <w:rFonts w:hint="default" w:ascii="Times New Roman" w:hAnsi="Times New Roman" w:cs="Times New Roman"/>
                <w:b/>
                <w:color w:val="auto"/>
                <w:highlight w:val="none"/>
              </w:rPr>
            </w:pPr>
            <w:r>
              <w:rPr>
                <w:rFonts w:hint="default" w:ascii="Times New Roman" w:hAnsi="Times New Roman" w:cs="Times New Roman"/>
                <w:b/>
                <w:color w:val="auto"/>
                <w:highlight w:val="none"/>
              </w:rPr>
              <w:t>三、声环境影响分析</w:t>
            </w:r>
          </w:p>
          <w:p w14:paraId="695E23E5">
            <w:pPr>
              <w:adjustRightInd w:val="0"/>
              <w:snapToGrid w:val="0"/>
              <w:ind w:firstLine="482"/>
              <w:jc w:val="left"/>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1.噪声源强</w:t>
            </w:r>
          </w:p>
          <w:p w14:paraId="17D545A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本项目运营期噪声源为</w:t>
            </w:r>
            <w:r>
              <w:rPr>
                <w:rFonts w:hint="default" w:ascii="Times New Roman" w:hAnsi="Times New Roman" w:cs="Times New Roman"/>
                <w:color w:val="auto"/>
                <w:highlight w:val="none"/>
                <w:lang w:val="en-US" w:eastAsia="zh-CN"/>
              </w:rPr>
              <w:t>搅拌机</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循环泵</w:t>
            </w:r>
            <w:r>
              <w:rPr>
                <w:rFonts w:hint="default" w:ascii="Times New Roman" w:hAnsi="Times New Roman" w:cs="Times New Roman"/>
                <w:color w:val="auto"/>
                <w:highlight w:val="none"/>
              </w:rPr>
              <w:t>、装载机等运行产生的噪声污染，声源源强在70-8</w:t>
            </w:r>
            <w:r>
              <w:rPr>
                <w:rFonts w:hint="default" w:ascii="Times New Roman" w:hAnsi="Times New Roman" w:cs="Times New Roman"/>
                <w:color w:val="auto"/>
                <w:highlight w:val="none"/>
                <w:lang w:val="en-US" w:eastAsia="zh-CN"/>
              </w:rPr>
              <w:t>0</w:t>
            </w:r>
            <w:r>
              <w:rPr>
                <w:rFonts w:hint="default" w:ascii="Times New Roman" w:hAnsi="Times New Roman" w:cs="Times New Roman"/>
                <w:color w:val="auto"/>
                <w:highlight w:val="none"/>
              </w:rPr>
              <w:t>dB（A）之间，主要机械设备的噪声值见下表。</w:t>
            </w:r>
          </w:p>
          <w:p w14:paraId="299B1601">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w:t>
            </w:r>
            <w:r>
              <w:rPr>
                <w:rFonts w:hint="default" w:ascii="Times New Roman" w:hAnsi="Times New Roman" w:cs="Times New Roman"/>
                <w:color w:val="auto"/>
                <w:highlight w:val="none"/>
                <w:lang w:val="en-US" w:eastAsia="zh-CN"/>
              </w:rPr>
              <w:t xml:space="preserve">10  </w:t>
            </w:r>
            <w:r>
              <w:rPr>
                <w:rFonts w:hint="default" w:ascii="Times New Roman" w:hAnsi="Times New Roman" w:cs="Times New Roman"/>
                <w:color w:val="auto"/>
                <w:highlight w:val="none"/>
              </w:rPr>
              <w:t>项目噪声源强表</w:t>
            </w:r>
          </w:p>
          <w:tbl>
            <w:tblPr>
              <w:tblStyle w:val="23"/>
              <w:tblW w:w="78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8"/>
              <w:gridCol w:w="695"/>
              <w:gridCol w:w="537"/>
              <w:gridCol w:w="650"/>
              <w:gridCol w:w="770"/>
              <w:gridCol w:w="830"/>
              <w:gridCol w:w="1470"/>
              <w:gridCol w:w="780"/>
              <w:gridCol w:w="972"/>
              <w:gridCol w:w="695"/>
            </w:tblGrid>
            <w:tr w14:paraId="18A7F4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418" w:type="dxa"/>
                  <w:vMerge w:val="restart"/>
                  <w:tcBorders>
                    <w:tl2br w:val="nil"/>
                    <w:tr2bl w:val="nil"/>
                  </w:tcBorders>
                  <w:vAlign w:val="center"/>
                </w:tcPr>
                <w:p w14:paraId="7F70C37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695" w:type="dxa"/>
                  <w:vMerge w:val="restart"/>
                  <w:tcBorders>
                    <w:tl2br w:val="nil"/>
                    <w:tr2bl w:val="nil"/>
                  </w:tcBorders>
                  <w:vAlign w:val="center"/>
                </w:tcPr>
                <w:p w14:paraId="25DC7EB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声源名称</w:t>
                  </w:r>
                </w:p>
              </w:tc>
              <w:tc>
                <w:tcPr>
                  <w:tcW w:w="537" w:type="dxa"/>
                  <w:vMerge w:val="restart"/>
                  <w:tcBorders>
                    <w:tl2br w:val="nil"/>
                    <w:tr2bl w:val="nil"/>
                  </w:tcBorders>
                  <w:vAlign w:val="center"/>
                </w:tcPr>
                <w:p w14:paraId="4C0D58F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型号</w:t>
                  </w:r>
                </w:p>
              </w:tc>
              <w:tc>
                <w:tcPr>
                  <w:tcW w:w="2250" w:type="dxa"/>
                  <w:gridSpan w:val="3"/>
                  <w:tcBorders>
                    <w:tl2br w:val="nil"/>
                    <w:tr2bl w:val="nil"/>
                  </w:tcBorders>
                  <w:vAlign w:val="center"/>
                </w:tcPr>
                <w:p w14:paraId="24674B6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空间相对位置/m</w:t>
                  </w:r>
                </w:p>
              </w:tc>
              <w:tc>
                <w:tcPr>
                  <w:tcW w:w="2250" w:type="dxa"/>
                  <w:gridSpan w:val="2"/>
                  <w:tcBorders>
                    <w:tl2br w:val="nil"/>
                    <w:tr2bl w:val="nil"/>
                  </w:tcBorders>
                  <w:vAlign w:val="center"/>
                </w:tcPr>
                <w:p w14:paraId="32007B8C">
                  <w:pPr>
                    <w:pStyle w:val="46"/>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声源源强（任选一种）</w:t>
                  </w:r>
                </w:p>
              </w:tc>
              <w:tc>
                <w:tcPr>
                  <w:tcW w:w="972" w:type="dxa"/>
                  <w:vMerge w:val="restart"/>
                  <w:tcBorders>
                    <w:tl2br w:val="nil"/>
                    <w:tr2bl w:val="nil"/>
                  </w:tcBorders>
                  <w:vAlign w:val="center"/>
                </w:tcPr>
                <w:p w14:paraId="20858F0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声源控制措施</w:t>
                  </w:r>
                </w:p>
              </w:tc>
              <w:tc>
                <w:tcPr>
                  <w:tcW w:w="695" w:type="dxa"/>
                  <w:vMerge w:val="restart"/>
                  <w:tcBorders>
                    <w:tl2br w:val="nil"/>
                    <w:tr2bl w:val="nil"/>
                  </w:tcBorders>
                  <w:vAlign w:val="center"/>
                </w:tcPr>
                <w:p w14:paraId="2F2A0D2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运行时段</w:t>
                  </w:r>
                </w:p>
              </w:tc>
            </w:tr>
            <w:tr w14:paraId="60E0BA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418" w:type="dxa"/>
                  <w:vMerge w:val="continue"/>
                  <w:tcBorders>
                    <w:tl2br w:val="nil"/>
                    <w:tr2bl w:val="nil"/>
                  </w:tcBorders>
                  <w:shd w:val="clear" w:color="auto" w:fill="FFFFFF"/>
                  <w:vAlign w:val="center"/>
                </w:tcPr>
                <w:p w14:paraId="61702568">
                  <w:pPr>
                    <w:pStyle w:val="46"/>
                    <w:jc w:val="center"/>
                    <w:rPr>
                      <w:rFonts w:hint="default" w:ascii="Times New Roman" w:hAnsi="Times New Roman" w:cs="Times New Roman"/>
                      <w:color w:val="auto"/>
                      <w:highlight w:val="none"/>
                    </w:rPr>
                  </w:pPr>
                </w:p>
              </w:tc>
              <w:tc>
                <w:tcPr>
                  <w:tcW w:w="695" w:type="dxa"/>
                  <w:vMerge w:val="continue"/>
                  <w:tcBorders>
                    <w:tl2br w:val="nil"/>
                    <w:tr2bl w:val="nil"/>
                  </w:tcBorders>
                  <w:shd w:val="clear" w:color="auto" w:fill="FFFFFF"/>
                  <w:vAlign w:val="center"/>
                </w:tcPr>
                <w:p w14:paraId="6D35CE85">
                  <w:pPr>
                    <w:pStyle w:val="46"/>
                    <w:jc w:val="center"/>
                    <w:rPr>
                      <w:rFonts w:hint="default" w:ascii="Times New Roman" w:hAnsi="Times New Roman" w:cs="Times New Roman"/>
                      <w:color w:val="auto"/>
                      <w:highlight w:val="none"/>
                    </w:rPr>
                  </w:pPr>
                </w:p>
              </w:tc>
              <w:tc>
                <w:tcPr>
                  <w:tcW w:w="537" w:type="dxa"/>
                  <w:vMerge w:val="continue"/>
                  <w:tcBorders>
                    <w:tl2br w:val="nil"/>
                    <w:tr2bl w:val="nil"/>
                  </w:tcBorders>
                  <w:shd w:val="clear" w:color="auto" w:fill="FFFFFF"/>
                  <w:vAlign w:val="center"/>
                </w:tcPr>
                <w:p w14:paraId="2084F51C">
                  <w:pPr>
                    <w:pStyle w:val="46"/>
                    <w:jc w:val="center"/>
                    <w:rPr>
                      <w:rFonts w:hint="default" w:ascii="Times New Roman" w:hAnsi="Times New Roman" w:cs="Times New Roman"/>
                      <w:color w:val="auto"/>
                      <w:highlight w:val="none"/>
                    </w:rPr>
                  </w:pPr>
                </w:p>
              </w:tc>
              <w:tc>
                <w:tcPr>
                  <w:tcW w:w="650" w:type="dxa"/>
                  <w:tcBorders>
                    <w:tl2br w:val="nil"/>
                    <w:tr2bl w:val="nil"/>
                  </w:tcBorders>
                  <w:shd w:val="clear" w:color="auto" w:fill="FFFFFF"/>
                  <w:vAlign w:val="center"/>
                </w:tcPr>
                <w:p w14:paraId="61B86A1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X</w:t>
                  </w:r>
                </w:p>
              </w:tc>
              <w:tc>
                <w:tcPr>
                  <w:tcW w:w="770" w:type="dxa"/>
                  <w:tcBorders>
                    <w:tl2br w:val="nil"/>
                    <w:tr2bl w:val="nil"/>
                  </w:tcBorders>
                  <w:shd w:val="clear" w:color="auto" w:fill="FFFFFF"/>
                  <w:vAlign w:val="center"/>
                </w:tcPr>
                <w:p w14:paraId="4D2DE54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Y</w:t>
                  </w:r>
                </w:p>
              </w:tc>
              <w:tc>
                <w:tcPr>
                  <w:tcW w:w="830" w:type="dxa"/>
                  <w:tcBorders>
                    <w:tl2br w:val="nil"/>
                    <w:tr2bl w:val="nil"/>
                  </w:tcBorders>
                  <w:shd w:val="clear" w:color="auto" w:fill="FFFFFF"/>
                  <w:vAlign w:val="center"/>
                </w:tcPr>
                <w:p w14:paraId="68B2644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Z</w:t>
                  </w:r>
                </w:p>
              </w:tc>
              <w:tc>
                <w:tcPr>
                  <w:tcW w:w="1470" w:type="dxa"/>
                  <w:tcBorders>
                    <w:tl2br w:val="nil"/>
                    <w:tr2bl w:val="nil"/>
                  </w:tcBorders>
                  <w:shd w:val="clear" w:color="auto" w:fill="FFFFFF"/>
                  <w:vAlign w:val="center"/>
                </w:tcPr>
                <w:p w14:paraId="644EE9B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（声压级/距声源距离）/（dB(A)/m）</w:t>
                  </w:r>
                </w:p>
              </w:tc>
              <w:tc>
                <w:tcPr>
                  <w:tcW w:w="780" w:type="dxa"/>
                  <w:tcBorders>
                    <w:tl2br w:val="nil"/>
                    <w:tr2bl w:val="nil"/>
                  </w:tcBorders>
                  <w:shd w:val="clear" w:color="auto" w:fill="FFFFFF"/>
                  <w:vAlign w:val="center"/>
                </w:tcPr>
                <w:p w14:paraId="467F637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声功率级/dB(A)</w:t>
                  </w:r>
                </w:p>
              </w:tc>
              <w:tc>
                <w:tcPr>
                  <w:tcW w:w="972" w:type="dxa"/>
                  <w:vMerge w:val="continue"/>
                  <w:tcBorders>
                    <w:tl2br w:val="nil"/>
                    <w:tr2bl w:val="nil"/>
                  </w:tcBorders>
                  <w:shd w:val="clear" w:color="auto" w:fill="FFFFFF"/>
                  <w:vAlign w:val="center"/>
                </w:tcPr>
                <w:p w14:paraId="53262F46">
                  <w:pPr>
                    <w:pStyle w:val="46"/>
                    <w:jc w:val="center"/>
                    <w:rPr>
                      <w:rFonts w:hint="default" w:ascii="Times New Roman" w:hAnsi="Times New Roman" w:cs="Times New Roman"/>
                      <w:color w:val="auto"/>
                      <w:highlight w:val="none"/>
                    </w:rPr>
                  </w:pPr>
                </w:p>
              </w:tc>
              <w:tc>
                <w:tcPr>
                  <w:tcW w:w="695" w:type="dxa"/>
                  <w:vMerge w:val="continue"/>
                  <w:tcBorders>
                    <w:tl2br w:val="nil"/>
                    <w:tr2bl w:val="nil"/>
                  </w:tcBorders>
                  <w:shd w:val="clear" w:color="auto" w:fill="FFFFFF"/>
                  <w:vAlign w:val="center"/>
                </w:tcPr>
                <w:p w14:paraId="02E569E2">
                  <w:pPr>
                    <w:pStyle w:val="46"/>
                    <w:jc w:val="center"/>
                    <w:rPr>
                      <w:rFonts w:hint="default" w:ascii="Times New Roman" w:hAnsi="Times New Roman" w:cs="Times New Roman"/>
                      <w:color w:val="auto"/>
                      <w:highlight w:val="none"/>
                    </w:rPr>
                  </w:pPr>
                </w:p>
              </w:tc>
            </w:tr>
            <w:tr w14:paraId="74349A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atLeast"/>
                <w:jc w:val="center"/>
              </w:trPr>
              <w:tc>
                <w:tcPr>
                  <w:tcW w:w="418" w:type="dxa"/>
                  <w:tcBorders>
                    <w:tl2br w:val="nil"/>
                    <w:tr2bl w:val="nil"/>
                  </w:tcBorders>
                  <w:shd w:val="clear" w:color="auto" w:fill="FFFFFF"/>
                  <w:vAlign w:val="center"/>
                </w:tcPr>
                <w:p w14:paraId="63334C3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695" w:type="dxa"/>
                  <w:tcBorders>
                    <w:tl2br w:val="nil"/>
                    <w:tr2bl w:val="nil"/>
                  </w:tcBorders>
                  <w:shd w:val="clear" w:color="auto" w:fill="FFFFFF"/>
                  <w:vAlign w:val="center"/>
                </w:tcPr>
                <w:p w14:paraId="7CB8B58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搅拌机</w:t>
                  </w:r>
                </w:p>
              </w:tc>
              <w:tc>
                <w:tcPr>
                  <w:tcW w:w="537" w:type="dxa"/>
                  <w:tcBorders>
                    <w:tl2br w:val="nil"/>
                    <w:tr2bl w:val="nil"/>
                  </w:tcBorders>
                  <w:shd w:val="clear" w:color="auto" w:fill="FFFFFF"/>
                  <w:vAlign w:val="center"/>
                </w:tcPr>
                <w:p w14:paraId="2BBFCB65">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650" w:type="dxa"/>
                  <w:tcBorders>
                    <w:tl2br w:val="nil"/>
                    <w:tr2bl w:val="nil"/>
                  </w:tcBorders>
                  <w:shd w:val="clear" w:color="auto" w:fill="FFFFFF"/>
                  <w:vAlign w:val="center"/>
                </w:tcPr>
                <w:p w14:paraId="5769F4A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6.5</w:t>
                  </w:r>
                </w:p>
              </w:tc>
              <w:tc>
                <w:tcPr>
                  <w:tcW w:w="770" w:type="dxa"/>
                  <w:tcBorders>
                    <w:tl2br w:val="nil"/>
                    <w:tr2bl w:val="nil"/>
                  </w:tcBorders>
                  <w:shd w:val="clear" w:color="auto" w:fill="FFFFFF"/>
                  <w:vAlign w:val="center"/>
                </w:tcPr>
                <w:p w14:paraId="034920E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16.7</w:t>
                  </w:r>
                </w:p>
              </w:tc>
              <w:tc>
                <w:tcPr>
                  <w:tcW w:w="830" w:type="dxa"/>
                  <w:tcBorders>
                    <w:tl2br w:val="nil"/>
                    <w:tr2bl w:val="nil"/>
                  </w:tcBorders>
                  <w:shd w:val="clear" w:color="auto" w:fill="FFFFFF"/>
                  <w:vAlign w:val="center"/>
                </w:tcPr>
                <w:p w14:paraId="4C6F171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1.2</w:t>
                  </w:r>
                </w:p>
              </w:tc>
              <w:tc>
                <w:tcPr>
                  <w:tcW w:w="1470" w:type="dxa"/>
                  <w:tcBorders>
                    <w:tl2br w:val="nil"/>
                    <w:tr2bl w:val="nil"/>
                  </w:tcBorders>
                  <w:shd w:val="clear" w:color="auto" w:fill="FFFFFF"/>
                  <w:vAlign w:val="center"/>
                </w:tcPr>
                <w:p w14:paraId="12D9DD47">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80" w:type="dxa"/>
                  <w:tcBorders>
                    <w:tl2br w:val="nil"/>
                    <w:tr2bl w:val="nil"/>
                  </w:tcBorders>
                  <w:shd w:val="clear" w:color="auto" w:fill="FFFFFF"/>
                  <w:vAlign w:val="center"/>
                </w:tcPr>
                <w:p w14:paraId="21A5435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80</w:t>
                  </w:r>
                </w:p>
              </w:tc>
              <w:tc>
                <w:tcPr>
                  <w:tcW w:w="972" w:type="dxa"/>
                  <w:vMerge w:val="restart"/>
                  <w:tcBorders>
                    <w:tl2br w:val="nil"/>
                    <w:tr2bl w:val="nil"/>
                  </w:tcBorders>
                  <w:shd w:val="clear" w:color="auto" w:fill="FFFFFF"/>
                  <w:vAlign w:val="center"/>
                </w:tcPr>
                <w:p w14:paraId="009D0AEF">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选用低噪声设备</w:t>
                  </w:r>
                </w:p>
              </w:tc>
              <w:tc>
                <w:tcPr>
                  <w:tcW w:w="695" w:type="dxa"/>
                  <w:vMerge w:val="restart"/>
                  <w:tcBorders>
                    <w:tl2br w:val="nil"/>
                    <w:tr2bl w:val="nil"/>
                  </w:tcBorders>
                  <w:shd w:val="clear" w:color="auto" w:fill="FFFFFF"/>
                  <w:vAlign w:val="center"/>
                </w:tcPr>
                <w:p w14:paraId="7DD33CFC">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昼间</w:t>
                  </w:r>
                </w:p>
              </w:tc>
            </w:tr>
            <w:tr w14:paraId="1B49D9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atLeast"/>
                <w:jc w:val="center"/>
              </w:trPr>
              <w:tc>
                <w:tcPr>
                  <w:tcW w:w="418" w:type="dxa"/>
                  <w:tcBorders>
                    <w:tl2br w:val="nil"/>
                    <w:tr2bl w:val="nil"/>
                  </w:tcBorders>
                  <w:shd w:val="clear" w:color="auto" w:fill="FFFFFF"/>
                  <w:vAlign w:val="center"/>
                </w:tcPr>
                <w:p w14:paraId="1C01A1E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695" w:type="dxa"/>
                  <w:tcBorders>
                    <w:tl2br w:val="nil"/>
                    <w:tr2bl w:val="nil"/>
                  </w:tcBorders>
                  <w:shd w:val="clear" w:color="auto" w:fill="FFFFFF"/>
                  <w:vAlign w:val="center"/>
                </w:tcPr>
                <w:p w14:paraId="7BC5848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循环泵</w:t>
                  </w:r>
                </w:p>
              </w:tc>
              <w:tc>
                <w:tcPr>
                  <w:tcW w:w="537" w:type="dxa"/>
                  <w:tcBorders>
                    <w:tl2br w:val="nil"/>
                    <w:tr2bl w:val="nil"/>
                  </w:tcBorders>
                  <w:shd w:val="clear" w:color="auto" w:fill="FFFFFF"/>
                  <w:vAlign w:val="center"/>
                </w:tcPr>
                <w:p w14:paraId="78AC222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650" w:type="dxa"/>
                  <w:tcBorders>
                    <w:tl2br w:val="nil"/>
                    <w:tr2bl w:val="nil"/>
                  </w:tcBorders>
                  <w:shd w:val="clear" w:color="auto" w:fill="FFFFFF"/>
                  <w:vAlign w:val="center"/>
                </w:tcPr>
                <w:p w14:paraId="2F9C1CF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28.1</w:t>
                  </w:r>
                </w:p>
              </w:tc>
              <w:tc>
                <w:tcPr>
                  <w:tcW w:w="770" w:type="dxa"/>
                  <w:tcBorders>
                    <w:tl2br w:val="nil"/>
                    <w:tr2bl w:val="nil"/>
                  </w:tcBorders>
                  <w:shd w:val="clear" w:color="auto" w:fill="FFFFFF"/>
                  <w:vAlign w:val="center"/>
                </w:tcPr>
                <w:p w14:paraId="7115C34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-12.3</w:t>
                  </w:r>
                </w:p>
              </w:tc>
              <w:tc>
                <w:tcPr>
                  <w:tcW w:w="830" w:type="dxa"/>
                  <w:tcBorders>
                    <w:tl2br w:val="nil"/>
                    <w:tr2bl w:val="nil"/>
                  </w:tcBorders>
                  <w:shd w:val="clear" w:color="auto" w:fill="FFFFFF"/>
                  <w:vAlign w:val="center"/>
                </w:tcPr>
                <w:p w14:paraId="463E7DC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1.2</w:t>
                  </w:r>
                </w:p>
              </w:tc>
              <w:tc>
                <w:tcPr>
                  <w:tcW w:w="1470" w:type="dxa"/>
                  <w:tcBorders>
                    <w:tl2br w:val="nil"/>
                    <w:tr2bl w:val="nil"/>
                  </w:tcBorders>
                  <w:shd w:val="clear" w:color="auto" w:fill="FFFFFF"/>
                  <w:vAlign w:val="center"/>
                </w:tcPr>
                <w:p w14:paraId="115634C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80" w:type="dxa"/>
                  <w:tcBorders>
                    <w:tl2br w:val="nil"/>
                    <w:tr2bl w:val="nil"/>
                  </w:tcBorders>
                  <w:shd w:val="clear" w:color="auto" w:fill="FFFFFF"/>
                  <w:vAlign w:val="center"/>
                </w:tcPr>
                <w:p w14:paraId="28731AE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c>
                <w:tcPr>
                  <w:tcW w:w="972" w:type="dxa"/>
                  <w:vMerge w:val="continue"/>
                  <w:tcBorders>
                    <w:tl2br w:val="nil"/>
                    <w:tr2bl w:val="nil"/>
                  </w:tcBorders>
                  <w:shd w:val="clear" w:color="auto" w:fill="FFFFFF"/>
                  <w:vAlign w:val="center"/>
                </w:tcPr>
                <w:p w14:paraId="2A662B7B">
                  <w:pPr>
                    <w:pStyle w:val="46"/>
                    <w:jc w:val="center"/>
                    <w:rPr>
                      <w:rFonts w:hint="default" w:ascii="Times New Roman" w:hAnsi="Times New Roman" w:cs="Times New Roman"/>
                      <w:color w:val="auto"/>
                      <w:highlight w:val="none"/>
                    </w:rPr>
                  </w:pPr>
                </w:p>
              </w:tc>
              <w:tc>
                <w:tcPr>
                  <w:tcW w:w="695" w:type="dxa"/>
                  <w:vMerge w:val="continue"/>
                  <w:tcBorders>
                    <w:tl2br w:val="nil"/>
                    <w:tr2bl w:val="nil"/>
                  </w:tcBorders>
                  <w:shd w:val="clear" w:color="auto" w:fill="FFFFFF"/>
                  <w:vAlign w:val="center"/>
                </w:tcPr>
                <w:p w14:paraId="09B44B64">
                  <w:pPr>
                    <w:pStyle w:val="46"/>
                    <w:jc w:val="center"/>
                    <w:rPr>
                      <w:rFonts w:hint="default" w:ascii="Times New Roman" w:hAnsi="Times New Roman" w:cs="Times New Roman"/>
                      <w:color w:val="auto"/>
                      <w:highlight w:val="none"/>
                    </w:rPr>
                  </w:pPr>
                </w:p>
              </w:tc>
            </w:tr>
            <w:tr w14:paraId="2D8A36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atLeast"/>
                <w:jc w:val="center"/>
              </w:trPr>
              <w:tc>
                <w:tcPr>
                  <w:tcW w:w="418" w:type="dxa"/>
                  <w:tcBorders>
                    <w:tl2br w:val="nil"/>
                    <w:tr2bl w:val="nil"/>
                  </w:tcBorders>
                  <w:shd w:val="clear" w:color="auto" w:fill="FFFFFF"/>
                  <w:vAlign w:val="center"/>
                </w:tcPr>
                <w:p w14:paraId="22B9CC1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695" w:type="dxa"/>
                  <w:tcBorders>
                    <w:tl2br w:val="nil"/>
                    <w:tr2bl w:val="nil"/>
                  </w:tcBorders>
                  <w:shd w:val="clear" w:color="auto" w:fill="FFFFFF"/>
                  <w:vAlign w:val="center"/>
                </w:tcPr>
                <w:p w14:paraId="23F934E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装载机</w:t>
                  </w:r>
                </w:p>
              </w:tc>
              <w:tc>
                <w:tcPr>
                  <w:tcW w:w="537" w:type="dxa"/>
                  <w:tcBorders>
                    <w:tl2br w:val="nil"/>
                    <w:tr2bl w:val="nil"/>
                  </w:tcBorders>
                  <w:shd w:val="clear" w:color="auto" w:fill="FFFFFF"/>
                  <w:vAlign w:val="center"/>
                </w:tcPr>
                <w:p w14:paraId="3866B94A">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650" w:type="dxa"/>
                  <w:tcBorders>
                    <w:tl2br w:val="nil"/>
                    <w:tr2bl w:val="nil"/>
                  </w:tcBorders>
                  <w:shd w:val="clear" w:color="auto" w:fill="FFFFFF"/>
                  <w:vAlign w:val="center"/>
                </w:tcPr>
                <w:p w14:paraId="6B53522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25.6</w:t>
                  </w:r>
                </w:p>
              </w:tc>
              <w:tc>
                <w:tcPr>
                  <w:tcW w:w="770" w:type="dxa"/>
                  <w:tcBorders>
                    <w:tl2br w:val="nil"/>
                    <w:tr2bl w:val="nil"/>
                  </w:tcBorders>
                  <w:shd w:val="clear" w:color="auto" w:fill="FFFFFF"/>
                  <w:vAlign w:val="center"/>
                </w:tcPr>
                <w:p w14:paraId="053007E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20</w:t>
                  </w:r>
                </w:p>
              </w:tc>
              <w:tc>
                <w:tcPr>
                  <w:tcW w:w="830" w:type="dxa"/>
                  <w:tcBorders>
                    <w:tl2br w:val="nil"/>
                    <w:tr2bl w:val="nil"/>
                  </w:tcBorders>
                  <w:shd w:val="clear" w:color="auto" w:fill="FFFFFF"/>
                  <w:vAlign w:val="center"/>
                </w:tcPr>
                <w:p w14:paraId="46C1F9E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1.2</w:t>
                  </w:r>
                </w:p>
              </w:tc>
              <w:tc>
                <w:tcPr>
                  <w:tcW w:w="1470" w:type="dxa"/>
                  <w:tcBorders>
                    <w:tl2br w:val="nil"/>
                    <w:tr2bl w:val="nil"/>
                  </w:tcBorders>
                  <w:shd w:val="clear" w:color="auto" w:fill="FFFFFF"/>
                  <w:vAlign w:val="center"/>
                </w:tcPr>
                <w:p w14:paraId="6FB5CDE2">
                  <w:pPr>
                    <w:pStyle w:val="46"/>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80" w:type="dxa"/>
                  <w:tcBorders>
                    <w:tl2br w:val="nil"/>
                    <w:tr2bl w:val="nil"/>
                  </w:tcBorders>
                  <w:shd w:val="clear" w:color="auto" w:fill="FFFFFF"/>
                  <w:vAlign w:val="center"/>
                </w:tcPr>
                <w:p w14:paraId="0FF7A5E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c>
                <w:tcPr>
                  <w:tcW w:w="972" w:type="dxa"/>
                  <w:vMerge w:val="continue"/>
                  <w:tcBorders>
                    <w:tl2br w:val="nil"/>
                    <w:tr2bl w:val="nil"/>
                  </w:tcBorders>
                  <w:shd w:val="clear" w:color="auto" w:fill="FFFFFF"/>
                  <w:vAlign w:val="center"/>
                </w:tcPr>
                <w:p w14:paraId="46AEBAB8">
                  <w:pPr>
                    <w:pStyle w:val="46"/>
                    <w:jc w:val="center"/>
                    <w:rPr>
                      <w:rFonts w:hint="default" w:ascii="Times New Roman" w:hAnsi="Times New Roman" w:cs="Times New Roman"/>
                      <w:color w:val="auto"/>
                      <w:highlight w:val="none"/>
                    </w:rPr>
                  </w:pPr>
                </w:p>
              </w:tc>
              <w:tc>
                <w:tcPr>
                  <w:tcW w:w="695" w:type="dxa"/>
                  <w:vMerge w:val="continue"/>
                  <w:tcBorders>
                    <w:tl2br w:val="nil"/>
                    <w:tr2bl w:val="nil"/>
                  </w:tcBorders>
                  <w:shd w:val="clear" w:color="auto" w:fill="FFFFFF"/>
                  <w:vAlign w:val="center"/>
                </w:tcPr>
                <w:p w14:paraId="6EF4C12B">
                  <w:pPr>
                    <w:pStyle w:val="46"/>
                    <w:jc w:val="center"/>
                    <w:rPr>
                      <w:rFonts w:hint="default" w:ascii="Times New Roman" w:hAnsi="Times New Roman" w:cs="Times New Roman"/>
                      <w:color w:val="auto"/>
                      <w:highlight w:val="none"/>
                    </w:rPr>
                  </w:pPr>
                </w:p>
              </w:tc>
            </w:tr>
          </w:tbl>
          <w:p w14:paraId="0448D932">
            <w:pPr>
              <w:ind w:left="480" w:leftChars="200" w:firstLine="0" w:firstLineChars="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2.噪声预测</w:t>
            </w:r>
          </w:p>
          <w:p w14:paraId="5463C0EC">
            <w:pPr>
              <w:ind w:firstLine="48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根据项目建设内容及《环境影响评价技术导则  声环境》（HJ2.4-2021）的要求，项目环评采用的模型为《环境影响评价技术导则 声环境》(HJ2.4.2021)附录A（规范性附录）户外声传播的衰减和附录B（规范性附录）中“B.1工业噪声预测计算模型”。</w:t>
            </w:r>
            <w:r>
              <w:rPr>
                <w:rFonts w:hint="default" w:ascii="Times New Roman" w:hAnsi="Times New Roman" w:cs="Times New Roman"/>
                <w:color w:val="auto"/>
                <w:highlight w:val="none"/>
              </w:rPr>
              <w:t>其计算公式如下：</w:t>
            </w:r>
          </w:p>
          <w:p w14:paraId="7B4FD5B8">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相同方向预测点位置的倍频带声压级LP(r)计算公式：</w:t>
            </w:r>
          </w:p>
          <w:p w14:paraId="0F523DDE">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object>
                <v:shape id="_x0000_i1048" o:spt="75" type="#_x0000_t75" style="height:18.75pt;width:249.75pt;" o:ole="t" filled="f" o:preferrelative="t" stroked="f" coordsize="21600,21600">
                  <v:path/>
                  <v:fill on="f" focussize="0,0"/>
                  <v:stroke on="f" joinstyle="miter"/>
                  <v:imagedata r:id="rId67" o:title=""/>
                  <o:lock v:ext="edit" aspectratio="t"/>
                  <w10:wrap type="none"/>
                  <w10:anchorlock/>
                </v:shape>
                <o:OLEObject Type="Embed" ProgID="Equation.3" ShapeID="_x0000_i1048" DrawAspect="Content" ObjectID="_1468075749" r:id="rId66">
                  <o:LockedField>false</o:LockedField>
                </o:OLEObject>
              </w:object>
            </w:r>
          </w:p>
          <w:p w14:paraId="59ED6EE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式中：Lp(r)—预测点处声压级，dB；</w:t>
            </w:r>
          </w:p>
          <w:p w14:paraId="7D9164C2">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Lp(r0)—参考位置r0处的声压级，dB；</w:t>
            </w:r>
          </w:p>
          <w:p w14:paraId="593E91F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Dc—指向性校正，它描述点声源的等效连续声压级与产生声功率级Lw的全向点声源在规定方向的声级的偏差程度，dB；</w:t>
            </w:r>
          </w:p>
          <w:p w14:paraId="629FB669">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Adiv—几何发散引起的衰减，dB；</w:t>
            </w:r>
          </w:p>
          <w:p w14:paraId="159B264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Aatm—大气吸收引起的衰减，dB；</w:t>
            </w:r>
          </w:p>
          <w:p w14:paraId="174231B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Agr—地面效应引起的衰减，dB；</w:t>
            </w:r>
          </w:p>
          <w:p w14:paraId="05CA81C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Abar—障碍物屏障引起的衰减，dB；</w:t>
            </w:r>
          </w:p>
          <w:p w14:paraId="33627C1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Amisc—其他多方面效应引起的衰减，dB。</w:t>
            </w:r>
          </w:p>
          <w:p w14:paraId="0C1ADB89">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②室内声源等效室外声源声功率级计算方法</w:t>
            </w:r>
          </w:p>
          <w:p w14:paraId="4E7763B8">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室外的倍频带声压级</w:t>
            </w:r>
          </w:p>
          <w:p w14:paraId="642320F2">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object>
                <v:shape id="_x0000_i1049" o:spt="75" type="#_x0000_t75" style="height:18.75pt;width:99.75pt;" o:ole="t" filled="f" o:preferrelative="t" stroked="f" coordsize="21600,21600">
                  <v:path/>
                  <v:fill on="f" focussize="0,0"/>
                  <v:stroke on="f" joinstyle="miter"/>
                  <v:imagedata r:id="rId69" o:title=""/>
                  <o:lock v:ext="edit" aspectratio="t"/>
                  <w10:wrap type="none"/>
                  <w10:anchorlock/>
                </v:shape>
                <o:OLEObject Type="Embed" ProgID="Equation.3" ShapeID="_x0000_i1049" DrawAspect="Content" ObjectID="_1468075750" r:id="rId68">
                  <o:LockedField>false</o:LockedField>
                </o:OLEObject>
              </w:object>
            </w:r>
          </w:p>
          <w:p w14:paraId="7015028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式中：TL—隔墙（或窗户）倍频带或A声级的隔声量，dB；</w:t>
            </w:r>
          </w:p>
          <w:p w14:paraId="314FA3A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Lp1—靠近开口处（或窗户）室内某倍频带的声压级或A声级，dB；</w:t>
            </w:r>
          </w:p>
          <w:p w14:paraId="3E0EDEA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Lp2—靠近开口处（或窗户）室内某倍频带的声压级或A声级，dB</w:t>
            </w:r>
          </w:p>
          <w:p w14:paraId="719CB3C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某一室内声源靠近围护结构处产生的倍频带声压级</w:t>
            </w:r>
          </w:p>
          <w:p w14:paraId="0B56CB92">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object>
                <v:shape id="_x0000_i1050" o:spt="75" type="#_x0000_t75" style="height:30.75pt;width:135.75pt;" o:ole="t" filled="f" o:preferrelative="t" stroked="f" coordsize="21600,21600">
                  <v:path/>
                  <v:fill on="f" focussize="0,0"/>
                  <v:stroke on="f" joinstyle="miter"/>
                  <v:imagedata r:id="rId71" o:title=""/>
                  <o:lock v:ext="edit" aspectratio="t"/>
                  <w10:wrap type="none"/>
                  <w10:anchorlock/>
                </v:shape>
                <o:OLEObject Type="Embed" ProgID="Equation.3" ShapeID="_x0000_i1050" DrawAspect="Content" ObjectID="_1468075751" r:id="rId70">
                  <o:LockedField>false</o:LockedField>
                </o:OLEObject>
              </w:object>
            </w:r>
          </w:p>
          <w:p w14:paraId="1098E27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式中：Q—指向性因数；</w:t>
            </w:r>
          </w:p>
          <w:p w14:paraId="78F2622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R—房间常数；</w:t>
            </w:r>
          </w:p>
          <w:p w14:paraId="39987486">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r—声源在靠近围护结构某点处的距离，m。</w:t>
            </w:r>
          </w:p>
          <w:p w14:paraId="6380128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室内声源在围护结构处产生的i倍频带叠加声压级：</w:t>
            </w:r>
          </w:p>
          <w:p w14:paraId="23A766EC">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object>
                <v:shape id="_x0000_i1051" o:spt="75" type="#_x0000_t75" style="height:35.25pt;width:131.25pt;" o:ole="t" filled="f" o:preferrelative="t" stroked="f" coordsize="21600,21600">
                  <v:path/>
                  <v:fill on="f" focussize="0,0"/>
                  <v:stroke on="f" joinstyle="miter"/>
                  <v:imagedata r:id="rId73" o:title=""/>
                  <o:lock v:ext="edit" aspectratio="t"/>
                  <w10:wrap type="none"/>
                  <w10:anchorlock/>
                </v:shape>
                <o:OLEObject Type="Embed" ProgID="Equation.3" ShapeID="_x0000_i1051" DrawAspect="Content" ObjectID="_1468075752" r:id="rId72">
                  <o:LockedField>false</o:LockedField>
                </o:OLEObject>
              </w:object>
            </w:r>
          </w:p>
          <w:p w14:paraId="6D1AE00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式中：Lp1i(T)—靠近围护结构处室内N个声源i倍频带的叠加声压级，dB；</w:t>
            </w:r>
          </w:p>
          <w:p w14:paraId="71328D7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Lp1ij—室内j声源i倍频带的声压级，dB；</w:t>
            </w:r>
          </w:p>
          <w:p w14:paraId="2F7A1D4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N—室内声源总数。</w:t>
            </w:r>
          </w:p>
          <w:p w14:paraId="6759247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③噪声贡献值计算</w:t>
            </w:r>
          </w:p>
          <w:p w14:paraId="4646ED9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拟建项目声源对预测点产生的贡献值为：</w:t>
            </w:r>
          </w:p>
          <w:p w14:paraId="6C64D79A">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object>
                <v:shape id="_x0000_i1052" o:spt="75" type="#_x0000_t75" style="height:40.5pt;width:205.5pt;" o:ole="t" filled="f" o:preferrelative="t" stroked="f" coordsize="21600,21600">
                  <v:path/>
                  <v:fill on="f" focussize="0,0"/>
                  <v:stroke on="f" joinstyle="miter"/>
                  <v:imagedata r:id="rId75" o:title=""/>
                  <o:lock v:ext="edit" aspectratio="t"/>
                  <w10:wrap type="none"/>
                  <w10:anchorlock/>
                </v:shape>
                <o:OLEObject Type="Embed" ProgID="Equation.3" ShapeID="_x0000_i1052" DrawAspect="Content" ObjectID="_1468075753" r:id="rId74">
                  <o:LockedField>false</o:LockedField>
                </o:OLEObject>
              </w:object>
            </w:r>
          </w:p>
          <w:p w14:paraId="4B9DF6B6">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式中：Leqg—建设项目声源在预测点的等效声级贡献值，dB(A)；</w:t>
            </w:r>
          </w:p>
          <w:p w14:paraId="53FE512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tj—在T时间内j声源工作时间，s；</w:t>
            </w:r>
          </w:p>
          <w:p w14:paraId="0D3BCDC2">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ti—在T时间内i声源工作时间，s；</w:t>
            </w:r>
          </w:p>
          <w:p w14:paraId="1055441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T—用于计算等效声级的时间，s；</w:t>
            </w:r>
          </w:p>
          <w:p w14:paraId="4C1EDC8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N—室外声源个数；</w:t>
            </w:r>
          </w:p>
          <w:p w14:paraId="117F3A98">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M—等效室外声源个数。</w:t>
            </w:r>
          </w:p>
          <w:p w14:paraId="4946B3C9">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④预测值计算</w:t>
            </w:r>
          </w:p>
          <w:p w14:paraId="717FD6A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预测点的噪声预测值（Leq）计算公式：</w:t>
            </w:r>
          </w:p>
          <w:p w14:paraId="4B38AFB3">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object>
                <v:shape id="_x0000_i1053" o:spt="75" type="#_x0000_t75" style="height:21pt;width:134.25pt;" o:ole="t" filled="f" o:preferrelative="t" stroked="f" coordsize="21600,21600">
                  <v:path/>
                  <v:fill on="f" focussize="0,0"/>
                  <v:stroke on="f" joinstyle="miter"/>
                  <v:imagedata r:id="rId77" o:title=""/>
                  <o:lock v:ext="edit" aspectratio="t"/>
                  <w10:wrap type="none"/>
                  <w10:anchorlock/>
                </v:shape>
                <o:OLEObject Type="Embed" ProgID="Equation.3" ShapeID="_x0000_i1053" DrawAspect="Content" ObjectID="_1468075754" r:id="rId76">
                  <o:LockedField>false</o:LockedField>
                </o:OLEObject>
              </w:object>
            </w:r>
          </w:p>
          <w:p w14:paraId="2F3A22A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式中：Leq—预测点的噪声预测值，dB；</w:t>
            </w:r>
          </w:p>
          <w:p w14:paraId="6053282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Leqg—建设项目声源在预测点产生的噪声贡献值，dB；</w:t>
            </w:r>
          </w:p>
          <w:p w14:paraId="427B3EF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Leqb—预测点的背景噪声值，dB。</w:t>
            </w:r>
          </w:p>
          <w:p w14:paraId="0EEBD3FF">
            <w:pPr>
              <w:ind w:firstLine="48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在预测中考虑反射引起的修正、屏障引起的衰减、双绕射、室内声源等效室外声源等影响和计算方法</w:t>
            </w:r>
            <w:r>
              <w:rPr>
                <w:rFonts w:hint="default" w:ascii="Times New Roman" w:hAnsi="Times New Roman" w:cs="Times New Roman"/>
                <w:color w:val="auto"/>
                <w:highlight w:val="none"/>
              </w:rPr>
              <w:t>。</w:t>
            </w:r>
          </w:p>
          <w:p w14:paraId="0BD6576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根据本项目投产后厂内主要噪声源的位置、声功率级值以及所采取的噪声防治措施，运营期厂界噪声预测结果见下表。</w:t>
            </w:r>
          </w:p>
          <w:p w14:paraId="26A2E5C6">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表4-1</w:t>
            </w:r>
            <w:r>
              <w:rPr>
                <w:rFonts w:hint="default" w:ascii="Times New Roman" w:hAnsi="Times New Roman" w:cs="Times New Roman"/>
                <w:color w:val="auto"/>
                <w:highlight w:val="none"/>
                <w:lang w:val="en-US" w:eastAsia="zh-CN"/>
              </w:rPr>
              <w:t xml:space="preserve">1    </w:t>
            </w:r>
            <w:r>
              <w:rPr>
                <w:rFonts w:hint="default" w:ascii="Times New Roman" w:hAnsi="Times New Roman" w:cs="Times New Roman"/>
                <w:color w:val="auto"/>
                <w:highlight w:val="none"/>
              </w:rPr>
              <w:t>厂界噪声预测结果</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单位：Leq</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dB（A）</w:t>
            </w:r>
            <w:r>
              <w:rPr>
                <w:rFonts w:hint="default" w:ascii="Times New Roman" w:hAnsi="Times New Roman" w:cs="Times New Roman"/>
                <w:color w:val="auto"/>
                <w:highlight w:val="none"/>
                <w:lang w:eastAsia="zh-CN"/>
              </w:rPr>
              <w:t>）</w:t>
            </w:r>
          </w:p>
          <w:tbl>
            <w:tblPr>
              <w:tblStyle w:val="23"/>
              <w:tblW w:w="793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747"/>
              <w:gridCol w:w="747"/>
              <w:gridCol w:w="749"/>
              <w:gridCol w:w="924"/>
              <w:gridCol w:w="1319"/>
              <w:gridCol w:w="1320"/>
              <w:gridCol w:w="1106"/>
            </w:tblGrid>
            <w:tr w14:paraId="586DAD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025" w:type="dxa"/>
                  <w:vMerge w:val="restart"/>
                  <w:tcBorders>
                    <w:tl2br w:val="nil"/>
                    <w:tr2bl w:val="nil"/>
                  </w:tcBorders>
                  <w:vAlign w:val="center"/>
                </w:tcPr>
                <w:p w14:paraId="6927EB8F">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预测方位</w:t>
                  </w:r>
                </w:p>
              </w:tc>
              <w:tc>
                <w:tcPr>
                  <w:tcW w:w="2243" w:type="dxa"/>
                  <w:gridSpan w:val="3"/>
                  <w:tcBorders>
                    <w:tl2br w:val="nil"/>
                    <w:tr2bl w:val="nil"/>
                  </w:tcBorders>
                  <w:vAlign w:val="center"/>
                </w:tcPr>
                <w:p w14:paraId="6E422BDE">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最大值点</w:t>
                  </w:r>
                  <w:r>
                    <w:rPr>
                      <w:rFonts w:hint="default" w:ascii="Times New Roman" w:hAnsi="Times New Roman" w:eastAsia="宋体" w:cs="Times New Roman"/>
                      <w:color w:val="auto"/>
                      <w:highlight w:val="none"/>
                    </w:rPr>
                    <w:t>空间相对位置/m</w:t>
                  </w:r>
                </w:p>
              </w:tc>
              <w:tc>
                <w:tcPr>
                  <w:tcW w:w="924" w:type="dxa"/>
                  <w:vMerge w:val="restart"/>
                  <w:tcBorders>
                    <w:tl2br w:val="nil"/>
                    <w:tr2bl w:val="nil"/>
                  </w:tcBorders>
                  <w:vAlign w:val="center"/>
                </w:tcPr>
                <w:p w14:paraId="7F41158E">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时段</w:t>
                  </w:r>
                </w:p>
              </w:tc>
              <w:tc>
                <w:tcPr>
                  <w:tcW w:w="1319" w:type="dxa"/>
                  <w:vMerge w:val="restart"/>
                  <w:tcBorders>
                    <w:tl2br w:val="nil"/>
                    <w:tr2bl w:val="nil"/>
                  </w:tcBorders>
                  <w:vAlign w:val="center"/>
                </w:tcPr>
                <w:p w14:paraId="6E9F1295">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贡献值（dB(A)）</w:t>
                  </w:r>
                </w:p>
              </w:tc>
              <w:tc>
                <w:tcPr>
                  <w:tcW w:w="1320" w:type="dxa"/>
                  <w:vMerge w:val="restart"/>
                  <w:tcBorders>
                    <w:tl2br w:val="nil"/>
                    <w:tr2bl w:val="nil"/>
                  </w:tcBorders>
                  <w:vAlign w:val="center"/>
                </w:tcPr>
                <w:p w14:paraId="74311DB6">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标准限值（dB(A)）</w:t>
                  </w:r>
                </w:p>
              </w:tc>
              <w:tc>
                <w:tcPr>
                  <w:tcW w:w="1106" w:type="dxa"/>
                  <w:vMerge w:val="restart"/>
                  <w:tcBorders>
                    <w:tl2br w:val="nil"/>
                    <w:tr2bl w:val="nil"/>
                  </w:tcBorders>
                  <w:vAlign w:val="center"/>
                </w:tcPr>
                <w:p w14:paraId="5717DA03">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达标情况</w:t>
                  </w:r>
                </w:p>
              </w:tc>
            </w:tr>
            <w:tr w14:paraId="4ED3EA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025" w:type="dxa"/>
                  <w:vMerge w:val="continue"/>
                  <w:tcBorders>
                    <w:tl2br w:val="nil"/>
                    <w:tr2bl w:val="nil"/>
                  </w:tcBorders>
                  <w:shd w:val="clear" w:color="auto" w:fill="FFFFFF"/>
                  <w:vAlign w:val="center"/>
                </w:tcPr>
                <w:p w14:paraId="292D9420">
                  <w:pPr>
                    <w:pStyle w:val="46"/>
                    <w:jc w:val="center"/>
                    <w:rPr>
                      <w:rFonts w:hint="default" w:ascii="Times New Roman" w:hAnsi="Times New Roman" w:eastAsia="宋体" w:cs="Times New Roman"/>
                      <w:color w:val="auto"/>
                      <w:highlight w:val="none"/>
                    </w:rPr>
                  </w:pPr>
                </w:p>
              </w:tc>
              <w:tc>
                <w:tcPr>
                  <w:tcW w:w="747" w:type="dxa"/>
                  <w:tcBorders>
                    <w:tl2br w:val="nil"/>
                    <w:tr2bl w:val="nil"/>
                  </w:tcBorders>
                  <w:shd w:val="clear" w:color="auto" w:fill="FFFFFF"/>
                  <w:vAlign w:val="center"/>
                </w:tcPr>
                <w:p w14:paraId="4138D9F0">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X</w:t>
                  </w:r>
                </w:p>
              </w:tc>
              <w:tc>
                <w:tcPr>
                  <w:tcW w:w="747" w:type="dxa"/>
                  <w:tcBorders>
                    <w:tl2br w:val="nil"/>
                    <w:tr2bl w:val="nil"/>
                  </w:tcBorders>
                  <w:shd w:val="clear" w:color="auto" w:fill="FFFFFF"/>
                  <w:vAlign w:val="center"/>
                </w:tcPr>
                <w:p w14:paraId="090EFFB1">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Y</w:t>
                  </w:r>
                </w:p>
              </w:tc>
              <w:tc>
                <w:tcPr>
                  <w:tcW w:w="749" w:type="dxa"/>
                  <w:tcBorders>
                    <w:tl2br w:val="nil"/>
                    <w:tr2bl w:val="nil"/>
                  </w:tcBorders>
                  <w:shd w:val="clear" w:color="auto" w:fill="FFFFFF"/>
                  <w:vAlign w:val="center"/>
                </w:tcPr>
                <w:p w14:paraId="2F0F0122">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Z</w:t>
                  </w:r>
                </w:p>
              </w:tc>
              <w:tc>
                <w:tcPr>
                  <w:tcW w:w="924" w:type="dxa"/>
                  <w:vMerge w:val="continue"/>
                  <w:tcBorders>
                    <w:tl2br w:val="nil"/>
                    <w:tr2bl w:val="nil"/>
                  </w:tcBorders>
                  <w:shd w:val="clear" w:color="auto" w:fill="FFFFFF"/>
                  <w:vAlign w:val="center"/>
                </w:tcPr>
                <w:p w14:paraId="5BDFE83A">
                  <w:pPr>
                    <w:pStyle w:val="46"/>
                    <w:jc w:val="center"/>
                    <w:rPr>
                      <w:rFonts w:hint="default" w:ascii="Times New Roman" w:hAnsi="Times New Roman" w:eastAsia="宋体" w:cs="Times New Roman"/>
                      <w:color w:val="auto"/>
                      <w:highlight w:val="none"/>
                    </w:rPr>
                  </w:pPr>
                </w:p>
              </w:tc>
              <w:tc>
                <w:tcPr>
                  <w:tcW w:w="1319" w:type="dxa"/>
                  <w:vMerge w:val="continue"/>
                  <w:tcBorders>
                    <w:tl2br w:val="nil"/>
                    <w:tr2bl w:val="nil"/>
                  </w:tcBorders>
                  <w:shd w:val="clear" w:color="auto" w:fill="FFFFFF"/>
                  <w:vAlign w:val="center"/>
                </w:tcPr>
                <w:p w14:paraId="283AE5F7">
                  <w:pPr>
                    <w:pStyle w:val="46"/>
                    <w:jc w:val="center"/>
                    <w:rPr>
                      <w:rFonts w:hint="default" w:ascii="Times New Roman" w:hAnsi="Times New Roman" w:eastAsia="宋体" w:cs="Times New Roman"/>
                      <w:color w:val="auto"/>
                      <w:highlight w:val="none"/>
                    </w:rPr>
                  </w:pPr>
                </w:p>
              </w:tc>
              <w:tc>
                <w:tcPr>
                  <w:tcW w:w="1320" w:type="dxa"/>
                  <w:vMerge w:val="continue"/>
                  <w:tcBorders>
                    <w:tl2br w:val="nil"/>
                    <w:tr2bl w:val="nil"/>
                  </w:tcBorders>
                  <w:shd w:val="clear" w:color="auto" w:fill="FFFFFF"/>
                  <w:vAlign w:val="center"/>
                </w:tcPr>
                <w:p w14:paraId="398A8DC7">
                  <w:pPr>
                    <w:pStyle w:val="46"/>
                    <w:jc w:val="center"/>
                    <w:rPr>
                      <w:rFonts w:hint="default" w:ascii="Times New Roman" w:hAnsi="Times New Roman" w:eastAsia="宋体" w:cs="Times New Roman"/>
                      <w:color w:val="auto"/>
                      <w:highlight w:val="none"/>
                    </w:rPr>
                  </w:pPr>
                </w:p>
              </w:tc>
              <w:tc>
                <w:tcPr>
                  <w:tcW w:w="1106" w:type="dxa"/>
                  <w:vMerge w:val="continue"/>
                  <w:tcBorders>
                    <w:tl2br w:val="nil"/>
                    <w:tr2bl w:val="nil"/>
                  </w:tcBorders>
                  <w:shd w:val="clear" w:color="auto" w:fill="FFFFFF"/>
                  <w:vAlign w:val="center"/>
                </w:tcPr>
                <w:p w14:paraId="6061CC23">
                  <w:pPr>
                    <w:pStyle w:val="46"/>
                    <w:jc w:val="center"/>
                    <w:rPr>
                      <w:rFonts w:hint="default" w:ascii="Times New Roman" w:hAnsi="Times New Roman" w:eastAsia="宋体" w:cs="Times New Roman"/>
                      <w:color w:val="auto"/>
                      <w:highlight w:val="none"/>
                    </w:rPr>
                  </w:pPr>
                </w:p>
              </w:tc>
            </w:tr>
            <w:tr w14:paraId="68D80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atLeast"/>
                <w:jc w:val="center"/>
              </w:trPr>
              <w:tc>
                <w:tcPr>
                  <w:tcW w:w="1025" w:type="dxa"/>
                  <w:vMerge w:val="restart"/>
                  <w:tcBorders>
                    <w:tl2br w:val="nil"/>
                    <w:tr2bl w:val="nil"/>
                  </w:tcBorders>
                  <w:shd w:val="clear" w:color="auto" w:fill="FFFFFF"/>
                  <w:vAlign w:val="center"/>
                </w:tcPr>
                <w:p w14:paraId="7E6A4EEA">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东侧</w:t>
                  </w:r>
                </w:p>
              </w:tc>
              <w:tc>
                <w:tcPr>
                  <w:tcW w:w="747" w:type="dxa"/>
                  <w:tcBorders>
                    <w:tl2br w:val="nil"/>
                    <w:tr2bl w:val="nil"/>
                  </w:tcBorders>
                  <w:shd w:val="clear" w:color="auto" w:fill="FFFFFF"/>
                  <w:vAlign w:val="center"/>
                </w:tcPr>
                <w:p w14:paraId="29016D50">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43.3</w:t>
                  </w:r>
                </w:p>
              </w:tc>
              <w:tc>
                <w:tcPr>
                  <w:tcW w:w="747" w:type="dxa"/>
                  <w:tcBorders>
                    <w:tl2br w:val="nil"/>
                    <w:tr2bl w:val="nil"/>
                  </w:tcBorders>
                  <w:shd w:val="clear" w:color="auto" w:fill="FFFFFF"/>
                  <w:vAlign w:val="center"/>
                </w:tcPr>
                <w:p w14:paraId="7FD56DAD">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-15.7</w:t>
                  </w:r>
                </w:p>
              </w:tc>
              <w:tc>
                <w:tcPr>
                  <w:tcW w:w="749" w:type="dxa"/>
                  <w:tcBorders>
                    <w:tl2br w:val="nil"/>
                    <w:tr2bl w:val="nil"/>
                  </w:tcBorders>
                  <w:shd w:val="clear" w:color="auto" w:fill="FFFFFF"/>
                  <w:vAlign w:val="center"/>
                </w:tcPr>
                <w:p w14:paraId="50D51F6C">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1.2</w:t>
                  </w:r>
                </w:p>
              </w:tc>
              <w:tc>
                <w:tcPr>
                  <w:tcW w:w="924" w:type="dxa"/>
                  <w:tcBorders>
                    <w:tl2br w:val="nil"/>
                    <w:tr2bl w:val="nil"/>
                  </w:tcBorders>
                  <w:shd w:val="clear" w:color="auto" w:fill="FFFFFF"/>
                  <w:vAlign w:val="center"/>
                </w:tcPr>
                <w:p w14:paraId="27FA4D59">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昼间</w:t>
                  </w:r>
                </w:p>
              </w:tc>
              <w:tc>
                <w:tcPr>
                  <w:tcW w:w="1319" w:type="dxa"/>
                  <w:tcBorders>
                    <w:tl2br w:val="nil"/>
                    <w:tr2bl w:val="nil"/>
                  </w:tcBorders>
                  <w:shd w:val="clear" w:color="auto" w:fill="FFFFFF"/>
                  <w:vAlign w:val="center"/>
                </w:tcPr>
                <w:p w14:paraId="37E062AC">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37.6</w:t>
                  </w:r>
                </w:p>
              </w:tc>
              <w:tc>
                <w:tcPr>
                  <w:tcW w:w="1320" w:type="dxa"/>
                  <w:tcBorders>
                    <w:tl2br w:val="nil"/>
                    <w:tr2bl w:val="nil"/>
                  </w:tcBorders>
                  <w:shd w:val="clear" w:color="auto" w:fill="FFFFFF"/>
                  <w:vAlign w:val="center"/>
                </w:tcPr>
                <w:p w14:paraId="3841D857">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60</w:t>
                  </w:r>
                </w:p>
              </w:tc>
              <w:tc>
                <w:tcPr>
                  <w:tcW w:w="1106" w:type="dxa"/>
                  <w:tcBorders>
                    <w:tl2br w:val="nil"/>
                    <w:tr2bl w:val="nil"/>
                  </w:tcBorders>
                  <w:shd w:val="clear" w:color="auto" w:fill="FFFFFF"/>
                  <w:vAlign w:val="center"/>
                </w:tcPr>
                <w:p w14:paraId="1C49270E">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7A5967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atLeast"/>
                <w:jc w:val="center"/>
              </w:trPr>
              <w:tc>
                <w:tcPr>
                  <w:tcW w:w="1025" w:type="dxa"/>
                  <w:vMerge w:val="continue"/>
                  <w:tcBorders>
                    <w:tl2br w:val="nil"/>
                    <w:tr2bl w:val="nil"/>
                  </w:tcBorders>
                  <w:shd w:val="clear" w:color="auto" w:fill="FFFFFF"/>
                  <w:vAlign w:val="center"/>
                </w:tcPr>
                <w:p w14:paraId="5C6600AA">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东侧</w:t>
                  </w:r>
                </w:p>
              </w:tc>
              <w:tc>
                <w:tcPr>
                  <w:tcW w:w="747" w:type="dxa"/>
                  <w:tcBorders>
                    <w:tl2br w:val="nil"/>
                    <w:tr2bl w:val="nil"/>
                  </w:tcBorders>
                  <w:shd w:val="clear" w:color="auto" w:fill="FFFFFF"/>
                  <w:vAlign w:val="center"/>
                </w:tcPr>
                <w:p w14:paraId="3B60A43A">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43.3</w:t>
                  </w:r>
                </w:p>
              </w:tc>
              <w:tc>
                <w:tcPr>
                  <w:tcW w:w="747" w:type="dxa"/>
                  <w:tcBorders>
                    <w:tl2br w:val="nil"/>
                    <w:tr2bl w:val="nil"/>
                  </w:tcBorders>
                  <w:shd w:val="clear" w:color="auto" w:fill="FFFFFF"/>
                  <w:vAlign w:val="center"/>
                </w:tcPr>
                <w:p w14:paraId="48885DD9">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-15.7</w:t>
                  </w:r>
                </w:p>
              </w:tc>
              <w:tc>
                <w:tcPr>
                  <w:tcW w:w="749" w:type="dxa"/>
                  <w:tcBorders>
                    <w:tl2br w:val="nil"/>
                    <w:tr2bl w:val="nil"/>
                  </w:tcBorders>
                  <w:shd w:val="clear" w:color="auto" w:fill="FFFFFF"/>
                  <w:vAlign w:val="center"/>
                </w:tcPr>
                <w:p w14:paraId="6D144109">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1.2</w:t>
                  </w:r>
                </w:p>
              </w:tc>
              <w:tc>
                <w:tcPr>
                  <w:tcW w:w="924" w:type="dxa"/>
                  <w:tcBorders>
                    <w:tl2br w:val="nil"/>
                    <w:tr2bl w:val="nil"/>
                  </w:tcBorders>
                  <w:shd w:val="clear" w:color="auto" w:fill="FFFFFF"/>
                  <w:vAlign w:val="center"/>
                </w:tcPr>
                <w:p w14:paraId="4B2F5733">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夜间</w:t>
                  </w:r>
                </w:p>
              </w:tc>
              <w:tc>
                <w:tcPr>
                  <w:tcW w:w="1319" w:type="dxa"/>
                  <w:tcBorders>
                    <w:tl2br w:val="nil"/>
                    <w:tr2bl w:val="nil"/>
                  </w:tcBorders>
                  <w:shd w:val="clear" w:color="auto" w:fill="FFFFFF"/>
                  <w:vAlign w:val="center"/>
                </w:tcPr>
                <w:p w14:paraId="1CB6323E">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37.6</w:t>
                  </w:r>
                </w:p>
              </w:tc>
              <w:tc>
                <w:tcPr>
                  <w:tcW w:w="1320" w:type="dxa"/>
                  <w:tcBorders>
                    <w:tl2br w:val="nil"/>
                    <w:tr2bl w:val="nil"/>
                  </w:tcBorders>
                  <w:shd w:val="clear" w:color="auto" w:fill="FFFFFF"/>
                  <w:vAlign w:val="center"/>
                </w:tcPr>
                <w:p w14:paraId="6F9C1E01">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50</w:t>
                  </w:r>
                </w:p>
              </w:tc>
              <w:tc>
                <w:tcPr>
                  <w:tcW w:w="1106" w:type="dxa"/>
                  <w:tcBorders>
                    <w:tl2br w:val="nil"/>
                    <w:tr2bl w:val="nil"/>
                  </w:tcBorders>
                  <w:shd w:val="clear" w:color="auto" w:fill="FFFFFF"/>
                  <w:vAlign w:val="center"/>
                </w:tcPr>
                <w:p w14:paraId="4F2BB610">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4416E0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atLeast"/>
                <w:jc w:val="center"/>
              </w:trPr>
              <w:tc>
                <w:tcPr>
                  <w:tcW w:w="1025" w:type="dxa"/>
                  <w:vMerge w:val="restart"/>
                  <w:tcBorders>
                    <w:tl2br w:val="nil"/>
                    <w:tr2bl w:val="nil"/>
                  </w:tcBorders>
                  <w:shd w:val="clear" w:color="auto" w:fill="FFFFFF"/>
                  <w:vAlign w:val="center"/>
                </w:tcPr>
                <w:p w14:paraId="27E95249">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南侧</w:t>
                  </w:r>
                </w:p>
              </w:tc>
              <w:tc>
                <w:tcPr>
                  <w:tcW w:w="747" w:type="dxa"/>
                  <w:tcBorders>
                    <w:tl2br w:val="nil"/>
                    <w:tr2bl w:val="nil"/>
                  </w:tcBorders>
                  <w:shd w:val="clear" w:color="auto" w:fill="FFFFFF"/>
                  <w:vAlign w:val="center"/>
                </w:tcPr>
                <w:p w14:paraId="32EBAF6B">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-9.2</w:t>
                  </w:r>
                </w:p>
              </w:tc>
              <w:tc>
                <w:tcPr>
                  <w:tcW w:w="747" w:type="dxa"/>
                  <w:tcBorders>
                    <w:tl2br w:val="nil"/>
                    <w:tr2bl w:val="nil"/>
                  </w:tcBorders>
                  <w:shd w:val="clear" w:color="auto" w:fill="FFFFFF"/>
                  <w:vAlign w:val="center"/>
                </w:tcPr>
                <w:p w14:paraId="3E3BF454">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-98.2</w:t>
                  </w:r>
                </w:p>
              </w:tc>
              <w:tc>
                <w:tcPr>
                  <w:tcW w:w="749" w:type="dxa"/>
                  <w:tcBorders>
                    <w:tl2br w:val="nil"/>
                    <w:tr2bl w:val="nil"/>
                  </w:tcBorders>
                  <w:shd w:val="clear" w:color="auto" w:fill="FFFFFF"/>
                  <w:vAlign w:val="center"/>
                </w:tcPr>
                <w:p w14:paraId="381F2E6E">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1.2</w:t>
                  </w:r>
                </w:p>
              </w:tc>
              <w:tc>
                <w:tcPr>
                  <w:tcW w:w="924" w:type="dxa"/>
                  <w:tcBorders>
                    <w:tl2br w:val="nil"/>
                    <w:tr2bl w:val="nil"/>
                  </w:tcBorders>
                  <w:shd w:val="clear" w:color="auto" w:fill="FFFFFF"/>
                  <w:vAlign w:val="center"/>
                </w:tcPr>
                <w:p w14:paraId="06428679">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昼间</w:t>
                  </w:r>
                </w:p>
              </w:tc>
              <w:tc>
                <w:tcPr>
                  <w:tcW w:w="1319" w:type="dxa"/>
                  <w:tcBorders>
                    <w:tl2br w:val="nil"/>
                    <w:tr2bl w:val="nil"/>
                  </w:tcBorders>
                  <w:shd w:val="clear" w:color="auto" w:fill="FFFFFF"/>
                  <w:vAlign w:val="center"/>
                </w:tcPr>
                <w:p w14:paraId="35A8FEFC">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16</w:t>
                  </w:r>
                </w:p>
              </w:tc>
              <w:tc>
                <w:tcPr>
                  <w:tcW w:w="1320" w:type="dxa"/>
                  <w:tcBorders>
                    <w:tl2br w:val="nil"/>
                    <w:tr2bl w:val="nil"/>
                  </w:tcBorders>
                  <w:shd w:val="clear" w:color="auto" w:fill="FFFFFF"/>
                  <w:vAlign w:val="center"/>
                </w:tcPr>
                <w:p w14:paraId="5E930006">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60</w:t>
                  </w:r>
                </w:p>
              </w:tc>
              <w:tc>
                <w:tcPr>
                  <w:tcW w:w="1106" w:type="dxa"/>
                  <w:tcBorders>
                    <w:tl2br w:val="nil"/>
                    <w:tr2bl w:val="nil"/>
                  </w:tcBorders>
                  <w:shd w:val="clear" w:color="auto" w:fill="FFFFFF"/>
                  <w:vAlign w:val="center"/>
                </w:tcPr>
                <w:p w14:paraId="39790D2F">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1B519A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atLeast"/>
                <w:jc w:val="center"/>
              </w:trPr>
              <w:tc>
                <w:tcPr>
                  <w:tcW w:w="1025" w:type="dxa"/>
                  <w:vMerge w:val="continue"/>
                  <w:tcBorders>
                    <w:tl2br w:val="nil"/>
                    <w:tr2bl w:val="nil"/>
                  </w:tcBorders>
                  <w:shd w:val="clear" w:color="auto" w:fill="FFFFFF"/>
                  <w:vAlign w:val="center"/>
                </w:tcPr>
                <w:p w14:paraId="320C45D9">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南侧</w:t>
                  </w:r>
                </w:p>
              </w:tc>
              <w:tc>
                <w:tcPr>
                  <w:tcW w:w="747" w:type="dxa"/>
                  <w:tcBorders>
                    <w:tl2br w:val="nil"/>
                    <w:tr2bl w:val="nil"/>
                  </w:tcBorders>
                  <w:shd w:val="clear" w:color="auto" w:fill="FFFFFF"/>
                  <w:vAlign w:val="center"/>
                </w:tcPr>
                <w:p w14:paraId="0F84493B">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-9.2</w:t>
                  </w:r>
                </w:p>
              </w:tc>
              <w:tc>
                <w:tcPr>
                  <w:tcW w:w="747" w:type="dxa"/>
                  <w:tcBorders>
                    <w:tl2br w:val="nil"/>
                    <w:tr2bl w:val="nil"/>
                  </w:tcBorders>
                  <w:shd w:val="clear" w:color="auto" w:fill="FFFFFF"/>
                  <w:vAlign w:val="center"/>
                </w:tcPr>
                <w:p w14:paraId="5C523D74">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-98.2</w:t>
                  </w:r>
                </w:p>
              </w:tc>
              <w:tc>
                <w:tcPr>
                  <w:tcW w:w="749" w:type="dxa"/>
                  <w:tcBorders>
                    <w:tl2br w:val="nil"/>
                    <w:tr2bl w:val="nil"/>
                  </w:tcBorders>
                  <w:shd w:val="clear" w:color="auto" w:fill="FFFFFF"/>
                  <w:vAlign w:val="center"/>
                </w:tcPr>
                <w:p w14:paraId="293C2A86">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1.2</w:t>
                  </w:r>
                </w:p>
              </w:tc>
              <w:tc>
                <w:tcPr>
                  <w:tcW w:w="924" w:type="dxa"/>
                  <w:tcBorders>
                    <w:tl2br w:val="nil"/>
                    <w:tr2bl w:val="nil"/>
                  </w:tcBorders>
                  <w:shd w:val="clear" w:color="auto" w:fill="FFFFFF"/>
                  <w:vAlign w:val="center"/>
                </w:tcPr>
                <w:p w14:paraId="3CA6FC01">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夜间</w:t>
                  </w:r>
                </w:p>
              </w:tc>
              <w:tc>
                <w:tcPr>
                  <w:tcW w:w="1319" w:type="dxa"/>
                  <w:tcBorders>
                    <w:tl2br w:val="nil"/>
                    <w:tr2bl w:val="nil"/>
                  </w:tcBorders>
                  <w:shd w:val="clear" w:color="auto" w:fill="FFFFFF"/>
                  <w:vAlign w:val="center"/>
                </w:tcPr>
                <w:p w14:paraId="3D147BD8">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16</w:t>
                  </w:r>
                </w:p>
              </w:tc>
              <w:tc>
                <w:tcPr>
                  <w:tcW w:w="1320" w:type="dxa"/>
                  <w:tcBorders>
                    <w:tl2br w:val="nil"/>
                    <w:tr2bl w:val="nil"/>
                  </w:tcBorders>
                  <w:shd w:val="clear" w:color="auto" w:fill="FFFFFF"/>
                  <w:vAlign w:val="center"/>
                </w:tcPr>
                <w:p w14:paraId="3D852949">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50</w:t>
                  </w:r>
                </w:p>
              </w:tc>
              <w:tc>
                <w:tcPr>
                  <w:tcW w:w="1106" w:type="dxa"/>
                  <w:tcBorders>
                    <w:tl2br w:val="nil"/>
                    <w:tr2bl w:val="nil"/>
                  </w:tcBorders>
                  <w:shd w:val="clear" w:color="auto" w:fill="FFFFFF"/>
                  <w:vAlign w:val="center"/>
                </w:tcPr>
                <w:p w14:paraId="2B4E1A55">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67CD2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atLeast"/>
                <w:jc w:val="center"/>
              </w:trPr>
              <w:tc>
                <w:tcPr>
                  <w:tcW w:w="1025" w:type="dxa"/>
                  <w:vMerge w:val="restart"/>
                  <w:tcBorders>
                    <w:tl2br w:val="nil"/>
                    <w:tr2bl w:val="nil"/>
                  </w:tcBorders>
                  <w:shd w:val="clear" w:color="auto" w:fill="FFFFFF"/>
                  <w:vAlign w:val="center"/>
                </w:tcPr>
                <w:p w14:paraId="2410CAB0">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西侧</w:t>
                  </w:r>
                </w:p>
              </w:tc>
              <w:tc>
                <w:tcPr>
                  <w:tcW w:w="747" w:type="dxa"/>
                  <w:tcBorders>
                    <w:tl2br w:val="nil"/>
                    <w:tr2bl w:val="nil"/>
                  </w:tcBorders>
                  <w:shd w:val="clear" w:color="auto" w:fill="FFFFFF"/>
                  <w:vAlign w:val="center"/>
                </w:tcPr>
                <w:p w14:paraId="366E56EA">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-0.8</w:t>
                  </w:r>
                </w:p>
              </w:tc>
              <w:tc>
                <w:tcPr>
                  <w:tcW w:w="747" w:type="dxa"/>
                  <w:tcBorders>
                    <w:tl2br w:val="nil"/>
                    <w:tr2bl w:val="nil"/>
                  </w:tcBorders>
                  <w:shd w:val="clear" w:color="auto" w:fill="FFFFFF"/>
                  <w:vAlign w:val="center"/>
                </w:tcPr>
                <w:p w14:paraId="08DBB0BB">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-1.1</w:t>
                  </w:r>
                </w:p>
              </w:tc>
              <w:tc>
                <w:tcPr>
                  <w:tcW w:w="749" w:type="dxa"/>
                  <w:tcBorders>
                    <w:tl2br w:val="nil"/>
                    <w:tr2bl w:val="nil"/>
                  </w:tcBorders>
                  <w:shd w:val="clear" w:color="auto" w:fill="FFFFFF"/>
                  <w:vAlign w:val="center"/>
                </w:tcPr>
                <w:p w14:paraId="57FDBE9D">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1.2</w:t>
                  </w:r>
                </w:p>
              </w:tc>
              <w:tc>
                <w:tcPr>
                  <w:tcW w:w="924" w:type="dxa"/>
                  <w:tcBorders>
                    <w:tl2br w:val="nil"/>
                    <w:tr2bl w:val="nil"/>
                  </w:tcBorders>
                  <w:shd w:val="clear" w:color="auto" w:fill="FFFFFF"/>
                  <w:vAlign w:val="center"/>
                </w:tcPr>
                <w:p w14:paraId="6C51FB7F">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昼间</w:t>
                  </w:r>
                </w:p>
              </w:tc>
              <w:tc>
                <w:tcPr>
                  <w:tcW w:w="1319" w:type="dxa"/>
                  <w:tcBorders>
                    <w:tl2br w:val="nil"/>
                    <w:tr2bl w:val="nil"/>
                  </w:tcBorders>
                  <w:shd w:val="clear" w:color="auto" w:fill="FFFFFF"/>
                  <w:vAlign w:val="center"/>
                </w:tcPr>
                <w:p w14:paraId="0FEBD095">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43.9</w:t>
                  </w:r>
                </w:p>
              </w:tc>
              <w:tc>
                <w:tcPr>
                  <w:tcW w:w="1320" w:type="dxa"/>
                  <w:tcBorders>
                    <w:tl2br w:val="nil"/>
                    <w:tr2bl w:val="nil"/>
                  </w:tcBorders>
                  <w:shd w:val="clear" w:color="auto" w:fill="FFFFFF"/>
                  <w:vAlign w:val="center"/>
                </w:tcPr>
                <w:p w14:paraId="718E3C2C">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60</w:t>
                  </w:r>
                </w:p>
              </w:tc>
              <w:tc>
                <w:tcPr>
                  <w:tcW w:w="1106" w:type="dxa"/>
                  <w:tcBorders>
                    <w:tl2br w:val="nil"/>
                    <w:tr2bl w:val="nil"/>
                  </w:tcBorders>
                  <w:shd w:val="clear" w:color="auto" w:fill="FFFFFF"/>
                  <w:vAlign w:val="center"/>
                </w:tcPr>
                <w:p w14:paraId="1C9F0325">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4DD475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atLeast"/>
                <w:jc w:val="center"/>
              </w:trPr>
              <w:tc>
                <w:tcPr>
                  <w:tcW w:w="1025" w:type="dxa"/>
                  <w:vMerge w:val="continue"/>
                  <w:tcBorders>
                    <w:tl2br w:val="nil"/>
                    <w:tr2bl w:val="nil"/>
                  </w:tcBorders>
                  <w:shd w:val="clear" w:color="auto" w:fill="FFFFFF"/>
                  <w:vAlign w:val="center"/>
                </w:tcPr>
                <w:p w14:paraId="0F5ED86B">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西侧</w:t>
                  </w:r>
                </w:p>
              </w:tc>
              <w:tc>
                <w:tcPr>
                  <w:tcW w:w="747" w:type="dxa"/>
                  <w:tcBorders>
                    <w:tl2br w:val="nil"/>
                    <w:tr2bl w:val="nil"/>
                  </w:tcBorders>
                  <w:shd w:val="clear" w:color="auto" w:fill="FFFFFF"/>
                  <w:vAlign w:val="center"/>
                </w:tcPr>
                <w:p w14:paraId="4010465B">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-0.8</w:t>
                  </w:r>
                </w:p>
              </w:tc>
              <w:tc>
                <w:tcPr>
                  <w:tcW w:w="747" w:type="dxa"/>
                  <w:tcBorders>
                    <w:tl2br w:val="nil"/>
                    <w:tr2bl w:val="nil"/>
                  </w:tcBorders>
                  <w:shd w:val="clear" w:color="auto" w:fill="FFFFFF"/>
                  <w:vAlign w:val="center"/>
                </w:tcPr>
                <w:p w14:paraId="696D96F2">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-1.1</w:t>
                  </w:r>
                </w:p>
              </w:tc>
              <w:tc>
                <w:tcPr>
                  <w:tcW w:w="749" w:type="dxa"/>
                  <w:tcBorders>
                    <w:tl2br w:val="nil"/>
                    <w:tr2bl w:val="nil"/>
                  </w:tcBorders>
                  <w:shd w:val="clear" w:color="auto" w:fill="FFFFFF"/>
                  <w:vAlign w:val="center"/>
                </w:tcPr>
                <w:p w14:paraId="23134E8F">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1.2</w:t>
                  </w:r>
                </w:p>
              </w:tc>
              <w:tc>
                <w:tcPr>
                  <w:tcW w:w="924" w:type="dxa"/>
                  <w:tcBorders>
                    <w:tl2br w:val="nil"/>
                    <w:tr2bl w:val="nil"/>
                  </w:tcBorders>
                  <w:shd w:val="clear" w:color="auto" w:fill="FFFFFF"/>
                  <w:vAlign w:val="center"/>
                </w:tcPr>
                <w:p w14:paraId="4A214EC5">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夜间</w:t>
                  </w:r>
                </w:p>
              </w:tc>
              <w:tc>
                <w:tcPr>
                  <w:tcW w:w="1319" w:type="dxa"/>
                  <w:tcBorders>
                    <w:tl2br w:val="nil"/>
                    <w:tr2bl w:val="nil"/>
                  </w:tcBorders>
                  <w:shd w:val="clear" w:color="auto" w:fill="FFFFFF"/>
                  <w:vAlign w:val="center"/>
                </w:tcPr>
                <w:p w14:paraId="39377553">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43.9</w:t>
                  </w:r>
                </w:p>
              </w:tc>
              <w:tc>
                <w:tcPr>
                  <w:tcW w:w="1320" w:type="dxa"/>
                  <w:tcBorders>
                    <w:tl2br w:val="nil"/>
                    <w:tr2bl w:val="nil"/>
                  </w:tcBorders>
                  <w:shd w:val="clear" w:color="auto" w:fill="FFFFFF"/>
                  <w:vAlign w:val="center"/>
                </w:tcPr>
                <w:p w14:paraId="622E698B">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50</w:t>
                  </w:r>
                </w:p>
              </w:tc>
              <w:tc>
                <w:tcPr>
                  <w:tcW w:w="1106" w:type="dxa"/>
                  <w:tcBorders>
                    <w:tl2br w:val="nil"/>
                    <w:tr2bl w:val="nil"/>
                  </w:tcBorders>
                  <w:shd w:val="clear" w:color="auto" w:fill="FFFFFF"/>
                  <w:vAlign w:val="center"/>
                </w:tcPr>
                <w:p w14:paraId="23C829BE">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637D66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atLeast"/>
                <w:jc w:val="center"/>
              </w:trPr>
              <w:tc>
                <w:tcPr>
                  <w:tcW w:w="1025" w:type="dxa"/>
                  <w:vMerge w:val="restart"/>
                  <w:tcBorders>
                    <w:tl2br w:val="nil"/>
                    <w:tr2bl w:val="nil"/>
                  </w:tcBorders>
                  <w:shd w:val="clear" w:color="auto" w:fill="FFFFFF"/>
                  <w:vAlign w:val="center"/>
                </w:tcPr>
                <w:p w14:paraId="45433776">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北侧</w:t>
                  </w:r>
                </w:p>
              </w:tc>
              <w:tc>
                <w:tcPr>
                  <w:tcW w:w="747" w:type="dxa"/>
                  <w:tcBorders>
                    <w:tl2br w:val="nil"/>
                    <w:tr2bl w:val="nil"/>
                  </w:tcBorders>
                  <w:shd w:val="clear" w:color="auto" w:fill="FFFFFF"/>
                  <w:vAlign w:val="center"/>
                </w:tcPr>
                <w:p w14:paraId="074569E6">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10.5</w:t>
                  </w:r>
                </w:p>
              </w:tc>
              <w:tc>
                <w:tcPr>
                  <w:tcW w:w="747" w:type="dxa"/>
                  <w:tcBorders>
                    <w:tl2br w:val="nil"/>
                    <w:tr2bl w:val="nil"/>
                  </w:tcBorders>
                  <w:shd w:val="clear" w:color="auto" w:fill="FFFFFF"/>
                  <w:vAlign w:val="center"/>
                </w:tcPr>
                <w:p w14:paraId="7AD44CAC">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14.6</w:t>
                  </w:r>
                </w:p>
              </w:tc>
              <w:tc>
                <w:tcPr>
                  <w:tcW w:w="749" w:type="dxa"/>
                  <w:tcBorders>
                    <w:tl2br w:val="nil"/>
                    <w:tr2bl w:val="nil"/>
                  </w:tcBorders>
                  <w:shd w:val="clear" w:color="auto" w:fill="FFFFFF"/>
                  <w:vAlign w:val="center"/>
                </w:tcPr>
                <w:p w14:paraId="3C64EB1A">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1.2</w:t>
                  </w:r>
                </w:p>
              </w:tc>
              <w:tc>
                <w:tcPr>
                  <w:tcW w:w="924" w:type="dxa"/>
                  <w:tcBorders>
                    <w:tl2br w:val="nil"/>
                    <w:tr2bl w:val="nil"/>
                  </w:tcBorders>
                  <w:shd w:val="clear" w:color="auto" w:fill="FFFFFF"/>
                  <w:vAlign w:val="center"/>
                </w:tcPr>
                <w:p w14:paraId="3104815B">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昼间</w:t>
                  </w:r>
                </w:p>
              </w:tc>
              <w:tc>
                <w:tcPr>
                  <w:tcW w:w="1319" w:type="dxa"/>
                  <w:tcBorders>
                    <w:tl2br w:val="nil"/>
                    <w:tr2bl w:val="nil"/>
                  </w:tcBorders>
                  <w:shd w:val="clear" w:color="auto" w:fill="FFFFFF"/>
                  <w:vAlign w:val="center"/>
                </w:tcPr>
                <w:p w14:paraId="2167545D">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48</w:t>
                  </w:r>
                  <w:r>
                    <w:rPr>
                      <w:rFonts w:hint="default" w:ascii="Times New Roman" w:hAnsi="Times New Roman" w:eastAsia="宋体" w:cs="Times New Roman"/>
                      <w:color w:val="auto"/>
                      <w:highlight w:val="none"/>
                    </w:rPr>
                    <w:t>.6</w:t>
                  </w:r>
                </w:p>
              </w:tc>
              <w:tc>
                <w:tcPr>
                  <w:tcW w:w="1320" w:type="dxa"/>
                  <w:tcBorders>
                    <w:tl2br w:val="nil"/>
                    <w:tr2bl w:val="nil"/>
                  </w:tcBorders>
                  <w:shd w:val="clear" w:color="auto" w:fill="FFFFFF"/>
                  <w:vAlign w:val="center"/>
                </w:tcPr>
                <w:p w14:paraId="1BDBBF40">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60</w:t>
                  </w:r>
                </w:p>
              </w:tc>
              <w:tc>
                <w:tcPr>
                  <w:tcW w:w="1106" w:type="dxa"/>
                  <w:tcBorders>
                    <w:tl2br w:val="nil"/>
                    <w:tr2bl w:val="nil"/>
                  </w:tcBorders>
                  <w:shd w:val="clear" w:color="auto" w:fill="FFFFFF"/>
                  <w:vAlign w:val="center"/>
                </w:tcPr>
                <w:p w14:paraId="4A433789">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达标</w:t>
                  </w:r>
                </w:p>
              </w:tc>
            </w:tr>
            <w:tr w14:paraId="3FAFAF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atLeast"/>
                <w:jc w:val="center"/>
              </w:trPr>
              <w:tc>
                <w:tcPr>
                  <w:tcW w:w="1025" w:type="dxa"/>
                  <w:vMerge w:val="continue"/>
                  <w:tcBorders>
                    <w:tl2br w:val="nil"/>
                    <w:tr2bl w:val="nil"/>
                  </w:tcBorders>
                  <w:shd w:val="clear" w:color="auto" w:fill="FFFFFF"/>
                  <w:vAlign w:val="center"/>
                </w:tcPr>
                <w:p w14:paraId="0A4233DB">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北侧</w:t>
                  </w:r>
                </w:p>
              </w:tc>
              <w:tc>
                <w:tcPr>
                  <w:tcW w:w="747" w:type="dxa"/>
                  <w:tcBorders>
                    <w:tl2br w:val="nil"/>
                    <w:tr2bl w:val="nil"/>
                  </w:tcBorders>
                  <w:shd w:val="clear" w:color="auto" w:fill="FFFFFF"/>
                  <w:vAlign w:val="center"/>
                </w:tcPr>
                <w:p w14:paraId="42BA04E8">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10.5</w:t>
                  </w:r>
                </w:p>
              </w:tc>
              <w:tc>
                <w:tcPr>
                  <w:tcW w:w="747" w:type="dxa"/>
                  <w:tcBorders>
                    <w:tl2br w:val="nil"/>
                    <w:tr2bl w:val="nil"/>
                  </w:tcBorders>
                  <w:shd w:val="clear" w:color="auto" w:fill="FFFFFF"/>
                  <w:vAlign w:val="center"/>
                </w:tcPr>
                <w:p w14:paraId="640B053A">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14.6</w:t>
                  </w:r>
                </w:p>
              </w:tc>
              <w:tc>
                <w:tcPr>
                  <w:tcW w:w="749" w:type="dxa"/>
                  <w:tcBorders>
                    <w:tl2br w:val="nil"/>
                    <w:tr2bl w:val="nil"/>
                  </w:tcBorders>
                  <w:shd w:val="clear" w:color="auto" w:fill="FFFFFF"/>
                  <w:vAlign w:val="center"/>
                </w:tcPr>
                <w:p w14:paraId="3AF1C24C">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1.2</w:t>
                  </w:r>
                </w:p>
              </w:tc>
              <w:tc>
                <w:tcPr>
                  <w:tcW w:w="924" w:type="dxa"/>
                  <w:tcBorders>
                    <w:tl2br w:val="nil"/>
                    <w:tr2bl w:val="nil"/>
                  </w:tcBorders>
                  <w:shd w:val="clear" w:color="auto" w:fill="FFFFFF"/>
                  <w:vAlign w:val="center"/>
                </w:tcPr>
                <w:p w14:paraId="3CDBC16B">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夜间</w:t>
                  </w:r>
                </w:p>
              </w:tc>
              <w:tc>
                <w:tcPr>
                  <w:tcW w:w="1319" w:type="dxa"/>
                  <w:tcBorders>
                    <w:tl2br w:val="nil"/>
                    <w:tr2bl w:val="nil"/>
                  </w:tcBorders>
                  <w:shd w:val="clear" w:color="auto" w:fill="FFFFFF"/>
                  <w:vAlign w:val="center"/>
                </w:tcPr>
                <w:p w14:paraId="2F289598">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48</w:t>
                  </w:r>
                  <w:r>
                    <w:rPr>
                      <w:rFonts w:hint="default" w:ascii="Times New Roman" w:hAnsi="Times New Roman" w:eastAsia="宋体" w:cs="Times New Roman"/>
                      <w:color w:val="auto"/>
                      <w:highlight w:val="none"/>
                    </w:rPr>
                    <w:t>.6</w:t>
                  </w:r>
                </w:p>
              </w:tc>
              <w:tc>
                <w:tcPr>
                  <w:tcW w:w="1320" w:type="dxa"/>
                  <w:tcBorders>
                    <w:tl2br w:val="nil"/>
                    <w:tr2bl w:val="nil"/>
                  </w:tcBorders>
                  <w:shd w:val="clear" w:color="auto" w:fill="FFFFFF"/>
                  <w:vAlign w:val="center"/>
                </w:tcPr>
                <w:p w14:paraId="08377F3F">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50</w:t>
                  </w:r>
                </w:p>
              </w:tc>
              <w:tc>
                <w:tcPr>
                  <w:tcW w:w="1106" w:type="dxa"/>
                  <w:tcBorders>
                    <w:tl2br w:val="nil"/>
                    <w:tr2bl w:val="nil"/>
                  </w:tcBorders>
                  <w:shd w:val="clear" w:color="auto" w:fill="FFFFFF"/>
                  <w:vAlign w:val="center"/>
                </w:tcPr>
                <w:p w14:paraId="52452685">
                  <w:pPr>
                    <w:pStyle w:val="46"/>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不达标</w:t>
                  </w:r>
                </w:p>
              </w:tc>
            </w:tr>
          </w:tbl>
          <w:p w14:paraId="5EA0817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由上表可知，项目投产后，厂界贡献值满足《工业企业厂界环境噪声排放标准》（GB12348 -2008）</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类标准的限值要求，对周边声环境影响不大。</w:t>
            </w:r>
          </w:p>
          <w:p w14:paraId="57DD3E53">
            <w:pPr>
              <w:ind w:left="0" w:lef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956810" cy="4140200"/>
                  <wp:effectExtent l="0" t="0" r="11430" b="5080"/>
                  <wp:docPr id="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5"/>
                          <pic:cNvPicPr>
                            <a:picLocks noChangeAspect="1"/>
                          </pic:cNvPicPr>
                        </pic:nvPicPr>
                        <pic:blipFill>
                          <a:blip r:embed="rId78"/>
                          <a:stretch>
                            <a:fillRect/>
                          </a:stretch>
                        </pic:blipFill>
                        <pic:spPr>
                          <a:xfrm>
                            <a:off x="0" y="0"/>
                            <a:ext cx="4956810" cy="4140200"/>
                          </a:xfrm>
                          <a:prstGeom prst="rect">
                            <a:avLst/>
                          </a:prstGeom>
                          <a:noFill/>
                          <a:ln>
                            <a:noFill/>
                          </a:ln>
                        </pic:spPr>
                      </pic:pic>
                    </a:graphicData>
                  </a:graphic>
                </wp:inline>
              </w:drawing>
            </w:r>
          </w:p>
          <w:p w14:paraId="481A9551">
            <w:pPr>
              <w:pStyle w:val="27"/>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图4-1    等声级线图</w:t>
            </w:r>
          </w:p>
          <w:p w14:paraId="1BCDC6DF">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3.噪声控制措施</w:t>
            </w:r>
          </w:p>
          <w:p w14:paraId="452F7AD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本项目运营期噪声源为搅拌楼、运输车辆、装载机、输送带装置等运行产生的噪声污染，声源强度在70-85dB（A）之间。为减少噪声的影响，本环评提出，建设单位应采取以下措施降低噪声影响：</w:t>
            </w:r>
          </w:p>
          <w:p w14:paraId="63BE4A1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从声源上控制噪声水平，设备噪声采取减振、隔声、消声等措施降噪措施；</w:t>
            </w:r>
          </w:p>
          <w:p w14:paraId="7AA4225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加强设备管理，对生产设备定期检查与维护，使设备保持良好的运行状况，降低运转时产生的噪声；</w:t>
            </w:r>
          </w:p>
          <w:p w14:paraId="426F3C9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加强员工环保意识教育，提倡文明生产；强化行车管理制度，设置降噪标准，严禁鸣笛，进入厂区低速行驶。</w:t>
            </w:r>
          </w:p>
          <w:p w14:paraId="59F436C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采取以上防治措施后，项目厂界噪声可满足《工业企业厂界环境噪声标准》（GB12348-2008）中</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类标准要求。因此项目产生噪声对周围声环境影响很小。</w:t>
            </w:r>
          </w:p>
          <w:p w14:paraId="38FDB76B">
            <w:pPr>
              <w:ind w:firstLine="482"/>
              <w:rPr>
                <w:rFonts w:hint="default" w:ascii="Times New Roman" w:hAnsi="Times New Roman" w:cs="Times New Roman"/>
                <w:b/>
                <w:color w:val="auto"/>
                <w:highlight w:val="none"/>
              </w:rPr>
            </w:pPr>
            <w:r>
              <w:rPr>
                <w:rFonts w:hint="default" w:ascii="Times New Roman" w:hAnsi="Times New Roman" w:cs="Times New Roman"/>
                <w:b/>
                <w:color w:val="auto"/>
                <w:highlight w:val="none"/>
              </w:rPr>
              <w:t>四、固体废物影响分析</w:t>
            </w:r>
          </w:p>
          <w:p w14:paraId="0DC76677">
            <w:pPr>
              <w:rPr>
                <w:rFonts w:hint="default" w:ascii="Times New Roman" w:hAnsi="Times New Roman" w:eastAsia="宋体" w:cs="Times New Roman"/>
                <w:color w:val="auto"/>
                <w:highlight w:val="none"/>
                <w:lang w:val="en-US" w:eastAsia="zh-CN"/>
              </w:rPr>
            </w:pPr>
            <w:r>
              <w:rPr>
                <w:rFonts w:hint="eastAsia"/>
                <w:color w:val="auto"/>
              </w:rPr>
              <w:t>本项目不设机修车间，设备外送检修，不在厂内进行，故厂区内无危险废物产生。</w:t>
            </w:r>
            <w:r>
              <w:rPr>
                <w:rFonts w:hint="eastAsia"/>
                <w:color w:val="auto"/>
                <w:lang w:eastAsia="zh-CN"/>
              </w:rPr>
              <w:t>因此</w:t>
            </w:r>
            <w:r>
              <w:rPr>
                <w:rFonts w:hint="default" w:ascii="Times New Roman" w:hAnsi="Times New Roman" w:cs="Times New Roman"/>
                <w:color w:val="auto"/>
                <w:highlight w:val="none"/>
              </w:rPr>
              <w:t>固体废物主要有废混凝土、除尘灰、沉淀池</w:t>
            </w:r>
            <w:r>
              <w:rPr>
                <w:rFonts w:hint="eastAsia" w:cs="Times New Roman"/>
                <w:color w:val="auto"/>
                <w:highlight w:val="none"/>
                <w:lang w:eastAsia="zh-CN"/>
              </w:rPr>
              <w:t>泥沙、废滤袋</w:t>
            </w:r>
            <w:r>
              <w:rPr>
                <w:rFonts w:hint="default" w:ascii="Times New Roman" w:hAnsi="Times New Roman" w:cs="Times New Roman"/>
                <w:color w:val="auto"/>
                <w:highlight w:val="none"/>
              </w:rPr>
              <w:t>以及职工生活垃圾。</w:t>
            </w:r>
            <w:r>
              <w:rPr>
                <w:rFonts w:hint="eastAsia" w:cs="Times New Roman"/>
                <w:color w:val="auto"/>
                <w:highlight w:val="none"/>
                <w:lang w:val="en-US" w:eastAsia="zh-CN"/>
              </w:rPr>
              <w:t xml:space="preserve">                 </w:t>
            </w:r>
          </w:p>
          <w:p w14:paraId="4ADE231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1.废混凝土</w:t>
            </w:r>
          </w:p>
          <w:p w14:paraId="0E7931E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根据同类企业生产经验数据，项目生产过程产生的废混凝土量约</w:t>
            </w:r>
            <w:r>
              <w:rPr>
                <w:rFonts w:hint="eastAsia" w:cs="Times New Roman"/>
                <w:color w:val="auto"/>
                <w:highlight w:val="none"/>
                <w:lang w:val="en-US" w:eastAsia="zh-CN"/>
              </w:rPr>
              <w:t>27.75</w:t>
            </w:r>
            <w:r>
              <w:rPr>
                <w:rFonts w:hint="default" w:ascii="Times New Roman" w:hAnsi="Times New Roman" w:cs="Times New Roman"/>
                <w:color w:val="auto"/>
                <w:highlight w:val="none"/>
              </w:rPr>
              <w:t>t/a，该部分集中收集暂存于原料库一侧，作为原料回用到生产中。</w:t>
            </w:r>
          </w:p>
          <w:p w14:paraId="2F80E3C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2.除尘灰</w:t>
            </w:r>
          </w:p>
          <w:p w14:paraId="2931784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项目生产工序采用布除尘器收集后会产生收集粉尘，粉尘收集量为</w:t>
            </w:r>
            <w:r>
              <w:rPr>
                <w:rFonts w:hint="eastAsia" w:cs="Times New Roman"/>
                <w:color w:val="auto"/>
                <w:highlight w:val="none"/>
                <w:lang w:val="en-US" w:eastAsia="zh-CN"/>
              </w:rPr>
              <w:t>183.204</w:t>
            </w:r>
            <w:r>
              <w:rPr>
                <w:rFonts w:hint="default" w:ascii="Times New Roman" w:hAnsi="Times New Roman" w:cs="Times New Roman"/>
                <w:color w:val="auto"/>
                <w:highlight w:val="none"/>
              </w:rPr>
              <w:t>t/a，主要成分为水泥粉末、粉煤灰粉末等</w:t>
            </w:r>
            <w:r>
              <w:rPr>
                <w:rFonts w:hint="eastAsia" w:cs="Times New Roman"/>
                <w:color w:val="auto"/>
                <w:highlight w:val="none"/>
                <w:lang w:eastAsia="zh-CN"/>
              </w:rPr>
              <w:t>，</w:t>
            </w:r>
            <w:r>
              <w:rPr>
                <w:rFonts w:hint="default" w:ascii="Times New Roman" w:hAnsi="Times New Roman" w:cs="Times New Roman"/>
                <w:color w:val="auto"/>
                <w:highlight w:val="none"/>
              </w:rPr>
              <w:t>经过收集后可作为原料回用到生产中。</w:t>
            </w:r>
          </w:p>
          <w:p w14:paraId="1041156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3.沉淀池泥沙</w:t>
            </w:r>
          </w:p>
          <w:p w14:paraId="6895DDF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对设备、车辆清洗产生的废水采用沉淀池沉淀处理后废水回用，由此产生</w:t>
            </w:r>
            <w:r>
              <w:rPr>
                <w:rFonts w:hint="eastAsia" w:cs="Times New Roman"/>
                <w:color w:val="auto"/>
                <w:highlight w:val="none"/>
                <w:lang w:eastAsia="zh-CN"/>
              </w:rPr>
              <w:t>泥沙</w:t>
            </w:r>
            <w:r>
              <w:rPr>
                <w:rFonts w:hint="default" w:ascii="Times New Roman" w:hAnsi="Times New Roman" w:cs="Times New Roman"/>
                <w:color w:val="auto"/>
                <w:highlight w:val="none"/>
              </w:rPr>
              <w:t>，</w:t>
            </w:r>
            <w:r>
              <w:rPr>
                <w:rFonts w:hint="eastAsia" w:cs="Times New Roman"/>
                <w:color w:val="auto"/>
                <w:highlight w:val="none"/>
                <w:lang w:eastAsia="zh-CN"/>
              </w:rPr>
              <w:t>泥沙</w:t>
            </w:r>
            <w:r>
              <w:rPr>
                <w:rFonts w:hint="default" w:ascii="Times New Roman" w:hAnsi="Times New Roman" w:cs="Times New Roman"/>
                <w:color w:val="auto"/>
                <w:highlight w:val="none"/>
              </w:rPr>
              <w:t>产生量约为</w:t>
            </w:r>
            <w:r>
              <w:rPr>
                <w:rFonts w:hint="eastAsia" w:cs="Times New Roman"/>
                <w:color w:val="auto"/>
                <w:highlight w:val="none"/>
                <w:lang w:val="en-US" w:eastAsia="zh-CN"/>
              </w:rPr>
              <w:t>5</w:t>
            </w:r>
            <w:r>
              <w:rPr>
                <w:rFonts w:hint="default" w:ascii="Times New Roman" w:hAnsi="Times New Roman" w:cs="Times New Roman"/>
                <w:color w:val="auto"/>
                <w:highlight w:val="none"/>
              </w:rPr>
              <w:t>t/a，</w:t>
            </w:r>
            <w:r>
              <w:rPr>
                <w:snapToGrid w:val="0"/>
                <w:color w:val="auto"/>
                <w:szCs w:val="21"/>
              </w:rPr>
              <w:t>回用于生产工序</w:t>
            </w:r>
            <w:r>
              <w:rPr>
                <w:rFonts w:hint="default" w:ascii="Times New Roman" w:hAnsi="Times New Roman" w:cs="Times New Roman"/>
                <w:color w:val="auto"/>
                <w:highlight w:val="none"/>
              </w:rPr>
              <w:t>。</w:t>
            </w:r>
          </w:p>
          <w:p w14:paraId="76A08B5D">
            <w:pPr>
              <w:ind w:firstLine="48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4.</w:t>
            </w:r>
            <w:r>
              <w:rPr>
                <w:rFonts w:hint="eastAsia" w:cs="Times New Roman"/>
                <w:color w:val="auto"/>
                <w:highlight w:val="none"/>
                <w:lang w:eastAsia="zh-CN"/>
              </w:rPr>
              <w:t>废滤袋</w:t>
            </w:r>
          </w:p>
          <w:p w14:paraId="0236B5F0">
            <w:pPr>
              <w:ind w:firstLine="480"/>
              <w:rPr>
                <w:rFonts w:hint="eastAsia" w:cs="Times New Roman"/>
                <w:color w:val="auto"/>
                <w:highlight w:val="none"/>
                <w:lang w:val="en-US" w:eastAsia="zh-CN"/>
              </w:rPr>
            </w:pPr>
            <w:r>
              <w:rPr>
                <w:rFonts w:hint="eastAsia" w:cs="Times New Roman"/>
                <w:color w:val="auto"/>
                <w:highlight w:val="none"/>
                <w:lang w:val="en-US" w:eastAsia="zh-CN"/>
              </w:rPr>
              <w:t>项目布袋除尘器滤袋平均每年更换一次，产生量约为0.4t/a，作为一般固废集中收集，结合《固体废物分类与代码目录》，固废代码为900-009-S59，</w:t>
            </w:r>
            <w:r>
              <w:rPr>
                <w:snapToGrid w:val="0"/>
                <w:color w:val="auto"/>
                <w:szCs w:val="21"/>
              </w:rPr>
              <w:t>由厂家更换时回收</w:t>
            </w:r>
            <w:r>
              <w:rPr>
                <w:rFonts w:hint="eastAsia" w:cs="Times New Roman"/>
                <w:color w:val="auto"/>
                <w:highlight w:val="none"/>
                <w:lang w:val="en-US" w:eastAsia="zh-CN"/>
              </w:rPr>
              <w:t>。</w:t>
            </w:r>
          </w:p>
          <w:p w14:paraId="0B257A88">
            <w:pPr>
              <w:ind w:firstLine="480"/>
              <w:rPr>
                <w:rFonts w:hint="default" w:ascii="Times New Roman" w:hAnsi="Times New Roman" w:cs="Times New Roman"/>
                <w:color w:val="auto"/>
                <w:highlight w:val="none"/>
              </w:rPr>
            </w:pPr>
            <w:r>
              <w:rPr>
                <w:rFonts w:hint="eastAsia" w:cs="Times New Roman"/>
                <w:color w:val="auto"/>
                <w:highlight w:val="none"/>
                <w:lang w:val="en-US" w:eastAsia="zh-CN"/>
              </w:rPr>
              <w:t>5.</w:t>
            </w:r>
            <w:r>
              <w:rPr>
                <w:rFonts w:hint="default" w:ascii="Times New Roman" w:hAnsi="Times New Roman" w:cs="Times New Roman"/>
                <w:color w:val="auto"/>
                <w:highlight w:val="none"/>
              </w:rPr>
              <w:t>生活垃圾</w:t>
            </w:r>
          </w:p>
          <w:p w14:paraId="78020E0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项目员工有5人，年工作150天</w:t>
            </w:r>
            <w:r>
              <w:rPr>
                <w:rFonts w:hint="eastAsia" w:cs="Times New Roman"/>
                <w:color w:val="auto"/>
                <w:highlight w:val="none"/>
                <w:lang w:eastAsia="zh-CN"/>
              </w:rPr>
              <w:t>，</w:t>
            </w:r>
            <w:r>
              <w:rPr>
                <w:rFonts w:hint="default" w:ascii="Times New Roman" w:hAnsi="Times New Roman" w:cs="Times New Roman"/>
                <w:color w:val="auto"/>
                <w:highlight w:val="none"/>
              </w:rPr>
              <w:t>按每人每天产生生活垃圾0.5kg计算，生活垃圾产生量约为0.38t/a，生活垃圾采用垃圾箱集中收集后，定期由</w:t>
            </w:r>
            <w:r>
              <w:rPr>
                <w:rFonts w:hint="eastAsia" w:cs="Times New Roman"/>
                <w:color w:val="auto"/>
                <w:highlight w:val="none"/>
                <w:lang w:eastAsia="zh-CN"/>
              </w:rPr>
              <w:t>环卫部门</w:t>
            </w:r>
            <w:r>
              <w:rPr>
                <w:rFonts w:hint="default" w:ascii="Times New Roman" w:hAnsi="Times New Roman" w:cs="Times New Roman"/>
                <w:color w:val="auto"/>
                <w:highlight w:val="none"/>
              </w:rPr>
              <w:t>统一清运。</w:t>
            </w:r>
          </w:p>
          <w:p w14:paraId="6A21888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本项目一般工业固体废物产生及处置情况汇总表如下：</w:t>
            </w:r>
          </w:p>
          <w:p w14:paraId="0643D267">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表4-1</w:t>
            </w:r>
            <w:r>
              <w:rPr>
                <w:rFonts w:hint="eastAsia" w:cs="Times New Roman"/>
                <w:color w:val="auto"/>
                <w:highlight w:val="none"/>
                <w:lang w:val="en-US" w:eastAsia="zh-CN"/>
              </w:rPr>
              <w:t xml:space="preserve">2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项目固体废物产生情况一览表</w:t>
            </w:r>
          </w:p>
          <w:tbl>
            <w:tblPr>
              <w:tblStyle w:val="2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357"/>
              <w:gridCol w:w="1629"/>
              <w:gridCol w:w="4121"/>
            </w:tblGrid>
            <w:tr w14:paraId="636C23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06" w:type="dxa"/>
                  <w:vAlign w:val="center"/>
                </w:tcPr>
                <w:p w14:paraId="3EB4568B">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序号</w:t>
                  </w:r>
                </w:p>
              </w:tc>
              <w:tc>
                <w:tcPr>
                  <w:tcW w:w="1357" w:type="dxa"/>
                  <w:vAlign w:val="center"/>
                </w:tcPr>
                <w:p w14:paraId="225E3690">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固废名称</w:t>
                  </w:r>
                </w:p>
              </w:tc>
              <w:tc>
                <w:tcPr>
                  <w:tcW w:w="1629" w:type="dxa"/>
                  <w:vAlign w:val="center"/>
                </w:tcPr>
                <w:p w14:paraId="3FA12564">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预测产生（t/a）</w:t>
                  </w:r>
                </w:p>
              </w:tc>
              <w:tc>
                <w:tcPr>
                  <w:tcW w:w="4121" w:type="dxa"/>
                  <w:vAlign w:val="center"/>
                </w:tcPr>
                <w:p w14:paraId="6D9B8BA6">
                  <w:pPr>
                    <w:pStyle w:val="46"/>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处理方式</w:t>
                  </w:r>
                </w:p>
              </w:tc>
            </w:tr>
            <w:tr w14:paraId="453A61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06" w:type="dxa"/>
                  <w:vAlign w:val="center"/>
                </w:tcPr>
                <w:p w14:paraId="188C08C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357" w:type="dxa"/>
                  <w:vAlign w:val="center"/>
                </w:tcPr>
                <w:p w14:paraId="0303044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废混凝土</w:t>
                  </w:r>
                </w:p>
              </w:tc>
              <w:tc>
                <w:tcPr>
                  <w:tcW w:w="1629" w:type="dxa"/>
                  <w:vAlign w:val="center"/>
                </w:tcPr>
                <w:p w14:paraId="6B17DA00">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27.749</w:t>
                  </w:r>
                </w:p>
              </w:tc>
              <w:tc>
                <w:tcPr>
                  <w:tcW w:w="4121" w:type="dxa"/>
                  <w:vAlign w:val="center"/>
                </w:tcPr>
                <w:p w14:paraId="0AEB401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集中收集暂存于原料库一侧，作为原料回用到生产中。</w:t>
                  </w:r>
                </w:p>
              </w:tc>
            </w:tr>
            <w:tr w14:paraId="21AA51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06" w:type="dxa"/>
                  <w:vAlign w:val="center"/>
                </w:tcPr>
                <w:p w14:paraId="6183BA3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1357" w:type="dxa"/>
                  <w:vAlign w:val="center"/>
                </w:tcPr>
                <w:p w14:paraId="1570DF2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除尘灰</w:t>
                  </w:r>
                </w:p>
              </w:tc>
              <w:tc>
                <w:tcPr>
                  <w:tcW w:w="1629" w:type="dxa"/>
                  <w:vAlign w:val="center"/>
                </w:tcPr>
                <w:p w14:paraId="2B09364E">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183.49</w:t>
                  </w:r>
                </w:p>
              </w:tc>
              <w:tc>
                <w:tcPr>
                  <w:tcW w:w="4121" w:type="dxa"/>
                  <w:vAlign w:val="center"/>
                </w:tcPr>
                <w:p w14:paraId="2BCFE2D9">
                  <w:pPr>
                    <w:pStyle w:val="46"/>
                    <w:jc w:val="center"/>
                    <w:rPr>
                      <w:rFonts w:hint="default" w:ascii="Times New Roman" w:hAnsi="Times New Roman" w:cs="Times New Roman"/>
                      <w:color w:val="auto"/>
                      <w:highlight w:val="none"/>
                    </w:rPr>
                  </w:pPr>
                  <w:r>
                    <w:rPr>
                      <w:snapToGrid w:val="0"/>
                      <w:color w:val="auto"/>
                      <w:szCs w:val="21"/>
                    </w:rPr>
                    <w:t>回用于生产工序</w:t>
                  </w:r>
                  <w:r>
                    <w:rPr>
                      <w:rFonts w:hint="default" w:ascii="Times New Roman" w:hAnsi="Times New Roman" w:cs="Times New Roman"/>
                      <w:color w:val="auto"/>
                      <w:highlight w:val="none"/>
                    </w:rPr>
                    <w:t>。</w:t>
                  </w:r>
                </w:p>
              </w:tc>
            </w:tr>
            <w:tr w14:paraId="3089CF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06" w:type="dxa"/>
                  <w:vAlign w:val="center"/>
                </w:tcPr>
                <w:p w14:paraId="61E9889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1357" w:type="dxa"/>
                  <w:vAlign w:val="center"/>
                </w:tcPr>
                <w:p w14:paraId="761F1357">
                  <w:pPr>
                    <w:pStyle w:val="46"/>
                    <w:jc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沉淀池</w:t>
                  </w:r>
                  <w:r>
                    <w:rPr>
                      <w:rFonts w:hint="eastAsia" w:cs="Times New Roman"/>
                      <w:color w:val="auto"/>
                      <w:highlight w:val="none"/>
                      <w:lang w:eastAsia="zh-CN"/>
                    </w:rPr>
                    <w:t>泥沙</w:t>
                  </w:r>
                </w:p>
              </w:tc>
              <w:tc>
                <w:tcPr>
                  <w:tcW w:w="1629" w:type="dxa"/>
                  <w:vAlign w:val="center"/>
                </w:tcPr>
                <w:p w14:paraId="7B60B8F0">
                  <w:pPr>
                    <w:pStyle w:val="46"/>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w:t>
                  </w:r>
                </w:p>
              </w:tc>
              <w:tc>
                <w:tcPr>
                  <w:tcW w:w="4121" w:type="dxa"/>
                  <w:vAlign w:val="center"/>
                </w:tcPr>
                <w:p w14:paraId="2BDBD325">
                  <w:pPr>
                    <w:pStyle w:val="46"/>
                    <w:jc w:val="center"/>
                    <w:rPr>
                      <w:rFonts w:hint="default" w:ascii="Times New Roman" w:hAnsi="Times New Roman" w:cs="Times New Roman"/>
                      <w:color w:val="auto"/>
                      <w:highlight w:val="none"/>
                    </w:rPr>
                  </w:pPr>
                  <w:r>
                    <w:rPr>
                      <w:snapToGrid w:val="0"/>
                      <w:color w:val="auto"/>
                      <w:szCs w:val="21"/>
                    </w:rPr>
                    <w:t>回用于生产工序</w:t>
                  </w:r>
                  <w:r>
                    <w:rPr>
                      <w:rFonts w:hint="default" w:ascii="Times New Roman" w:hAnsi="Times New Roman" w:cs="Times New Roman"/>
                      <w:color w:val="auto"/>
                      <w:highlight w:val="none"/>
                    </w:rPr>
                    <w:t>。</w:t>
                  </w:r>
                </w:p>
              </w:tc>
            </w:tr>
            <w:tr w14:paraId="7B8939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06" w:type="dxa"/>
                  <w:vAlign w:val="center"/>
                </w:tcPr>
                <w:p w14:paraId="00151F2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1357" w:type="dxa"/>
                  <w:vAlign w:val="center"/>
                </w:tcPr>
                <w:p w14:paraId="49FE10A1">
                  <w:pPr>
                    <w:pStyle w:val="46"/>
                    <w:jc w:val="center"/>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废滤袋</w:t>
                  </w:r>
                </w:p>
              </w:tc>
              <w:tc>
                <w:tcPr>
                  <w:tcW w:w="1629" w:type="dxa"/>
                  <w:vAlign w:val="center"/>
                </w:tcPr>
                <w:p w14:paraId="1ED1E422">
                  <w:pPr>
                    <w:pStyle w:val="46"/>
                    <w:jc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0.</w:t>
                  </w:r>
                  <w:r>
                    <w:rPr>
                      <w:rFonts w:hint="eastAsia" w:cs="Times New Roman"/>
                      <w:color w:val="auto"/>
                      <w:highlight w:val="none"/>
                      <w:lang w:val="en-US" w:eastAsia="zh-CN"/>
                    </w:rPr>
                    <w:t>4</w:t>
                  </w:r>
                </w:p>
              </w:tc>
              <w:tc>
                <w:tcPr>
                  <w:tcW w:w="4121" w:type="dxa"/>
                  <w:vAlign w:val="center"/>
                </w:tcPr>
                <w:p w14:paraId="6B246B1E">
                  <w:pPr>
                    <w:pStyle w:val="46"/>
                    <w:jc w:val="center"/>
                    <w:rPr>
                      <w:rFonts w:hint="default" w:ascii="Times New Roman" w:hAnsi="Times New Roman" w:cs="Times New Roman"/>
                      <w:color w:val="auto"/>
                      <w:highlight w:val="none"/>
                    </w:rPr>
                  </w:pPr>
                  <w:r>
                    <w:rPr>
                      <w:snapToGrid w:val="0"/>
                      <w:color w:val="auto"/>
                      <w:szCs w:val="21"/>
                    </w:rPr>
                    <w:t>由厂家更换时回收</w:t>
                  </w:r>
                  <w:r>
                    <w:rPr>
                      <w:rFonts w:hint="default" w:ascii="Times New Roman" w:hAnsi="Times New Roman" w:cs="Times New Roman"/>
                      <w:color w:val="auto"/>
                      <w:highlight w:val="none"/>
                    </w:rPr>
                    <w:t>。</w:t>
                  </w:r>
                </w:p>
              </w:tc>
            </w:tr>
            <w:tr w14:paraId="34EDE7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06" w:type="dxa"/>
                  <w:vAlign w:val="center"/>
                </w:tcPr>
                <w:p w14:paraId="479A1BC8">
                  <w:pPr>
                    <w:pStyle w:val="46"/>
                    <w:ind w:firstLine="0" w:firstLineChars="0"/>
                    <w:jc w:val="center"/>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5</w:t>
                  </w:r>
                </w:p>
              </w:tc>
              <w:tc>
                <w:tcPr>
                  <w:tcW w:w="1357" w:type="dxa"/>
                  <w:vAlign w:val="center"/>
                </w:tcPr>
                <w:p w14:paraId="48D104C5">
                  <w:pPr>
                    <w:pStyle w:val="46"/>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生活垃圾</w:t>
                  </w:r>
                </w:p>
              </w:tc>
              <w:tc>
                <w:tcPr>
                  <w:tcW w:w="1629" w:type="dxa"/>
                  <w:vAlign w:val="center"/>
                </w:tcPr>
                <w:p w14:paraId="10AC4D2F">
                  <w:pPr>
                    <w:pStyle w:val="46"/>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0.38</w:t>
                  </w:r>
                </w:p>
              </w:tc>
              <w:tc>
                <w:tcPr>
                  <w:tcW w:w="4121" w:type="dxa"/>
                  <w:vAlign w:val="center"/>
                </w:tcPr>
                <w:p w14:paraId="3224B735">
                  <w:pPr>
                    <w:pStyle w:val="46"/>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收集后外售。</w:t>
                  </w:r>
                </w:p>
              </w:tc>
            </w:tr>
          </w:tbl>
          <w:p w14:paraId="18B5E0E2">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五、环境监测计划</w:t>
            </w:r>
          </w:p>
          <w:p w14:paraId="0A9D543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根据《排污单位自行监测技术指南 水泥工业》（HJ 848</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2017）以及拟建项目废气和噪声等污染源的产、排情况，评价建议本项目环境监测的具体内容如下表所示：</w:t>
            </w:r>
          </w:p>
          <w:p w14:paraId="15446D9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本项目环境监测计划见下表。</w:t>
            </w:r>
          </w:p>
          <w:p w14:paraId="4B493D1A">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表4-1</w:t>
            </w:r>
            <w:r>
              <w:rPr>
                <w:rFonts w:hint="eastAsia" w:cs="Times New Roman"/>
                <w:color w:val="auto"/>
                <w:highlight w:val="none"/>
                <w:lang w:val="en-US" w:eastAsia="zh-CN"/>
              </w:rPr>
              <w:t>3</w:t>
            </w:r>
            <w:r>
              <w:rPr>
                <w:rFonts w:hint="default" w:ascii="Times New Roman" w:hAnsi="Times New Roman" w:cs="Times New Roman"/>
                <w:color w:val="auto"/>
                <w:highlight w:val="none"/>
              </w:rPr>
              <w:t xml:space="preserve">  环境监测计划</w:t>
            </w:r>
          </w:p>
          <w:tbl>
            <w:tblPr>
              <w:tblStyle w:val="23"/>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344"/>
              <w:gridCol w:w="1280"/>
              <w:gridCol w:w="1613"/>
              <w:gridCol w:w="2862"/>
            </w:tblGrid>
            <w:tr w14:paraId="0F2F1D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11" w:type="dxa"/>
                  <w:vAlign w:val="center"/>
                </w:tcPr>
                <w:p w14:paraId="00C49EA5">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类别</w:t>
                  </w:r>
                </w:p>
              </w:tc>
              <w:tc>
                <w:tcPr>
                  <w:tcW w:w="1344" w:type="dxa"/>
                  <w:vAlign w:val="center"/>
                </w:tcPr>
                <w:p w14:paraId="50481F92">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监测位置</w:t>
                  </w:r>
                </w:p>
              </w:tc>
              <w:tc>
                <w:tcPr>
                  <w:tcW w:w="1280" w:type="dxa"/>
                  <w:vAlign w:val="center"/>
                </w:tcPr>
                <w:p w14:paraId="43988CC8">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监测因子</w:t>
                  </w:r>
                </w:p>
              </w:tc>
              <w:tc>
                <w:tcPr>
                  <w:tcW w:w="1613" w:type="dxa"/>
                  <w:vAlign w:val="center"/>
                </w:tcPr>
                <w:p w14:paraId="73DCE4A6">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监测频率</w:t>
                  </w:r>
                </w:p>
              </w:tc>
              <w:tc>
                <w:tcPr>
                  <w:tcW w:w="2862" w:type="dxa"/>
                  <w:vAlign w:val="center"/>
                </w:tcPr>
                <w:p w14:paraId="6C1F7DF6">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执行标准</w:t>
                  </w:r>
                </w:p>
              </w:tc>
            </w:tr>
            <w:tr w14:paraId="504F5B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711" w:type="dxa"/>
                  <w:vMerge w:val="restart"/>
                  <w:vAlign w:val="center"/>
                </w:tcPr>
                <w:p w14:paraId="665C8D6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w:t>
                  </w:r>
                </w:p>
              </w:tc>
              <w:tc>
                <w:tcPr>
                  <w:tcW w:w="1344" w:type="dxa"/>
                  <w:vAlign w:val="center"/>
                </w:tcPr>
                <w:p w14:paraId="5A7D390B">
                  <w:pPr>
                    <w:pStyle w:val="46"/>
                    <w:ind w:firstLine="0" w:firstLineChars="0"/>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厂界无组织</w:t>
                  </w:r>
                </w:p>
              </w:tc>
              <w:tc>
                <w:tcPr>
                  <w:tcW w:w="1280" w:type="dxa"/>
                  <w:vAlign w:val="center"/>
                </w:tcPr>
                <w:p w14:paraId="57D87A9C">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1613" w:type="dxa"/>
                  <w:vAlign w:val="center"/>
                </w:tcPr>
                <w:p w14:paraId="2B8E827E">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每季度一次</w:t>
                  </w:r>
                </w:p>
              </w:tc>
              <w:tc>
                <w:tcPr>
                  <w:tcW w:w="2862" w:type="dxa"/>
                  <w:vMerge w:val="restart"/>
                  <w:vAlign w:val="center"/>
                </w:tcPr>
                <w:p w14:paraId="3AF71FA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《水泥工业大气污染物排放标准》（GB4915-2013）表1标准限值要求</w:t>
                  </w:r>
                </w:p>
              </w:tc>
            </w:tr>
            <w:tr w14:paraId="153966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711" w:type="dxa"/>
                  <w:vMerge w:val="continue"/>
                  <w:vAlign w:val="center"/>
                </w:tcPr>
                <w:p w14:paraId="57B489F4">
                  <w:pPr>
                    <w:pStyle w:val="46"/>
                    <w:jc w:val="center"/>
                    <w:rPr>
                      <w:rFonts w:hint="default" w:ascii="Times New Roman" w:hAnsi="Times New Roman" w:cs="Times New Roman"/>
                      <w:color w:val="auto"/>
                      <w:sz w:val="21"/>
                      <w:szCs w:val="21"/>
                      <w:highlight w:val="none"/>
                    </w:rPr>
                  </w:pPr>
                </w:p>
              </w:tc>
              <w:tc>
                <w:tcPr>
                  <w:tcW w:w="1344" w:type="dxa"/>
                  <w:vAlign w:val="center"/>
                </w:tcPr>
                <w:p w14:paraId="04A799A0">
                  <w:pPr>
                    <w:pStyle w:val="46"/>
                    <w:ind w:firstLine="0" w:firstLineChars="0"/>
                    <w:jc w:val="center"/>
                    <w:rPr>
                      <w:rFonts w:hint="default" w:ascii="Times New Roman" w:hAnsi="Times New Roman" w:cs="Times New Roman"/>
                      <w:color w:val="auto"/>
                      <w:sz w:val="21"/>
                      <w:szCs w:val="21"/>
                      <w:highlight w:val="none"/>
                    </w:rPr>
                  </w:pPr>
                  <w:r>
                    <w:rPr>
                      <w:rFonts w:hint="eastAsia"/>
                      <w:color w:val="auto"/>
                    </w:rPr>
                    <w:t>筒仓仓顶</w:t>
                  </w:r>
                </w:p>
              </w:tc>
              <w:tc>
                <w:tcPr>
                  <w:tcW w:w="1280" w:type="dxa"/>
                  <w:vAlign w:val="center"/>
                </w:tcPr>
                <w:p w14:paraId="00DAF424">
                  <w:pPr>
                    <w:pStyle w:val="46"/>
                    <w:ind w:firstLine="0" w:firstLineChars="0"/>
                    <w:jc w:val="center"/>
                    <w:rPr>
                      <w:rFonts w:hint="default" w:ascii="Times New Roman" w:hAnsi="Times New Roman" w:cs="Times New Roman"/>
                      <w:color w:val="auto"/>
                      <w:sz w:val="21"/>
                      <w:szCs w:val="21"/>
                      <w:highlight w:val="none"/>
                    </w:rPr>
                  </w:pPr>
                  <w:r>
                    <w:rPr>
                      <w:rFonts w:hint="default"/>
                      <w:color w:val="auto"/>
                    </w:rPr>
                    <w:t>颗粒物</w:t>
                  </w:r>
                </w:p>
              </w:tc>
              <w:tc>
                <w:tcPr>
                  <w:tcW w:w="1613" w:type="dxa"/>
                  <w:vAlign w:val="center"/>
                </w:tcPr>
                <w:p w14:paraId="59FDA9AB">
                  <w:pPr>
                    <w:ind w:left="0" w:lef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每季度一次</w:t>
                  </w:r>
                </w:p>
              </w:tc>
              <w:tc>
                <w:tcPr>
                  <w:tcW w:w="2862" w:type="dxa"/>
                  <w:vMerge w:val="continue"/>
                  <w:vAlign w:val="center"/>
                </w:tcPr>
                <w:p w14:paraId="2DDC4C4E">
                  <w:pPr>
                    <w:pStyle w:val="46"/>
                    <w:jc w:val="center"/>
                    <w:rPr>
                      <w:rFonts w:hint="default" w:ascii="Times New Roman" w:hAnsi="Times New Roman" w:cs="Times New Roman"/>
                      <w:color w:val="auto"/>
                      <w:sz w:val="21"/>
                      <w:szCs w:val="21"/>
                      <w:highlight w:val="none"/>
                    </w:rPr>
                  </w:pPr>
                </w:p>
              </w:tc>
            </w:tr>
            <w:tr w14:paraId="51F331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711" w:type="dxa"/>
                  <w:vAlign w:val="center"/>
                </w:tcPr>
                <w:p w14:paraId="536B2BD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w:t>
                  </w:r>
                </w:p>
              </w:tc>
              <w:tc>
                <w:tcPr>
                  <w:tcW w:w="1344" w:type="dxa"/>
                  <w:vAlign w:val="center"/>
                </w:tcPr>
                <w:p w14:paraId="7A1E921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厂界</w:t>
                  </w:r>
                </w:p>
              </w:tc>
              <w:tc>
                <w:tcPr>
                  <w:tcW w:w="1280" w:type="dxa"/>
                  <w:vAlign w:val="center"/>
                </w:tcPr>
                <w:p w14:paraId="04C93F1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等效A声级</w:t>
                  </w:r>
                </w:p>
              </w:tc>
              <w:tc>
                <w:tcPr>
                  <w:tcW w:w="1613" w:type="dxa"/>
                  <w:vAlign w:val="center"/>
                </w:tcPr>
                <w:p w14:paraId="41EB5F8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每季度一次</w:t>
                  </w:r>
                </w:p>
              </w:tc>
              <w:tc>
                <w:tcPr>
                  <w:tcW w:w="2862" w:type="dxa"/>
                  <w:vAlign w:val="center"/>
                </w:tcPr>
                <w:p w14:paraId="2CC3FD6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《工业企业厂界环境噪声排放标准》（GB12348-2008）</w:t>
                  </w:r>
                  <w:r>
                    <w:rPr>
                      <w:rFonts w:hint="default"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rPr>
                    <w:t>类标准</w:t>
                  </w:r>
                </w:p>
              </w:tc>
            </w:tr>
          </w:tbl>
          <w:p w14:paraId="51E55307">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六、建设项目环境保护“三同时”验收内容</w:t>
            </w:r>
          </w:p>
          <w:p w14:paraId="1254E4E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建设项目环境保护“三同时”验收内容见下表。</w:t>
            </w:r>
          </w:p>
          <w:p w14:paraId="39FC9942">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表4-1</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建设项目环境保护“三同时”验收一览表</w:t>
            </w:r>
          </w:p>
          <w:tbl>
            <w:tblPr>
              <w:tblStyle w:val="23"/>
              <w:tblW w:w="4921"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1"/>
              <w:gridCol w:w="953"/>
              <w:gridCol w:w="870"/>
              <w:gridCol w:w="1644"/>
              <w:gridCol w:w="1430"/>
              <w:gridCol w:w="2365"/>
            </w:tblGrid>
            <w:tr w14:paraId="0F8499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431" w:type="dxa"/>
                  <w:vAlign w:val="center"/>
                </w:tcPr>
                <w:p w14:paraId="485749D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类别</w:t>
                  </w:r>
                </w:p>
              </w:tc>
              <w:tc>
                <w:tcPr>
                  <w:tcW w:w="953" w:type="dxa"/>
                  <w:vAlign w:val="center"/>
                </w:tcPr>
                <w:p w14:paraId="2F40402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污染源</w:t>
                  </w:r>
                </w:p>
              </w:tc>
              <w:tc>
                <w:tcPr>
                  <w:tcW w:w="870" w:type="dxa"/>
                  <w:vAlign w:val="center"/>
                </w:tcPr>
                <w:p w14:paraId="138FE45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w:t>
                  </w:r>
                </w:p>
              </w:tc>
              <w:tc>
                <w:tcPr>
                  <w:tcW w:w="1644" w:type="dxa"/>
                  <w:vAlign w:val="center"/>
                </w:tcPr>
                <w:p w14:paraId="674FA76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环保措施</w:t>
                  </w:r>
                </w:p>
              </w:tc>
              <w:tc>
                <w:tcPr>
                  <w:tcW w:w="1430" w:type="dxa"/>
                  <w:vAlign w:val="center"/>
                </w:tcPr>
                <w:p w14:paraId="67C4333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验收因子</w:t>
                  </w:r>
                </w:p>
              </w:tc>
              <w:tc>
                <w:tcPr>
                  <w:tcW w:w="2365" w:type="dxa"/>
                  <w:vAlign w:val="center"/>
                </w:tcPr>
                <w:p w14:paraId="010D145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验收标准</w:t>
                  </w:r>
                </w:p>
              </w:tc>
            </w:tr>
            <w:tr w14:paraId="736FC9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431" w:type="dxa"/>
                  <w:vMerge w:val="restart"/>
                  <w:vAlign w:val="center"/>
                </w:tcPr>
                <w:p w14:paraId="4156274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废气</w:t>
                  </w:r>
                </w:p>
              </w:tc>
              <w:tc>
                <w:tcPr>
                  <w:tcW w:w="953" w:type="dxa"/>
                  <w:vAlign w:val="center"/>
                </w:tcPr>
                <w:p w14:paraId="1074D16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运输车辆产生的扬尘</w:t>
                  </w:r>
                </w:p>
              </w:tc>
              <w:tc>
                <w:tcPr>
                  <w:tcW w:w="870" w:type="dxa"/>
                  <w:vAlign w:val="center"/>
                </w:tcPr>
                <w:p w14:paraId="351CBB8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1644" w:type="dxa"/>
                  <w:vAlign w:val="center"/>
                </w:tcPr>
                <w:p w14:paraId="5A39596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路面清扫+洒水</w:t>
                  </w:r>
                </w:p>
              </w:tc>
              <w:tc>
                <w:tcPr>
                  <w:tcW w:w="1430" w:type="dxa"/>
                  <w:vAlign w:val="center"/>
                </w:tcPr>
                <w:p w14:paraId="5120E0C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2365" w:type="dxa"/>
                  <w:vMerge w:val="restart"/>
                  <w:vAlign w:val="center"/>
                </w:tcPr>
                <w:p w14:paraId="7EEE601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《水泥工业大气污染物排放标准》（GB4915-2013）中表3大气污染物无组织排放限值</w:t>
                  </w:r>
                </w:p>
              </w:tc>
            </w:tr>
            <w:tr w14:paraId="0284DE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431" w:type="dxa"/>
                  <w:vMerge w:val="continue"/>
                  <w:vAlign w:val="center"/>
                </w:tcPr>
                <w:p w14:paraId="4970B7F6">
                  <w:pPr>
                    <w:pStyle w:val="46"/>
                    <w:jc w:val="center"/>
                    <w:rPr>
                      <w:rFonts w:hint="default" w:ascii="Times New Roman" w:hAnsi="Times New Roman" w:cs="Times New Roman"/>
                      <w:color w:val="auto"/>
                      <w:highlight w:val="none"/>
                    </w:rPr>
                  </w:pPr>
                </w:p>
              </w:tc>
              <w:tc>
                <w:tcPr>
                  <w:tcW w:w="953" w:type="dxa"/>
                  <w:vAlign w:val="center"/>
                </w:tcPr>
                <w:p w14:paraId="37EB866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砂石装卸、堆放产生扬尘</w:t>
                  </w:r>
                </w:p>
              </w:tc>
              <w:tc>
                <w:tcPr>
                  <w:tcW w:w="870" w:type="dxa"/>
                  <w:vAlign w:val="center"/>
                </w:tcPr>
                <w:p w14:paraId="14371C1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1644" w:type="dxa"/>
                  <w:vAlign w:val="center"/>
                </w:tcPr>
                <w:p w14:paraId="5F1971A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密闭原料库+洒水抑尘</w:t>
                  </w:r>
                </w:p>
              </w:tc>
              <w:tc>
                <w:tcPr>
                  <w:tcW w:w="1430" w:type="dxa"/>
                  <w:vAlign w:val="center"/>
                </w:tcPr>
                <w:p w14:paraId="40D8070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2365" w:type="dxa"/>
                  <w:vMerge w:val="continue"/>
                  <w:vAlign w:val="center"/>
                </w:tcPr>
                <w:p w14:paraId="5D3F97F0">
                  <w:pPr>
                    <w:pStyle w:val="46"/>
                    <w:jc w:val="center"/>
                    <w:rPr>
                      <w:rFonts w:hint="default" w:ascii="Times New Roman" w:hAnsi="Times New Roman" w:cs="Times New Roman"/>
                      <w:color w:val="auto"/>
                      <w:highlight w:val="none"/>
                    </w:rPr>
                  </w:pPr>
                </w:p>
              </w:tc>
            </w:tr>
            <w:tr w14:paraId="3F16BD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431" w:type="dxa"/>
                  <w:vMerge w:val="continue"/>
                  <w:vAlign w:val="center"/>
                </w:tcPr>
                <w:p w14:paraId="056A9649">
                  <w:pPr>
                    <w:pStyle w:val="46"/>
                    <w:jc w:val="center"/>
                    <w:rPr>
                      <w:rFonts w:hint="default" w:ascii="Times New Roman" w:hAnsi="Times New Roman" w:cs="Times New Roman"/>
                      <w:color w:val="auto"/>
                      <w:highlight w:val="none"/>
                    </w:rPr>
                  </w:pPr>
                </w:p>
              </w:tc>
              <w:tc>
                <w:tcPr>
                  <w:tcW w:w="953" w:type="dxa"/>
                  <w:vAlign w:val="center"/>
                </w:tcPr>
                <w:p w14:paraId="60259A7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筒仓呼吸孔</w:t>
                  </w:r>
                </w:p>
              </w:tc>
              <w:tc>
                <w:tcPr>
                  <w:tcW w:w="870" w:type="dxa"/>
                  <w:vAlign w:val="center"/>
                </w:tcPr>
                <w:p w14:paraId="6B64BA1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1644" w:type="dxa"/>
                  <w:vAlign w:val="center"/>
                </w:tcPr>
                <w:p w14:paraId="3449636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袋式除尘器+仓顶排放</w:t>
                  </w:r>
                </w:p>
              </w:tc>
              <w:tc>
                <w:tcPr>
                  <w:tcW w:w="1430" w:type="dxa"/>
                  <w:vAlign w:val="center"/>
                </w:tcPr>
                <w:p w14:paraId="3D755052">
                  <w:pPr>
                    <w:pStyle w:val="46"/>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2365" w:type="dxa"/>
                  <w:vMerge w:val="restart"/>
                  <w:vAlign w:val="center"/>
                </w:tcPr>
                <w:p w14:paraId="495A227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sz w:val="21"/>
                      <w:szCs w:val="21"/>
                      <w:highlight w:val="none"/>
                    </w:rPr>
                    <w:t>《水泥工业大气污染物排放标准》（GB4915-2013）表1标准限值要求</w:t>
                  </w:r>
                </w:p>
              </w:tc>
            </w:tr>
            <w:tr w14:paraId="65A9F1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431" w:type="dxa"/>
                  <w:vMerge w:val="continue"/>
                  <w:vAlign w:val="center"/>
                </w:tcPr>
                <w:p w14:paraId="58B52F91">
                  <w:pPr>
                    <w:pStyle w:val="46"/>
                    <w:jc w:val="center"/>
                    <w:rPr>
                      <w:rFonts w:hint="default" w:ascii="Times New Roman" w:hAnsi="Times New Roman" w:cs="Times New Roman"/>
                      <w:color w:val="auto"/>
                      <w:highlight w:val="none"/>
                    </w:rPr>
                  </w:pPr>
                </w:p>
              </w:tc>
              <w:tc>
                <w:tcPr>
                  <w:tcW w:w="953" w:type="dxa"/>
                  <w:vAlign w:val="center"/>
                </w:tcPr>
                <w:p w14:paraId="16EBF387">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搅拌粉尘</w:t>
                  </w:r>
                </w:p>
              </w:tc>
              <w:tc>
                <w:tcPr>
                  <w:tcW w:w="870" w:type="dxa"/>
                  <w:vAlign w:val="center"/>
                </w:tcPr>
                <w:p w14:paraId="0A733CE6">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1644" w:type="dxa"/>
                  <w:vAlign w:val="center"/>
                </w:tcPr>
                <w:p w14:paraId="4ADB295A">
                  <w:pPr>
                    <w:pStyle w:val="46"/>
                    <w:jc w:val="center"/>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袋式除尘器+</w:t>
                  </w:r>
                  <w:r>
                    <w:rPr>
                      <w:rFonts w:hint="eastAsia" w:cs="Times New Roman"/>
                      <w:color w:val="auto"/>
                      <w:highlight w:val="none"/>
                      <w:lang w:val="en-US" w:eastAsia="zh-CN"/>
                    </w:rPr>
                    <w:t>全封闭</w:t>
                  </w:r>
                </w:p>
              </w:tc>
              <w:tc>
                <w:tcPr>
                  <w:tcW w:w="1430" w:type="dxa"/>
                  <w:vAlign w:val="center"/>
                </w:tcPr>
                <w:p w14:paraId="47E0EDDF">
                  <w:pPr>
                    <w:pStyle w:val="46"/>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2365" w:type="dxa"/>
                  <w:vMerge w:val="continue"/>
                  <w:vAlign w:val="center"/>
                </w:tcPr>
                <w:p w14:paraId="64FA8074">
                  <w:pPr>
                    <w:pStyle w:val="46"/>
                    <w:jc w:val="center"/>
                    <w:rPr>
                      <w:rFonts w:hint="default" w:ascii="Times New Roman" w:hAnsi="Times New Roman" w:cs="Times New Roman"/>
                      <w:color w:val="auto"/>
                      <w:highlight w:val="none"/>
                    </w:rPr>
                  </w:pPr>
                </w:p>
              </w:tc>
            </w:tr>
            <w:tr w14:paraId="62491C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431" w:type="dxa"/>
                  <w:vMerge w:val="restart"/>
                  <w:vAlign w:val="center"/>
                </w:tcPr>
                <w:p w14:paraId="352C65F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废水</w:t>
                  </w:r>
                </w:p>
              </w:tc>
              <w:tc>
                <w:tcPr>
                  <w:tcW w:w="953" w:type="dxa"/>
                  <w:vAlign w:val="center"/>
                </w:tcPr>
                <w:p w14:paraId="3C809BA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设备清洗废水</w:t>
                  </w:r>
                </w:p>
              </w:tc>
              <w:tc>
                <w:tcPr>
                  <w:tcW w:w="870" w:type="dxa"/>
                  <w:vMerge w:val="restart"/>
                  <w:vAlign w:val="center"/>
                </w:tcPr>
                <w:p w14:paraId="6742A38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SS</w:t>
                  </w:r>
                </w:p>
              </w:tc>
              <w:tc>
                <w:tcPr>
                  <w:tcW w:w="1644" w:type="dxa"/>
                  <w:vMerge w:val="restart"/>
                  <w:vAlign w:val="center"/>
                </w:tcPr>
                <w:p w14:paraId="07AF1913">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全部回用于生产，直接排放至项目沉淀池（10m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tc>
              <w:tc>
                <w:tcPr>
                  <w:tcW w:w="1430" w:type="dxa"/>
                  <w:vMerge w:val="restart"/>
                  <w:vAlign w:val="center"/>
                </w:tcPr>
                <w:p w14:paraId="57ED4AC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2365" w:type="dxa"/>
                  <w:vMerge w:val="restart"/>
                  <w:vAlign w:val="center"/>
                </w:tcPr>
                <w:p w14:paraId="09F8610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不外排</w:t>
                  </w:r>
                </w:p>
              </w:tc>
            </w:tr>
            <w:tr w14:paraId="01DFD7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431" w:type="dxa"/>
                  <w:vMerge w:val="continue"/>
                  <w:vAlign w:val="center"/>
                </w:tcPr>
                <w:p w14:paraId="2F88C75A">
                  <w:pPr>
                    <w:pStyle w:val="46"/>
                    <w:jc w:val="center"/>
                    <w:rPr>
                      <w:rFonts w:hint="default" w:ascii="Times New Roman" w:hAnsi="Times New Roman" w:cs="Times New Roman"/>
                      <w:color w:val="auto"/>
                      <w:highlight w:val="none"/>
                    </w:rPr>
                  </w:pPr>
                </w:p>
              </w:tc>
              <w:tc>
                <w:tcPr>
                  <w:tcW w:w="953" w:type="dxa"/>
                  <w:vAlign w:val="center"/>
                </w:tcPr>
                <w:p w14:paraId="1F03D58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场地冲洗</w:t>
                  </w:r>
                </w:p>
              </w:tc>
              <w:tc>
                <w:tcPr>
                  <w:tcW w:w="870" w:type="dxa"/>
                  <w:vMerge w:val="continue"/>
                  <w:vAlign w:val="center"/>
                </w:tcPr>
                <w:p w14:paraId="52391A65">
                  <w:pPr>
                    <w:pStyle w:val="46"/>
                    <w:jc w:val="center"/>
                    <w:rPr>
                      <w:rFonts w:hint="default" w:ascii="Times New Roman" w:hAnsi="Times New Roman" w:cs="Times New Roman"/>
                      <w:color w:val="auto"/>
                      <w:highlight w:val="none"/>
                    </w:rPr>
                  </w:pPr>
                </w:p>
              </w:tc>
              <w:tc>
                <w:tcPr>
                  <w:tcW w:w="1644" w:type="dxa"/>
                  <w:vMerge w:val="continue"/>
                  <w:vAlign w:val="center"/>
                </w:tcPr>
                <w:p w14:paraId="7FE4EBCA">
                  <w:pPr>
                    <w:pStyle w:val="46"/>
                    <w:jc w:val="center"/>
                    <w:rPr>
                      <w:rFonts w:hint="default" w:ascii="Times New Roman" w:hAnsi="Times New Roman" w:cs="Times New Roman"/>
                      <w:color w:val="auto"/>
                      <w:highlight w:val="none"/>
                    </w:rPr>
                  </w:pPr>
                </w:p>
              </w:tc>
              <w:tc>
                <w:tcPr>
                  <w:tcW w:w="1430" w:type="dxa"/>
                  <w:vMerge w:val="continue"/>
                  <w:vAlign w:val="center"/>
                </w:tcPr>
                <w:p w14:paraId="20D700BB">
                  <w:pPr>
                    <w:pStyle w:val="46"/>
                    <w:jc w:val="center"/>
                    <w:rPr>
                      <w:rFonts w:hint="default" w:ascii="Times New Roman" w:hAnsi="Times New Roman" w:cs="Times New Roman"/>
                      <w:color w:val="auto"/>
                      <w:highlight w:val="none"/>
                    </w:rPr>
                  </w:pPr>
                </w:p>
              </w:tc>
              <w:tc>
                <w:tcPr>
                  <w:tcW w:w="2365" w:type="dxa"/>
                  <w:vMerge w:val="continue"/>
                  <w:vAlign w:val="center"/>
                </w:tcPr>
                <w:p w14:paraId="28754AC1">
                  <w:pPr>
                    <w:pStyle w:val="46"/>
                    <w:jc w:val="center"/>
                    <w:rPr>
                      <w:rFonts w:hint="default" w:ascii="Times New Roman" w:hAnsi="Times New Roman" w:cs="Times New Roman"/>
                      <w:color w:val="auto"/>
                      <w:highlight w:val="none"/>
                    </w:rPr>
                  </w:pPr>
                </w:p>
              </w:tc>
            </w:tr>
            <w:tr w14:paraId="09B9A2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431" w:type="dxa"/>
                  <w:vMerge w:val="continue"/>
                  <w:vAlign w:val="center"/>
                </w:tcPr>
                <w:p w14:paraId="5C64A116">
                  <w:pPr>
                    <w:pStyle w:val="46"/>
                    <w:jc w:val="center"/>
                    <w:rPr>
                      <w:rFonts w:hint="default" w:ascii="Times New Roman" w:hAnsi="Times New Roman" w:cs="Times New Roman"/>
                      <w:color w:val="auto"/>
                      <w:highlight w:val="none"/>
                    </w:rPr>
                  </w:pPr>
                </w:p>
              </w:tc>
              <w:tc>
                <w:tcPr>
                  <w:tcW w:w="953" w:type="dxa"/>
                  <w:vAlign w:val="center"/>
                </w:tcPr>
                <w:p w14:paraId="02B6B2A9">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生活污水</w:t>
                  </w:r>
                </w:p>
              </w:tc>
              <w:tc>
                <w:tcPr>
                  <w:tcW w:w="870" w:type="dxa"/>
                  <w:vAlign w:val="center"/>
                </w:tcPr>
                <w:p w14:paraId="410E9D0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pH、CODcr、BOD</w:t>
                  </w:r>
                  <w:r>
                    <w:rPr>
                      <w:rFonts w:hint="default" w:ascii="Times New Roman" w:hAnsi="Times New Roman" w:cs="Times New Roman"/>
                      <w:color w:val="auto"/>
                      <w:highlight w:val="none"/>
                      <w:vertAlign w:val="subscript"/>
                    </w:rPr>
                    <w:t>5</w:t>
                  </w:r>
                  <w:r>
                    <w:rPr>
                      <w:rFonts w:hint="default" w:ascii="Times New Roman" w:hAnsi="Times New Roman" w:cs="Times New Roman"/>
                      <w:color w:val="auto"/>
                      <w:highlight w:val="none"/>
                    </w:rPr>
                    <w:t>、氨氮及SS等</w:t>
                  </w:r>
                </w:p>
              </w:tc>
              <w:tc>
                <w:tcPr>
                  <w:tcW w:w="1644" w:type="dxa"/>
                  <w:vAlign w:val="center"/>
                </w:tcPr>
                <w:p w14:paraId="6B35D3F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经化粪池</w:t>
                  </w:r>
                  <w:r>
                    <w:rPr>
                      <w:rFonts w:hint="eastAsia" w:cs="Times New Roman"/>
                      <w:color w:val="auto"/>
                      <w:highlight w:val="none"/>
                      <w:lang w:eastAsia="zh-CN"/>
                    </w:rPr>
                    <w:t>沉淀</w:t>
                  </w:r>
                  <w:r>
                    <w:rPr>
                      <w:rFonts w:hint="default" w:ascii="Times New Roman" w:hAnsi="Times New Roman" w:cs="Times New Roman"/>
                      <w:color w:val="auto"/>
                      <w:highlight w:val="none"/>
                    </w:rPr>
                    <w:t>后定期拉运至</w:t>
                  </w:r>
                  <w:r>
                    <w:rPr>
                      <w:rFonts w:hint="default" w:ascii="Times New Roman" w:hAnsi="Times New Roman" w:cs="Times New Roman"/>
                      <w:snapToGrid w:val="0"/>
                      <w:color w:val="auto"/>
                      <w:highlight w:val="none"/>
                      <w:lang w:val="en-US" w:eastAsia="zh-CN"/>
                    </w:rPr>
                    <w:t>附近</w:t>
                  </w:r>
                  <w:r>
                    <w:rPr>
                      <w:rFonts w:hint="default" w:ascii="Times New Roman" w:hAnsi="Times New Roman" w:cs="Times New Roman"/>
                      <w:snapToGrid w:val="0"/>
                      <w:color w:val="auto"/>
                      <w:highlight w:val="none"/>
                    </w:rPr>
                    <w:t>污水处理厂</w:t>
                  </w:r>
                </w:p>
              </w:tc>
              <w:tc>
                <w:tcPr>
                  <w:tcW w:w="1430" w:type="dxa"/>
                  <w:vAlign w:val="center"/>
                </w:tcPr>
                <w:p w14:paraId="3FB3C5FC">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2365" w:type="dxa"/>
                  <w:vAlign w:val="center"/>
                </w:tcPr>
                <w:p w14:paraId="1FAF2DDB">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不外排</w:t>
                  </w:r>
                </w:p>
              </w:tc>
            </w:tr>
            <w:tr w14:paraId="4EE675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431" w:type="dxa"/>
                  <w:vMerge w:val="restart"/>
                  <w:vAlign w:val="center"/>
                </w:tcPr>
                <w:p w14:paraId="686AEFA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953" w:type="dxa"/>
                  <w:vAlign w:val="center"/>
                </w:tcPr>
                <w:p w14:paraId="2888A65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废混凝土</w:t>
                  </w:r>
                </w:p>
              </w:tc>
              <w:tc>
                <w:tcPr>
                  <w:tcW w:w="870" w:type="dxa"/>
                  <w:vAlign w:val="center"/>
                </w:tcPr>
                <w:p w14:paraId="0BBD0C4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废混凝土</w:t>
                  </w:r>
                </w:p>
              </w:tc>
              <w:tc>
                <w:tcPr>
                  <w:tcW w:w="1644" w:type="dxa"/>
                  <w:vAlign w:val="center"/>
                </w:tcPr>
                <w:p w14:paraId="0A42E72A">
                  <w:pPr>
                    <w:pStyle w:val="46"/>
                    <w:jc w:val="center"/>
                    <w:rPr>
                      <w:rFonts w:hint="default" w:ascii="Times New Roman" w:hAnsi="Times New Roman" w:cs="Times New Roman"/>
                      <w:color w:val="auto"/>
                      <w:highlight w:val="none"/>
                    </w:rPr>
                  </w:pPr>
                  <w:r>
                    <w:rPr>
                      <w:snapToGrid w:val="0"/>
                      <w:color w:val="auto"/>
                      <w:szCs w:val="21"/>
                    </w:rPr>
                    <w:t>回用于生产工序</w:t>
                  </w:r>
                </w:p>
              </w:tc>
              <w:tc>
                <w:tcPr>
                  <w:tcW w:w="1430" w:type="dxa"/>
                  <w:vMerge w:val="restart"/>
                  <w:vAlign w:val="center"/>
                </w:tcPr>
                <w:p w14:paraId="2DB45E6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2365" w:type="dxa"/>
                  <w:vMerge w:val="restart"/>
                  <w:vAlign w:val="center"/>
                </w:tcPr>
                <w:p w14:paraId="0BA7370D">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《一般工业固体废物贮存和填埋污染控制标准》（GB18599-2020）标准要求</w:t>
                  </w:r>
                </w:p>
              </w:tc>
            </w:tr>
            <w:tr w14:paraId="133FDA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431" w:type="dxa"/>
                  <w:vMerge w:val="continue"/>
                  <w:vAlign w:val="center"/>
                </w:tcPr>
                <w:p w14:paraId="06903722">
                  <w:pPr>
                    <w:pStyle w:val="46"/>
                    <w:jc w:val="center"/>
                    <w:rPr>
                      <w:rFonts w:hint="default" w:ascii="Times New Roman" w:hAnsi="Times New Roman" w:cs="Times New Roman"/>
                      <w:color w:val="auto"/>
                      <w:highlight w:val="none"/>
                    </w:rPr>
                  </w:pPr>
                </w:p>
              </w:tc>
              <w:tc>
                <w:tcPr>
                  <w:tcW w:w="953" w:type="dxa"/>
                  <w:vAlign w:val="center"/>
                </w:tcPr>
                <w:p w14:paraId="02AD22B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除尘器</w:t>
                  </w:r>
                </w:p>
              </w:tc>
              <w:tc>
                <w:tcPr>
                  <w:tcW w:w="870" w:type="dxa"/>
                  <w:vAlign w:val="center"/>
                </w:tcPr>
                <w:p w14:paraId="18ECAFD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除尘灰</w:t>
                  </w:r>
                </w:p>
              </w:tc>
              <w:tc>
                <w:tcPr>
                  <w:tcW w:w="1644" w:type="dxa"/>
                  <w:vAlign w:val="center"/>
                </w:tcPr>
                <w:p w14:paraId="4659239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收集处理后作为原料回用到生产中</w:t>
                  </w:r>
                </w:p>
              </w:tc>
              <w:tc>
                <w:tcPr>
                  <w:tcW w:w="1430" w:type="dxa"/>
                  <w:vMerge w:val="continue"/>
                  <w:vAlign w:val="center"/>
                </w:tcPr>
                <w:p w14:paraId="0279AA88">
                  <w:pPr>
                    <w:pStyle w:val="46"/>
                    <w:jc w:val="center"/>
                    <w:rPr>
                      <w:rFonts w:hint="default" w:ascii="Times New Roman" w:hAnsi="Times New Roman" w:cs="Times New Roman"/>
                      <w:color w:val="auto"/>
                      <w:highlight w:val="none"/>
                    </w:rPr>
                  </w:pPr>
                </w:p>
              </w:tc>
              <w:tc>
                <w:tcPr>
                  <w:tcW w:w="2365" w:type="dxa"/>
                  <w:vMerge w:val="continue"/>
                  <w:vAlign w:val="center"/>
                </w:tcPr>
                <w:p w14:paraId="7F5C7569">
                  <w:pPr>
                    <w:pStyle w:val="46"/>
                    <w:jc w:val="center"/>
                    <w:rPr>
                      <w:rFonts w:hint="default" w:ascii="Times New Roman" w:hAnsi="Times New Roman" w:cs="Times New Roman"/>
                      <w:color w:val="auto"/>
                      <w:highlight w:val="none"/>
                    </w:rPr>
                  </w:pPr>
                </w:p>
              </w:tc>
            </w:tr>
            <w:tr w14:paraId="157C18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431" w:type="dxa"/>
                  <w:vMerge w:val="continue"/>
                  <w:vAlign w:val="center"/>
                </w:tcPr>
                <w:p w14:paraId="5490D6BA">
                  <w:pPr>
                    <w:pStyle w:val="46"/>
                    <w:jc w:val="center"/>
                    <w:rPr>
                      <w:rFonts w:hint="default" w:ascii="Times New Roman" w:hAnsi="Times New Roman" w:cs="Times New Roman"/>
                      <w:color w:val="auto"/>
                      <w:highlight w:val="none"/>
                    </w:rPr>
                  </w:pPr>
                </w:p>
              </w:tc>
              <w:tc>
                <w:tcPr>
                  <w:tcW w:w="953" w:type="dxa"/>
                  <w:vAlign w:val="center"/>
                </w:tcPr>
                <w:p w14:paraId="432C451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沉淀池</w:t>
                  </w:r>
                </w:p>
              </w:tc>
              <w:tc>
                <w:tcPr>
                  <w:tcW w:w="870" w:type="dxa"/>
                  <w:vAlign w:val="center"/>
                </w:tcPr>
                <w:p w14:paraId="651D353D">
                  <w:pPr>
                    <w:pStyle w:val="46"/>
                    <w:jc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沉淀池</w:t>
                  </w:r>
                  <w:r>
                    <w:rPr>
                      <w:rFonts w:hint="eastAsia" w:cs="Times New Roman"/>
                      <w:color w:val="auto"/>
                      <w:highlight w:val="none"/>
                      <w:lang w:eastAsia="zh-CN"/>
                    </w:rPr>
                    <w:t>泥沙</w:t>
                  </w:r>
                </w:p>
              </w:tc>
              <w:tc>
                <w:tcPr>
                  <w:tcW w:w="1644" w:type="dxa"/>
                  <w:vAlign w:val="center"/>
                </w:tcPr>
                <w:p w14:paraId="1B168C86">
                  <w:pPr>
                    <w:pStyle w:val="46"/>
                    <w:jc w:val="center"/>
                    <w:rPr>
                      <w:rFonts w:hint="default" w:ascii="Times New Roman" w:hAnsi="Times New Roman" w:cs="Times New Roman"/>
                      <w:color w:val="auto"/>
                      <w:highlight w:val="none"/>
                    </w:rPr>
                  </w:pPr>
                  <w:r>
                    <w:rPr>
                      <w:snapToGrid w:val="0"/>
                      <w:color w:val="auto"/>
                      <w:szCs w:val="21"/>
                    </w:rPr>
                    <w:t>回用于生产工序</w:t>
                  </w:r>
                </w:p>
              </w:tc>
              <w:tc>
                <w:tcPr>
                  <w:tcW w:w="1430" w:type="dxa"/>
                  <w:vMerge w:val="continue"/>
                  <w:vAlign w:val="center"/>
                </w:tcPr>
                <w:p w14:paraId="08727036">
                  <w:pPr>
                    <w:pStyle w:val="46"/>
                    <w:jc w:val="center"/>
                    <w:rPr>
                      <w:rFonts w:hint="default" w:ascii="Times New Roman" w:hAnsi="Times New Roman" w:cs="Times New Roman"/>
                      <w:color w:val="auto"/>
                      <w:highlight w:val="none"/>
                    </w:rPr>
                  </w:pPr>
                </w:p>
              </w:tc>
              <w:tc>
                <w:tcPr>
                  <w:tcW w:w="2365" w:type="dxa"/>
                  <w:vMerge w:val="continue"/>
                  <w:vAlign w:val="center"/>
                </w:tcPr>
                <w:p w14:paraId="69CBF841">
                  <w:pPr>
                    <w:pStyle w:val="46"/>
                    <w:jc w:val="center"/>
                    <w:rPr>
                      <w:rFonts w:hint="default" w:ascii="Times New Roman" w:hAnsi="Times New Roman" w:cs="Times New Roman"/>
                      <w:color w:val="auto"/>
                      <w:highlight w:val="none"/>
                    </w:rPr>
                  </w:pPr>
                </w:p>
              </w:tc>
            </w:tr>
            <w:tr w14:paraId="1FA317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431" w:type="dxa"/>
                  <w:vMerge w:val="continue"/>
                  <w:vAlign w:val="center"/>
                </w:tcPr>
                <w:p w14:paraId="590335E7">
                  <w:pPr>
                    <w:pStyle w:val="46"/>
                    <w:jc w:val="center"/>
                    <w:rPr>
                      <w:rFonts w:hint="default" w:ascii="Times New Roman" w:hAnsi="Times New Roman" w:cs="Times New Roman"/>
                      <w:color w:val="auto"/>
                      <w:highlight w:val="none"/>
                    </w:rPr>
                  </w:pPr>
                </w:p>
              </w:tc>
              <w:tc>
                <w:tcPr>
                  <w:tcW w:w="953" w:type="dxa"/>
                  <w:vAlign w:val="center"/>
                </w:tcPr>
                <w:p w14:paraId="564F417F">
                  <w:pPr>
                    <w:pStyle w:val="46"/>
                    <w:jc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除尘器</w:t>
                  </w:r>
                </w:p>
              </w:tc>
              <w:tc>
                <w:tcPr>
                  <w:tcW w:w="870" w:type="dxa"/>
                  <w:vAlign w:val="center"/>
                </w:tcPr>
                <w:p w14:paraId="35300D4E">
                  <w:pPr>
                    <w:pStyle w:val="46"/>
                    <w:jc w:val="center"/>
                    <w:rPr>
                      <w:rFonts w:hint="default" w:ascii="Times New Roman" w:hAnsi="Times New Roman" w:cs="Times New Roman"/>
                      <w:color w:val="auto"/>
                      <w:highlight w:val="none"/>
                    </w:rPr>
                  </w:pPr>
                  <w:r>
                    <w:rPr>
                      <w:rFonts w:hint="eastAsia" w:cs="Times New Roman"/>
                      <w:color w:val="auto"/>
                      <w:highlight w:val="none"/>
                      <w:lang w:eastAsia="zh-CN"/>
                    </w:rPr>
                    <w:t>废滤袋</w:t>
                  </w:r>
                </w:p>
              </w:tc>
              <w:tc>
                <w:tcPr>
                  <w:tcW w:w="1644" w:type="dxa"/>
                  <w:vAlign w:val="center"/>
                </w:tcPr>
                <w:p w14:paraId="6ED51D4F">
                  <w:pPr>
                    <w:pStyle w:val="46"/>
                    <w:jc w:val="center"/>
                    <w:rPr>
                      <w:rFonts w:hint="default" w:ascii="Times New Roman" w:hAnsi="Times New Roman" w:cs="Times New Roman"/>
                      <w:color w:val="auto"/>
                      <w:szCs w:val="21"/>
                      <w:highlight w:val="none"/>
                    </w:rPr>
                  </w:pPr>
                  <w:r>
                    <w:rPr>
                      <w:snapToGrid w:val="0"/>
                      <w:color w:val="auto"/>
                      <w:szCs w:val="21"/>
                    </w:rPr>
                    <w:t>由厂家更换时回收</w:t>
                  </w:r>
                </w:p>
              </w:tc>
              <w:tc>
                <w:tcPr>
                  <w:tcW w:w="1430" w:type="dxa"/>
                  <w:vMerge w:val="continue"/>
                  <w:vAlign w:val="center"/>
                </w:tcPr>
                <w:p w14:paraId="2406C72C">
                  <w:pPr>
                    <w:pStyle w:val="46"/>
                    <w:jc w:val="center"/>
                    <w:rPr>
                      <w:rFonts w:hint="default" w:ascii="Times New Roman" w:hAnsi="Times New Roman" w:cs="Times New Roman"/>
                      <w:color w:val="auto"/>
                      <w:highlight w:val="none"/>
                    </w:rPr>
                  </w:pPr>
                </w:p>
              </w:tc>
              <w:tc>
                <w:tcPr>
                  <w:tcW w:w="2365" w:type="dxa"/>
                  <w:vMerge w:val="continue"/>
                  <w:vAlign w:val="center"/>
                </w:tcPr>
                <w:p w14:paraId="021ED0DA">
                  <w:pPr>
                    <w:pStyle w:val="46"/>
                    <w:jc w:val="center"/>
                    <w:rPr>
                      <w:rFonts w:hint="default" w:ascii="Times New Roman" w:hAnsi="Times New Roman" w:cs="Times New Roman"/>
                      <w:color w:val="auto"/>
                      <w:highlight w:val="none"/>
                    </w:rPr>
                  </w:pPr>
                </w:p>
              </w:tc>
            </w:tr>
            <w:tr w14:paraId="787CF4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7" w:hRule="atLeast"/>
              </w:trPr>
              <w:tc>
                <w:tcPr>
                  <w:tcW w:w="431" w:type="dxa"/>
                  <w:vMerge w:val="continue"/>
                  <w:vAlign w:val="center"/>
                </w:tcPr>
                <w:p w14:paraId="48249E05">
                  <w:pPr>
                    <w:pStyle w:val="46"/>
                    <w:jc w:val="center"/>
                    <w:rPr>
                      <w:rFonts w:hint="default" w:ascii="Times New Roman" w:hAnsi="Times New Roman" w:cs="Times New Roman"/>
                      <w:color w:val="auto"/>
                      <w:highlight w:val="none"/>
                    </w:rPr>
                  </w:pPr>
                </w:p>
              </w:tc>
              <w:tc>
                <w:tcPr>
                  <w:tcW w:w="953" w:type="dxa"/>
                  <w:vAlign w:val="center"/>
                </w:tcPr>
                <w:p w14:paraId="362DE0C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员工</w:t>
                  </w:r>
                </w:p>
              </w:tc>
              <w:tc>
                <w:tcPr>
                  <w:tcW w:w="870" w:type="dxa"/>
                  <w:vAlign w:val="center"/>
                </w:tcPr>
                <w:p w14:paraId="050594FA">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生活垃圾</w:t>
                  </w:r>
                </w:p>
              </w:tc>
              <w:tc>
                <w:tcPr>
                  <w:tcW w:w="1644" w:type="dxa"/>
                  <w:vAlign w:val="center"/>
                </w:tcPr>
                <w:p w14:paraId="4911D244">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设垃圾桶集中收集后，委托当地环卫部门清运处理</w:t>
                  </w:r>
                </w:p>
              </w:tc>
              <w:tc>
                <w:tcPr>
                  <w:tcW w:w="1430" w:type="dxa"/>
                  <w:vAlign w:val="center"/>
                </w:tcPr>
                <w:p w14:paraId="1D2E44A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2365" w:type="dxa"/>
                  <w:vAlign w:val="center"/>
                </w:tcPr>
                <w:p w14:paraId="1D27A12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妥善处理</w:t>
                  </w:r>
                </w:p>
              </w:tc>
            </w:tr>
            <w:tr w14:paraId="1B8510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431" w:type="dxa"/>
                  <w:vAlign w:val="center"/>
                </w:tcPr>
                <w:p w14:paraId="0BBA7522">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953" w:type="dxa"/>
                  <w:vAlign w:val="center"/>
                </w:tcPr>
                <w:p w14:paraId="5C5DA951">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设备</w:t>
                  </w:r>
                </w:p>
              </w:tc>
              <w:tc>
                <w:tcPr>
                  <w:tcW w:w="870" w:type="dxa"/>
                  <w:vAlign w:val="center"/>
                </w:tcPr>
                <w:p w14:paraId="7AE5108F">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1644" w:type="dxa"/>
                  <w:vAlign w:val="center"/>
                </w:tcPr>
                <w:p w14:paraId="30793655">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减振、隔声、消声等</w:t>
                  </w:r>
                </w:p>
              </w:tc>
              <w:tc>
                <w:tcPr>
                  <w:tcW w:w="1430" w:type="dxa"/>
                  <w:vAlign w:val="center"/>
                </w:tcPr>
                <w:p w14:paraId="554D693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厂界排放至：</w:t>
                  </w:r>
                </w:p>
                <w:p w14:paraId="1AD8CDD0">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昼间≤</w:t>
                  </w:r>
                  <w:r>
                    <w:rPr>
                      <w:rFonts w:hint="default" w:ascii="Times New Roman" w:hAnsi="Times New Roman" w:cs="Times New Roman"/>
                      <w:color w:val="auto"/>
                      <w:highlight w:val="none"/>
                      <w:lang w:val="en-US" w:eastAsia="zh-CN"/>
                    </w:rPr>
                    <w:t>60</w:t>
                  </w:r>
                  <w:r>
                    <w:rPr>
                      <w:rFonts w:hint="default" w:ascii="Times New Roman" w:hAnsi="Times New Roman" w:cs="Times New Roman"/>
                      <w:color w:val="auto"/>
                      <w:highlight w:val="none"/>
                    </w:rPr>
                    <w:t>dB</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A</w:t>
                  </w:r>
                  <w:r>
                    <w:rPr>
                      <w:rFonts w:hint="default" w:ascii="Times New Roman" w:hAnsi="Times New Roman" w:cs="Times New Roman"/>
                      <w:color w:val="auto"/>
                      <w:highlight w:val="none"/>
                      <w:lang w:eastAsia="zh-CN"/>
                    </w:rPr>
                    <w:t>）</w:t>
                  </w:r>
                </w:p>
                <w:p w14:paraId="604DE5A8">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夜间≤</w:t>
                  </w:r>
                  <w:r>
                    <w:rPr>
                      <w:rFonts w:hint="default" w:ascii="Times New Roman" w:hAnsi="Times New Roman" w:cs="Times New Roman"/>
                      <w:color w:val="auto"/>
                      <w:highlight w:val="none"/>
                      <w:lang w:val="en-US" w:eastAsia="zh-CN"/>
                    </w:rPr>
                    <w:t>50</w:t>
                  </w:r>
                  <w:r>
                    <w:rPr>
                      <w:rFonts w:hint="default" w:ascii="Times New Roman" w:hAnsi="Times New Roman" w:cs="Times New Roman"/>
                      <w:color w:val="auto"/>
                      <w:highlight w:val="none"/>
                    </w:rPr>
                    <w:t>dB</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A</w:t>
                  </w:r>
                  <w:r>
                    <w:rPr>
                      <w:rFonts w:hint="default" w:ascii="Times New Roman" w:hAnsi="Times New Roman" w:cs="Times New Roman"/>
                      <w:color w:val="auto"/>
                      <w:highlight w:val="none"/>
                      <w:lang w:eastAsia="zh-CN"/>
                    </w:rPr>
                    <w:t>）</w:t>
                  </w:r>
                </w:p>
              </w:tc>
              <w:tc>
                <w:tcPr>
                  <w:tcW w:w="2365" w:type="dxa"/>
                  <w:vAlign w:val="center"/>
                </w:tcPr>
                <w:p w14:paraId="1A34B78E">
                  <w:pPr>
                    <w:pStyle w:val="46"/>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《工业企业厂界环境噪声排放标准》（GB12348-2008）中</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类标准要求</w:t>
                  </w:r>
                </w:p>
              </w:tc>
            </w:tr>
          </w:tbl>
          <w:p w14:paraId="559914BF">
            <w:pPr>
              <w:ind w:firstLine="482"/>
              <w:rPr>
                <w:rFonts w:hint="default" w:ascii="Times New Roman" w:hAnsi="Times New Roman" w:cs="Times New Roman"/>
                <w:color w:val="auto"/>
                <w:highlight w:val="none"/>
              </w:rPr>
            </w:pPr>
            <w:r>
              <w:rPr>
                <w:rFonts w:hint="default" w:ascii="Times New Roman" w:hAnsi="Times New Roman" w:cs="Times New Roman"/>
                <w:b/>
                <w:bCs/>
                <w:color w:val="auto"/>
                <w:highlight w:val="none"/>
              </w:rPr>
              <w:t>七、环保投资估算</w:t>
            </w:r>
          </w:p>
          <w:p w14:paraId="25489DE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本项目总投资为</w:t>
            </w:r>
            <w:r>
              <w:rPr>
                <w:rFonts w:hint="eastAsia" w:cs="Times New Roman"/>
                <w:color w:val="auto"/>
                <w:highlight w:val="none"/>
                <w:lang w:val="en-US" w:eastAsia="zh-CN"/>
              </w:rPr>
              <w:t>2451.98</w:t>
            </w:r>
            <w:r>
              <w:rPr>
                <w:rFonts w:hint="default" w:ascii="Times New Roman" w:hAnsi="Times New Roman" w:cs="Times New Roman"/>
                <w:color w:val="auto"/>
                <w:highlight w:val="none"/>
              </w:rPr>
              <w:t>万元，其中环保投资</w:t>
            </w:r>
            <w:r>
              <w:rPr>
                <w:rFonts w:hint="eastAsia" w:cs="Times New Roman"/>
                <w:color w:val="auto"/>
                <w:highlight w:val="none"/>
                <w:lang w:val="en-US" w:eastAsia="zh-CN"/>
              </w:rPr>
              <w:t>174.5</w:t>
            </w:r>
            <w:r>
              <w:rPr>
                <w:rFonts w:hint="default" w:ascii="Times New Roman" w:hAnsi="Times New Roman" w:cs="Times New Roman"/>
                <w:color w:val="auto"/>
                <w:highlight w:val="none"/>
              </w:rPr>
              <w:t>万元，占总投资的</w:t>
            </w:r>
            <w:r>
              <w:rPr>
                <w:rFonts w:hint="eastAsia" w:cs="Times New Roman"/>
                <w:color w:val="auto"/>
                <w:highlight w:val="none"/>
                <w:lang w:val="en-US" w:eastAsia="zh-CN"/>
              </w:rPr>
              <w:t>7.11</w:t>
            </w:r>
            <w:r>
              <w:rPr>
                <w:rFonts w:hint="default" w:ascii="Times New Roman" w:hAnsi="Times New Roman" w:cs="Times New Roman"/>
                <w:color w:val="auto"/>
                <w:highlight w:val="none"/>
              </w:rPr>
              <w:t>%。本项目污染防治措施及环保投资情况见下表。</w:t>
            </w:r>
          </w:p>
          <w:p w14:paraId="6825F9C4">
            <w:pPr>
              <w:pStyle w:val="27"/>
              <w:rPr>
                <w:rFonts w:hint="default" w:ascii="Times New Roman" w:hAnsi="Times New Roman" w:cs="Times New Roman"/>
                <w:color w:val="auto"/>
                <w:highlight w:val="none"/>
              </w:rPr>
            </w:pPr>
            <w:r>
              <w:rPr>
                <w:rFonts w:hint="default" w:ascii="Times New Roman" w:hAnsi="Times New Roman" w:cs="Times New Roman"/>
                <w:color w:val="auto"/>
                <w:highlight w:val="none"/>
              </w:rPr>
              <w:t>表4-1</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环保投资估算一览表</w:t>
            </w:r>
          </w:p>
          <w:tbl>
            <w:tblPr>
              <w:tblStyle w:val="23"/>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99"/>
              <w:gridCol w:w="991"/>
              <w:gridCol w:w="1639"/>
              <w:gridCol w:w="936"/>
              <w:gridCol w:w="1953"/>
              <w:gridCol w:w="745"/>
              <w:gridCol w:w="1047"/>
            </w:tblGrid>
            <w:tr w14:paraId="58F8FF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499" w:type="dxa"/>
                  <w:vAlign w:val="center"/>
                </w:tcPr>
                <w:p w14:paraId="12DC7346">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991" w:type="dxa"/>
                  <w:vAlign w:val="center"/>
                </w:tcPr>
                <w:p w14:paraId="7AC1AFC9">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项目名称</w:t>
                  </w:r>
                </w:p>
              </w:tc>
              <w:tc>
                <w:tcPr>
                  <w:tcW w:w="1639" w:type="dxa"/>
                  <w:vAlign w:val="center"/>
                </w:tcPr>
                <w:p w14:paraId="65FCC37A">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污染源</w:t>
                  </w:r>
                </w:p>
              </w:tc>
              <w:tc>
                <w:tcPr>
                  <w:tcW w:w="936" w:type="dxa"/>
                  <w:vAlign w:val="center"/>
                </w:tcPr>
                <w:p w14:paraId="0886F340">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污染因子</w:t>
                  </w:r>
                </w:p>
              </w:tc>
              <w:tc>
                <w:tcPr>
                  <w:tcW w:w="1953" w:type="dxa"/>
                  <w:vAlign w:val="center"/>
                </w:tcPr>
                <w:p w14:paraId="21E0FC34">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环保措施</w:t>
                  </w:r>
                </w:p>
              </w:tc>
              <w:tc>
                <w:tcPr>
                  <w:tcW w:w="745" w:type="dxa"/>
                  <w:vAlign w:val="center"/>
                </w:tcPr>
                <w:p w14:paraId="553C3655">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数量</w:t>
                  </w:r>
                </w:p>
              </w:tc>
              <w:tc>
                <w:tcPr>
                  <w:tcW w:w="1047" w:type="dxa"/>
                  <w:vAlign w:val="center"/>
                </w:tcPr>
                <w:p w14:paraId="63266977">
                  <w:pPr>
                    <w:pStyle w:val="46"/>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投资（万元）</w:t>
                  </w:r>
                </w:p>
              </w:tc>
            </w:tr>
            <w:tr w14:paraId="2812B4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499" w:type="dxa"/>
                  <w:vMerge w:val="restart"/>
                  <w:vAlign w:val="center"/>
                </w:tcPr>
                <w:p w14:paraId="1217495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991" w:type="dxa"/>
                  <w:vMerge w:val="restart"/>
                  <w:vAlign w:val="center"/>
                </w:tcPr>
                <w:p w14:paraId="58140E4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废气治理</w:t>
                  </w:r>
                </w:p>
              </w:tc>
              <w:tc>
                <w:tcPr>
                  <w:tcW w:w="1639" w:type="dxa"/>
                  <w:vAlign w:val="center"/>
                </w:tcPr>
                <w:p w14:paraId="0B44427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运输车辆产生的扬尘</w:t>
                  </w:r>
                </w:p>
              </w:tc>
              <w:tc>
                <w:tcPr>
                  <w:tcW w:w="936" w:type="dxa"/>
                  <w:vAlign w:val="center"/>
                </w:tcPr>
                <w:p w14:paraId="27A8945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1953" w:type="dxa"/>
                  <w:vAlign w:val="center"/>
                </w:tcPr>
                <w:p w14:paraId="5022AFE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道路清扫+洒水</w:t>
                  </w:r>
                </w:p>
              </w:tc>
              <w:tc>
                <w:tcPr>
                  <w:tcW w:w="745" w:type="dxa"/>
                  <w:vAlign w:val="center"/>
                </w:tcPr>
                <w:p w14:paraId="017C835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47" w:type="dxa"/>
                  <w:vAlign w:val="center"/>
                </w:tcPr>
                <w:p w14:paraId="3C351B7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61EF50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499" w:type="dxa"/>
                  <w:vMerge w:val="continue"/>
                  <w:vAlign w:val="center"/>
                </w:tcPr>
                <w:p w14:paraId="232F7A51">
                  <w:pPr>
                    <w:pStyle w:val="46"/>
                    <w:jc w:val="center"/>
                    <w:rPr>
                      <w:rFonts w:hint="default" w:ascii="Times New Roman" w:hAnsi="Times New Roman" w:cs="Times New Roman"/>
                      <w:color w:val="auto"/>
                      <w:sz w:val="21"/>
                      <w:szCs w:val="21"/>
                      <w:highlight w:val="none"/>
                    </w:rPr>
                  </w:pPr>
                </w:p>
              </w:tc>
              <w:tc>
                <w:tcPr>
                  <w:tcW w:w="991" w:type="dxa"/>
                  <w:vMerge w:val="continue"/>
                  <w:vAlign w:val="center"/>
                </w:tcPr>
                <w:p w14:paraId="65D86A6F">
                  <w:pPr>
                    <w:pStyle w:val="46"/>
                    <w:jc w:val="center"/>
                    <w:rPr>
                      <w:rFonts w:hint="default" w:ascii="Times New Roman" w:hAnsi="Times New Roman" w:cs="Times New Roman"/>
                      <w:color w:val="auto"/>
                      <w:sz w:val="21"/>
                      <w:szCs w:val="21"/>
                      <w:highlight w:val="none"/>
                    </w:rPr>
                  </w:pPr>
                </w:p>
              </w:tc>
              <w:tc>
                <w:tcPr>
                  <w:tcW w:w="1639" w:type="dxa"/>
                  <w:vAlign w:val="center"/>
                </w:tcPr>
                <w:p w14:paraId="5C2783A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筒仓呼吸孔</w:t>
                  </w:r>
                </w:p>
              </w:tc>
              <w:tc>
                <w:tcPr>
                  <w:tcW w:w="936" w:type="dxa"/>
                  <w:vAlign w:val="center"/>
                </w:tcPr>
                <w:p w14:paraId="426BAC4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1953" w:type="dxa"/>
                  <w:vAlign w:val="center"/>
                </w:tcPr>
                <w:p w14:paraId="4AF755D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袋式除尘器+仓顶排放</w:t>
                  </w:r>
                </w:p>
              </w:tc>
              <w:tc>
                <w:tcPr>
                  <w:tcW w:w="745" w:type="dxa"/>
                  <w:vAlign w:val="center"/>
                </w:tcPr>
                <w:p w14:paraId="39C5AE80">
                  <w:pPr>
                    <w:pStyle w:val="46"/>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8</w:t>
                  </w:r>
                </w:p>
              </w:tc>
              <w:tc>
                <w:tcPr>
                  <w:tcW w:w="1047" w:type="dxa"/>
                  <w:vAlign w:val="center"/>
                </w:tcPr>
                <w:p w14:paraId="7C414F2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r>
            <w:tr w14:paraId="4D514F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499" w:type="dxa"/>
                  <w:vMerge w:val="continue"/>
                  <w:vAlign w:val="center"/>
                </w:tcPr>
                <w:p w14:paraId="6C670395">
                  <w:pPr>
                    <w:pStyle w:val="46"/>
                    <w:jc w:val="center"/>
                    <w:rPr>
                      <w:rFonts w:hint="default" w:ascii="Times New Roman" w:hAnsi="Times New Roman" w:cs="Times New Roman"/>
                      <w:color w:val="auto"/>
                      <w:sz w:val="21"/>
                      <w:szCs w:val="21"/>
                      <w:highlight w:val="none"/>
                    </w:rPr>
                  </w:pPr>
                </w:p>
              </w:tc>
              <w:tc>
                <w:tcPr>
                  <w:tcW w:w="991" w:type="dxa"/>
                  <w:vMerge w:val="continue"/>
                  <w:vAlign w:val="center"/>
                </w:tcPr>
                <w:p w14:paraId="6240460C">
                  <w:pPr>
                    <w:pStyle w:val="46"/>
                    <w:jc w:val="center"/>
                    <w:rPr>
                      <w:rFonts w:hint="default" w:ascii="Times New Roman" w:hAnsi="Times New Roman" w:cs="Times New Roman"/>
                      <w:color w:val="auto"/>
                      <w:sz w:val="21"/>
                      <w:szCs w:val="21"/>
                      <w:highlight w:val="none"/>
                    </w:rPr>
                  </w:pPr>
                </w:p>
              </w:tc>
              <w:tc>
                <w:tcPr>
                  <w:tcW w:w="1639" w:type="dxa"/>
                  <w:vAlign w:val="center"/>
                </w:tcPr>
                <w:p w14:paraId="75928E1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搅拌粉尘</w:t>
                  </w:r>
                </w:p>
              </w:tc>
              <w:tc>
                <w:tcPr>
                  <w:tcW w:w="936" w:type="dxa"/>
                  <w:vAlign w:val="center"/>
                </w:tcPr>
                <w:p w14:paraId="105AB6A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1953" w:type="dxa"/>
                  <w:vAlign w:val="center"/>
                </w:tcPr>
                <w:p w14:paraId="2FE58BA5">
                  <w:pPr>
                    <w:pStyle w:val="46"/>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袋式除尘器+</w:t>
                  </w:r>
                  <w:r>
                    <w:rPr>
                      <w:rFonts w:hint="eastAsia" w:cs="Times New Roman"/>
                      <w:color w:val="auto"/>
                      <w:sz w:val="21"/>
                      <w:szCs w:val="21"/>
                      <w:highlight w:val="none"/>
                      <w:lang w:val="en-US" w:eastAsia="zh-CN"/>
                    </w:rPr>
                    <w:t>全封闭</w:t>
                  </w:r>
                </w:p>
              </w:tc>
              <w:tc>
                <w:tcPr>
                  <w:tcW w:w="745" w:type="dxa"/>
                  <w:vAlign w:val="center"/>
                </w:tcPr>
                <w:p w14:paraId="3F55A0B7">
                  <w:pPr>
                    <w:pStyle w:val="46"/>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2</w:t>
                  </w:r>
                </w:p>
              </w:tc>
              <w:tc>
                <w:tcPr>
                  <w:tcW w:w="1047" w:type="dxa"/>
                  <w:vAlign w:val="center"/>
                </w:tcPr>
                <w:p w14:paraId="7BFAA833">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r>
            <w:tr w14:paraId="0BD6F2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499" w:type="dxa"/>
                  <w:vMerge w:val="continue"/>
                  <w:vAlign w:val="center"/>
                </w:tcPr>
                <w:p w14:paraId="23824C0A">
                  <w:pPr>
                    <w:pStyle w:val="46"/>
                    <w:jc w:val="center"/>
                    <w:rPr>
                      <w:rFonts w:hint="default" w:ascii="Times New Roman" w:hAnsi="Times New Roman" w:cs="Times New Roman"/>
                      <w:color w:val="auto"/>
                      <w:sz w:val="21"/>
                      <w:szCs w:val="21"/>
                      <w:highlight w:val="none"/>
                    </w:rPr>
                  </w:pPr>
                </w:p>
              </w:tc>
              <w:tc>
                <w:tcPr>
                  <w:tcW w:w="991" w:type="dxa"/>
                  <w:vMerge w:val="continue"/>
                  <w:vAlign w:val="center"/>
                </w:tcPr>
                <w:p w14:paraId="7376FC4C">
                  <w:pPr>
                    <w:pStyle w:val="46"/>
                    <w:jc w:val="center"/>
                    <w:rPr>
                      <w:rFonts w:hint="default" w:ascii="Times New Roman" w:hAnsi="Times New Roman" w:cs="Times New Roman"/>
                      <w:color w:val="auto"/>
                      <w:sz w:val="21"/>
                      <w:szCs w:val="21"/>
                      <w:highlight w:val="none"/>
                    </w:rPr>
                  </w:pPr>
                </w:p>
              </w:tc>
              <w:tc>
                <w:tcPr>
                  <w:tcW w:w="1639" w:type="dxa"/>
                  <w:vAlign w:val="center"/>
                </w:tcPr>
                <w:p w14:paraId="6DFAC74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砂石装卸、堆放产生的扬尘</w:t>
                  </w:r>
                </w:p>
              </w:tc>
              <w:tc>
                <w:tcPr>
                  <w:tcW w:w="936" w:type="dxa"/>
                  <w:vAlign w:val="center"/>
                </w:tcPr>
                <w:p w14:paraId="39FB871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1953" w:type="dxa"/>
                  <w:vAlign w:val="center"/>
                </w:tcPr>
                <w:p w14:paraId="712EA3E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全封闭厂房+洒水车洒水抑尘</w:t>
                  </w:r>
                </w:p>
              </w:tc>
              <w:tc>
                <w:tcPr>
                  <w:tcW w:w="745" w:type="dxa"/>
                  <w:vAlign w:val="center"/>
                </w:tcPr>
                <w:p w14:paraId="62BD083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047" w:type="dxa"/>
                  <w:vAlign w:val="center"/>
                </w:tcPr>
                <w:p w14:paraId="793B2256">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82</w:t>
                  </w:r>
                </w:p>
              </w:tc>
            </w:tr>
            <w:tr w14:paraId="39AF45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499" w:type="dxa"/>
                  <w:vMerge w:val="continue"/>
                  <w:vAlign w:val="center"/>
                </w:tcPr>
                <w:p w14:paraId="66A0D898">
                  <w:pPr>
                    <w:pStyle w:val="46"/>
                    <w:jc w:val="center"/>
                    <w:rPr>
                      <w:rFonts w:hint="default" w:ascii="Times New Roman" w:hAnsi="Times New Roman" w:cs="Times New Roman"/>
                      <w:color w:val="auto"/>
                      <w:sz w:val="21"/>
                      <w:szCs w:val="21"/>
                      <w:highlight w:val="none"/>
                    </w:rPr>
                  </w:pPr>
                </w:p>
              </w:tc>
              <w:tc>
                <w:tcPr>
                  <w:tcW w:w="991" w:type="dxa"/>
                  <w:vMerge w:val="continue"/>
                  <w:vAlign w:val="center"/>
                </w:tcPr>
                <w:p w14:paraId="7D177C5B">
                  <w:pPr>
                    <w:pStyle w:val="46"/>
                    <w:jc w:val="center"/>
                    <w:rPr>
                      <w:rFonts w:hint="default" w:ascii="Times New Roman" w:hAnsi="Times New Roman" w:cs="Times New Roman"/>
                      <w:color w:val="auto"/>
                      <w:sz w:val="21"/>
                      <w:szCs w:val="21"/>
                      <w:highlight w:val="none"/>
                    </w:rPr>
                  </w:pPr>
                </w:p>
              </w:tc>
              <w:tc>
                <w:tcPr>
                  <w:tcW w:w="1639" w:type="dxa"/>
                  <w:vAlign w:val="center"/>
                </w:tcPr>
                <w:p w14:paraId="31BB312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砂石配料、投料、皮带输送产生的无组织粉尘</w:t>
                  </w:r>
                </w:p>
              </w:tc>
              <w:tc>
                <w:tcPr>
                  <w:tcW w:w="936" w:type="dxa"/>
                  <w:vAlign w:val="center"/>
                </w:tcPr>
                <w:p w14:paraId="0F56972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1953" w:type="dxa"/>
                  <w:vAlign w:val="center"/>
                </w:tcPr>
                <w:p w14:paraId="2028C56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全封闭料斗+雾炮抑尘</w:t>
                  </w:r>
                </w:p>
              </w:tc>
              <w:tc>
                <w:tcPr>
                  <w:tcW w:w="745" w:type="dxa"/>
                  <w:vAlign w:val="center"/>
                </w:tcPr>
                <w:p w14:paraId="6A73559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047" w:type="dxa"/>
                  <w:vAlign w:val="center"/>
                </w:tcPr>
                <w:p w14:paraId="3BD7381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r>
            <w:tr w14:paraId="32E3F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499" w:type="dxa"/>
                  <w:vMerge w:val="restart"/>
                  <w:vAlign w:val="center"/>
                </w:tcPr>
                <w:p w14:paraId="7D43810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991" w:type="dxa"/>
                  <w:vMerge w:val="restart"/>
                  <w:vAlign w:val="center"/>
                </w:tcPr>
                <w:p w14:paraId="108168C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废水治理</w:t>
                  </w:r>
                </w:p>
              </w:tc>
              <w:tc>
                <w:tcPr>
                  <w:tcW w:w="1639" w:type="dxa"/>
                  <w:vAlign w:val="center"/>
                </w:tcPr>
                <w:p w14:paraId="129B18D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工作人员</w:t>
                  </w:r>
                </w:p>
              </w:tc>
              <w:tc>
                <w:tcPr>
                  <w:tcW w:w="936" w:type="dxa"/>
                  <w:vAlign w:val="center"/>
                </w:tcPr>
                <w:p w14:paraId="05D47E2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生活污水</w:t>
                  </w:r>
                </w:p>
              </w:tc>
              <w:tc>
                <w:tcPr>
                  <w:tcW w:w="1953" w:type="dxa"/>
                  <w:vAlign w:val="center"/>
                </w:tcPr>
                <w:p w14:paraId="474A58B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防渗化粪池</w:t>
                  </w:r>
                </w:p>
              </w:tc>
              <w:tc>
                <w:tcPr>
                  <w:tcW w:w="745" w:type="dxa"/>
                  <w:vAlign w:val="center"/>
                </w:tcPr>
                <w:p w14:paraId="30BF469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047" w:type="dxa"/>
                  <w:vAlign w:val="center"/>
                </w:tcPr>
                <w:p w14:paraId="3BC66FA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r>
            <w:tr w14:paraId="71BFFA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499" w:type="dxa"/>
                  <w:vMerge w:val="continue"/>
                  <w:vAlign w:val="center"/>
                </w:tcPr>
                <w:p w14:paraId="6DC7B2C9">
                  <w:pPr>
                    <w:pStyle w:val="46"/>
                    <w:jc w:val="center"/>
                    <w:rPr>
                      <w:rFonts w:hint="default" w:ascii="Times New Roman" w:hAnsi="Times New Roman" w:cs="Times New Roman"/>
                      <w:color w:val="auto"/>
                      <w:sz w:val="21"/>
                      <w:szCs w:val="21"/>
                      <w:highlight w:val="none"/>
                    </w:rPr>
                  </w:pPr>
                </w:p>
              </w:tc>
              <w:tc>
                <w:tcPr>
                  <w:tcW w:w="991" w:type="dxa"/>
                  <w:vMerge w:val="continue"/>
                  <w:vAlign w:val="center"/>
                </w:tcPr>
                <w:p w14:paraId="7F693464">
                  <w:pPr>
                    <w:pStyle w:val="46"/>
                    <w:jc w:val="center"/>
                    <w:rPr>
                      <w:rFonts w:hint="default" w:ascii="Times New Roman" w:hAnsi="Times New Roman" w:cs="Times New Roman"/>
                      <w:color w:val="auto"/>
                      <w:sz w:val="21"/>
                      <w:szCs w:val="21"/>
                      <w:highlight w:val="none"/>
                    </w:rPr>
                  </w:pPr>
                </w:p>
              </w:tc>
              <w:tc>
                <w:tcPr>
                  <w:tcW w:w="1639" w:type="dxa"/>
                  <w:vAlign w:val="center"/>
                </w:tcPr>
                <w:p w14:paraId="267F368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生产废水</w:t>
                  </w:r>
                </w:p>
              </w:tc>
              <w:tc>
                <w:tcPr>
                  <w:tcW w:w="936" w:type="dxa"/>
                  <w:vAlign w:val="center"/>
                </w:tcPr>
                <w:p w14:paraId="2434F24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SS</w:t>
                  </w:r>
                </w:p>
              </w:tc>
              <w:tc>
                <w:tcPr>
                  <w:tcW w:w="1953" w:type="dxa"/>
                  <w:vAlign w:val="center"/>
                </w:tcPr>
                <w:p w14:paraId="02FE704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沉淀池</w:t>
                  </w:r>
                </w:p>
              </w:tc>
              <w:tc>
                <w:tcPr>
                  <w:tcW w:w="745" w:type="dxa"/>
                  <w:vAlign w:val="center"/>
                </w:tcPr>
                <w:p w14:paraId="33C5A00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047" w:type="dxa"/>
                  <w:vAlign w:val="center"/>
                </w:tcPr>
                <w:p w14:paraId="1FDC042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r>
            <w:tr w14:paraId="3A5C15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499" w:type="dxa"/>
                  <w:vAlign w:val="center"/>
                </w:tcPr>
                <w:p w14:paraId="6D8B498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991" w:type="dxa"/>
                  <w:vAlign w:val="center"/>
                </w:tcPr>
                <w:p w14:paraId="6DE58F0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噪声治理</w:t>
                  </w:r>
                </w:p>
              </w:tc>
              <w:tc>
                <w:tcPr>
                  <w:tcW w:w="1639" w:type="dxa"/>
                  <w:vAlign w:val="center"/>
                </w:tcPr>
                <w:p w14:paraId="3975D4A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生产设备</w:t>
                  </w:r>
                </w:p>
              </w:tc>
              <w:tc>
                <w:tcPr>
                  <w:tcW w:w="936" w:type="dxa"/>
                  <w:vAlign w:val="center"/>
                </w:tcPr>
                <w:p w14:paraId="30202D2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等效连续A声级</w:t>
                  </w:r>
                </w:p>
              </w:tc>
              <w:tc>
                <w:tcPr>
                  <w:tcW w:w="1953" w:type="dxa"/>
                  <w:vAlign w:val="center"/>
                </w:tcPr>
                <w:p w14:paraId="727EEA7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减振垫</w:t>
                  </w:r>
                </w:p>
              </w:tc>
              <w:tc>
                <w:tcPr>
                  <w:tcW w:w="745" w:type="dxa"/>
                  <w:vAlign w:val="center"/>
                </w:tcPr>
                <w:p w14:paraId="6B73D3E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47" w:type="dxa"/>
                  <w:vAlign w:val="center"/>
                </w:tcPr>
                <w:p w14:paraId="48B74A7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r>
            <w:tr w14:paraId="200B2E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499" w:type="dxa"/>
                  <w:vAlign w:val="center"/>
                </w:tcPr>
                <w:p w14:paraId="35C6198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991" w:type="dxa"/>
                  <w:vAlign w:val="center"/>
                </w:tcPr>
                <w:p w14:paraId="5AC040D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固废治理</w:t>
                  </w:r>
                </w:p>
              </w:tc>
              <w:tc>
                <w:tcPr>
                  <w:tcW w:w="4528" w:type="dxa"/>
                  <w:gridSpan w:val="3"/>
                  <w:vAlign w:val="center"/>
                </w:tcPr>
                <w:p w14:paraId="1DF31289">
                  <w:pPr>
                    <w:pStyle w:val="46"/>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生产废料、</w:t>
                  </w:r>
                  <w:r>
                    <w:rPr>
                      <w:rFonts w:hint="eastAsia" w:cs="Times New Roman"/>
                      <w:color w:val="auto"/>
                      <w:sz w:val="21"/>
                      <w:szCs w:val="21"/>
                      <w:highlight w:val="none"/>
                      <w:lang w:eastAsia="zh-CN"/>
                    </w:rPr>
                    <w:t>沉淀池泥沙收集后</w:t>
                  </w:r>
                  <w:r>
                    <w:rPr>
                      <w:snapToGrid w:val="0"/>
                      <w:color w:val="auto"/>
                      <w:szCs w:val="21"/>
                    </w:rPr>
                    <w:t>回用于生产工序</w:t>
                  </w:r>
                  <w:r>
                    <w:rPr>
                      <w:rFonts w:hint="default" w:ascii="Times New Roman" w:hAnsi="Times New Roman" w:cs="Times New Roman"/>
                      <w:color w:val="auto"/>
                      <w:sz w:val="21"/>
                      <w:szCs w:val="21"/>
                      <w:highlight w:val="none"/>
                    </w:rPr>
                    <w:t>。</w:t>
                  </w:r>
                </w:p>
                <w:p w14:paraId="4B8A7C4D">
                  <w:pPr>
                    <w:pStyle w:val="46"/>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除尘器收集后会产生粉尘</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经过处理后可作为原料回用到生产中。</w:t>
                  </w:r>
                  <w:r>
                    <w:rPr>
                      <w:rFonts w:hint="eastAsia" w:cs="Times New Roman"/>
                      <w:color w:val="auto"/>
                      <w:sz w:val="21"/>
                      <w:szCs w:val="21"/>
                      <w:highlight w:val="none"/>
                      <w:lang w:eastAsia="zh-CN"/>
                    </w:rPr>
                    <w:t>废滤袋</w:t>
                  </w:r>
                  <w:r>
                    <w:rPr>
                      <w:snapToGrid w:val="0"/>
                      <w:color w:val="auto"/>
                      <w:szCs w:val="21"/>
                    </w:rPr>
                    <w:t>由厂家更换时回收</w:t>
                  </w:r>
                  <w:r>
                    <w:rPr>
                      <w:rFonts w:hint="eastAsia"/>
                      <w:snapToGrid w:val="0"/>
                      <w:color w:val="auto"/>
                      <w:szCs w:val="21"/>
                      <w:lang w:eastAsia="zh-CN"/>
                    </w:rPr>
                    <w:t>。</w:t>
                  </w:r>
                </w:p>
                <w:p w14:paraId="77D05F63">
                  <w:pPr>
                    <w:pStyle w:val="46"/>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项目员工生活垃圾采用垃圾箱集中收集后定期由</w:t>
                  </w:r>
                  <w:r>
                    <w:rPr>
                      <w:rFonts w:hint="eastAsia" w:cs="Times New Roman"/>
                      <w:color w:val="auto"/>
                      <w:sz w:val="21"/>
                      <w:szCs w:val="21"/>
                      <w:highlight w:val="none"/>
                      <w:lang w:eastAsia="zh-CN"/>
                    </w:rPr>
                    <w:t>环卫部门</w:t>
                  </w:r>
                  <w:r>
                    <w:rPr>
                      <w:rFonts w:hint="default" w:ascii="Times New Roman" w:hAnsi="Times New Roman" w:cs="Times New Roman"/>
                      <w:color w:val="auto"/>
                      <w:sz w:val="21"/>
                      <w:szCs w:val="21"/>
                      <w:highlight w:val="none"/>
                    </w:rPr>
                    <w:t>统一清运。</w:t>
                  </w:r>
                </w:p>
              </w:tc>
              <w:tc>
                <w:tcPr>
                  <w:tcW w:w="745" w:type="dxa"/>
                  <w:vAlign w:val="center"/>
                </w:tcPr>
                <w:p w14:paraId="4072093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47" w:type="dxa"/>
                  <w:vAlign w:val="center"/>
                </w:tcPr>
                <w:p w14:paraId="2E2F179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r>
            <w:tr w14:paraId="4F043A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499" w:type="dxa"/>
                  <w:vAlign w:val="center"/>
                </w:tcPr>
                <w:p w14:paraId="4442F02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c>
                <w:tcPr>
                  <w:tcW w:w="991" w:type="dxa"/>
                  <w:vAlign w:val="center"/>
                </w:tcPr>
                <w:p w14:paraId="1B789CD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厂区硬化</w:t>
                  </w:r>
                </w:p>
              </w:tc>
              <w:tc>
                <w:tcPr>
                  <w:tcW w:w="4528" w:type="dxa"/>
                  <w:gridSpan w:val="3"/>
                  <w:vAlign w:val="center"/>
                </w:tcPr>
                <w:p w14:paraId="62348E6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745" w:type="dxa"/>
                  <w:vAlign w:val="center"/>
                </w:tcPr>
                <w:p w14:paraId="003260D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47" w:type="dxa"/>
                  <w:vAlign w:val="center"/>
                </w:tcPr>
                <w:p w14:paraId="4F826F2F">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50</w:t>
                  </w:r>
                </w:p>
              </w:tc>
            </w:tr>
            <w:tr w14:paraId="51745D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1490" w:type="dxa"/>
                  <w:gridSpan w:val="2"/>
                  <w:vAlign w:val="center"/>
                </w:tcPr>
                <w:p w14:paraId="00EE156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5273" w:type="dxa"/>
                  <w:gridSpan w:val="4"/>
                  <w:vAlign w:val="center"/>
                </w:tcPr>
                <w:p w14:paraId="38C2081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047" w:type="dxa"/>
                  <w:vAlign w:val="center"/>
                </w:tcPr>
                <w:p w14:paraId="0E4611AC">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174.5</w:t>
                  </w:r>
                </w:p>
              </w:tc>
            </w:tr>
            <w:bookmarkEnd w:id="10"/>
            <w:bookmarkEnd w:id="11"/>
          </w:tbl>
          <w:p w14:paraId="43DED46E">
            <w:pPr>
              <w:ind w:firstLine="0" w:firstLineChars="0"/>
              <w:rPr>
                <w:rFonts w:hint="default" w:ascii="Times New Roman" w:hAnsi="Times New Roman" w:cs="Times New Roman"/>
                <w:b/>
                <w:bCs/>
                <w:color w:val="auto"/>
                <w:highlight w:val="none"/>
              </w:rPr>
            </w:pPr>
          </w:p>
        </w:tc>
      </w:tr>
    </w:tbl>
    <w:p w14:paraId="4AD8259B">
      <w:pPr>
        <w:ind w:firstLine="0" w:firstLineChars="0"/>
        <w:jc w:val="center"/>
        <w:rPr>
          <w:rFonts w:hint="default" w:ascii="Times New Roman" w:hAnsi="Times New Roman" w:cs="Times New Roman"/>
          <w:bCs/>
          <w:color w:val="auto"/>
          <w:szCs w:val="21"/>
          <w:highlight w:val="none"/>
        </w:rPr>
        <w:sectPr>
          <w:pgSz w:w="11906" w:h="16838"/>
          <w:pgMar w:top="1440" w:right="1800" w:bottom="1440" w:left="1800" w:header="992" w:footer="992" w:gutter="0"/>
          <w:pgBorders>
            <w:top w:val="none" w:sz="0" w:space="0"/>
            <w:left w:val="none" w:sz="0" w:space="0"/>
            <w:bottom w:val="none" w:sz="0" w:space="0"/>
            <w:right w:val="none" w:sz="0" w:space="0"/>
          </w:pgBorders>
          <w:cols w:space="425" w:num="1"/>
          <w:docGrid w:type="lines" w:linePitch="312" w:charSpace="0"/>
        </w:sectPr>
      </w:pPr>
    </w:p>
    <w:bookmarkEnd w:id="9"/>
    <w:p w14:paraId="50B8B17B">
      <w:pPr>
        <w:pStyle w:val="3"/>
        <w:ind w:firstLine="640"/>
        <w:jc w:val="center"/>
        <w:rPr>
          <w:rFonts w:hint="default" w:ascii="Times New Roman" w:hAnsi="Times New Roman" w:cs="Times New Roman"/>
          <w:snapToGrid w:val="0"/>
          <w:color w:val="auto"/>
          <w:highlight w:val="none"/>
        </w:rPr>
      </w:pPr>
      <w:bookmarkStart w:id="12" w:name="_Toc144507129"/>
      <w:r>
        <w:rPr>
          <w:rFonts w:hint="default" w:ascii="Times New Roman" w:hAnsi="Times New Roman" w:cs="Times New Roman"/>
          <w:snapToGrid w:val="0"/>
          <w:color w:val="auto"/>
          <w:highlight w:val="none"/>
        </w:rPr>
        <w:t>五</w:t>
      </w:r>
      <w:bookmarkStart w:id="13" w:name="_Hlk54167917"/>
      <w:r>
        <w:rPr>
          <w:rFonts w:hint="default" w:ascii="Times New Roman" w:hAnsi="Times New Roman" w:cs="Times New Roman"/>
          <w:snapToGrid w:val="0"/>
          <w:color w:val="auto"/>
          <w:highlight w:val="none"/>
          <w:lang w:eastAsia="zh-CN"/>
        </w:rPr>
        <w:t>、</w:t>
      </w:r>
      <w:r>
        <w:rPr>
          <w:rFonts w:hint="default" w:ascii="Times New Roman" w:hAnsi="Times New Roman" w:cs="Times New Roman"/>
          <w:snapToGrid w:val="0"/>
          <w:color w:val="auto"/>
          <w:highlight w:val="none"/>
        </w:rPr>
        <w:t>环境保护措施监督检查清单</w:t>
      </w:r>
      <w:bookmarkEnd w:id="12"/>
      <w:bookmarkEnd w:id="13"/>
    </w:p>
    <w:tbl>
      <w:tblPr>
        <w:tblStyle w:val="23"/>
        <w:tblW w:w="8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61"/>
        <w:gridCol w:w="1711"/>
        <w:gridCol w:w="1134"/>
        <w:gridCol w:w="2356"/>
        <w:gridCol w:w="2193"/>
      </w:tblGrid>
      <w:tr w14:paraId="3C3E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62" w:hRule="atLeast"/>
          <w:jc w:val="center"/>
        </w:trPr>
        <w:tc>
          <w:tcPr>
            <w:tcW w:w="1261" w:type="dxa"/>
            <w:tcBorders>
              <w:tl2br w:val="single" w:color="auto" w:sz="4" w:space="0"/>
            </w:tcBorders>
            <w:vAlign w:val="center"/>
          </w:tcPr>
          <w:p w14:paraId="77833FB5">
            <w:pPr>
              <w:spacing w:line="240" w:lineRule="auto"/>
              <w:ind w:firstLine="0" w:firstLineChars="0"/>
              <w:jc w:val="center"/>
              <w:rPr>
                <w:rFonts w:hint="default" w:ascii="Times New Roman" w:hAnsi="Times New Roman" w:cs="Times New Roman"/>
                <w:b/>
                <w:bCs/>
                <w:snapToGrid w:val="0"/>
                <w:color w:val="auto"/>
                <w:sz w:val="21"/>
                <w:szCs w:val="21"/>
                <w:highlight w:val="none"/>
              </w:rPr>
            </w:pPr>
            <w:r>
              <w:rPr>
                <w:rFonts w:hint="default" w:ascii="Times New Roman" w:hAnsi="Times New Roman" w:cs="Times New Roman"/>
                <w:b/>
                <w:bCs/>
                <w:snapToGrid w:val="0"/>
                <w:color w:val="auto"/>
                <w:sz w:val="21"/>
                <w:szCs w:val="21"/>
                <w:highlight w:val="none"/>
              </w:rPr>
              <w:t xml:space="preserve">    内容</w:t>
            </w:r>
          </w:p>
          <w:p w14:paraId="3A81BCAB">
            <w:pPr>
              <w:spacing w:line="240" w:lineRule="auto"/>
              <w:ind w:firstLine="0" w:firstLineChars="0"/>
              <w:rPr>
                <w:rFonts w:hint="default" w:ascii="Times New Roman" w:hAnsi="Times New Roman" w:cs="Times New Roman"/>
                <w:b/>
                <w:bCs/>
                <w:snapToGrid w:val="0"/>
                <w:color w:val="auto"/>
                <w:sz w:val="21"/>
                <w:szCs w:val="21"/>
                <w:highlight w:val="none"/>
              </w:rPr>
            </w:pPr>
            <w:r>
              <w:rPr>
                <w:rFonts w:hint="default" w:ascii="Times New Roman" w:hAnsi="Times New Roman" w:cs="Times New Roman"/>
                <w:b/>
                <w:bCs/>
                <w:snapToGrid w:val="0"/>
                <w:color w:val="auto"/>
                <w:sz w:val="21"/>
                <w:szCs w:val="21"/>
                <w:highlight w:val="none"/>
              </w:rPr>
              <w:t>要素</w:t>
            </w:r>
          </w:p>
        </w:tc>
        <w:tc>
          <w:tcPr>
            <w:tcW w:w="1711" w:type="dxa"/>
            <w:vAlign w:val="center"/>
          </w:tcPr>
          <w:p w14:paraId="123F2B48">
            <w:pPr>
              <w:spacing w:line="240" w:lineRule="auto"/>
              <w:ind w:firstLine="0" w:firstLineChars="0"/>
              <w:jc w:val="center"/>
              <w:rPr>
                <w:rFonts w:hint="default" w:ascii="Times New Roman" w:hAnsi="Times New Roman" w:cs="Times New Roman"/>
                <w:b/>
                <w:bCs/>
                <w:snapToGrid w:val="0"/>
                <w:color w:val="auto"/>
                <w:sz w:val="21"/>
                <w:szCs w:val="21"/>
                <w:highlight w:val="none"/>
              </w:rPr>
            </w:pPr>
            <w:r>
              <w:rPr>
                <w:rFonts w:hint="default" w:ascii="Times New Roman" w:hAnsi="Times New Roman" w:cs="Times New Roman"/>
                <w:b/>
                <w:bCs/>
                <w:snapToGrid w:val="0"/>
                <w:color w:val="auto"/>
                <w:sz w:val="21"/>
                <w:szCs w:val="21"/>
                <w:highlight w:val="none"/>
              </w:rPr>
              <w:t>排放口（编号、名称）/污染源</w:t>
            </w:r>
          </w:p>
        </w:tc>
        <w:tc>
          <w:tcPr>
            <w:tcW w:w="1134" w:type="dxa"/>
            <w:vAlign w:val="center"/>
          </w:tcPr>
          <w:p w14:paraId="000390A8">
            <w:pPr>
              <w:spacing w:line="240" w:lineRule="auto"/>
              <w:ind w:firstLine="0" w:firstLineChars="0"/>
              <w:jc w:val="center"/>
              <w:rPr>
                <w:rFonts w:hint="default" w:ascii="Times New Roman" w:hAnsi="Times New Roman" w:cs="Times New Roman"/>
                <w:b/>
                <w:bCs/>
                <w:snapToGrid w:val="0"/>
                <w:color w:val="auto"/>
                <w:sz w:val="21"/>
                <w:szCs w:val="21"/>
                <w:highlight w:val="none"/>
              </w:rPr>
            </w:pPr>
            <w:r>
              <w:rPr>
                <w:rFonts w:hint="default" w:ascii="Times New Roman" w:hAnsi="Times New Roman" w:cs="Times New Roman"/>
                <w:b/>
                <w:bCs/>
                <w:snapToGrid w:val="0"/>
                <w:color w:val="auto"/>
                <w:sz w:val="21"/>
                <w:szCs w:val="21"/>
                <w:highlight w:val="none"/>
              </w:rPr>
              <w:t>污染物项目</w:t>
            </w:r>
          </w:p>
        </w:tc>
        <w:tc>
          <w:tcPr>
            <w:tcW w:w="2356" w:type="dxa"/>
            <w:vAlign w:val="center"/>
          </w:tcPr>
          <w:p w14:paraId="55C96192">
            <w:pPr>
              <w:spacing w:line="240" w:lineRule="auto"/>
              <w:ind w:firstLine="0" w:firstLineChars="0"/>
              <w:jc w:val="center"/>
              <w:rPr>
                <w:rFonts w:hint="default" w:ascii="Times New Roman" w:hAnsi="Times New Roman" w:cs="Times New Roman"/>
                <w:b/>
                <w:bCs/>
                <w:snapToGrid w:val="0"/>
                <w:color w:val="auto"/>
                <w:sz w:val="21"/>
                <w:szCs w:val="21"/>
                <w:highlight w:val="none"/>
              </w:rPr>
            </w:pPr>
            <w:r>
              <w:rPr>
                <w:rFonts w:hint="default" w:ascii="Times New Roman" w:hAnsi="Times New Roman" w:cs="Times New Roman"/>
                <w:b/>
                <w:bCs/>
                <w:snapToGrid w:val="0"/>
                <w:color w:val="auto"/>
                <w:sz w:val="21"/>
                <w:szCs w:val="21"/>
                <w:highlight w:val="none"/>
              </w:rPr>
              <w:t>环境保护措施</w:t>
            </w:r>
          </w:p>
        </w:tc>
        <w:tc>
          <w:tcPr>
            <w:tcW w:w="2193" w:type="dxa"/>
            <w:vAlign w:val="center"/>
          </w:tcPr>
          <w:p w14:paraId="52A7B398">
            <w:pPr>
              <w:spacing w:line="240" w:lineRule="auto"/>
              <w:ind w:firstLine="0" w:firstLineChars="0"/>
              <w:jc w:val="center"/>
              <w:rPr>
                <w:rFonts w:hint="default" w:ascii="Times New Roman" w:hAnsi="Times New Roman" w:cs="Times New Roman"/>
                <w:b/>
                <w:bCs/>
                <w:snapToGrid w:val="0"/>
                <w:color w:val="auto"/>
                <w:sz w:val="21"/>
                <w:szCs w:val="21"/>
                <w:highlight w:val="none"/>
              </w:rPr>
            </w:pPr>
            <w:r>
              <w:rPr>
                <w:rFonts w:hint="default" w:ascii="Times New Roman" w:hAnsi="Times New Roman" w:cs="Times New Roman"/>
                <w:b/>
                <w:bCs/>
                <w:snapToGrid w:val="0"/>
                <w:color w:val="auto"/>
                <w:sz w:val="21"/>
                <w:szCs w:val="21"/>
                <w:highlight w:val="none"/>
              </w:rPr>
              <w:t>执行标准</w:t>
            </w:r>
          </w:p>
        </w:tc>
      </w:tr>
      <w:tr w14:paraId="519E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5" w:hRule="atLeast"/>
          <w:jc w:val="center"/>
        </w:trPr>
        <w:tc>
          <w:tcPr>
            <w:tcW w:w="1261" w:type="dxa"/>
            <w:vMerge w:val="restart"/>
            <w:vAlign w:val="center"/>
          </w:tcPr>
          <w:p w14:paraId="5AAB35A5">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大气环境</w:t>
            </w:r>
          </w:p>
        </w:tc>
        <w:tc>
          <w:tcPr>
            <w:tcW w:w="1711" w:type="dxa"/>
            <w:vAlign w:val="center"/>
          </w:tcPr>
          <w:p w14:paraId="1185A1E0">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运输汽车产生的扬尘</w:t>
            </w:r>
          </w:p>
        </w:tc>
        <w:tc>
          <w:tcPr>
            <w:tcW w:w="1134" w:type="dxa"/>
            <w:vAlign w:val="center"/>
          </w:tcPr>
          <w:p w14:paraId="0A10989D">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颗粒物</w:t>
            </w:r>
          </w:p>
        </w:tc>
        <w:tc>
          <w:tcPr>
            <w:tcW w:w="2356" w:type="dxa"/>
            <w:vAlign w:val="center"/>
          </w:tcPr>
          <w:p w14:paraId="42766119">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清扫道路+洒水车（1辆）洒水</w:t>
            </w:r>
          </w:p>
        </w:tc>
        <w:tc>
          <w:tcPr>
            <w:tcW w:w="2193" w:type="dxa"/>
            <w:vMerge w:val="restart"/>
            <w:vAlign w:val="center"/>
          </w:tcPr>
          <w:p w14:paraId="1A057CBD">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水泥《工业大气污染物排放标准》（GB4915-2013）表3标准限值要求</w:t>
            </w:r>
          </w:p>
        </w:tc>
      </w:tr>
      <w:tr w14:paraId="1B6E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4" w:hRule="atLeast"/>
          <w:jc w:val="center"/>
        </w:trPr>
        <w:tc>
          <w:tcPr>
            <w:tcW w:w="1261" w:type="dxa"/>
            <w:vMerge w:val="continue"/>
            <w:vAlign w:val="center"/>
          </w:tcPr>
          <w:p w14:paraId="11C0EDFE">
            <w:pPr>
              <w:spacing w:line="240" w:lineRule="auto"/>
              <w:ind w:firstLine="0" w:firstLineChars="0"/>
              <w:jc w:val="center"/>
              <w:rPr>
                <w:rFonts w:hint="default" w:ascii="Times New Roman" w:hAnsi="Times New Roman" w:cs="Times New Roman"/>
                <w:snapToGrid w:val="0"/>
                <w:color w:val="auto"/>
                <w:sz w:val="24"/>
                <w:szCs w:val="24"/>
                <w:highlight w:val="none"/>
              </w:rPr>
            </w:pPr>
          </w:p>
        </w:tc>
        <w:tc>
          <w:tcPr>
            <w:tcW w:w="1711" w:type="dxa"/>
            <w:vAlign w:val="center"/>
          </w:tcPr>
          <w:p w14:paraId="20AD6D90">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砂石料装卸、堆存粉尘</w:t>
            </w:r>
          </w:p>
        </w:tc>
        <w:tc>
          <w:tcPr>
            <w:tcW w:w="1134" w:type="dxa"/>
            <w:vAlign w:val="center"/>
          </w:tcPr>
          <w:p w14:paraId="5AF308BA">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颗粒物</w:t>
            </w:r>
          </w:p>
        </w:tc>
        <w:tc>
          <w:tcPr>
            <w:tcW w:w="2356" w:type="dxa"/>
            <w:vAlign w:val="center"/>
          </w:tcPr>
          <w:p w14:paraId="55B75CB4">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密闭堆场+洒水车（1辆）洒水抑尘</w:t>
            </w:r>
          </w:p>
        </w:tc>
        <w:tc>
          <w:tcPr>
            <w:tcW w:w="2193" w:type="dxa"/>
            <w:vMerge w:val="continue"/>
            <w:vAlign w:val="center"/>
          </w:tcPr>
          <w:p w14:paraId="60BAF9C5">
            <w:pPr>
              <w:spacing w:line="240" w:lineRule="auto"/>
              <w:ind w:firstLine="0" w:firstLineChars="0"/>
              <w:jc w:val="center"/>
              <w:rPr>
                <w:rFonts w:hint="default" w:ascii="Times New Roman" w:hAnsi="Times New Roman" w:cs="Times New Roman"/>
                <w:snapToGrid w:val="0"/>
                <w:color w:val="auto"/>
                <w:sz w:val="24"/>
                <w:szCs w:val="24"/>
                <w:highlight w:val="none"/>
              </w:rPr>
            </w:pPr>
          </w:p>
        </w:tc>
      </w:tr>
      <w:tr w14:paraId="569C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261" w:type="dxa"/>
            <w:vMerge w:val="continue"/>
            <w:vAlign w:val="center"/>
          </w:tcPr>
          <w:p w14:paraId="5E34BDD0">
            <w:pPr>
              <w:spacing w:line="240" w:lineRule="auto"/>
              <w:ind w:firstLine="0" w:firstLineChars="0"/>
              <w:jc w:val="center"/>
              <w:rPr>
                <w:rFonts w:hint="default" w:ascii="Times New Roman" w:hAnsi="Times New Roman" w:cs="Times New Roman"/>
                <w:snapToGrid w:val="0"/>
                <w:color w:val="auto"/>
                <w:sz w:val="24"/>
                <w:szCs w:val="24"/>
                <w:highlight w:val="none"/>
              </w:rPr>
            </w:pPr>
          </w:p>
        </w:tc>
        <w:tc>
          <w:tcPr>
            <w:tcW w:w="1711" w:type="dxa"/>
            <w:vAlign w:val="center"/>
          </w:tcPr>
          <w:p w14:paraId="7B0211B4">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砂石输送产生的粉尘</w:t>
            </w:r>
          </w:p>
        </w:tc>
        <w:tc>
          <w:tcPr>
            <w:tcW w:w="1134" w:type="dxa"/>
            <w:vAlign w:val="center"/>
          </w:tcPr>
          <w:p w14:paraId="334B72BB">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颗粒物</w:t>
            </w:r>
          </w:p>
        </w:tc>
        <w:tc>
          <w:tcPr>
            <w:tcW w:w="2356" w:type="dxa"/>
            <w:vAlign w:val="center"/>
          </w:tcPr>
          <w:p w14:paraId="301FD031">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全封闭料斗+雾炮（1</w:t>
            </w:r>
            <w:r>
              <w:rPr>
                <w:rFonts w:hint="eastAsia" w:cs="Times New Roman"/>
                <w:snapToGrid w:val="0"/>
                <w:color w:val="auto"/>
                <w:sz w:val="24"/>
                <w:szCs w:val="24"/>
                <w:highlight w:val="none"/>
                <w:lang w:eastAsia="zh-CN"/>
              </w:rPr>
              <w:t>台</w:t>
            </w:r>
            <w:r>
              <w:rPr>
                <w:rFonts w:hint="default" w:ascii="Times New Roman" w:hAnsi="Times New Roman" w:cs="Times New Roman"/>
                <w:snapToGrid w:val="0"/>
                <w:color w:val="auto"/>
                <w:sz w:val="24"/>
                <w:szCs w:val="24"/>
                <w:highlight w:val="none"/>
              </w:rPr>
              <w:t>）抑尘</w:t>
            </w:r>
          </w:p>
        </w:tc>
        <w:tc>
          <w:tcPr>
            <w:tcW w:w="2193" w:type="dxa"/>
            <w:vMerge w:val="continue"/>
            <w:vAlign w:val="center"/>
          </w:tcPr>
          <w:p w14:paraId="38AE0901">
            <w:pPr>
              <w:spacing w:line="240" w:lineRule="auto"/>
              <w:ind w:firstLine="0" w:firstLineChars="0"/>
              <w:jc w:val="center"/>
              <w:rPr>
                <w:rFonts w:hint="default" w:ascii="Times New Roman" w:hAnsi="Times New Roman" w:cs="Times New Roman"/>
                <w:snapToGrid w:val="0"/>
                <w:color w:val="auto"/>
                <w:sz w:val="24"/>
                <w:szCs w:val="24"/>
                <w:highlight w:val="none"/>
              </w:rPr>
            </w:pPr>
          </w:p>
        </w:tc>
      </w:tr>
      <w:tr w14:paraId="52B6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jc w:val="center"/>
        </w:trPr>
        <w:tc>
          <w:tcPr>
            <w:tcW w:w="1261" w:type="dxa"/>
            <w:vMerge w:val="continue"/>
            <w:vAlign w:val="center"/>
          </w:tcPr>
          <w:p w14:paraId="2EC46D80">
            <w:pPr>
              <w:spacing w:line="240" w:lineRule="auto"/>
              <w:ind w:firstLine="0" w:firstLineChars="0"/>
              <w:jc w:val="center"/>
              <w:rPr>
                <w:rFonts w:hint="default" w:ascii="Times New Roman" w:hAnsi="Times New Roman" w:cs="Times New Roman"/>
                <w:snapToGrid w:val="0"/>
                <w:color w:val="auto"/>
                <w:sz w:val="24"/>
                <w:szCs w:val="24"/>
                <w:highlight w:val="none"/>
              </w:rPr>
            </w:pPr>
          </w:p>
        </w:tc>
        <w:tc>
          <w:tcPr>
            <w:tcW w:w="1711" w:type="dxa"/>
            <w:vAlign w:val="center"/>
          </w:tcPr>
          <w:p w14:paraId="3252596A">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筒仓</w:t>
            </w:r>
          </w:p>
        </w:tc>
        <w:tc>
          <w:tcPr>
            <w:tcW w:w="1134" w:type="dxa"/>
            <w:vAlign w:val="center"/>
          </w:tcPr>
          <w:p w14:paraId="7DE8AD6B">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颗粒物</w:t>
            </w:r>
          </w:p>
        </w:tc>
        <w:tc>
          <w:tcPr>
            <w:tcW w:w="2356" w:type="dxa"/>
            <w:vAlign w:val="center"/>
          </w:tcPr>
          <w:p w14:paraId="123D0678">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袋式除尘器</w:t>
            </w:r>
            <w:r>
              <w:rPr>
                <w:rFonts w:hint="eastAsia" w:cs="Times New Roman"/>
                <w:snapToGrid w:val="0"/>
                <w:color w:val="auto"/>
                <w:sz w:val="24"/>
                <w:szCs w:val="24"/>
                <w:highlight w:val="none"/>
                <w:lang w:eastAsia="zh-CN"/>
              </w:rPr>
              <w:t>（共</w:t>
            </w:r>
            <w:r>
              <w:rPr>
                <w:rFonts w:hint="eastAsia" w:cs="Times New Roman"/>
                <w:snapToGrid w:val="0"/>
                <w:color w:val="auto"/>
                <w:sz w:val="24"/>
                <w:szCs w:val="24"/>
                <w:highlight w:val="none"/>
                <w:lang w:val="en-US" w:eastAsia="zh-CN"/>
              </w:rPr>
              <w:t>8台</w:t>
            </w:r>
            <w:r>
              <w:rPr>
                <w:rFonts w:hint="eastAsia" w:cs="Times New Roman"/>
                <w:snapToGrid w:val="0"/>
                <w:color w:val="auto"/>
                <w:sz w:val="24"/>
                <w:szCs w:val="24"/>
                <w:highlight w:val="none"/>
                <w:lang w:eastAsia="zh-CN"/>
              </w:rPr>
              <w:t>）</w:t>
            </w:r>
            <w:r>
              <w:rPr>
                <w:rFonts w:hint="default" w:ascii="Times New Roman" w:hAnsi="Times New Roman" w:cs="Times New Roman"/>
                <w:snapToGrid w:val="0"/>
                <w:color w:val="auto"/>
                <w:sz w:val="24"/>
                <w:szCs w:val="24"/>
                <w:highlight w:val="none"/>
              </w:rPr>
              <w:t>+仓顶排放</w:t>
            </w:r>
          </w:p>
        </w:tc>
        <w:tc>
          <w:tcPr>
            <w:tcW w:w="2193" w:type="dxa"/>
            <w:vMerge w:val="restart"/>
            <w:vAlign w:val="center"/>
          </w:tcPr>
          <w:p w14:paraId="53FAC3BC">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《水泥工业大气污染物排放标准》（GB4915-2013）表1标准限值要求</w:t>
            </w:r>
          </w:p>
        </w:tc>
      </w:tr>
      <w:tr w14:paraId="6F17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261" w:type="dxa"/>
            <w:vMerge w:val="continue"/>
            <w:vAlign w:val="center"/>
          </w:tcPr>
          <w:p w14:paraId="4F0027F0">
            <w:pPr>
              <w:spacing w:line="240" w:lineRule="auto"/>
              <w:ind w:firstLine="0" w:firstLineChars="0"/>
              <w:jc w:val="center"/>
              <w:rPr>
                <w:rFonts w:hint="default" w:ascii="Times New Roman" w:hAnsi="Times New Roman" w:cs="Times New Roman"/>
                <w:snapToGrid w:val="0"/>
                <w:color w:val="auto"/>
                <w:sz w:val="24"/>
                <w:szCs w:val="24"/>
                <w:highlight w:val="none"/>
              </w:rPr>
            </w:pPr>
          </w:p>
        </w:tc>
        <w:tc>
          <w:tcPr>
            <w:tcW w:w="1711" w:type="dxa"/>
            <w:vAlign w:val="center"/>
          </w:tcPr>
          <w:p w14:paraId="5EE806F9">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搅拌机</w:t>
            </w:r>
          </w:p>
        </w:tc>
        <w:tc>
          <w:tcPr>
            <w:tcW w:w="1134" w:type="dxa"/>
            <w:vAlign w:val="center"/>
          </w:tcPr>
          <w:p w14:paraId="03E9EA30">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颗粒物</w:t>
            </w:r>
          </w:p>
        </w:tc>
        <w:tc>
          <w:tcPr>
            <w:tcW w:w="2356" w:type="dxa"/>
            <w:vAlign w:val="center"/>
          </w:tcPr>
          <w:p w14:paraId="03904B6B">
            <w:pPr>
              <w:spacing w:line="240" w:lineRule="auto"/>
              <w:ind w:firstLine="0" w:firstLineChars="0"/>
              <w:jc w:val="center"/>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cs="Times New Roman"/>
                <w:snapToGrid w:val="0"/>
                <w:color w:val="auto"/>
                <w:sz w:val="24"/>
                <w:szCs w:val="24"/>
                <w:highlight w:val="none"/>
              </w:rPr>
              <w:t>袋式除尘器除尘</w:t>
            </w:r>
            <w:r>
              <w:rPr>
                <w:rFonts w:hint="eastAsia" w:cs="Times New Roman"/>
                <w:snapToGrid w:val="0"/>
                <w:color w:val="auto"/>
                <w:sz w:val="24"/>
                <w:szCs w:val="24"/>
                <w:highlight w:val="none"/>
                <w:lang w:eastAsia="zh-CN"/>
              </w:rPr>
              <w:t>（共</w:t>
            </w:r>
            <w:r>
              <w:rPr>
                <w:rFonts w:hint="eastAsia" w:cs="Times New Roman"/>
                <w:snapToGrid w:val="0"/>
                <w:color w:val="auto"/>
                <w:sz w:val="24"/>
                <w:szCs w:val="24"/>
                <w:highlight w:val="none"/>
                <w:lang w:val="en-US" w:eastAsia="zh-CN"/>
              </w:rPr>
              <w:t>2台</w:t>
            </w:r>
            <w:r>
              <w:rPr>
                <w:rFonts w:hint="eastAsia" w:cs="Times New Roman"/>
                <w:snapToGrid w:val="0"/>
                <w:color w:val="auto"/>
                <w:sz w:val="24"/>
                <w:szCs w:val="24"/>
                <w:highlight w:val="none"/>
                <w:lang w:eastAsia="zh-CN"/>
              </w:rPr>
              <w:t>）</w:t>
            </w:r>
            <w:r>
              <w:rPr>
                <w:rFonts w:hint="default" w:ascii="Times New Roman" w:hAnsi="Times New Roman" w:cs="Times New Roman"/>
                <w:snapToGrid w:val="0"/>
                <w:color w:val="auto"/>
                <w:sz w:val="24"/>
                <w:szCs w:val="24"/>
                <w:highlight w:val="none"/>
              </w:rPr>
              <w:t>+</w:t>
            </w:r>
            <w:r>
              <w:rPr>
                <w:rFonts w:hint="eastAsia" w:cs="Times New Roman"/>
                <w:snapToGrid w:val="0"/>
                <w:color w:val="auto"/>
                <w:sz w:val="24"/>
                <w:szCs w:val="24"/>
                <w:highlight w:val="none"/>
                <w:lang w:val="en-US" w:eastAsia="zh-CN"/>
              </w:rPr>
              <w:t>全封闭</w:t>
            </w:r>
          </w:p>
        </w:tc>
        <w:tc>
          <w:tcPr>
            <w:tcW w:w="2193" w:type="dxa"/>
            <w:vMerge w:val="continue"/>
            <w:vAlign w:val="center"/>
          </w:tcPr>
          <w:p w14:paraId="7812B1AF">
            <w:pPr>
              <w:spacing w:line="240" w:lineRule="auto"/>
              <w:ind w:firstLine="0" w:firstLineChars="0"/>
              <w:jc w:val="center"/>
              <w:rPr>
                <w:rFonts w:hint="default" w:ascii="Times New Roman" w:hAnsi="Times New Roman" w:cs="Times New Roman"/>
                <w:snapToGrid w:val="0"/>
                <w:color w:val="auto"/>
                <w:sz w:val="24"/>
                <w:szCs w:val="24"/>
                <w:highlight w:val="none"/>
              </w:rPr>
            </w:pPr>
          </w:p>
        </w:tc>
      </w:tr>
      <w:tr w14:paraId="16CFE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jc w:val="center"/>
        </w:trPr>
        <w:tc>
          <w:tcPr>
            <w:tcW w:w="1261" w:type="dxa"/>
            <w:vMerge w:val="restart"/>
            <w:vAlign w:val="center"/>
          </w:tcPr>
          <w:p w14:paraId="6F390F16">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地表水环境</w:t>
            </w:r>
          </w:p>
        </w:tc>
        <w:tc>
          <w:tcPr>
            <w:tcW w:w="1711" w:type="dxa"/>
            <w:vAlign w:val="center"/>
          </w:tcPr>
          <w:p w14:paraId="5C869A5A">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设备清洗废水</w:t>
            </w:r>
          </w:p>
        </w:tc>
        <w:tc>
          <w:tcPr>
            <w:tcW w:w="1134" w:type="dxa"/>
            <w:vMerge w:val="restart"/>
            <w:vAlign w:val="center"/>
          </w:tcPr>
          <w:p w14:paraId="25242EF4">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SS</w:t>
            </w:r>
          </w:p>
        </w:tc>
        <w:tc>
          <w:tcPr>
            <w:tcW w:w="2356" w:type="dxa"/>
            <w:vMerge w:val="restart"/>
            <w:vAlign w:val="center"/>
          </w:tcPr>
          <w:p w14:paraId="4D2378B1">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直接排放至项目沉淀池，澄清液全部回用于生产</w:t>
            </w:r>
          </w:p>
        </w:tc>
        <w:tc>
          <w:tcPr>
            <w:tcW w:w="2193" w:type="dxa"/>
            <w:vMerge w:val="restart"/>
            <w:vAlign w:val="center"/>
          </w:tcPr>
          <w:p w14:paraId="45243432">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无外排废水</w:t>
            </w:r>
          </w:p>
        </w:tc>
      </w:tr>
      <w:tr w14:paraId="62D3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jc w:val="center"/>
        </w:trPr>
        <w:tc>
          <w:tcPr>
            <w:tcW w:w="1261" w:type="dxa"/>
            <w:vMerge w:val="continue"/>
            <w:vAlign w:val="center"/>
          </w:tcPr>
          <w:p w14:paraId="035B51C2">
            <w:pPr>
              <w:spacing w:line="240" w:lineRule="auto"/>
              <w:ind w:firstLine="0" w:firstLineChars="0"/>
              <w:jc w:val="center"/>
              <w:rPr>
                <w:rFonts w:hint="default" w:ascii="Times New Roman" w:hAnsi="Times New Roman" w:cs="Times New Roman"/>
                <w:snapToGrid w:val="0"/>
                <w:color w:val="auto"/>
                <w:sz w:val="24"/>
                <w:szCs w:val="24"/>
                <w:highlight w:val="none"/>
              </w:rPr>
            </w:pPr>
          </w:p>
        </w:tc>
        <w:tc>
          <w:tcPr>
            <w:tcW w:w="1711" w:type="dxa"/>
            <w:vAlign w:val="center"/>
          </w:tcPr>
          <w:p w14:paraId="645D509F">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冲洗地面废水</w:t>
            </w:r>
          </w:p>
        </w:tc>
        <w:tc>
          <w:tcPr>
            <w:tcW w:w="1134" w:type="dxa"/>
            <w:vMerge w:val="continue"/>
            <w:vAlign w:val="center"/>
          </w:tcPr>
          <w:p w14:paraId="13CDFB0C">
            <w:pPr>
              <w:spacing w:line="240" w:lineRule="auto"/>
              <w:ind w:firstLine="0" w:firstLineChars="0"/>
              <w:jc w:val="center"/>
              <w:rPr>
                <w:rFonts w:hint="default" w:ascii="Times New Roman" w:hAnsi="Times New Roman" w:cs="Times New Roman"/>
                <w:snapToGrid w:val="0"/>
                <w:color w:val="auto"/>
                <w:sz w:val="24"/>
                <w:szCs w:val="24"/>
                <w:highlight w:val="none"/>
              </w:rPr>
            </w:pPr>
          </w:p>
        </w:tc>
        <w:tc>
          <w:tcPr>
            <w:tcW w:w="2356" w:type="dxa"/>
            <w:vMerge w:val="continue"/>
            <w:vAlign w:val="center"/>
          </w:tcPr>
          <w:p w14:paraId="2B3B56B7">
            <w:pPr>
              <w:spacing w:line="240" w:lineRule="auto"/>
              <w:ind w:firstLine="0" w:firstLineChars="0"/>
              <w:jc w:val="center"/>
              <w:rPr>
                <w:rFonts w:hint="default" w:ascii="Times New Roman" w:hAnsi="Times New Roman" w:cs="Times New Roman"/>
                <w:snapToGrid w:val="0"/>
                <w:color w:val="auto"/>
                <w:sz w:val="24"/>
                <w:szCs w:val="24"/>
                <w:highlight w:val="none"/>
              </w:rPr>
            </w:pPr>
          </w:p>
        </w:tc>
        <w:tc>
          <w:tcPr>
            <w:tcW w:w="2193" w:type="dxa"/>
            <w:vMerge w:val="continue"/>
            <w:vAlign w:val="center"/>
          </w:tcPr>
          <w:p w14:paraId="4FF4A718">
            <w:pPr>
              <w:spacing w:line="240" w:lineRule="auto"/>
              <w:ind w:firstLine="0" w:firstLineChars="0"/>
              <w:jc w:val="center"/>
              <w:rPr>
                <w:rFonts w:hint="default" w:ascii="Times New Roman" w:hAnsi="Times New Roman" w:cs="Times New Roman"/>
                <w:snapToGrid w:val="0"/>
                <w:color w:val="auto"/>
                <w:sz w:val="24"/>
                <w:szCs w:val="24"/>
                <w:highlight w:val="none"/>
              </w:rPr>
            </w:pPr>
          </w:p>
        </w:tc>
      </w:tr>
      <w:tr w14:paraId="586B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jc w:val="center"/>
        </w:trPr>
        <w:tc>
          <w:tcPr>
            <w:tcW w:w="1261" w:type="dxa"/>
            <w:vMerge w:val="continue"/>
            <w:vAlign w:val="center"/>
          </w:tcPr>
          <w:p w14:paraId="214B511F">
            <w:pPr>
              <w:spacing w:line="240" w:lineRule="auto"/>
              <w:ind w:firstLine="0" w:firstLineChars="0"/>
              <w:jc w:val="center"/>
              <w:rPr>
                <w:rFonts w:hint="default" w:ascii="Times New Roman" w:hAnsi="Times New Roman" w:cs="Times New Roman"/>
                <w:snapToGrid w:val="0"/>
                <w:color w:val="auto"/>
                <w:sz w:val="24"/>
                <w:szCs w:val="24"/>
                <w:highlight w:val="none"/>
              </w:rPr>
            </w:pPr>
          </w:p>
        </w:tc>
        <w:tc>
          <w:tcPr>
            <w:tcW w:w="1711" w:type="dxa"/>
            <w:vAlign w:val="center"/>
          </w:tcPr>
          <w:p w14:paraId="2C28D6C4">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生活污水</w:t>
            </w:r>
          </w:p>
        </w:tc>
        <w:tc>
          <w:tcPr>
            <w:tcW w:w="1134" w:type="dxa"/>
            <w:vAlign w:val="center"/>
          </w:tcPr>
          <w:p w14:paraId="33F3C936">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pH、COD</w:t>
            </w:r>
            <w:r>
              <w:rPr>
                <w:rFonts w:hint="default" w:ascii="Times New Roman" w:hAnsi="Times New Roman" w:cs="Times New Roman"/>
                <w:snapToGrid w:val="0"/>
                <w:color w:val="auto"/>
                <w:sz w:val="24"/>
                <w:szCs w:val="24"/>
                <w:highlight w:val="none"/>
                <w:vertAlign w:val="subscript"/>
              </w:rPr>
              <w:t>cr</w:t>
            </w:r>
            <w:r>
              <w:rPr>
                <w:rFonts w:hint="default" w:ascii="Times New Roman" w:hAnsi="Times New Roman" w:cs="Times New Roman"/>
                <w:snapToGrid w:val="0"/>
                <w:color w:val="auto"/>
                <w:sz w:val="24"/>
                <w:szCs w:val="24"/>
                <w:highlight w:val="none"/>
              </w:rPr>
              <w:t>、BOD</w:t>
            </w:r>
            <w:r>
              <w:rPr>
                <w:rFonts w:hint="default" w:ascii="Times New Roman" w:hAnsi="Times New Roman" w:cs="Times New Roman"/>
                <w:snapToGrid w:val="0"/>
                <w:color w:val="auto"/>
                <w:sz w:val="24"/>
                <w:szCs w:val="24"/>
                <w:highlight w:val="none"/>
                <w:vertAlign w:val="subscript"/>
              </w:rPr>
              <w:t>5</w:t>
            </w:r>
            <w:r>
              <w:rPr>
                <w:rFonts w:hint="default" w:ascii="Times New Roman" w:hAnsi="Times New Roman" w:cs="Times New Roman"/>
                <w:snapToGrid w:val="0"/>
                <w:color w:val="auto"/>
                <w:sz w:val="24"/>
                <w:szCs w:val="24"/>
                <w:highlight w:val="none"/>
              </w:rPr>
              <w:t>、氨氮及SS等</w:t>
            </w:r>
          </w:p>
        </w:tc>
        <w:tc>
          <w:tcPr>
            <w:tcW w:w="2356" w:type="dxa"/>
            <w:vAlign w:val="center"/>
          </w:tcPr>
          <w:p w14:paraId="68E700EE">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经化粪池</w:t>
            </w:r>
            <w:r>
              <w:rPr>
                <w:rFonts w:hint="eastAsia" w:cs="Times New Roman"/>
                <w:snapToGrid w:val="0"/>
                <w:color w:val="auto"/>
                <w:sz w:val="24"/>
                <w:szCs w:val="24"/>
                <w:highlight w:val="none"/>
                <w:lang w:eastAsia="zh-CN"/>
              </w:rPr>
              <w:t>沉淀</w:t>
            </w:r>
            <w:r>
              <w:rPr>
                <w:rFonts w:hint="default" w:ascii="Times New Roman" w:hAnsi="Times New Roman" w:cs="Times New Roman"/>
                <w:snapToGrid w:val="0"/>
                <w:color w:val="auto"/>
                <w:sz w:val="24"/>
                <w:szCs w:val="24"/>
                <w:highlight w:val="none"/>
              </w:rPr>
              <w:t>后，定期拉运至</w:t>
            </w:r>
            <w:r>
              <w:rPr>
                <w:rFonts w:hint="default" w:ascii="Times New Roman" w:hAnsi="Times New Roman" w:cs="Times New Roman"/>
                <w:snapToGrid w:val="0"/>
                <w:color w:val="auto"/>
                <w:sz w:val="24"/>
                <w:szCs w:val="24"/>
                <w:highlight w:val="none"/>
                <w:lang w:val="en-US" w:eastAsia="zh-CN"/>
              </w:rPr>
              <w:t>附近</w:t>
            </w:r>
            <w:r>
              <w:rPr>
                <w:rFonts w:hint="default" w:ascii="Times New Roman" w:hAnsi="Times New Roman" w:cs="Times New Roman"/>
                <w:snapToGrid w:val="0"/>
                <w:color w:val="auto"/>
                <w:sz w:val="24"/>
                <w:szCs w:val="24"/>
                <w:highlight w:val="none"/>
              </w:rPr>
              <w:t>污水处理厂</w:t>
            </w:r>
          </w:p>
        </w:tc>
        <w:tc>
          <w:tcPr>
            <w:tcW w:w="2193" w:type="dxa"/>
            <w:vAlign w:val="center"/>
          </w:tcPr>
          <w:p w14:paraId="02920E7F">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《污水综合排放标准》（GB8978-1996）中的三级标准限值要求</w:t>
            </w:r>
          </w:p>
        </w:tc>
      </w:tr>
      <w:tr w14:paraId="19E7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1261" w:type="dxa"/>
            <w:vAlign w:val="center"/>
          </w:tcPr>
          <w:p w14:paraId="28AB6375">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声环境</w:t>
            </w:r>
          </w:p>
        </w:tc>
        <w:tc>
          <w:tcPr>
            <w:tcW w:w="1711" w:type="dxa"/>
            <w:vAlign w:val="center"/>
          </w:tcPr>
          <w:p w14:paraId="6936253C">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生产设备</w:t>
            </w:r>
          </w:p>
        </w:tc>
        <w:tc>
          <w:tcPr>
            <w:tcW w:w="1134" w:type="dxa"/>
            <w:vAlign w:val="center"/>
          </w:tcPr>
          <w:p w14:paraId="00FF7AE1">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设备噪声（等效A声级）</w:t>
            </w:r>
          </w:p>
        </w:tc>
        <w:tc>
          <w:tcPr>
            <w:tcW w:w="2356" w:type="dxa"/>
            <w:vAlign w:val="center"/>
          </w:tcPr>
          <w:p w14:paraId="71658AAB">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隔声、消声、减震</w:t>
            </w:r>
          </w:p>
        </w:tc>
        <w:tc>
          <w:tcPr>
            <w:tcW w:w="2193" w:type="dxa"/>
            <w:vAlign w:val="center"/>
          </w:tcPr>
          <w:p w14:paraId="2FFF9D34">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《工业企业厂界环境噪声排放标准》（GB12348-2008）</w:t>
            </w:r>
            <w:r>
              <w:rPr>
                <w:rFonts w:hint="default" w:ascii="Times New Roman" w:hAnsi="Times New Roman" w:cs="Times New Roman"/>
                <w:snapToGrid w:val="0"/>
                <w:color w:val="auto"/>
                <w:sz w:val="24"/>
                <w:szCs w:val="24"/>
                <w:highlight w:val="none"/>
                <w:lang w:val="en-US" w:eastAsia="zh-CN"/>
              </w:rPr>
              <w:t>2</w:t>
            </w:r>
            <w:r>
              <w:rPr>
                <w:rFonts w:hint="default" w:ascii="Times New Roman" w:hAnsi="Times New Roman" w:cs="Times New Roman"/>
                <w:snapToGrid w:val="0"/>
                <w:color w:val="auto"/>
                <w:sz w:val="24"/>
                <w:szCs w:val="24"/>
                <w:highlight w:val="none"/>
              </w:rPr>
              <w:t>类标准</w:t>
            </w:r>
          </w:p>
        </w:tc>
      </w:tr>
      <w:tr w14:paraId="0FF16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261" w:type="dxa"/>
            <w:vAlign w:val="center"/>
          </w:tcPr>
          <w:p w14:paraId="4AA00190">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电磁辐射</w:t>
            </w:r>
          </w:p>
        </w:tc>
        <w:tc>
          <w:tcPr>
            <w:tcW w:w="1711" w:type="dxa"/>
            <w:vAlign w:val="center"/>
          </w:tcPr>
          <w:p w14:paraId="1CF0308A">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w:t>
            </w:r>
          </w:p>
        </w:tc>
        <w:tc>
          <w:tcPr>
            <w:tcW w:w="1134" w:type="dxa"/>
            <w:vAlign w:val="center"/>
          </w:tcPr>
          <w:p w14:paraId="1734045F">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w:t>
            </w:r>
          </w:p>
        </w:tc>
        <w:tc>
          <w:tcPr>
            <w:tcW w:w="2356" w:type="dxa"/>
            <w:vAlign w:val="center"/>
          </w:tcPr>
          <w:p w14:paraId="7BA790A8">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w:t>
            </w:r>
          </w:p>
        </w:tc>
        <w:tc>
          <w:tcPr>
            <w:tcW w:w="2193" w:type="dxa"/>
            <w:vAlign w:val="center"/>
          </w:tcPr>
          <w:p w14:paraId="429B6CC0">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w:t>
            </w:r>
          </w:p>
        </w:tc>
      </w:tr>
      <w:tr w14:paraId="14664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61" w:type="dxa"/>
            <w:vAlign w:val="center"/>
          </w:tcPr>
          <w:p w14:paraId="70B0C8EB">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固体废物</w:t>
            </w:r>
          </w:p>
        </w:tc>
        <w:tc>
          <w:tcPr>
            <w:tcW w:w="7394" w:type="dxa"/>
            <w:gridSpan w:val="4"/>
            <w:vAlign w:val="center"/>
          </w:tcPr>
          <w:p w14:paraId="328DE265">
            <w:pPr>
              <w:spacing w:line="240" w:lineRule="auto"/>
              <w:ind w:left="0" w:leftChars="0" w:firstLine="0" w:firstLineChars="0"/>
              <w:jc w:val="left"/>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生产废料、</w:t>
            </w:r>
            <w:r>
              <w:rPr>
                <w:rFonts w:hint="eastAsia" w:cs="Times New Roman"/>
                <w:snapToGrid w:val="0"/>
                <w:color w:val="auto"/>
                <w:sz w:val="24"/>
                <w:szCs w:val="24"/>
                <w:highlight w:val="none"/>
                <w:lang w:eastAsia="zh-CN"/>
              </w:rPr>
              <w:t>沉淀池泥沙收集后回用于生产工序</w:t>
            </w:r>
            <w:r>
              <w:rPr>
                <w:rFonts w:hint="default" w:ascii="Times New Roman" w:hAnsi="Times New Roman" w:cs="Times New Roman"/>
                <w:snapToGrid w:val="0"/>
                <w:color w:val="auto"/>
                <w:sz w:val="24"/>
                <w:szCs w:val="24"/>
                <w:highlight w:val="none"/>
                <w:lang w:eastAsia="zh-CN"/>
              </w:rPr>
              <w:t>；</w:t>
            </w:r>
            <w:r>
              <w:rPr>
                <w:rFonts w:hint="default" w:ascii="Times New Roman" w:hAnsi="Times New Roman" w:cs="Times New Roman"/>
                <w:snapToGrid w:val="0"/>
                <w:color w:val="auto"/>
                <w:sz w:val="24"/>
                <w:szCs w:val="24"/>
                <w:highlight w:val="none"/>
              </w:rPr>
              <w:t>除尘器收集后会产生粉尘，经过处理后可作为原料回用到生产中</w:t>
            </w:r>
            <w:r>
              <w:rPr>
                <w:rFonts w:hint="default" w:ascii="Times New Roman" w:hAnsi="Times New Roman" w:cs="Times New Roman"/>
                <w:snapToGrid w:val="0"/>
                <w:color w:val="auto"/>
                <w:sz w:val="24"/>
                <w:szCs w:val="24"/>
                <w:highlight w:val="none"/>
                <w:lang w:eastAsia="zh-CN"/>
              </w:rPr>
              <w:t>；</w:t>
            </w:r>
            <w:r>
              <w:rPr>
                <w:rFonts w:hint="eastAsia" w:cs="Times New Roman"/>
                <w:snapToGrid w:val="0"/>
                <w:color w:val="auto"/>
                <w:sz w:val="24"/>
                <w:szCs w:val="24"/>
                <w:highlight w:val="none"/>
                <w:lang w:eastAsia="zh-CN"/>
              </w:rPr>
              <w:t>废滤袋</w:t>
            </w:r>
            <w:r>
              <w:rPr>
                <w:snapToGrid w:val="0"/>
                <w:color w:val="auto"/>
                <w:sz w:val="24"/>
                <w:szCs w:val="24"/>
              </w:rPr>
              <w:t>由厂家更换时回收</w:t>
            </w:r>
            <w:r>
              <w:rPr>
                <w:rFonts w:hint="eastAsia"/>
                <w:snapToGrid w:val="0"/>
                <w:color w:val="auto"/>
                <w:sz w:val="24"/>
                <w:szCs w:val="24"/>
                <w:lang w:eastAsia="zh-CN"/>
              </w:rPr>
              <w:t>；</w:t>
            </w:r>
            <w:r>
              <w:rPr>
                <w:rFonts w:hint="default" w:ascii="Times New Roman" w:hAnsi="Times New Roman" w:cs="Times New Roman"/>
                <w:snapToGrid w:val="0"/>
                <w:color w:val="auto"/>
                <w:sz w:val="24"/>
                <w:szCs w:val="24"/>
                <w:highlight w:val="none"/>
              </w:rPr>
              <w:t>员工生活垃圾采用垃圾箱集中收集后定期由</w:t>
            </w:r>
            <w:r>
              <w:rPr>
                <w:rFonts w:hint="eastAsia" w:cs="Times New Roman"/>
                <w:snapToGrid w:val="0"/>
                <w:color w:val="auto"/>
                <w:sz w:val="24"/>
                <w:szCs w:val="24"/>
                <w:highlight w:val="none"/>
                <w:lang w:eastAsia="zh-CN"/>
              </w:rPr>
              <w:t>环卫部门</w:t>
            </w:r>
            <w:r>
              <w:rPr>
                <w:rFonts w:hint="default" w:ascii="Times New Roman" w:hAnsi="Times New Roman" w:cs="Times New Roman"/>
                <w:snapToGrid w:val="0"/>
                <w:color w:val="auto"/>
                <w:sz w:val="24"/>
                <w:szCs w:val="24"/>
                <w:highlight w:val="none"/>
              </w:rPr>
              <w:t>统一清运。</w:t>
            </w:r>
          </w:p>
        </w:tc>
      </w:tr>
      <w:tr w14:paraId="5BE8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61" w:type="dxa"/>
            <w:vAlign w:val="center"/>
          </w:tcPr>
          <w:p w14:paraId="3BBF5F09">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土壤及地下水污染防治措施</w:t>
            </w:r>
          </w:p>
        </w:tc>
        <w:tc>
          <w:tcPr>
            <w:tcW w:w="7394" w:type="dxa"/>
            <w:gridSpan w:val="4"/>
            <w:shd w:val="clear" w:color="auto" w:fill="auto"/>
            <w:vAlign w:val="center"/>
          </w:tcPr>
          <w:p w14:paraId="27C9E26E">
            <w:pPr>
              <w:pStyle w:val="46"/>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sz w:val="24"/>
                <w:szCs w:val="24"/>
                <w:highlight w:val="none"/>
                <w:lang w:val="en-US" w:eastAsia="zh-CN"/>
              </w:rPr>
              <w:t>厂区为简单防渗：</w:t>
            </w:r>
            <w:r>
              <w:rPr>
                <w:rFonts w:hint="default" w:ascii="Times New Roman" w:hAnsi="Times New Roman" w:eastAsia="宋体" w:cs="Times New Roman"/>
                <w:color w:val="auto"/>
                <w:sz w:val="24"/>
                <w:szCs w:val="24"/>
                <w:lang w:val="en-US" w:eastAsia="zh-CN"/>
              </w:rPr>
              <w:t>办公区、厂区道路、</w:t>
            </w:r>
            <w:r>
              <w:rPr>
                <w:rFonts w:hint="eastAsia" w:cs="Times New Roman"/>
                <w:color w:val="auto"/>
                <w:sz w:val="24"/>
                <w:szCs w:val="24"/>
                <w:lang w:val="en-US" w:eastAsia="zh-CN"/>
              </w:rPr>
              <w:t>砂石料棚</w:t>
            </w:r>
            <w:r>
              <w:rPr>
                <w:rFonts w:hint="default" w:ascii="Times New Roman" w:hAnsi="Times New Roman" w:eastAsia="宋体" w:cs="Times New Roman"/>
                <w:color w:val="auto"/>
                <w:sz w:val="24"/>
                <w:szCs w:val="24"/>
                <w:lang w:val="en-US" w:eastAsia="zh-CN"/>
              </w:rPr>
              <w:t>、搅拌机主楼</w:t>
            </w:r>
            <w:r>
              <w:rPr>
                <w:rFonts w:hint="eastAsia" w:cs="Times New Roman"/>
                <w:color w:val="auto"/>
                <w:sz w:val="24"/>
                <w:szCs w:val="24"/>
                <w:highlight w:val="none"/>
                <w:lang w:val="en-US" w:eastAsia="zh-CN"/>
              </w:rPr>
              <w:t>进行硬化处理，C30抗渗等级为P6的混凝土</w:t>
            </w:r>
            <w:r>
              <w:rPr>
                <w:rFonts w:hint="default" w:ascii="Times New Roman" w:hAnsi="Times New Roman" w:eastAsia="宋体" w:cs="Times New Roman"/>
                <w:color w:val="auto"/>
                <w:sz w:val="24"/>
                <w:szCs w:val="24"/>
              </w:rPr>
              <w:t>铺设15cm水泥地面</w:t>
            </w:r>
            <w:r>
              <w:rPr>
                <w:rFonts w:hint="eastAsia" w:cs="Times New Roman"/>
                <w:color w:val="auto"/>
                <w:sz w:val="24"/>
                <w:szCs w:val="24"/>
                <w:highlight w:val="none"/>
                <w:lang w:val="en-US" w:eastAsia="zh-CN"/>
              </w:rPr>
              <w:t>，等效黏土防渗层Mb≥1.5m（渗透系数≤10</w:t>
            </w:r>
            <w:r>
              <w:rPr>
                <w:rFonts w:hint="eastAsia" w:cs="Times New Roman"/>
                <w:color w:val="auto"/>
                <w:sz w:val="24"/>
                <w:szCs w:val="24"/>
                <w:highlight w:val="none"/>
                <w:vertAlign w:val="superscript"/>
                <w:lang w:val="en-US" w:eastAsia="zh-CN"/>
              </w:rPr>
              <w:t>-7</w:t>
            </w:r>
            <w:r>
              <w:rPr>
                <w:rFonts w:hint="eastAsia" w:cs="Times New Roman"/>
                <w:color w:val="auto"/>
                <w:sz w:val="24"/>
                <w:szCs w:val="24"/>
                <w:highlight w:val="none"/>
                <w:lang w:val="en-US" w:eastAsia="zh-CN"/>
              </w:rPr>
              <w:t>cm/s）。化粪池、沉淀池为一般防渗：</w:t>
            </w:r>
            <w:r>
              <w:rPr>
                <w:rFonts w:hint="default" w:ascii="Times New Roman" w:hAnsi="Times New Roman" w:cs="Times New Roman"/>
                <w:color w:val="auto"/>
                <w:sz w:val="24"/>
                <w:szCs w:val="24"/>
                <w:highlight w:val="none"/>
              </w:rPr>
              <w:t>化粪池、沉淀池</w:t>
            </w:r>
            <w:r>
              <w:rPr>
                <w:rFonts w:hint="eastAsia" w:cs="Times New Roman"/>
                <w:color w:val="auto"/>
                <w:sz w:val="24"/>
                <w:szCs w:val="24"/>
                <w:highlight w:val="none"/>
                <w:lang w:eastAsia="zh-CN"/>
              </w:rPr>
              <w:t>主体为</w:t>
            </w:r>
            <w:r>
              <w:rPr>
                <w:rFonts w:hint="eastAsia" w:cs="Times New Roman"/>
                <w:color w:val="auto"/>
                <w:sz w:val="24"/>
                <w:szCs w:val="24"/>
                <w:highlight w:val="none"/>
                <w:lang w:val="en-US" w:eastAsia="zh-CN"/>
              </w:rPr>
              <w:t>30cm厚的C30抗渗等级为P6的混凝土结构，内部抹防水砂浆，等效黏土防渗层Mb≥6.0m（渗透系数≤10</w:t>
            </w:r>
            <w:r>
              <w:rPr>
                <w:rFonts w:hint="eastAsia" w:cs="Times New Roman"/>
                <w:color w:val="auto"/>
                <w:sz w:val="24"/>
                <w:szCs w:val="24"/>
                <w:highlight w:val="none"/>
                <w:vertAlign w:val="superscript"/>
                <w:lang w:val="en-US" w:eastAsia="zh-CN"/>
              </w:rPr>
              <w:t>-7</w:t>
            </w:r>
            <w:r>
              <w:rPr>
                <w:rFonts w:hint="eastAsia" w:cs="Times New Roman"/>
                <w:color w:val="auto"/>
                <w:sz w:val="24"/>
                <w:szCs w:val="24"/>
                <w:highlight w:val="none"/>
                <w:lang w:val="en-US" w:eastAsia="zh-CN"/>
              </w:rPr>
              <w:t>cm/s）</w:t>
            </w:r>
            <w:r>
              <w:rPr>
                <w:rFonts w:hint="eastAsia" w:cs="Times New Roman"/>
                <w:color w:val="auto"/>
                <w:sz w:val="24"/>
                <w:szCs w:val="24"/>
                <w:highlight w:val="none"/>
                <w:lang w:eastAsia="zh-CN"/>
              </w:rPr>
              <w:t>。</w:t>
            </w:r>
          </w:p>
        </w:tc>
      </w:tr>
      <w:tr w14:paraId="30CA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261" w:type="dxa"/>
            <w:vAlign w:val="center"/>
          </w:tcPr>
          <w:p w14:paraId="44A40ECD">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生态保护措施</w:t>
            </w:r>
          </w:p>
        </w:tc>
        <w:tc>
          <w:tcPr>
            <w:tcW w:w="7394" w:type="dxa"/>
            <w:gridSpan w:val="4"/>
            <w:vAlign w:val="center"/>
          </w:tcPr>
          <w:p w14:paraId="7D87672B">
            <w:pPr>
              <w:ind w:left="0" w:leftChars="0" w:firstLine="0" w:firstLineChars="0"/>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本项目用地范围内</w:t>
            </w:r>
            <w:r>
              <w:rPr>
                <w:rFonts w:hint="default" w:ascii="Times New Roman" w:hAnsi="Times New Roman" w:cs="Times New Roman"/>
                <w:snapToGrid w:val="0"/>
                <w:color w:val="auto"/>
                <w:sz w:val="24"/>
                <w:szCs w:val="24"/>
                <w:highlight w:val="none"/>
                <w:lang w:eastAsia="zh-CN"/>
              </w:rPr>
              <w:t>无</w:t>
            </w:r>
            <w:r>
              <w:rPr>
                <w:rFonts w:hint="default" w:ascii="Times New Roman" w:hAnsi="Times New Roman" w:cs="Times New Roman"/>
                <w:snapToGrid w:val="0"/>
                <w:color w:val="auto"/>
                <w:sz w:val="24"/>
                <w:szCs w:val="24"/>
                <w:highlight w:val="none"/>
              </w:rPr>
              <w:t>生态环境保护目标，运营期对生态环境影响很小。</w:t>
            </w:r>
          </w:p>
        </w:tc>
      </w:tr>
      <w:tr w14:paraId="6216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261" w:type="dxa"/>
            <w:vAlign w:val="center"/>
          </w:tcPr>
          <w:p w14:paraId="47B0721C">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环境风险防范措施</w:t>
            </w:r>
          </w:p>
        </w:tc>
        <w:tc>
          <w:tcPr>
            <w:tcW w:w="7394" w:type="dxa"/>
            <w:gridSpan w:val="4"/>
            <w:vAlign w:val="center"/>
          </w:tcPr>
          <w:p w14:paraId="730C4F1F">
            <w:pPr>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w:t>
            </w:r>
          </w:p>
        </w:tc>
      </w:tr>
      <w:tr w14:paraId="31DA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1261" w:type="dxa"/>
            <w:vAlign w:val="center"/>
          </w:tcPr>
          <w:p w14:paraId="15B15F7A">
            <w:pPr>
              <w:spacing w:line="240" w:lineRule="auto"/>
              <w:ind w:firstLine="0" w:firstLineChars="0"/>
              <w:jc w:val="center"/>
              <w:rPr>
                <w:rFonts w:hint="default" w:ascii="Times New Roman" w:hAnsi="Times New Roman" w:cs="Times New Roman"/>
                <w:snapToGrid w:val="0"/>
                <w:color w:val="auto"/>
                <w:sz w:val="24"/>
                <w:szCs w:val="24"/>
                <w:highlight w:val="none"/>
              </w:rPr>
            </w:pPr>
            <w:r>
              <w:rPr>
                <w:rFonts w:hint="default" w:ascii="Times New Roman" w:hAnsi="Times New Roman" w:cs="Times New Roman"/>
                <w:snapToGrid w:val="0"/>
                <w:color w:val="auto"/>
                <w:sz w:val="24"/>
                <w:szCs w:val="24"/>
                <w:highlight w:val="none"/>
              </w:rPr>
              <w:t>其他环境管理要求</w:t>
            </w:r>
          </w:p>
        </w:tc>
        <w:tc>
          <w:tcPr>
            <w:tcW w:w="7394" w:type="dxa"/>
            <w:gridSpan w:val="4"/>
            <w:vAlign w:val="center"/>
          </w:tcPr>
          <w:p w14:paraId="6E725EAE">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环境保护管理：</w:t>
            </w:r>
          </w:p>
          <w:p w14:paraId="01B3A7A9">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①设置专职环保人员，负责本项目环境保护工作，健全环保管理制度，督促检查本项目执行国家环境保护方针政策法规及制定的环境管理制度情况；</w:t>
            </w:r>
          </w:p>
          <w:p w14:paraId="3E07A68B">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②明确各层管理机构环保人员职责，健全污染防治设施操作规程；对各项污染防治设施定期检查，要确保污染防治治理设施正常运行； </w:t>
            </w:r>
          </w:p>
          <w:p w14:paraId="2D38E4BE">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③加强环境法规培训，以提高全体员工的环境意识；</w:t>
            </w:r>
          </w:p>
          <w:p w14:paraId="54175972">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④负责全厂环保资料档案管理工作，包括污染设施运行记录，污染物排放量，生活垃圾处置记录等。</w:t>
            </w:r>
          </w:p>
          <w:p w14:paraId="26894E01">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污染治理设施管理：</w:t>
            </w:r>
          </w:p>
          <w:p w14:paraId="761F9B8D">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①对污染治理设施的管理，必须</w:t>
            </w:r>
            <w:r>
              <w:rPr>
                <w:rFonts w:hint="default" w:ascii="Times New Roman" w:hAnsi="Times New Roman" w:cs="Times New Roman"/>
                <w:color w:val="auto"/>
                <w:sz w:val="24"/>
                <w:szCs w:val="24"/>
                <w:highlight w:val="none"/>
                <w:lang w:eastAsia="zh-CN"/>
              </w:rPr>
              <w:t>与</w:t>
            </w:r>
            <w:r>
              <w:rPr>
                <w:rFonts w:hint="default" w:ascii="Times New Roman" w:hAnsi="Times New Roman" w:cs="Times New Roman"/>
                <w:color w:val="auto"/>
                <w:sz w:val="24"/>
                <w:szCs w:val="24"/>
                <w:highlight w:val="none"/>
              </w:rPr>
              <w:t>生产经营活动一起纳入企业的日常管理中，要建立岗位责任制，制定操作规程，建立管理台账；</w:t>
            </w:r>
          </w:p>
          <w:p w14:paraId="2CD7F38C">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②依照本项目的实际情况，运营期监测委托有资质单位进行检测</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按照计划，对项目</w:t>
            </w:r>
            <w:r>
              <w:rPr>
                <w:rFonts w:hint="default" w:ascii="Times New Roman" w:hAnsi="Times New Roman" w:cs="Times New Roman"/>
                <w:color w:val="auto"/>
                <w:sz w:val="24"/>
                <w:szCs w:val="24"/>
                <w:highlight w:val="none"/>
                <w:lang w:eastAsia="zh-CN"/>
              </w:rPr>
              <w:t>各</w:t>
            </w:r>
            <w:r>
              <w:rPr>
                <w:rFonts w:hint="default" w:ascii="Times New Roman" w:hAnsi="Times New Roman" w:cs="Times New Roman"/>
                <w:color w:val="auto"/>
                <w:sz w:val="24"/>
                <w:szCs w:val="24"/>
                <w:highlight w:val="none"/>
              </w:rPr>
              <w:t>排污口进行常规监测。</w:t>
            </w:r>
          </w:p>
          <w:p w14:paraId="24787941">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与排污许可证制度衔接</w:t>
            </w:r>
          </w:p>
          <w:p w14:paraId="46441646">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根据《关于做好环境影响评价制度与排污许可</w:t>
            </w:r>
            <w:r>
              <w:rPr>
                <w:rFonts w:hint="default" w:ascii="Times New Roman" w:hAnsi="Times New Roman" w:cs="Times New Roman"/>
                <w:color w:val="auto"/>
                <w:sz w:val="24"/>
                <w:szCs w:val="24"/>
                <w:highlight w:val="none"/>
                <w:lang w:eastAsia="zh-CN"/>
              </w:rPr>
              <w:t>制度</w:t>
            </w:r>
            <w:r>
              <w:rPr>
                <w:rFonts w:hint="default" w:ascii="Times New Roman" w:hAnsi="Times New Roman" w:cs="Times New Roman"/>
                <w:color w:val="auto"/>
                <w:sz w:val="24"/>
                <w:szCs w:val="24"/>
                <w:highlight w:val="none"/>
              </w:rPr>
              <w:t>衔接相关工作的通知》（环办环评〔2017〕84 号）及《固定污染源排污</w:t>
            </w:r>
            <w:r>
              <w:rPr>
                <w:rFonts w:hint="default" w:ascii="Times New Roman" w:hAnsi="Times New Roman" w:cs="Times New Roman"/>
                <w:color w:val="auto"/>
                <w:sz w:val="24"/>
                <w:szCs w:val="24"/>
                <w:highlight w:val="none"/>
                <w:lang w:eastAsia="zh-CN"/>
              </w:rPr>
              <w:t>许可</w:t>
            </w:r>
            <w:r>
              <w:rPr>
                <w:rFonts w:hint="default" w:ascii="Times New Roman" w:hAnsi="Times New Roman" w:cs="Times New Roman"/>
                <w:color w:val="auto"/>
                <w:sz w:val="24"/>
                <w:szCs w:val="24"/>
                <w:highlight w:val="none"/>
              </w:rPr>
              <w:t>分类管理名录（2019 年版）》（生态环境部令 第 11 号），本项目属于</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二十五、非金属矿物制品业30—石膏、水泥制品及类似制品制造302，水泥制品制造3021</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属于排污登记管理类别。新建排污单位应当在启动生产设施或者发生实际排污之前申请取得排污许可证或者填报排污登记表，现有排污单位应当在生态环境部规定的实施时限内申请取得排污许可证或者填报排污登记表。</w:t>
            </w:r>
          </w:p>
          <w:p w14:paraId="18EFF90E">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竣工环保验收要求</w:t>
            </w:r>
          </w:p>
          <w:p w14:paraId="1201DA0E">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根据《建设项目竣工环境保护验收暂行办法》的规定，建设项目竣工后，建设单位应当如实查验、监测、记载建设项目环境保护设施的建设和调试情况，并编制验收监测报告。</w:t>
            </w:r>
          </w:p>
          <w:p w14:paraId="0096B4FF">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p>
          <w:p w14:paraId="75211D46">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p>
          <w:p w14:paraId="610E388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color w:val="auto"/>
                <w:sz w:val="24"/>
                <w:szCs w:val="24"/>
                <w:highlight w:val="none"/>
              </w:rPr>
            </w:pPr>
          </w:p>
          <w:p w14:paraId="72E4B47F">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p>
          <w:p w14:paraId="3598687B">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color w:val="auto"/>
                <w:sz w:val="24"/>
                <w:szCs w:val="24"/>
                <w:highlight w:val="none"/>
              </w:rPr>
            </w:pPr>
          </w:p>
          <w:p w14:paraId="482A1A9D">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p>
          <w:p w14:paraId="4B610E5B">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p>
          <w:p w14:paraId="5F741DBB">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p>
          <w:p w14:paraId="2CF04395">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color w:val="auto"/>
                <w:sz w:val="24"/>
                <w:szCs w:val="24"/>
                <w:highlight w:val="none"/>
              </w:rPr>
            </w:pPr>
          </w:p>
          <w:p w14:paraId="749C9AEE">
            <w:pPr>
              <w:keepNext w:val="0"/>
              <w:keepLines w:val="0"/>
              <w:pageBreakBefore w:val="0"/>
              <w:widowControl/>
              <w:kinsoku/>
              <w:wordWrap/>
              <w:overflowPunct/>
              <w:topLinePunct w:val="0"/>
              <w:autoSpaceDE/>
              <w:autoSpaceDN/>
              <w:bidi w:val="0"/>
              <w:adjustRightInd/>
              <w:snapToGrid/>
              <w:spacing w:line="240" w:lineRule="auto"/>
              <w:ind w:firstLine="480"/>
              <w:textAlignment w:val="auto"/>
              <w:rPr>
                <w:rFonts w:hint="default" w:ascii="Times New Roman" w:hAnsi="Times New Roman" w:cs="Times New Roman"/>
                <w:snapToGrid w:val="0"/>
                <w:color w:val="auto"/>
                <w:sz w:val="24"/>
                <w:szCs w:val="24"/>
                <w:highlight w:val="none"/>
              </w:rPr>
            </w:pPr>
          </w:p>
        </w:tc>
      </w:tr>
    </w:tbl>
    <w:p w14:paraId="66998815">
      <w:pPr>
        <w:rPr>
          <w:rFonts w:hint="default" w:ascii="Times New Roman" w:hAnsi="Times New Roman" w:cs="Times New Roman"/>
          <w:snapToGrid w:val="0"/>
          <w:color w:val="auto"/>
          <w:highlight w:val="none"/>
        </w:rPr>
      </w:pPr>
      <w:bookmarkStart w:id="14" w:name="_Toc144507130"/>
      <w:r>
        <w:rPr>
          <w:rFonts w:hint="default" w:ascii="Times New Roman" w:hAnsi="Times New Roman" w:cs="Times New Roman"/>
          <w:snapToGrid w:val="0"/>
          <w:color w:val="auto"/>
          <w:highlight w:val="none"/>
        </w:rPr>
        <w:br w:type="page"/>
      </w:r>
    </w:p>
    <w:p w14:paraId="6015EE03">
      <w:pPr>
        <w:pStyle w:val="3"/>
        <w:jc w:val="center"/>
        <w:rPr>
          <w:rFonts w:hint="default" w:ascii="Times New Roman" w:hAnsi="Times New Roman" w:eastAsia="宋体" w:cs="Times New Roman"/>
          <w:snapToGrid w:val="0"/>
          <w:color w:val="auto"/>
          <w:highlight w:val="none"/>
        </w:rPr>
      </w:pPr>
      <w:r>
        <w:rPr>
          <w:rFonts w:hint="default" w:ascii="Times New Roman" w:hAnsi="Times New Roman" w:eastAsia="宋体" w:cs="Times New Roman"/>
          <w:snapToGrid w:val="0"/>
          <w:color w:val="auto"/>
          <w:highlight w:val="none"/>
        </w:rPr>
        <w:t>六、结论</w:t>
      </w:r>
      <w:bookmarkEnd w:id="14"/>
    </w:p>
    <w:tbl>
      <w:tblPr>
        <w:tblStyle w:val="23"/>
        <w:tblW w:w="871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15"/>
      </w:tblGrid>
      <w:tr w14:paraId="280011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715" w:type="dxa"/>
          </w:tcPr>
          <w:p w14:paraId="7637BC4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本项目建设符合国家产业政策，选址合理。项目施工期和运营期不可避免地会对周围环境产生影响。在认真落实本报告中提出的各项污染防治措施及建议的前提下，加强环境管理，</w:t>
            </w:r>
            <w:r>
              <w:rPr>
                <w:rFonts w:hint="default" w:ascii="Times New Roman" w:hAnsi="Times New Roman" w:cs="Times New Roman"/>
                <w:color w:val="auto"/>
                <w:highlight w:val="none"/>
                <w:lang w:eastAsia="zh-CN"/>
              </w:rPr>
              <w:t>使</w:t>
            </w:r>
            <w:r>
              <w:rPr>
                <w:rFonts w:hint="default" w:ascii="Times New Roman" w:hAnsi="Times New Roman" w:cs="Times New Roman"/>
                <w:color w:val="auto"/>
                <w:highlight w:val="none"/>
              </w:rPr>
              <w:t>废气、废水、噪声、固废等污染物对周围环境的影响能够控制在可接受范围内。从环境保护</w:t>
            </w:r>
            <w:r>
              <w:rPr>
                <w:rFonts w:hint="default" w:ascii="Times New Roman" w:hAnsi="Times New Roman" w:cs="Times New Roman"/>
                <w:color w:val="auto"/>
                <w:highlight w:val="none"/>
                <w:lang w:eastAsia="zh-CN"/>
              </w:rPr>
              <w:t>的</w:t>
            </w:r>
            <w:r>
              <w:rPr>
                <w:rFonts w:hint="default" w:ascii="Times New Roman" w:hAnsi="Times New Roman" w:cs="Times New Roman"/>
                <w:color w:val="auto"/>
                <w:highlight w:val="none"/>
              </w:rPr>
              <w:t>角度分析，该建设项目可行。</w:t>
            </w:r>
          </w:p>
        </w:tc>
      </w:tr>
    </w:tbl>
    <w:p w14:paraId="7B43E736">
      <w:pPr>
        <w:pStyle w:val="3"/>
        <w:ind w:firstLine="640"/>
        <w:rPr>
          <w:rFonts w:hint="default" w:ascii="Times New Roman" w:hAnsi="Times New Roman" w:cs="Times New Roman"/>
          <w:color w:val="auto"/>
          <w:highlight w:val="none"/>
        </w:rPr>
        <w:sectPr>
          <w:pgSz w:w="11906" w:h="16838"/>
          <w:pgMar w:top="1440" w:right="1800" w:bottom="1440" w:left="1800" w:header="992" w:footer="992" w:gutter="0"/>
          <w:pgBorders>
            <w:top w:val="none" w:sz="0" w:space="0"/>
            <w:left w:val="none" w:sz="0" w:space="0"/>
            <w:bottom w:val="none" w:sz="0" w:space="0"/>
            <w:right w:val="none" w:sz="0" w:space="0"/>
          </w:pgBorders>
          <w:cols w:space="425" w:num="1"/>
          <w:docGrid w:type="lines" w:linePitch="312" w:charSpace="0"/>
        </w:sectPr>
      </w:pPr>
    </w:p>
    <w:p w14:paraId="0B588268">
      <w:pPr>
        <w:ind w:firstLine="0" w:firstLineChars="0"/>
        <w:outlineLvl w:val="0"/>
        <w:rPr>
          <w:rFonts w:hint="default" w:ascii="Times New Roman" w:hAnsi="Times New Roman" w:eastAsia="黑体" w:cs="Times New Roman"/>
          <w:snapToGrid w:val="0"/>
          <w:color w:val="auto"/>
          <w:sz w:val="32"/>
          <w:szCs w:val="32"/>
          <w:highlight w:val="none"/>
        </w:rPr>
      </w:pPr>
      <w:bookmarkStart w:id="15" w:name="_Toc144507131"/>
      <w:r>
        <w:rPr>
          <w:rFonts w:hint="default" w:ascii="Times New Roman" w:hAnsi="Times New Roman" w:eastAsia="黑体" w:cs="Times New Roman"/>
          <w:snapToGrid w:val="0"/>
          <w:color w:val="auto"/>
          <w:sz w:val="32"/>
          <w:szCs w:val="32"/>
          <w:highlight w:val="none"/>
        </w:rPr>
        <w:t>附表</w:t>
      </w:r>
      <w:bookmarkEnd w:id="15"/>
    </w:p>
    <w:p w14:paraId="335E497F">
      <w:pPr>
        <w:bidi w:val="0"/>
        <w:ind w:left="0" w:leftChars="0" w:firstLine="0" w:firstLineChars="0"/>
        <w:jc w:val="center"/>
        <w:rPr>
          <w:rFonts w:hint="default" w:ascii="Times New Roman" w:hAnsi="Times New Roman" w:cs="Times New Roman"/>
          <w:b/>
          <w:bCs/>
          <w:color w:val="auto"/>
          <w:sz w:val="32"/>
          <w:szCs w:val="32"/>
          <w:highlight w:val="none"/>
        </w:rPr>
      </w:pPr>
      <w:bookmarkStart w:id="16" w:name="_Toc144507132"/>
      <w:r>
        <w:rPr>
          <w:rFonts w:hint="default" w:ascii="Times New Roman" w:hAnsi="Times New Roman" w:cs="Times New Roman"/>
          <w:b/>
          <w:bCs/>
          <w:color w:val="auto"/>
          <w:sz w:val="32"/>
          <w:szCs w:val="32"/>
          <w:highlight w:val="none"/>
        </w:rPr>
        <w:t>建设项目污染物排放量汇总表</w:t>
      </w:r>
      <w:bookmarkEnd w:id="16"/>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7"/>
        <w:gridCol w:w="753"/>
        <w:gridCol w:w="1349"/>
        <w:gridCol w:w="1756"/>
        <w:gridCol w:w="1274"/>
        <w:gridCol w:w="1682"/>
        <w:gridCol w:w="1830"/>
        <w:gridCol w:w="1873"/>
        <w:gridCol w:w="1892"/>
        <w:gridCol w:w="1419"/>
      </w:tblGrid>
      <w:tr w14:paraId="08D5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17" w:type="dxa"/>
            <w:tcBorders>
              <w:tl2br w:val="nil"/>
              <w:tr2bl w:val="nil"/>
            </w:tcBorders>
            <w:tcMar>
              <w:left w:w="28" w:type="dxa"/>
              <w:right w:w="28" w:type="dxa"/>
            </w:tcMar>
            <w:vAlign w:val="center"/>
          </w:tcPr>
          <w:p w14:paraId="60BD997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项目</w:t>
            </w:r>
          </w:p>
          <w:p w14:paraId="2E196FEF">
            <w:pPr>
              <w:pStyle w:val="46"/>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分类</w:t>
            </w:r>
          </w:p>
        </w:tc>
        <w:tc>
          <w:tcPr>
            <w:tcW w:w="2102" w:type="dxa"/>
            <w:gridSpan w:val="2"/>
            <w:tcBorders>
              <w:tl2br w:val="nil"/>
              <w:tr2bl w:val="nil"/>
            </w:tcBorders>
            <w:tcMar>
              <w:left w:w="28" w:type="dxa"/>
              <w:right w:w="28" w:type="dxa"/>
            </w:tcMar>
            <w:vAlign w:val="center"/>
          </w:tcPr>
          <w:p w14:paraId="2CCC2CB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污染物名称</w:t>
            </w:r>
          </w:p>
        </w:tc>
        <w:tc>
          <w:tcPr>
            <w:tcW w:w="1756" w:type="dxa"/>
            <w:tcBorders>
              <w:tl2br w:val="nil"/>
              <w:tr2bl w:val="nil"/>
            </w:tcBorders>
            <w:tcMar>
              <w:left w:w="28" w:type="dxa"/>
              <w:right w:w="28" w:type="dxa"/>
            </w:tcMar>
            <w:vAlign w:val="center"/>
          </w:tcPr>
          <w:p w14:paraId="4763018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现有工程排放量（固体废物产生量）</w:t>
            </w: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1 \* GB3 \* MERGEFORMAT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①</w:t>
            </w:r>
            <w:r>
              <w:rPr>
                <w:rFonts w:hint="default" w:ascii="Times New Roman" w:hAnsi="Times New Roman" w:cs="Times New Roman"/>
                <w:color w:val="auto"/>
                <w:sz w:val="21"/>
                <w:szCs w:val="21"/>
                <w:highlight w:val="none"/>
              </w:rPr>
              <w:fldChar w:fldCharType="end"/>
            </w:r>
          </w:p>
        </w:tc>
        <w:tc>
          <w:tcPr>
            <w:tcW w:w="1274" w:type="dxa"/>
            <w:tcBorders>
              <w:tl2br w:val="nil"/>
              <w:tr2bl w:val="nil"/>
            </w:tcBorders>
            <w:tcMar>
              <w:left w:w="28" w:type="dxa"/>
              <w:right w:w="28" w:type="dxa"/>
            </w:tcMar>
            <w:vAlign w:val="center"/>
          </w:tcPr>
          <w:p w14:paraId="05984E8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现有工程许可排放量</w:t>
            </w: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2 \* GB3 \* MERGEFORMAT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②</w:t>
            </w:r>
            <w:r>
              <w:rPr>
                <w:rFonts w:hint="default" w:ascii="Times New Roman" w:hAnsi="Times New Roman" w:cs="Times New Roman"/>
                <w:color w:val="auto"/>
                <w:sz w:val="21"/>
                <w:szCs w:val="21"/>
                <w:highlight w:val="none"/>
              </w:rPr>
              <w:fldChar w:fldCharType="end"/>
            </w:r>
          </w:p>
        </w:tc>
        <w:tc>
          <w:tcPr>
            <w:tcW w:w="1682" w:type="dxa"/>
            <w:tcBorders>
              <w:tl2br w:val="nil"/>
              <w:tr2bl w:val="nil"/>
            </w:tcBorders>
            <w:tcMar>
              <w:left w:w="28" w:type="dxa"/>
              <w:right w:w="28" w:type="dxa"/>
            </w:tcMar>
            <w:vAlign w:val="center"/>
          </w:tcPr>
          <w:p w14:paraId="0E206F6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在建工程排放量（固体废物产生量）</w:t>
            </w: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3 \* GB3 \* MERGEFORMAT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③</w:t>
            </w:r>
            <w:r>
              <w:rPr>
                <w:rFonts w:hint="default" w:ascii="Times New Roman" w:hAnsi="Times New Roman" w:cs="Times New Roman"/>
                <w:color w:val="auto"/>
                <w:sz w:val="21"/>
                <w:szCs w:val="21"/>
                <w:highlight w:val="none"/>
              </w:rPr>
              <w:fldChar w:fldCharType="end"/>
            </w:r>
          </w:p>
        </w:tc>
        <w:tc>
          <w:tcPr>
            <w:tcW w:w="1830" w:type="dxa"/>
            <w:tcBorders>
              <w:tl2br w:val="nil"/>
              <w:tr2bl w:val="nil"/>
            </w:tcBorders>
            <w:tcMar>
              <w:left w:w="28" w:type="dxa"/>
              <w:right w:w="28" w:type="dxa"/>
            </w:tcMar>
            <w:vAlign w:val="center"/>
          </w:tcPr>
          <w:p w14:paraId="21156B5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本项目排放量（固体废物产生量）</w:t>
            </w: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4 \* GB3 \* MERGEFORMAT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④</w:t>
            </w:r>
            <w:r>
              <w:rPr>
                <w:rFonts w:hint="default" w:ascii="Times New Roman" w:hAnsi="Times New Roman" w:cs="Times New Roman"/>
                <w:color w:val="auto"/>
                <w:sz w:val="21"/>
                <w:szCs w:val="21"/>
                <w:highlight w:val="none"/>
              </w:rPr>
              <w:fldChar w:fldCharType="end"/>
            </w:r>
          </w:p>
        </w:tc>
        <w:tc>
          <w:tcPr>
            <w:tcW w:w="1873" w:type="dxa"/>
            <w:tcBorders>
              <w:tl2br w:val="nil"/>
              <w:tr2bl w:val="nil"/>
            </w:tcBorders>
            <w:tcMar>
              <w:left w:w="28" w:type="dxa"/>
              <w:right w:w="28" w:type="dxa"/>
            </w:tcMar>
            <w:vAlign w:val="center"/>
          </w:tcPr>
          <w:p w14:paraId="4D934D0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以新带老削减量（新建项目不填）</w:t>
            </w: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5 \* GB3 \* MERGEFORMAT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⑤</w:t>
            </w:r>
            <w:r>
              <w:rPr>
                <w:rFonts w:hint="default" w:ascii="Times New Roman" w:hAnsi="Times New Roman" w:cs="Times New Roman"/>
                <w:color w:val="auto"/>
                <w:sz w:val="21"/>
                <w:szCs w:val="21"/>
                <w:highlight w:val="none"/>
              </w:rPr>
              <w:fldChar w:fldCharType="end"/>
            </w:r>
          </w:p>
        </w:tc>
        <w:tc>
          <w:tcPr>
            <w:tcW w:w="1892" w:type="dxa"/>
            <w:tcBorders>
              <w:tl2br w:val="nil"/>
              <w:tr2bl w:val="nil"/>
            </w:tcBorders>
            <w:tcMar>
              <w:left w:w="28" w:type="dxa"/>
              <w:right w:w="28" w:type="dxa"/>
            </w:tcMar>
            <w:vAlign w:val="center"/>
          </w:tcPr>
          <w:p w14:paraId="24E66BC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本项目建成后全厂排放量（固体废物产生量）</w:t>
            </w: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6 \* GB3 \* MERGEFORMAT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⑥</w:t>
            </w:r>
            <w:r>
              <w:rPr>
                <w:rFonts w:hint="default" w:ascii="Times New Roman" w:hAnsi="Times New Roman" w:cs="Times New Roman"/>
                <w:color w:val="auto"/>
                <w:sz w:val="21"/>
                <w:szCs w:val="21"/>
                <w:highlight w:val="none"/>
              </w:rPr>
              <w:fldChar w:fldCharType="end"/>
            </w:r>
          </w:p>
        </w:tc>
        <w:tc>
          <w:tcPr>
            <w:tcW w:w="1419" w:type="dxa"/>
            <w:tcBorders>
              <w:tl2br w:val="nil"/>
              <w:tr2bl w:val="nil"/>
            </w:tcBorders>
            <w:tcMar>
              <w:left w:w="28" w:type="dxa"/>
              <w:right w:w="28" w:type="dxa"/>
            </w:tcMar>
            <w:vAlign w:val="center"/>
          </w:tcPr>
          <w:p w14:paraId="028875E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变化量</w:t>
            </w: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7 \* GB3 \* MERGEFORMAT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⑦</w:t>
            </w:r>
            <w:r>
              <w:rPr>
                <w:rFonts w:hint="default" w:ascii="Times New Roman" w:hAnsi="Times New Roman" w:cs="Times New Roman"/>
                <w:color w:val="auto"/>
                <w:sz w:val="21"/>
                <w:szCs w:val="21"/>
                <w:highlight w:val="none"/>
              </w:rPr>
              <w:fldChar w:fldCharType="end"/>
            </w:r>
          </w:p>
        </w:tc>
      </w:tr>
      <w:tr w14:paraId="3AE0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617" w:type="dxa"/>
            <w:vMerge w:val="restart"/>
            <w:tcBorders>
              <w:tl2br w:val="nil"/>
              <w:tr2bl w:val="nil"/>
            </w:tcBorders>
            <w:vAlign w:val="center"/>
          </w:tcPr>
          <w:p w14:paraId="60F3B4E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w:t>
            </w:r>
          </w:p>
        </w:tc>
        <w:tc>
          <w:tcPr>
            <w:tcW w:w="753" w:type="dxa"/>
            <w:vMerge w:val="restart"/>
            <w:tcBorders>
              <w:tl2br w:val="nil"/>
              <w:tr2bl w:val="nil"/>
            </w:tcBorders>
            <w:vAlign w:val="center"/>
          </w:tcPr>
          <w:p w14:paraId="2FEAE87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1349" w:type="dxa"/>
            <w:tcBorders>
              <w:tl2br w:val="nil"/>
              <w:tr2bl w:val="nil"/>
            </w:tcBorders>
            <w:vAlign w:val="center"/>
          </w:tcPr>
          <w:p w14:paraId="438EAA05">
            <w:pPr>
              <w:pStyle w:val="46"/>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有组织</w:t>
            </w:r>
          </w:p>
        </w:tc>
        <w:tc>
          <w:tcPr>
            <w:tcW w:w="1756" w:type="dxa"/>
            <w:tcBorders>
              <w:tl2br w:val="nil"/>
              <w:tr2bl w:val="nil"/>
            </w:tcBorders>
            <w:vAlign w:val="center"/>
          </w:tcPr>
          <w:p w14:paraId="2716240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74" w:type="dxa"/>
            <w:tcBorders>
              <w:tl2br w:val="nil"/>
              <w:tr2bl w:val="nil"/>
            </w:tcBorders>
            <w:vAlign w:val="center"/>
          </w:tcPr>
          <w:p w14:paraId="2E5F955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682" w:type="dxa"/>
            <w:tcBorders>
              <w:tl2br w:val="nil"/>
              <w:tr2bl w:val="nil"/>
            </w:tcBorders>
            <w:vAlign w:val="center"/>
          </w:tcPr>
          <w:p w14:paraId="57510E8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30" w:type="dxa"/>
            <w:tcBorders>
              <w:tl2br w:val="nil"/>
              <w:tr2bl w:val="nil"/>
            </w:tcBorders>
            <w:vAlign w:val="center"/>
          </w:tcPr>
          <w:p w14:paraId="3575EE7E">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0.26</w:t>
            </w:r>
            <w:r>
              <w:rPr>
                <w:rFonts w:hint="default" w:ascii="Times New Roman" w:hAnsi="Times New Roman" w:cs="Times New Roman"/>
                <w:color w:val="auto"/>
                <w:sz w:val="21"/>
                <w:szCs w:val="21"/>
                <w:highlight w:val="none"/>
              </w:rPr>
              <w:t>t/a</w:t>
            </w:r>
          </w:p>
        </w:tc>
        <w:tc>
          <w:tcPr>
            <w:tcW w:w="1873" w:type="dxa"/>
            <w:tcBorders>
              <w:tl2br w:val="nil"/>
              <w:tr2bl w:val="nil"/>
            </w:tcBorders>
            <w:vAlign w:val="center"/>
          </w:tcPr>
          <w:p w14:paraId="2B9EFBC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92" w:type="dxa"/>
            <w:tcBorders>
              <w:tl2br w:val="nil"/>
              <w:tr2bl w:val="nil"/>
            </w:tcBorders>
            <w:vAlign w:val="center"/>
          </w:tcPr>
          <w:p w14:paraId="20EECC81">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0.26</w:t>
            </w:r>
            <w:r>
              <w:rPr>
                <w:rFonts w:hint="default" w:ascii="Times New Roman" w:hAnsi="Times New Roman" w:cs="Times New Roman"/>
                <w:color w:val="auto"/>
                <w:sz w:val="21"/>
                <w:szCs w:val="21"/>
                <w:highlight w:val="none"/>
              </w:rPr>
              <w:t>t/a</w:t>
            </w:r>
          </w:p>
        </w:tc>
        <w:tc>
          <w:tcPr>
            <w:tcW w:w="1419" w:type="dxa"/>
            <w:tcBorders>
              <w:tl2br w:val="nil"/>
              <w:tr2bl w:val="nil"/>
            </w:tcBorders>
            <w:vAlign w:val="center"/>
          </w:tcPr>
          <w:p w14:paraId="084C4567">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+0.26</w:t>
            </w:r>
            <w:r>
              <w:rPr>
                <w:rFonts w:hint="default" w:ascii="Times New Roman" w:hAnsi="Times New Roman" w:cs="Times New Roman"/>
                <w:color w:val="auto"/>
                <w:sz w:val="21"/>
                <w:szCs w:val="21"/>
                <w:highlight w:val="none"/>
              </w:rPr>
              <w:t>t/a</w:t>
            </w:r>
          </w:p>
        </w:tc>
      </w:tr>
      <w:tr w14:paraId="4303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17" w:type="dxa"/>
            <w:vMerge w:val="continue"/>
            <w:tcBorders>
              <w:tl2br w:val="nil"/>
              <w:tr2bl w:val="nil"/>
            </w:tcBorders>
            <w:vAlign w:val="center"/>
          </w:tcPr>
          <w:p w14:paraId="5E0BD8AF">
            <w:pPr>
              <w:pStyle w:val="46"/>
              <w:jc w:val="center"/>
              <w:rPr>
                <w:rFonts w:hint="default" w:ascii="Times New Roman" w:hAnsi="Times New Roman" w:cs="Times New Roman"/>
                <w:color w:val="auto"/>
                <w:sz w:val="21"/>
                <w:szCs w:val="21"/>
                <w:highlight w:val="none"/>
              </w:rPr>
            </w:pPr>
          </w:p>
        </w:tc>
        <w:tc>
          <w:tcPr>
            <w:tcW w:w="753" w:type="dxa"/>
            <w:vMerge w:val="continue"/>
            <w:tcBorders>
              <w:tl2br w:val="nil"/>
              <w:tr2bl w:val="nil"/>
            </w:tcBorders>
            <w:vAlign w:val="center"/>
          </w:tcPr>
          <w:p w14:paraId="0A024F87">
            <w:pPr>
              <w:pStyle w:val="46"/>
              <w:jc w:val="center"/>
              <w:rPr>
                <w:rFonts w:hint="default" w:ascii="Times New Roman" w:hAnsi="Times New Roman" w:cs="Times New Roman"/>
                <w:color w:val="auto"/>
                <w:sz w:val="21"/>
                <w:szCs w:val="21"/>
                <w:highlight w:val="none"/>
              </w:rPr>
            </w:pPr>
          </w:p>
        </w:tc>
        <w:tc>
          <w:tcPr>
            <w:tcW w:w="1349" w:type="dxa"/>
            <w:tcBorders>
              <w:tl2br w:val="nil"/>
              <w:tr2bl w:val="nil"/>
            </w:tcBorders>
            <w:vAlign w:val="center"/>
          </w:tcPr>
          <w:p w14:paraId="461D3F72">
            <w:pPr>
              <w:pStyle w:val="46"/>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无组织</w:t>
            </w:r>
          </w:p>
        </w:tc>
        <w:tc>
          <w:tcPr>
            <w:tcW w:w="1756" w:type="dxa"/>
            <w:tcBorders>
              <w:tl2br w:val="nil"/>
              <w:tr2bl w:val="nil"/>
            </w:tcBorders>
            <w:vAlign w:val="center"/>
          </w:tcPr>
          <w:p w14:paraId="4EED623D">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74" w:type="dxa"/>
            <w:tcBorders>
              <w:tl2br w:val="nil"/>
              <w:tr2bl w:val="nil"/>
            </w:tcBorders>
            <w:vAlign w:val="center"/>
          </w:tcPr>
          <w:p w14:paraId="7C54F09D">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682" w:type="dxa"/>
            <w:tcBorders>
              <w:tl2br w:val="nil"/>
              <w:tr2bl w:val="nil"/>
            </w:tcBorders>
            <w:vAlign w:val="center"/>
          </w:tcPr>
          <w:p w14:paraId="327D17CC">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30" w:type="dxa"/>
            <w:tcBorders>
              <w:tl2br w:val="nil"/>
              <w:tr2bl w:val="nil"/>
            </w:tcBorders>
            <w:vAlign w:val="center"/>
          </w:tcPr>
          <w:p w14:paraId="09060B9A">
            <w:pPr>
              <w:pStyle w:val="46"/>
              <w:ind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36.066</w:t>
            </w:r>
            <w:r>
              <w:rPr>
                <w:rFonts w:hint="default" w:ascii="Times New Roman" w:hAnsi="Times New Roman" w:cs="Times New Roman"/>
                <w:color w:val="auto"/>
                <w:sz w:val="21"/>
                <w:szCs w:val="21"/>
                <w:highlight w:val="none"/>
              </w:rPr>
              <w:t>t/a</w:t>
            </w:r>
          </w:p>
        </w:tc>
        <w:tc>
          <w:tcPr>
            <w:tcW w:w="1873" w:type="dxa"/>
            <w:tcBorders>
              <w:tl2br w:val="nil"/>
              <w:tr2bl w:val="nil"/>
            </w:tcBorders>
            <w:vAlign w:val="center"/>
          </w:tcPr>
          <w:p w14:paraId="7C59B98B">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92" w:type="dxa"/>
            <w:tcBorders>
              <w:tl2br w:val="nil"/>
              <w:tr2bl w:val="nil"/>
            </w:tcBorders>
            <w:vAlign w:val="center"/>
          </w:tcPr>
          <w:p w14:paraId="451BC411">
            <w:pPr>
              <w:pStyle w:val="46"/>
              <w:ind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36.066</w:t>
            </w:r>
            <w:r>
              <w:rPr>
                <w:rFonts w:hint="default" w:ascii="Times New Roman" w:hAnsi="Times New Roman" w:cs="Times New Roman"/>
                <w:color w:val="auto"/>
                <w:sz w:val="21"/>
                <w:szCs w:val="21"/>
                <w:highlight w:val="none"/>
              </w:rPr>
              <w:t>t/a</w:t>
            </w:r>
          </w:p>
        </w:tc>
        <w:tc>
          <w:tcPr>
            <w:tcW w:w="1419" w:type="dxa"/>
            <w:tcBorders>
              <w:tl2br w:val="nil"/>
              <w:tr2bl w:val="nil"/>
            </w:tcBorders>
            <w:vAlign w:val="center"/>
          </w:tcPr>
          <w:p w14:paraId="68B3B9F9">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36.066</w:t>
            </w:r>
            <w:r>
              <w:rPr>
                <w:rFonts w:hint="default" w:ascii="Times New Roman" w:hAnsi="Times New Roman" w:cs="Times New Roman"/>
                <w:color w:val="auto"/>
                <w:sz w:val="21"/>
                <w:szCs w:val="21"/>
                <w:highlight w:val="none"/>
              </w:rPr>
              <w:t>t/a</w:t>
            </w:r>
          </w:p>
        </w:tc>
      </w:tr>
      <w:tr w14:paraId="684E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17" w:type="dxa"/>
            <w:vMerge w:val="restart"/>
            <w:tcBorders>
              <w:tl2br w:val="nil"/>
              <w:tr2bl w:val="nil"/>
            </w:tcBorders>
            <w:vAlign w:val="center"/>
          </w:tcPr>
          <w:p w14:paraId="380B1C5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2102" w:type="dxa"/>
            <w:gridSpan w:val="2"/>
            <w:tcBorders>
              <w:tl2br w:val="nil"/>
              <w:tr2bl w:val="nil"/>
            </w:tcBorders>
            <w:vAlign w:val="center"/>
          </w:tcPr>
          <w:p w14:paraId="3D5BEC0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b w:val="0"/>
                <w:bCs w:val="0"/>
                <w:color w:val="auto"/>
                <w:highlight w:val="none"/>
              </w:rPr>
              <w:t>SS</w:t>
            </w:r>
          </w:p>
        </w:tc>
        <w:tc>
          <w:tcPr>
            <w:tcW w:w="1756" w:type="dxa"/>
            <w:tcBorders>
              <w:tl2br w:val="nil"/>
              <w:tr2bl w:val="nil"/>
            </w:tcBorders>
            <w:vAlign w:val="center"/>
          </w:tcPr>
          <w:p w14:paraId="0FDC135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74" w:type="dxa"/>
            <w:tcBorders>
              <w:tl2br w:val="nil"/>
              <w:tr2bl w:val="nil"/>
            </w:tcBorders>
            <w:vAlign w:val="center"/>
          </w:tcPr>
          <w:p w14:paraId="15A8731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682" w:type="dxa"/>
            <w:tcBorders>
              <w:tl2br w:val="nil"/>
              <w:tr2bl w:val="nil"/>
            </w:tcBorders>
            <w:vAlign w:val="center"/>
          </w:tcPr>
          <w:p w14:paraId="41EA5C8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30" w:type="dxa"/>
            <w:tcBorders>
              <w:tl2br w:val="nil"/>
              <w:tr2bl w:val="nil"/>
            </w:tcBorders>
            <w:vAlign w:val="center"/>
          </w:tcPr>
          <w:p w14:paraId="0F63AC4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0.004</w:t>
            </w:r>
            <w:r>
              <w:rPr>
                <w:rFonts w:hint="default" w:ascii="Times New Roman" w:hAnsi="Times New Roman" w:cs="Times New Roman"/>
                <w:color w:val="auto"/>
                <w:sz w:val="21"/>
                <w:szCs w:val="21"/>
                <w:highlight w:val="none"/>
              </w:rPr>
              <w:t>t/a</w:t>
            </w:r>
          </w:p>
        </w:tc>
        <w:tc>
          <w:tcPr>
            <w:tcW w:w="1873" w:type="dxa"/>
            <w:tcBorders>
              <w:tl2br w:val="nil"/>
              <w:tr2bl w:val="nil"/>
            </w:tcBorders>
            <w:vAlign w:val="center"/>
          </w:tcPr>
          <w:p w14:paraId="2CFEC2D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92" w:type="dxa"/>
            <w:tcBorders>
              <w:tl2br w:val="nil"/>
              <w:tr2bl w:val="nil"/>
            </w:tcBorders>
            <w:vAlign w:val="center"/>
          </w:tcPr>
          <w:p w14:paraId="7420C13C">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0.004</w:t>
            </w:r>
            <w:r>
              <w:rPr>
                <w:rFonts w:hint="default" w:ascii="Times New Roman" w:hAnsi="Times New Roman" w:cs="Times New Roman"/>
                <w:color w:val="auto"/>
                <w:sz w:val="21"/>
                <w:szCs w:val="21"/>
                <w:highlight w:val="none"/>
              </w:rPr>
              <w:t>t/a</w:t>
            </w:r>
          </w:p>
        </w:tc>
        <w:tc>
          <w:tcPr>
            <w:tcW w:w="1419" w:type="dxa"/>
            <w:tcBorders>
              <w:tl2br w:val="nil"/>
              <w:tr2bl w:val="nil"/>
            </w:tcBorders>
            <w:vAlign w:val="center"/>
          </w:tcPr>
          <w:p w14:paraId="00883B8D">
            <w:pPr>
              <w:pStyle w:val="46"/>
              <w:ind w:firstLine="0" w:firstLineChars="0"/>
              <w:jc w:val="center"/>
              <w:rPr>
                <w:rFonts w:hint="default" w:ascii="Times New Roman" w:hAnsi="Times New Roman" w:cs="Times New Roman"/>
                <w:color w:val="auto"/>
                <w:sz w:val="21"/>
                <w:szCs w:val="21"/>
                <w:highlight w:val="none"/>
              </w:rPr>
            </w:pPr>
            <w:r>
              <w:rPr>
                <w:rFonts w:hint="eastAsia" w:cs="Times New Roman"/>
                <w:color w:val="auto"/>
                <w:highlight w:val="none"/>
                <w:lang w:val="en-US" w:eastAsia="zh-CN"/>
              </w:rPr>
              <w:t>+</w:t>
            </w:r>
            <w:r>
              <w:rPr>
                <w:rFonts w:hint="default" w:ascii="Times New Roman" w:hAnsi="Times New Roman" w:cs="Times New Roman"/>
                <w:color w:val="auto"/>
                <w:highlight w:val="none"/>
              </w:rPr>
              <w:t>0.004</w:t>
            </w:r>
            <w:r>
              <w:rPr>
                <w:rFonts w:hint="default" w:ascii="Times New Roman" w:hAnsi="Times New Roman" w:cs="Times New Roman"/>
                <w:color w:val="auto"/>
                <w:sz w:val="21"/>
                <w:szCs w:val="21"/>
                <w:highlight w:val="none"/>
              </w:rPr>
              <w:t>t/a</w:t>
            </w:r>
          </w:p>
        </w:tc>
      </w:tr>
      <w:tr w14:paraId="601D0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17" w:type="dxa"/>
            <w:vMerge w:val="continue"/>
            <w:tcBorders>
              <w:tl2br w:val="nil"/>
              <w:tr2bl w:val="nil"/>
            </w:tcBorders>
            <w:vAlign w:val="center"/>
          </w:tcPr>
          <w:p w14:paraId="47EE2BA0">
            <w:pPr>
              <w:pStyle w:val="46"/>
              <w:jc w:val="center"/>
              <w:rPr>
                <w:rFonts w:hint="default" w:ascii="Times New Roman" w:hAnsi="Times New Roman" w:cs="Times New Roman"/>
                <w:color w:val="auto"/>
                <w:sz w:val="21"/>
                <w:szCs w:val="21"/>
                <w:highlight w:val="none"/>
              </w:rPr>
            </w:pPr>
          </w:p>
        </w:tc>
        <w:tc>
          <w:tcPr>
            <w:tcW w:w="2102" w:type="dxa"/>
            <w:gridSpan w:val="2"/>
            <w:tcBorders>
              <w:tl2br w:val="nil"/>
              <w:tr2bl w:val="nil"/>
            </w:tcBorders>
            <w:vAlign w:val="center"/>
          </w:tcPr>
          <w:p w14:paraId="6361362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COD</w:t>
            </w:r>
          </w:p>
        </w:tc>
        <w:tc>
          <w:tcPr>
            <w:tcW w:w="1756" w:type="dxa"/>
            <w:tcBorders>
              <w:tl2br w:val="nil"/>
              <w:tr2bl w:val="nil"/>
            </w:tcBorders>
            <w:vAlign w:val="center"/>
          </w:tcPr>
          <w:p w14:paraId="69AE95D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74" w:type="dxa"/>
            <w:tcBorders>
              <w:tl2br w:val="nil"/>
              <w:tr2bl w:val="nil"/>
            </w:tcBorders>
            <w:vAlign w:val="center"/>
          </w:tcPr>
          <w:p w14:paraId="52115FA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682" w:type="dxa"/>
            <w:tcBorders>
              <w:tl2br w:val="nil"/>
              <w:tr2bl w:val="nil"/>
            </w:tcBorders>
            <w:vAlign w:val="center"/>
          </w:tcPr>
          <w:p w14:paraId="2233603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30" w:type="dxa"/>
            <w:tcBorders>
              <w:tl2br w:val="nil"/>
              <w:tr2bl w:val="nil"/>
            </w:tcBorders>
            <w:vAlign w:val="center"/>
          </w:tcPr>
          <w:p w14:paraId="6E05AB8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0.013</w:t>
            </w:r>
            <w:r>
              <w:rPr>
                <w:rFonts w:hint="default" w:ascii="Times New Roman" w:hAnsi="Times New Roman" w:cs="Times New Roman"/>
                <w:color w:val="auto"/>
                <w:sz w:val="21"/>
                <w:szCs w:val="21"/>
                <w:highlight w:val="none"/>
              </w:rPr>
              <w:t>t/a</w:t>
            </w:r>
          </w:p>
        </w:tc>
        <w:tc>
          <w:tcPr>
            <w:tcW w:w="1873" w:type="dxa"/>
            <w:tcBorders>
              <w:tl2br w:val="nil"/>
              <w:tr2bl w:val="nil"/>
            </w:tcBorders>
            <w:vAlign w:val="center"/>
          </w:tcPr>
          <w:p w14:paraId="1499E7D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92" w:type="dxa"/>
            <w:tcBorders>
              <w:tl2br w:val="nil"/>
              <w:tr2bl w:val="nil"/>
            </w:tcBorders>
            <w:vAlign w:val="center"/>
          </w:tcPr>
          <w:p w14:paraId="327C35DE">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0.013</w:t>
            </w:r>
            <w:r>
              <w:rPr>
                <w:rFonts w:hint="default" w:ascii="Times New Roman" w:hAnsi="Times New Roman" w:cs="Times New Roman"/>
                <w:color w:val="auto"/>
                <w:sz w:val="21"/>
                <w:szCs w:val="21"/>
                <w:highlight w:val="none"/>
              </w:rPr>
              <w:t>t/a</w:t>
            </w:r>
          </w:p>
        </w:tc>
        <w:tc>
          <w:tcPr>
            <w:tcW w:w="1419" w:type="dxa"/>
            <w:tcBorders>
              <w:tl2br w:val="nil"/>
              <w:tr2bl w:val="nil"/>
            </w:tcBorders>
            <w:vAlign w:val="center"/>
          </w:tcPr>
          <w:p w14:paraId="5EA812E1">
            <w:pPr>
              <w:pStyle w:val="46"/>
              <w:ind w:firstLine="0" w:firstLineChars="0"/>
              <w:jc w:val="center"/>
              <w:rPr>
                <w:rFonts w:hint="default" w:ascii="Times New Roman" w:hAnsi="Times New Roman" w:cs="Times New Roman"/>
                <w:color w:val="auto"/>
                <w:sz w:val="21"/>
                <w:szCs w:val="21"/>
                <w:highlight w:val="none"/>
              </w:rPr>
            </w:pPr>
            <w:r>
              <w:rPr>
                <w:rFonts w:hint="eastAsia" w:cs="Times New Roman"/>
                <w:color w:val="auto"/>
                <w:highlight w:val="none"/>
                <w:lang w:val="en-US" w:eastAsia="zh-CN"/>
              </w:rPr>
              <w:t>+</w:t>
            </w:r>
            <w:r>
              <w:rPr>
                <w:rFonts w:hint="default" w:ascii="Times New Roman" w:hAnsi="Times New Roman" w:cs="Times New Roman"/>
                <w:color w:val="auto"/>
                <w:highlight w:val="none"/>
              </w:rPr>
              <w:t>0.013</w:t>
            </w:r>
            <w:r>
              <w:rPr>
                <w:rFonts w:hint="default" w:ascii="Times New Roman" w:hAnsi="Times New Roman" w:cs="Times New Roman"/>
                <w:color w:val="auto"/>
                <w:sz w:val="21"/>
                <w:szCs w:val="21"/>
                <w:highlight w:val="none"/>
              </w:rPr>
              <w:t>t/a</w:t>
            </w:r>
          </w:p>
        </w:tc>
      </w:tr>
      <w:tr w14:paraId="2350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17" w:type="dxa"/>
            <w:vMerge w:val="continue"/>
            <w:tcBorders>
              <w:tl2br w:val="nil"/>
              <w:tr2bl w:val="nil"/>
            </w:tcBorders>
            <w:vAlign w:val="center"/>
          </w:tcPr>
          <w:p w14:paraId="39CA4C56">
            <w:pPr>
              <w:pStyle w:val="46"/>
              <w:jc w:val="center"/>
              <w:rPr>
                <w:rFonts w:hint="default" w:ascii="Times New Roman" w:hAnsi="Times New Roman" w:cs="Times New Roman"/>
                <w:color w:val="auto"/>
                <w:sz w:val="21"/>
                <w:szCs w:val="21"/>
                <w:highlight w:val="none"/>
              </w:rPr>
            </w:pPr>
          </w:p>
        </w:tc>
        <w:tc>
          <w:tcPr>
            <w:tcW w:w="2102" w:type="dxa"/>
            <w:gridSpan w:val="2"/>
            <w:tcBorders>
              <w:tl2br w:val="nil"/>
              <w:tr2bl w:val="nil"/>
            </w:tcBorders>
            <w:vAlign w:val="center"/>
          </w:tcPr>
          <w:p w14:paraId="5AF8CC8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BOD</w:t>
            </w:r>
            <w:r>
              <w:rPr>
                <w:rFonts w:hint="default" w:ascii="Times New Roman" w:hAnsi="Times New Roman" w:cs="Times New Roman"/>
                <w:color w:val="auto"/>
                <w:highlight w:val="none"/>
                <w:vertAlign w:val="subscript"/>
              </w:rPr>
              <w:t>5</w:t>
            </w:r>
          </w:p>
        </w:tc>
        <w:tc>
          <w:tcPr>
            <w:tcW w:w="1756" w:type="dxa"/>
            <w:tcBorders>
              <w:tl2br w:val="nil"/>
              <w:tr2bl w:val="nil"/>
            </w:tcBorders>
            <w:vAlign w:val="center"/>
          </w:tcPr>
          <w:p w14:paraId="6CEF8CB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74" w:type="dxa"/>
            <w:tcBorders>
              <w:tl2br w:val="nil"/>
              <w:tr2bl w:val="nil"/>
            </w:tcBorders>
            <w:vAlign w:val="center"/>
          </w:tcPr>
          <w:p w14:paraId="2737A44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682" w:type="dxa"/>
            <w:tcBorders>
              <w:tl2br w:val="nil"/>
              <w:tr2bl w:val="nil"/>
            </w:tcBorders>
            <w:vAlign w:val="center"/>
          </w:tcPr>
          <w:p w14:paraId="2DDB98E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30" w:type="dxa"/>
            <w:tcBorders>
              <w:tl2br w:val="nil"/>
              <w:tr2bl w:val="nil"/>
            </w:tcBorders>
            <w:vAlign w:val="center"/>
          </w:tcPr>
          <w:p w14:paraId="4B56225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0.009</w:t>
            </w:r>
            <w:r>
              <w:rPr>
                <w:rFonts w:hint="default" w:ascii="Times New Roman" w:hAnsi="Times New Roman" w:cs="Times New Roman"/>
                <w:color w:val="auto"/>
                <w:sz w:val="21"/>
                <w:szCs w:val="21"/>
                <w:highlight w:val="none"/>
              </w:rPr>
              <w:t>t/a</w:t>
            </w:r>
          </w:p>
        </w:tc>
        <w:tc>
          <w:tcPr>
            <w:tcW w:w="1873" w:type="dxa"/>
            <w:tcBorders>
              <w:tl2br w:val="nil"/>
              <w:tr2bl w:val="nil"/>
            </w:tcBorders>
            <w:vAlign w:val="center"/>
          </w:tcPr>
          <w:p w14:paraId="08D3E16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92" w:type="dxa"/>
            <w:tcBorders>
              <w:tl2br w:val="nil"/>
              <w:tr2bl w:val="nil"/>
            </w:tcBorders>
            <w:vAlign w:val="center"/>
          </w:tcPr>
          <w:p w14:paraId="63D6CDEC">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0.009</w:t>
            </w:r>
            <w:r>
              <w:rPr>
                <w:rFonts w:hint="default" w:ascii="Times New Roman" w:hAnsi="Times New Roman" w:cs="Times New Roman"/>
                <w:color w:val="auto"/>
                <w:sz w:val="21"/>
                <w:szCs w:val="21"/>
                <w:highlight w:val="none"/>
              </w:rPr>
              <w:t>t/a</w:t>
            </w:r>
          </w:p>
        </w:tc>
        <w:tc>
          <w:tcPr>
            <w:tcW w:w="1419" w:type="dxa"/>
            <w:tcBorders>
              <w:tl2br w:val="nil"/>
              <w:tr2bl w:val="nil"/>
            </w:tcBorders>
            <w:vAlign w:val="center"/>
          </w:tcPr>
          <w:p w14:paraId="25388CDF">
            <w:pPr>
              <w:pStyle w:val="46"/>
              <w:ind w:firstLine="0" w:firstLineChars="0"/>
              <w:jc w:val="center"/>
              <w:rPr>
                <w:rFonts w:hint="default" w:ascii="Times New Roman" w:hAnsi="Times New Roman" w:cs="Times New Roman"/>
                <w:color w:val="auto"/>
                <w:sz w:val="21"/>
                <w:szCs w:val="21"/>
                <w:highlight w:val="none"/>
              </w:rPr>
            </w:pPr>
            <w:r>
              <w:rPr>
                <w:rFonts w:hint="eastAsia" w:cs="Times New Roman"/>
                <w:color w:val="auto"/>
                <w:highlight w:val="none"/>
                <w:lang w:val="en-US" w:eastAsia="zh-CN"/>
              </w:rPr>
              <w:t>+</w:t>
            </w:r>
            <w:r>
              <w:rPr>
                <w:rFonts w:hint="default" w:ascii="Times New Roman" w:hAnsi="Times New Roman" w:cs="Times New Roman"/>
                <w:color w:val="auto"/>
                <w:highlight w:val="none"/>
              </w:rPr>
              <w:t>0.009</w:t>
            </w:r>
            <w:r>
              <w:rPr>
                <w:rFonts w:hint="default" w:ascii="Times New Roman" w:hAnsi="Times New Roman" w:cs="Times New Roman"/>
                <w:color w:val="auto"/>
                <w:sz w:val="21"/>
                <w:szCs w:val="21"/>
                <w:highlight w:val="none"/>
              </w:rPr>
              <w:t>t/a</w:t>
            </w:r>
          </w:p>
        </w:tc>
      </w:tr>
      <w:tr w14:paraId="4C4D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17" w:type="dxa"/>
            <w:vMerge w:val="continue"/>
            <w:tcBorders>
              <w:tl2br w:val="nil"/>
              <w:tr2bl w:val="nil"/>
            </w:tcBorders>
            <w:vAlign w:val="center"/>
          </w:tcPr>
          <w:p w14:paraId="085866A6">
            <w:pPr>
              <w:pStyle w:val="46"/>
              <w:jc w:val="center"/>
              <w:rPr>
                <w:rFonts w:hint="default" w:ascii="Times New Roman" w:hAnsi="Times New Roman" w:cs="Times New Roman"/>
                <w:color w:val="auto"/>
                <w:sz w:val="21"/>
                <w:szCs w:val="21"/>
                <w:highlight w:val="none"/>
              </w:rPr>
            </w:pPr>
          </w:p>
        </w:tc>
        <w:tc>
          <w:tcPr>
            <w:tcW w:w="2102" w:type="dxa"/>
            <w:gridSpan w:val="2"/>
            <w:tcBorders>
              <w:tl2br w:val="nil"/>
              <w:tr2bl w:val="nil"/>
            </w:tcBorders>
            <w:vAlign w:val="center"/>
          </w:tcPr>
          <w:p w14:paraId="5B3B634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w:t>
            </w:r>
          </w:p>
        </w:tc>
        <w:tc>
          <w:tcPr>
            <w:tcW w:w="1756" w:type="dxa"/>
            <w:tcBorders>
              <w:tl2br w:val="nil"/>
              <w:tr2bl w:val="nil"/>
            </w:tcBorders>
            <w:vAlign w:val="center"/>
          </w:tcPr>
          <w:p w14:paraId="0F970B0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74" w:type="dxa"/>
            <w:tcBorders>
              <w:tl2br w:val="nil"/>
              <w:tr2bl w:val="nil"/>
            </w:tcBorders>
            <w:vAlign w:val="center"/>
          </w:tcPr>
          <w:p w14:paraId="7A477ED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682" w:type="dxa"/>
            <w:tcBorders>
              <w:tl2br w:val="nil"/>
              <w:tr2bl w:val="nil"/>
            </w:tcBorders>
            <w:vAlign w:val="center"/>
          </w:tcPr>
          <w:p w14:paraId="4B82FD5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30" w:type="dxa"/>
            <w:tcBorders>
              <w:tl2br w:val="nil"/>
              <w:tr2bl w:val="nil"/>
            </w:tcBorders>
            <w:vAlign w:val="center"/>
          </w:tcPr>
          <w:p w14:paraId="7BC0863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0.001</w:t>
            </w:r>
            <w:r>
              <w:rPr>
                <w:rFonts w:hint="default" w:ascii="Times New Roman" w:hAnsi="Times New Roman" w:cs="Times New Roman"/>
                <w:color w:val="auto"/>
                <w:sz w:val="21"/>
                <w:szCs w:val="21"/>
                <w:highlight w:val="none"/>
              </w:rPr>
              <w:t>t/a</w:t>
            </w:r>
          </w:p>
        </w:tc>
        <w:tc>
          <w:tcPr>
            <w:tcW w:w="1873" w:type="dxa"/>
            <w:tcBorders>
              <w:tl2br w:val="nil"/>
              <w:tr2bl w:val="nil"/>
            </w:tcBorders>
            <w:vAlign w:val="center"/>
          </w:tcPr>
          <w:p w14:paraId="4A919F1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92" w:type="dxa"/>
            <w:tcBorders>
              <w:tl2br w:val="nil"/>
              <w:tr2bl w:val="nil"/>
            </w:tcBorders>
            <w:vAlign w:val="center"/>
          </w:tcPr>
          <w:p w14:paraId="4AD48C02">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0.001</w:t>
            </w:r>
            <w:r>
              <w:rPr>
                <w:rFonts w:hint="default" w:ascii="Times New Roman" w:hAnsi="Times New Roman" w:cs="Times New Roman"/>
                <w:color w:val="auto"/>
                <w:sz w:val="21"/>
                <w:szCs w:val="21"/>
                <w:highlight w:val="none"/>
              </w:rPr>
              <w:t>t/a</w:t>
            </w:r>
          </w:p>
        </w:tc>
        <w:tc>
          <w:tcPr>
            <w:tcW w:w="1419" w:type="dxa"/>
            <w:tcBorders>
              <w:tl2br w:val="nil"/>
              <w:tr2bl w:val="nil"/>
            </w:tcBorders>
            <w:vAlign w:val="center"/>
          </w:tcPr>
          <w:p w14:paraId="6BCDB552">
            <w:pPr>
              <w:pStyle w:val="46"/>
              <w:ind w:firstLine="0" w:firstLineChars="0"/>
              <w:jc w:val="center"/>
              <w:rPr>
                <w:rFonts w:hint="default" w:ascii="Times New Roman" w:hAnsi="Times New Roman" w:cs="Times New Roman"/>
                <w:color w:val="auto"/>
                <w:sz w:val="21"/>
                <w:szCs w:val="21"/>
                <w:highlight w:val="none"/>
              </w:rPr>
            </w:pPr>
            <w:r>
              <w:rPr>
                <w:rFonts w:hint="eastAsia" w:cs="Times New Roman"/>
                <w:color w:val="auto"/>
                <w:highlight w:val="none"/>
                <w:lang w:val="en-US" w:eastAsia="zh-CN"/>
              </w:rPr>
              <w:t>+</w:t>
            </w:r>
            <w:r>
              <w:rPr>
                <w:rFonts w:hint="default" w:ascii="Times New Roman" w:hAnsi="Times New Roman" w:cs="Times New Roman"/>
                <w:color w:val="auto"/>
                <w:highlight w:val="none"/>
              </w:rPr>
              <w:t>0.001</w:t>
            </w:r>
            <w:r>
              <w:rPr>
                <w:rFonts w:hint="default" w:ascii="Times New Roman" w:hAnsi="Times New Roman" w:cs="Times New Roman"/>
                <w:color w:val="auto"/>
                <w:sz w:val="21"/>
                <w:szCs w:val="21"/>
                <w:highlight w:val="none"/>
              </w:rPr>
              <w:t>t/a</w:t>
            </w:r>
          </w:p>
        </w:tc>
      </w:tr>
      <w:tr w14:paraId="66BC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17" w:type="dxa"/>
            <w:vMerge w:val="restart"/>
            <w:tcBorders>
              <w:tl2br w:val="nil"/>
              <w:tr2bl w:val="nil"/>
            </w:tcBorders>
            <w:vAlign w:val="center"/>
          </w:tcPr>
          <w:p w14:paraId="3B134E4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一般工业固体废物</w:t>
            </w:r>
          </w:p>
        </w:tc>
        <w:tc>
          <w:tcPr>
            <w:tcW w:w="2102" w:type="dxa"/>
            <w:gridSpan w:val="2"/>
            <w:tcBorders>
              <w:tl2br w:val="nil"/>
              <w:tr2bl w:val="nil"/>
            </w:tcBorders>
            <w:vAlign w:val="center"/>
          </w:tcPr>
          <w:p w14:paraId="1416FF2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废混凝土</w:t>
            </w:r>
          </w:p>
        </w:tc>
        <w:tc>
          <w:tcPr>
            <w:tcW w:w="1756" w:type="dxa"/>
            <w:tcBorders>
              <w:tl2br w:val="nil"/>
              <w:tr2bl w:val="nil"/>
            </w:tcBorders>
            <w:vAlign w:val="center"/>
          </w:tcPr>
          <w:p w14:paraId="49468D2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74" w:type="dxa"/>
            <w:tcBorders>
              <w:tl2br w:val="nil"/>
              <w:tr2bl w:val="nil"/>
            </w:tcBorders>
            <w:vAlign w:val="center"/>
          </w:tcPr>
          <w:p w14:paraId="2A0B9A09">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682" w:type="dxa"/>
            <w:tcBorders>
              <w:tl2br w:val="nil"/>
              <w:tr2bl w:val="nil"/>
            </w:tcBorders>
            <w:vAlign w:val="center"/>
          </w:tcPr>
          <w:p w14:paraId="5BFE721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30" w:type="dxa"/>
            <w:tcBorders>
              <w:tl2br w:val="nil"/>
              <w:tr2bl w:val="nil"/>
            </w:tcBorders>
            <w:vAlign w:val="center"/>
          </w:tcPr>
          <w:p w14:paraId="185E525E">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27.75</w:t>
            </w:r>
            <w:r>
              <w:rPr>
                <w:rFonts w:hint="default" w:ascii="Times New Roman" w:hAnsi="Times New Roman" w:cs="Times New Roman"/>
                <w:color w:val="auto"/>
                <w:sz w:val="21"/>
                <w:szCs w:val="21"/>
                <w:highlight w:val="none"/>
              </w:rPr>
              <w:t>t/a</w:t>
            </w:r>
          </w:p>
        </w:tc>
        <w:tc>
          <w:tcPr>
            <w:tcW w:w="1873" w:type="dxa"/>
            <w:tcBorders>
              <w:tl2br w:val="nil"/>
              <w:tr2bl w:val="nil"/>
            </w:tcBorders>
            <w:vAlign w:val="center"/>
          </w:tcPr>
          <w:p w14:paraId="2341B9D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92" w:type="dxa"/>
            <w:tcBorders>
              <w:tl2br w:val="nil"/>
              <w:tr2bl w:val="nil"/>
            </w:tcBorders>
            <w:vAlign w:val="center"/>
          </w:tcPr>
          <w:p w14:paraId="521F0C53">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27.5</w:t>
            </w:r>
            <w:r>
              <w:rPr>
                <w:rFonts w:hint="default" w:ascii="Times New Roman" w:hAnsi="Times New Roman" w:cs="Times New Roman"/>
                <w:color w:val="auto"/>
                <w:sz w:val="21"/>
                <w:szCs w:val="21"/>
                <w:highlight w:val="none"/>
              </w:rPr>
              <w:t>t/a</w:t>
            </w:r>
          </w:p>
        </w:tc>
        <w:tc>
          <w:tcPr>
            <w:tcW w:w="1419" w:type="dxa"/>
            <w:tcBorders>
              <w:tl2br w:val="nil"/>
              <w:tr2bl w:val="nil"/>
            </w:tcBorders>
            <w:vAlign w:val="center"/>
          </w:tcPr>
          <w:p w14:paraId="00B67C1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27.5</w:t>
            </w:r>
            <w:r>
              <w:rPr>
                <w:rFonts w:hint="default" w:ascii="Times New Roman" w:hAnsi="Times New Roman" w:cs="Times New Roman"/>
                <w:color w:val="auto"/>
                <w:sz w:val="21"/>
                <w:szCs w:val="21"/>
                <w:highlight w:val="none"/>
              </w:rPr>
              <w:t>t/a</w:t>
            </w:r>
          </w:p>
        </w:tc>
      </w:tr>
      <w:tr w14:paraId="609C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17" w:type="dxa"/>
            <w:vMerge w:val="continue"/>
            <w:tcBorders>
              <w:tl2br w:val="nil"/>
              <w:tr2bl w:val="nil"/>
            </w:tcBorders>
            <w:vAlign w:val="center"/>
          </w:tcPr>
          <w:p w14:paraId="07DE2231">
            <w:pPr>
              <w:pStyle w:val="46"/>
              <w:jc w:val="center"/>
              <w:rPr>
                <w:rFonts w:hint="default" w:ascii="Times New Roman" w:hAnsi="Times New Roman" w:cs="Times New Roman"/>
                <w:color w:val="auto"/>
                <w:sz w:val="21"/>
                <w:szCs w:val="21"/>
                <w:highlight w:val="none"/>
              </w:rPr>
            </w:pPr>
          </w:p>
        </w:tc>
        <w:tc>
          <w:tcPr>
            <w:tcW w:w="2102" w:type="dxa"/>
            <w:gridSpan w:val="2"/>
            <w:tcBorders>
              <w:tl2br w:val="nil"/>
              <w:tr2bl w:val="nil"/>
            </w:tcBorders>
            <w:vAlign w:val="center"/>
          </w:tcPr>
          <w:p w14:paraId="0E98870E">
            <w:pPr>
              <w:pStyle w:val="46"/>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沉淀池</w:t>
            </w:r>
            <w:r>
              <w:rPr>
                <w:rFonts w:hint="eastAsia" w:cs="Times New Roman"/>
                <w:color w:val="auto"/>
                <w:sz w:val="21"/>
                <w:szCs w:val="21"/>
                <w:highlight w:val="none"/>
                <w:lang w:eastAsia="zh-CN"/>
              </w:rPr>
              <w:t>泥沙</w:t>
            </w:r>
          </w:p>
        </w:tc>
        <w:tc>
          <w:tcPr>
            <w:tcW w:w="1756" w:type="dxa"/>
            <w:tcBorders>
              <w:tl2br w:val="nil"/>
              <w:tr2bl w:val="nil"/>
            </w:tcBorders>
            <w:vAlign w:val="center"/>
          </w:tcPr>
          <w:p w14:paraId="1C2D864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74" w:type="dxa"/>
            <w:tcBorders>
              <w:tl2br w:val="nil"/>
              <w:tr2bl w:val="nil"/>
            </w:tcBorders>
            <w:vAlign w:val="center"/>
          </w:tcPr>
          <w:p w14:paraId="6FC5F8CA">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682" w:type="dxa"/>
            <w:tcBorders>
              <w:tl2br w:val="nil"/>
              <w:tr2bl w:val="nil"/>
            </w:tcBorders>
            <w:vAlign w:val="center"/>
          </w:tcPr>
          <w:p w14:paraId="4B52F85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30" w:type="dxa"/>
            <w:tcBorders>
              <w:tl2br w:val="nil"/>
              <w:tr2bl w:val="nil"/>
            </w:tcBorders>
            <w:vAlign w:val="center"/>
          </w:tcPr>
          <w:p w14:paraId="1F2ED609">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t/a</w:t>
            </w:r>
          </w:p>
        </w:tc>
        <w:tc>
          <w:tcPr>
            <w:tcW w:w="1873" w:type="dxa"/>
            <w:tcBorders>
              <w:tl2br w:val="nil"/>
              <w:tr2bl w:val="nil"/>
            </w:tcBorders>
            <w:vAlign w:val="center"/>
          </w:tcPr>
          <w:p w14:paraId="2DADED7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92" w:type="dxa"/>
            <w:tcBorders>
              <w:tl2br w:val="nil"/>
              <w:tr2bl w:val="nil"/>
            </w:tcBorders>
            <w:vAlign w:val="center"/>
          </w:tcPr>
          <w:p w14:paraId="378798F7">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t/a</w:t>
            </w:r>
          </w:p>
        </w:tc>
        <w:tc>
          <w:tcPr>
            <w:tcW w:w="1419" w:type="dxa"/>
            <w:tcBorders>
              <w:tl2br w:val="nil"/>
              <w:tr2bl w:val="nil"/>
            </w:tcBorders>
            <w:vAlign w:val="center"/>
          </w:tcPr>
          <w:p w14:paraId="045F2E6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t/a</w:t>
            </w:r>
          </w:p>
        </w:tc>
      </w:tr>
      <w:tr w14:paraId="0D9E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17" w:type="dxa"/>
            <w:vMerge w:val="continue"/>
            <w:tcBorders>
              <w:tl2br w:val="nil"/>
              <w:tr2bl w:val="nil"/>
            </w:tcBorders>
            <w:vAlign w:val="center"/>
          </w:tcPr>
          <w:p w14:paraId="1865B807">
            <w:pPr>
              <w:pStyle w:val="46"/>
              <w:jc w:val="center"/>
              <w:rPr>
                <w:rFonts w:hint="default" w:ascii="Times New Roman" w:hAnsi="Times New Roman" w:cs="Times New Roman"/>
                <w:color w:val="auto"/>
                <w:sz w:val="21"/>
                <w:szCs w:val="21"/>
                <w:highlight w:val="none"/>
              </w:rPr>
            </w:pPr>
          </w:p>
        </w:tc>
        <w:tc>
          <w:tcPr>
            <w:tcW w:w="2102" w:type="dxa"/>
            <w:gridSpan w:val="2"/>
            <w:tcBorders>
              <w:tl2br w:val="nil"/>
              <w:tr2bl w:val="nil"/>
            </w:tcBorders>
            <w:vAlign w:val="center"/>
          </w:tcPr>
          <w:p w14:paraId="63EF6E8F">
            <w:pPr>
              <w:pStyle w:val="4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除尘灰</w:t>
            </w:r>
          </w:p>
        </w:tc>
        <w:tc>
          <w:tcPr>
            <w:tcW w:w="1756" w:type="dxa"/>
            <w:tcBorders>
              <w:tl2br w:val="nil"/>
              <w:tr2bl w:val="nil"/>
            </w:tcBorders>
            <w:vAlign w:val="center"/>
          </w:tcPr>
          <w:p w14:paraId="448FF65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74" w:type="dxa"/>
            <w:tcBorders>
              <w:tl2br w:val="nil"/>
              <w:tr2bl w:val="nil"/>
            </w:tcBorders>
            <w:vAlign w:val="center"/>
          </w:tcPr>
          <w:p w14:paraId="04BF654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682" w:type="dxa"/>
            <w:tcBorders>
              <w:tl2br w:val="nil"/>
              <w:tr2bl w:val="nil"/>
            </w:tcBorders>
            <w:vAlign w:val="center"/>
          </w:tcPr>
          <w:p w14:paraId="4C1EEA7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30" w:type="dxa"/>
            <w:tcBorders>
              <w:tl2br w:val="nil"/>
              <w:tr2bl w:val="nil"/>
            </w:tcBorders>
            <w:vAlign w:val="center"/>
          </w:tcPr>
          <w:p w14:paraId="10187DA7">
            <w:pPr>
              <w:pStyle w:val="46"/>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183.204</w:t>
            </w:r>
            <w:r>
              <w:rPr>
                <w:rFonts w:hint="default" w:ascii="Times New Roman" w:hAnsi="Times New Roman" w:cs="Times New Roman"/>
                <w:color w:val="auto"/>
                <w:sz w:val="21"/>
                <w:szCs w:val="21"/>
                <w:highlight w:val="none"/>
              </w:rPr>
              <w:t>t/a</w:t>
            </w:r>
          </w:p>
        </w:tc>
        <w:tc>
          <w:tcPr>
            <w:tcW w:w="1873" w:type="dxa"/>
            <w:tcBorders>
              <w:tl2br w:val="nil"/>
              <w:tr2bl w:val="nil"/>
            </w:tcBorders>
            <w:vAlign w:val="center"/>
          </w:tcPr>
          <w:p w14:paraId="562AF120">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92" w:type="dxa"/>
            <w:tcBorders>
              <w:tl2br w:val="nil"/>
              <w:tr2bl w:val="nil"/>
            </w:tcBorders>
            <w:vAlign w:val="center"/>
          </w:tcPr>
          <w:p w14:paraId="3EEE80CA">
            <w:pPr>
              <w:pStyle w:val="46"/>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183.204</w:t>
            </w:r>
            <w:r>
              <w:rPr>
                <w:rFonts w:hint="default" w:ascii="Times New Roman" w:hAnsi="Times New Roman" w:cs="Times New Roman"/>
                <w:color w:val="auto"/>
                <w:sz w:val="21"/>
                <w:szCs w:val="21"/>
                <w:highlight w:val="none"/>
              </w:rPr>
              <w:t>t/a</w:t>
            </w:r>
          </w:p>
        </w:tc>
        <w:tc>
          <w:tcPr>
            <w:tcW w:w="1419" w:type="dxa"/>
            <w:tcBorders>
              <w:tl2br w:val="nil"/>
              <w:tr2bl w:val="nil"/>
            </w:tcBorders>
            <w:vAlign w:val="center"/>
          </w:tcPr>
          <w:p w14:paraId="5DA9E505">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183.204</w:t>
            </w:r>
            <w:r>
              <w:rPr>
                <w:rFonts w:hint="default" w:ascii="Times New Roman" w:hAnsi="Times New Roman" w:cs="Times New Roman"/>
                <w:color w:val="auto"/>
                <w:sz w:val="21"/>
                <w:szCs w:val="21"/>
                <w:highlight w:val="none"/>
              </w:rPr>
              <w:t>t/a</w:t>
            </w:r>
          </w:p>
        </w:tc>
      </w:tr>
      <w:tr w14:paraId="593C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17" w:type="dxa"/>
            <w:tcBorders>
              <w:tl2br w:val="nil"/>
              <w:tr2bl w:val="nil"/>
            </w:tcBorders>
            <w:vAlign w:val="center"/>
          </w:tcPr>
          <w:p w14:paraId="74682D8C">
            <w:pPr>
              <w:pStyle w:val="46"/>
              <w:jc w:val="center"/>
              <w:rPr>
                <w:rFonts w:hint="default" w:ascii="Times New Roman" w:hAnsi="Times New Roman" w:cs="Times New Roman"/>
                <w:color w:val="auto"/>
                <w:sz w:val="21"/>
                <w:szCs w:val="21"/>
                <w:highlight w:val="none"/>
              </w:rPr>
            </w:pPr>
          </w:p>
        </w:tc>
        <w:tc>
          <w:tcPr>
            <w:tcW w:w="2102" w:type="dxa"/>
            <w:gridSpan w:val="2"/>
            <w:tcBorders>
              <w:tl2br w:val="nil"/>
              <w:tr2bl w:val="nil"/>
            </w:tcBorders>
            <w:vAlign w:val="center"/>
          </w:tcPr>
          <w:p w14:paraId="0F03232A">
            <w:pPr>
              <w:pStyle w:val="46"/>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废滤袋</w:t>
            </w:r>
          </w:p>
        </w:tc>
        <w:tc>
          <w:tcPr>
            <w:tcW w:w="1756" w:type="dxa"/>
            <w:tcBorders>
              <w:tl2br w:val="nil"/>
              <w:tr2bl w:val="nil"/>
            </w:tcBorders>
            <w:vAlign w:val="center"/>
          </w:tcPr>
          <w:p w14:paraId="472AB9AE">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74" w:type="dxa"/>
            <w:tcBorders>
              <w:tl2br w:val="nil"/>
              <w:tr2bl w:val="nil"/>
            </w:tcBorders>
            <w:vAlign w:val="center"/>
          </w:tcPr>
          <w:p w14:paraId="1BBF096B">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682" w:type="dxa"/>
            <w:tcBorders>
              <w:tl2br w:val="nil"/>
              <w:tr2bl w:val="nil"/>
            </w:tcBorders>
            <w:vAlign w:val="center"/>
          </w:tcPr>
          <w:p w14:paraId="2776E2F3">
            <w:pPr>
              <w:pStyle w:val="46"/>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30" w:type="dxa"/>
            <w:tcBorders>
              <w:tl2br w:val="nil"/>
              <w:tr2bl w:val="nil"/>
            </w:tcBorders>
            <w:vAlign w:val="center"/>
          </w:tcPr>
          <w:p w14:paraId="684B3B23">
            <w:pPr>
              <w:pStyle w:val="46"/>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0.4</w:t>
            </w:r>
            <w:r>
              <w:rPr>
                <w:rFonts w:hint="default" w:ascii="Times New Roman" w:hAnsi="Times New Roman" w:cs="Times New Roman"/>
                <w:color w:val="auto"/>
                <w:sz w:val="21"/>
                <w:szCs w:val="21"/>
                <w:highlight w:val="none"/>
              </w:rPr>
              <w:t>t/a</w:t>
            </w:r>
          </w:p>
        </w:tc>
        <w:tc>
          <w:tcPr>
            <w:tcW w:w="1873" w:type="dxa"/>
            <w:tcBorders>
              <w:tl2br w:val="nil"/>
              <w:tr2bl w:val="nil"/>
            </w:tcBorders>
            <w:vAlign w:val="center"/>
          </w:tcPr>
          <w:p w14:paraId="269ECEBA">
            <w:pPr>
              <w:pStyle w:val="46"/>
              <w:jc w:val="center"/>
              <w:rPr>
                <w:rFonts w:hint="default" w:ascii="Times New Roman" w:hAnsi="Times New Roman" w:cs="Times New Roman"/>
                <w:color w:val="auto"/>
                <w:sz w:val="21"/>
                <w:szCs w:val="21"/>
                <w:highlight w:val="none"/>
              </w:rPr>
            </w:pPr>
          </w:p>
        </w:tc>
        <w:tc>
          <w:tcPr>
            <w:tcW w:w="1892" w:type="dxa"/>
            <w:tcBorders>
              <w:tl2br w:val="nil"/>
              <w:tr2bl w:val="nil"/>
            </w:tcBorders>
            <w:vAlign w:val="center"/>
          </w:tcPr>
          <w:p w14:paraId="6C9881F8">
            <w:pPr>
              <w:pStyle w:val="46"/>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0.4</w:t>
            </w:r>
            <w:r>
              <w:rPr>
                <w:rFonts w:hint="default" w:ascii="Times New Roman" w:hAnsi="Times New Roman" w:cs="Times New Roman"/>
                <w:color w:val="auto"/>
                <w:sz w:val="21"/>
                <w:szCs w:val="21"/>
                <w:highlight w:val="none"/>
              </w:rPr>
              <w:t>t/a</w:t>
            </w:r>
          </w:p>
        </w:tc>
        <w:tc>
          <w:tcPr>
            <w:tcW w:w="1419" w:type="dxa"/>
            <w:tcBorders>
              <w:tl2br w:val="nil"/>
              <w:tr2bl w:val="nil"/>
            </w:tcBorders>
            <w:vAlign w:val="center"/>
          </w:tcPr>
          <w:p w14:paraId="0C3FAF8C">
            <w:pPr>
              <w:pStyle w:val="46"/>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0.4</w:t>
            </w:r>
            <w:r>
              <w:rPr>
                <w:rFonts w:hint="default" w:ascii="Times New Roman" w:hAnsi="Times New Roman" w:cs="Times New Roman"/>
                <w:color w:val="auto"/>
                <w:sz w:val="21"/>
                <w:szCs w:val="21"/>
                <w:highlight w:val="none"/>
              </w:rPr>
              <w:t>t/a</w:t>
            </w:r>
          </w:p>
        </w:tc>
      </w:tr>
      <w:tr w14:paraId="2600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17" w:type="dxa"/>
            <w:tcBorders>
              <w:tl2br w:val="nil"/>
              <w:tr2bl w:val="nil"/>
            </w:tcBorders>
            <w:vAlign w:val="center"/>
          </w:tcPr>
          <w:p w14:paraId="4796476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生活垃圾</w:t>
            </w:r>
          </w:p>
        </w:tc>
        <w:tc>
          <w:tcPr>
            <w:tcW w:w="2102" w:type="dxa"/>
            <w:gridSpan w:val="2"/>
            <w:tcBorders>
              <w:tl2br w:val="nil"/>
              <w:tr2bl w:val="nil"/>
            </w:tcBorders>
            <w:vAlign w:val="center"/>
          </w:tcPr>
          <w:p w14:paraId="239EC23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生活垃圾</w:t>
            </w:r>
          </w:p>
        </w:tc>
        <w:tc>
          <w:tcPr>
            <w:tcW w:w="1756" w:type="dxa"/>
            <w:tcBorders>
              <w:tl2br w:val="nil"/>
              <w:tr2bl w:val="nil"/>
            </w:tcBorders>
            <w:vAlign w:val="center"/>
          </w:tcPr>
          <w:p w14:paraId="736A81E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74" w:type="dxa"/>
            <w:tcBorders>
              <w:tl2br w:val="nil"/>
              <w:tr2bl w:val="nil"/>
            </w:tcBorders>
            <w:vAlign w:val="center"/>
          </w:tcPr>
          <w:p w14:paraId="1A34F1B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682" w:type="dxa"/>
            <w:tcBorders>
              <w:tl2br w:val="nil"/>
              <w:tr2bl w:val="nil"/>
            </w:tcBorders>
            <w:vAlign w:val="center"/>
          </w:tcPr>
          <w:p w14:paraId="7CCADB91">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30" w:type="dxa"/>
            <w:tcBorders>
              <w:tl2br w:val="nil"/>
              <w:tr2bl w:val="nil"/>
            </w:tcBorders>
            <w:vAlign w:val="center"/>
          </w:tcPr>
          <w:p w14:paraId="12545AB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0.38t/a</w:t>
            </w:r>
          </w:p>
        </w:tc>
        <w:tc>
          <w:tcPr>
            <w:tcW w:w="1873" w:type="dxa"/>
            <w:tcBorders>
              <w:tl2br w:val="nil"/>
              <w:tr2bl w:val="nil"/>
            </w:tcBorders>
            <w:vAlign w:val="center"/>
          </w:tcPr>
          <w:p w14:paraId="64DB50ED">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92" w:type="dxa"/>
            <w:tcBorders>
              <w:tl2br w:val="nil"/>
              <w:tr2bl w:val="nil"/>
            </w:tcBorders>
            <w:vAlign w:val="center"/>
          </w:tcPr>
          <w:p w14:paraId="13A4C5FC">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0.38t/a</w:t>
            </w:r>
          </w:p>
        </w:tc>
        <w:tc>
          <w:tcPr>
            <w:tcW w:w="1419" w:type="dxa"/>
            <w:tcBorders>
              <w:tl2br w:val="nil"/>
              <w:tr2bl w:val="nil"/>
            </w:tcBorders>
            <w:vAlign w:val="center"/>
          </w:tcPr>
          <w:p w14:paraId="62CB5B7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+0.38t/a</w:t>
            </w:r>
          </w:p>
        </w:tc>
      </w:tr>
      <w:tr w14:paraId="3BB2C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17" w:type="dxa"/>
            <w:tcBorders>
              <w:tl2br w:val="nil"/>
              <w:tr2bl w:val="nil"/>
            </w:tcBorders>
            <w:vAlign w:val="center"/>
          </w:tcPr>
          <w:p w14:paraId="5AF6DA72">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w:t>
            </w:r>
          </w:p>
        </w:tc>
        <w:tc>
          <w:tcPr>
            <w:tcW w:w="2102" w:type="dxa"/>
            <w:gridSpan w:val="2"/>
            <w:tcBorders>
              <w:tl2br w:val="nil"/>
              <w:tr2bl w:val="nil"/>
            </w:tcBorders>
            <w:vAlign w:val="center"/>
          </w:tcPr>
          <w:p w14:paraId="24522C8E">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756" w:type="dxa"/>
            <w:tcBorders>
              <w:tl2br w:val="nil"/>
              <w:tr2bl w:val="nil"/>
            </w:tcBorders>
            <w:vAlign w:val="center"/>
          </w:tcPr>
          <w:p w14:paraId="08CDC134">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74" w:type="dxa"/>
            <w:tcBorders>
              <w:tl2br w:val="nil"/>
              <w:tr2bl w:val="nil"/>
            </w:tcBorders>
            <w:vAlign w:val="center"/>
          </w:tcPr>
          <w:p w14:paraId="198A8A86">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682" w:type="dxa"/>
            <w:tcBorders>
              <w:tl2br w:val="nil"/>
              <w:tr2bl w:val="nil"/>
            </w:tcBorders>
            <w:vAlign w:val="center"/>
          </w:tcPr>
          <w:p w14:paraId="21ABF9E7">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30" w:type="dxa"/>
            <w:tcBorders>
              <w:tl2br w:val="nil"/>
              <w:tr2bl w:val="nil"/>
            </w:tcBorders>
            <w:vAlign w:val="center"/>
          </w:tcPr>
          <w:p w14:paraId="69FE539B">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73" w:type="dxa"/>
            <w:tcBorders>
              <w:tl2br w:val="nil"/>
              <w:tr2bl w:val="nil"/>
            </w:tcBorders>
            <w:vAlign w:val="center"/>
          </w:tcPr>
          <w:p w14:paraId="6C9A803F">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892" w:type="dxa"/>
            <w:tcBorders>
              <w:tl2br w:val="nil"/>
              <w:tr2bl w:val="nil"/>
            </w:tcBorders>
            <w:vAlign w:val="center"/>
          </w:tcPr>
          <w:p w14:paraId="667E8173">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419" w:type="dxa"/>
            <w:tcBorders>
              <w:tl2br w:val="nil"/>
              <w:tr2bl w:val="nil"/>
            </w:tcBorders>
            <w:vAlign w:val="center"/>
          </w:tcPr>
          <w:p w14:paraId="0E69E3A8">
            <w:pPr>
              <w:pStyle w:val="46"/>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bl>
    <w:p w14:paraId="5218B483">
      <w:pPr>
        <w:spacing w:before="260" w:beforeLines="80" w:after="32" w:afterLines="10" w:line="259" w:lineRule="auto"/>
        <w:ind w:firstLine="480"/>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p>
    <w:p w14:paraId="15E7CB41">
      <w:pPr>
        <w:spacing w:before="260" w:beforeLines="80" w:after="32" w:afterLines="10" w:line="259" w:lineRule="auto"/>
        <w:ind w:firstLine="198" w:firstLineChars="87"/>
        <w:rPr>
          <w:rFonts w:hint="default" w:ascii="Times New Roman" w:hAnsi="Times New Roman" w:cs="Times New Roman"/>
          <w:snapToGrid w:val="0"/>
          <w:color w:val="auto"/>
          <w:spacing w:val="-6"/>
          <w:kern w:val="21"/>
          <w:szCs w:val="21"/>
          <w:highlight w:val="none"/>
        </w:rPr>
        <w:sectPr>
          <w:pgSz w:w="16838" w:h="11906" w:orient="landscape"/>
          <w:pgMar w:top="720" w:right="720" w:bottom="720" w:left="720" w:header="851" w:footer="850" w:gutter="0"/>
          <w:pgBorders>
            <w:top w:val="none" w:sz="0" w:space="0"/>
            <w:left w:val="none" w:sz="0" w:space="0"/>
            <w:bottom w:val="none" w:sz="0" w:space="0"/>
            <w:right w:val="none" w:sz="0" w:space="0"/>
          </w:pgBorders>
          <w:cols w:space="425" w:num="1"/>
          <w:docGrid w:type="lines" w:linePitch="326" w:charSpace="0"/>
        </w:sectPr>
      </w:pPr>
    </w:p>
    <w:p w14:paraId="1524553A">
      <w:pPr>
        <w:pStyle w:val="4"/>
        <w:rPr>
          <w:rFonts w:hint="default" w:ascii="Times New Roman" w:hAnsi="Times New Roman" w:cs="Times New Roman"/>
          <w:color w:val="auto"/>
          <w:highlight w:val="none"/>
        </w:rPr>
      </w:pPr>
      <w:bookmarkStart w:id="17" w:name="_Toc144507133"/>
      <w:r>
        <w:rPr>
          <w:rFonts w:hint="default" w:ascii="Times New Roman" w:hAnsi="Times New Roman" w:cs="Times New Roman"/>
          <w:color w:val="auto"/>
          <w:highlight w:val="none"/>
        </w:rPr>
        <w:t>附图1</w:t>
      </w:r>
      <w:r>
        <w:rPr>
          <w:rFonts w:hint="eastAsia" w:cs="Times New Roman"/>
          <w:color w:val="auto"/>
          <w:highlight w:val="none"/>
          <w:lang w:val="en-US" w:eastAsia="zh-CN"/>
        </w:rPr>
        <w:t>：</w:t>
      </w:r>
      <w:r>
        <w:rPr>
          <w:rFonts w:hint="default" w:ascii="Times New Roman" w:hAnsi="Times New Roman" w:cs="Times New Roman"/>
          <w:color w:val="auto"/>
          <w:highlight w:val="none"/>
        </w:rPr>
        <w:t>项目地理位置图</w:t>
      </w:r>
      <w:bookmarkEnd w:id="17"/>
    </w:p>
    <w:p w14:paraId="4D5992E1">
      <w:pPr>
        <w:ind w:firstLine="0" w:firstLineChars="0"/>
        <w:jc w:val="center"/>
        <w:rPr>
          <w:rFonts w:hint="default" w:ascii="Times New Roman" w:hAnsi="Times New Roman" w:eastAsia="宋体" w:cs="Times New Roman"/>
          <w:color w:val="auto"/>
          <w:highlight w:val="none"/>
          <w:lang w:eastAsia="zh-CN"/>
        </w:rPr>
        <w:sectPr>
          <w:pgSz w:w="16838" w:h="11906" w:orient="landscape"/>
          <w:pgMar w:top="720" w:right="720" w:bottom="720" w:left="720" w:header="851" w:footer="850" w:gutter="0"/>
          <w:pgBorders>
            <w:top w:val="none" w:sz="0" w:space="0"/>
            <w:left w:val="none" w:sz="0" w:space="0"/>
            <w:bottom w:val="none" w:sz="0" w:space="0"/>
            <w:right w:val="none" w:sz="0" w:space="0"/>
          </w:pgBorders>
          <w:cols w:space="425" w:num="1"/>
          <w:docGrid w:type="lines" w:linePitch="326" w:charSpace="0"/>
        </w:sectPr>
      </w:pPr>
      <w:r>
        <w:rPr>
          <w:rFonts w:hint="default" w:ascii="Times New Roman" w:hAnsi="Times New Roman" w:cs="Times New Roman"/>
          <w:color w:val="auto"/>
          <w:sz w:val="20"/>
          <w:highlight w:val="none"/>
        </w:rPr>
        <mc:AlternateContent>
          <mc:Choice Requires="wps">
            <w:drawing>
              <wp:anchor distT="0" distB="0" distL="114300" distR="114300" simplePos="0" relativeHeight="251661312" behindDoc="0" locked="0" layoutInCell="1" allowOverlap="1">
                <wp:simplePos x="0" y="0"/>
                <wp:positionH relativeFrom="column">
                  <wp:posOffset>6554470</wp:posOffset>
                </wp:positionH>
                <wp:positionV relativeFrom="paragraph">
                  <wp:posOffset>1921510</wp:posOffset>
                </wp:positionV>
                <wp:extent cx="1022350" cy="562610"/>
                <wp:effectExtent l="364490" t="6350" r="22860" b="269240"/>
                <wp:wrapNone/>
                <wp:docPr id="6" name="矩形标注 6"/>
                <wp:cNvGraphicFramePr/>
                <a:graphic xmlns:a="http://schemas.openxmlformats.org/drawingml/2006/main">
                  <a:graphicData uri="http://schemas.microsoft.com/office/word/2010/wordprocessingShape">
                    <wps:wsp>
                      <wps:cNvSpPr/>
                      <wps:spPr>
                        <a:xfrm>
                          <a:off x="3004185" y="1589405"/>
                          <a:ext cx="1022350" cy="562610"/>
                        </a:xfrm>
                        <a:prstGeom prst="wedgeRectCallout">
                          <a:avLst>
                            <a:gd name="adj1" fmla="val -80931"/>
                            <a:gd name="adj2" fmla="val 91760"/>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368D264D">
                            <w:pPr>
                              <w:ind w:firstLine="0" w:firstLineChars="0"/>
                            </w:pPr>
                            <w:r>
                              <w:rPr>
                                <w:rFonts w:hint="eastAsia"/>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16.1pt;margin-top:151.3pt;height:44.3pt;width:80.5pt;z-index:251661312;v-text-anchor:middle;mso-width-relative:page;mso-height-relative:page;" fillcolor="#4472C4 [3204]" filled="t" stroked="t" coordsize="21600,21600" o:gfxdata="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CmJZAN2wAAAA0BAAAPAAAAAAAAAAEAIAAAACIAAABkcnMvZG93bnJldi54bWxQSwECFAAUAAAA&#10;CACHTuJAYGaGXs8CAACRBQAADgAAAAAAAAABACAAAAAqAQAAZHJzL2Uyb0RvYy54bWxQSwUGAAAA&#10;AAYABgBZAQAAawYAAAAA&#10;" adj="-6681,30620">
                <v:fill on="t" focussize="0,0"/>
                <v:stroke weight="1pt" color="#2F5597 [2404]" miterlimit="8" joinstyle="miter"/>
                <v:imagedata o:title=""/>
                <o:lock v:ext="edit" aspectratio="f"/>
                <v:textbox>
                  <w:txbxContent>
                    <w:p w14:paraId="368D264D">
                      <w:pPr>
                        <w:ind w:firstLine="0" w:firstLineChars="0"/>
                      </w:pPr>
                      <w:r>
                        <w:rPr>
                          <w:rFonts w:hint="eastAsia"/>
                        </w:rPr>
                        <w:t>本项目位置</w:t>
                      </w:r>
                    </w:p>
                  </w:txbxContent>
                </v:textbox>
              </v:shape>
            </w:pict>
          </mc:Fallback>
        </mc:AlternateContent>
      </w:r>
      <w:r>
        <w:rPr>
          <w:rFonts w:hint="default" w:ascii="Times New Roman" w:hAnsi="Times New Roman" w:cs="Times New Roman"/>
          <w:color w:val="auto"/>
          <w:sz w:val="20"/>
          <w:highlight w:val="none"/>
        </w:rPr>
        <mc:AlternateContent>
          <mc:Choice Requires="wps">
            <w:drawing>
              <wp:anchor distT="0" distB="0" distL="114300" distR="114300" simplePos="0" relativeHeight="251663360" behindDoc="0" locked="0" layoutInCell="1" allowOverlap="1">
                <wp:simplePos x="0" y="0"/>
                <wp:positionH relativeFrom="column">
                  <wp:posOffset>6082030</wp:posOffset>
                </wp:positionH>
                <wp:positionV relativeFrom="paragraph">
                  <wp:posOffset>2678430</wp:posOffset>
                </wp:positionV>
                <wp:extent cx="75565" cy="75565"/>
                <wp:effectExtent l="19050" t="21590" r="19685" b="17145"/>
                <wp:wrapNone/>
                <wp:docPr id="11" name="五角星 11"/>
                <wp:cNvGraphicFramePr/>
                <a:graphic xmlns:a="http://schemas.openxmlformats.org/drawingml/2006/main">
                  <a:graphicData uri="http://schemas.microsoft.com/office/word/2010/wordprocessingShape">
                    <wps:wsp>
                      <wps:cNvSpPr/>
                      <wps:spPr>
                        <a:xfrm>
                          <a:off x="2381250" y="2777490"/>
                          <a:ext cx="75565" cy="75565"/>
                        </a:xfrm>
                        <a:prstGeom prst="star5">
                          <a:avLst/>
                        </a:prstGeom>
                        <a:ln>
                          <a:solidFill>
                            <a:schemeClr val="accent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78.9pt;margin-top:210.9pt;height:5.95pt;width:5.95pt;z-index:251663360;v-text-anchor:middle;mso-width-relative:page;mso-height-relative:page;" fillcolor="#4472C4 [3204]" filled="t" stroked="t" coordsize="75565,75565" o:gfxdata="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LxRtzdoAAAALAQAADwAAAAAAAAABACAA&#10;AAAiAAAAZHJzL2Rvd25yZXYueG1sUEsBAhQAFAAAAAgAh07iQAohOjh9AgAAAwUAAA4AAAAAAAAA&#10;AQAgAAAAKQEAAGRycy9lMm9Eb2MueG1sUEsFBgAAAAAGAAYAWQEAABgGAAAAAA==&#10;" path="m0,28863l28863,28863,37782,0,46701,28863,75564,28863,52213,46701,61133,75564,37782,57726,14431,75564,23351,46701xe">
                <v:path o:connectlocs="37782,0;0,28863;14431,75564;61133,75564;75564,28863" o:connectangles="247,164,82,82,0"/>
                <v:fill on="t" focussize="0,0"/>
                <v:stroke weight="1pt" color="#4472C4 [3204]" miterlimit="8" joinstyle="miter"/>
                <v:imagedata o:title=""/>
                <o:lock v:ext="edit" aspectratio="f"/>
              </v:shape>
            </w:pict>
          </mc:Fallback>
        </mc:AlternateContent>
      </w:r>
      <w:r>
        <w:rPr>
          <w:rFonts w:hint="eastAsia"/>
          <w:color w:val="auto"/>
        </w:rPr>
        <w:drawing>
          <wp:anchor distT="0" distB="0" distL="114300" distR="114300" simplePos="0" relativeHeight="251666432" behindDoc="0" locked="0" layoutInCell="1" allowOverlap="1">
            <wp:simplePos x="0" y="0"/>
            <wp:positionH relativeFrom="column">
              <wp:posOffset>8502650</wp:posOffset>
            </wp:positionH>
            <wp:positionV relativeFrom="paragraph">
              <wp:posOffset>114300</wp:posOffset>
            </wp:positionV>
            <wp:extent cx="918845" cy="1142365"/>
            <wp:effectExtent l="9525" t="9525" r="24130" b="10160"/>
            <wp:wrapNone/>
            <wp:docPr id="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
                    <pic:cNvPicPr>
                      <a:picLocks noChangeAspect="1"/>
                    </pic:cNvPicPr>
                  </pic:nvPicPr>
                  <pic:blipFill>
                    <a:blip r:embed="rId79"/>
                    <a:srcRect l="27937" t="67532" r="31212"/>
                    <a:stretch>
                      <a:fillRect/>
                    </a:stretch>
                  </pic:blipFill>
                  <pic:spPr>
                    <a:xfrm>
                      <a:off x="0" y="0"/>
                      <a:ext cx="918845" cy="1142365"/>
                    </a:xfrm>
                    <a:prstGeom prst="rect">
                      <a:avLst/>
                    </a:prstGeom>
                    <a:noFill/>
                    <a:ln w="9525" cap="flat" cmpd="sng">
                      <a:solidFill>
                        <a:srgbClr val="000000"/>
                      </a:solidFill>
                      <a:prstDash val="solid"/>
                      <a:miter/>
                      <a:headEnd type="none" w="med" len="med"/>
                      <a:tailEnd type="none" w="med" len="med"/>
                    </a:ln>
                  </pic:spPr>
                </pic:pic>
              </a:graphicData>
            </a:graphic>
          </wp:anchor>
        </w:drawing>
      </w:r>
      <w:r>
        <w:rPr>
          <w:rFonts w:hint="eastAsia"/>
          <w:color w:val="auto"/>
        </w:rPr>
        <w:drawing>
          <wp:anchor distT="0" distB="0" distL="114300" distR="114300" simplePos="0" relativeHeight="251659264" behindDoc="0" locked="0" layoutInCell="1" allowOverlap="1">
            <wp:simplePos x="0" y="0"/>
            <wp:positionH relativeFrom="column">
              <wp:posOffset>409575</wp:posOffset>
            </wp:positionH>
            <wp:positionV relativeFrom="paragraph">
              <wp:posOffset>95250</wp:posOffset>
            </wp:positionV>
            <wp:extent cx="9011920" cy="5172075"/>
            <wp:effectExtent l="19050" t="19050" r="36830" b="28575"/>
            <wp:wrapNone/>
            <wp:docPr id="67" name="图片 3" descr="东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 descr="东胜"/>
                    <pic:cNvPicPr>
                      <a:picLocks noChangeAspect="1"/>
                    </pic:cNvPicPr>
                  </pic:nvPicPr>
                  <pic:blipFill>
                    <a:blip r:embed="rId80"/>
                    <a:stretch>
                      <a:fillRect/>
                    </a:stretch>
                  </pic:blipFill>
                  <pic:spPr>
                    <a:xfrm>
                      <a:off x="0" y="0"/>
                      <a:ext cx="9011920" cy="5172075"/>
                    </a:xfrm>
                    <a:prstGeom prst="rect">
                      <a:avLst/>
                    </a:prstGeom>
                    <a:noFill/>
                    <a:ln w="19050" cap="flat" cmpd="sng">
                      <a:solidFill>
                        <a:srgbClr val="000000"/>
                      </a:solidFill>
                      <a:prstDash val="solid"/>
                      <a:miter/>
                      <a:headEnd type="none" w="med" len="med"/>
                      <a:tailEnd type="none" w="med" len="med"/>
                    </a:ln>
                  </pic:spPr>
                </pic:pic>
              </a:graphicData>
            </a:graphic>
          </wp:anchor>
        </w:drawing>
      </w:r>
    </w:p>
    <w:p w14:paraId="0A1FE1D0">
      <w:pPr>
        <w:pStyle w:val="4"/>
        <w:rPr>
          <w:rFonts w:hint="default" w:ascii="Times New Roman" w:hAnsi="Times New Roman" w:cs="Times New Roman"/>
          <w:color w:val="auto"/>
          <w:highlight w:val="none"/>
        </w:rPr>
      </w:pPr>
      <w:bookmarkStart w:id="18" w:name="_Toc144507135"/>
      <w:r>
        <w:rPr>
          <w:color w:val="auto"/>
          <w:sz w:val="24"/>
        </w:rPr>
        <mc:AlternateContent>
          <mc:Choice Requires="wpg">
            <w:drawing>
              <wp:anchor distT="0" distB="0" distL="114300" distR="114300" simplePos="0" relativeHeight="251674624" behindDoc="0" locked="0" layoutInCell="1" allowOverlap="1">
                <wp:simplePos x="0" y="0"/>
                <wp:positionH relativeFrom="column">
                  <wp:posOffset>5381625</wp:posOffset>
                </wp:positionH>
                <wp:positionV relativeFrom="paragraph">
                  <wp:posOffset>95250</wp:posOffset>
                </wp:positionV>
                <wp:extent cx="808990" cy="857250"/>
                <wp:effectExtent l="32385" t="0" r="0" b="19050"/>
                <wp:wrapNone/>
                <wp:docPr id="33" name="组合 33"/>
                <wp:cNvGraphicFramePr/>
                <a:graphic xmlns:a="http://schemas.openxmlformats.org/drawingml/2006/main">
                  <a:graphicData uri="http://schemas.microsoft.com/office/word/2010/wordprocessingGroup">
                    <wpg:wgp>
                      <wpg:cNvGrpSpPr/>
                      <wpg:grpSpPr>
                        <a:xfrm>
                          <a:off x="0" y="0"/>
                          <a:ext cx="808990" cy="857250"/>
                          <a:chOff x="9523" y="831064"/>
                          <a:chExt cx="1274" cy="1350"/>
                        </a:xfrm>
                      </wpg:grpSpPr>
                      <wps:wsp>
                        <wps:cNvPr id="24" name="直接箭头连接符 24"/>
                        <wps:cNvCnPr/>
                        <wps:spPr>
                          <a:xfrm flipH="1" flipV="1">
                            <a:off x="9523" y="831064"/>
                            <a:ext cx="285" cy="1350"/>
                          </a:xfrm>
                          <a:prstGeom prst="straightConnector1">
                            <a:avLst/>
                          </a:prstGeom>
                          <a:ln w="38100">
                            <a:tailEnd type="triangle"/>
                          </a:ln>
                        </wps:spPr>
                        <wps:style>
                          <a:lnRef idx="2">
                            <a:schemeClr val="accent1"/>
                          </a:lnRef>
                          <a:fillRef idx="0">
                            <a:srgbClr val="FFFFFF"/>
                          </a:fillRef>
                          <a:effectRef idx="0">
                            <a:srgbClr val="FFFFFF"/>
                          </a:effectRef>
                          <a:fontRef idx="minor">
                            <a:schemeClr val="tx1"/>
                          </a:fontRef>
                        </wps:style>
                        <wps:bodyPr/>
                      </wps:wsp>
                      <wps:wsp>
                        <wps:cNvPr id="28" name="文本框 28"/>
                        <wps:cNvSpPr txBox="1"/>
                        <wps:spPr>
                          <a:xfrm>
                            <a:off x="9823" y="831349"/>
                            <a:ext cx="975" cy="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321D2">
                              <w:pPr>
                                <w:ind w:left="0" w:leftChars="0" w:firstLine="0" w:firstLineChars="0"/>
                                <w:rPr>
                                  <w:rFonts w:hint="eastAsia" w:eastAsia="宋体"/>
                                  <w:sz w:val="32"/>
                                  <w:szCs w:val="28"/>
                                  <w:lang w:val="en-US" w:eastAsia="zh-CN"/>
                                </w:rPr>
                              </w:pPr>
                              <w:r>
                                <w:rPr>
                                  <w:rFonts w:hint="eastAsia"/>
                                  <w:sz w:val="32"/>
                                  <w:szCs w:val="28"/>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23.75pt;margin-top:7.5pt;height:67.5pt;width:63.7pt;z-index:251674624;mso-width-relative:page;mso-height-relative:page;" coordorigin="9523,831064" coordsize="1274,1350" o:gfxdata="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">
                <o:lock v:ext="edit" aspectratio="f"/>
                <v:shape id="_x0000_s1026" o:spid="_x0000_s1026" o:spt="32" type="#_x0000_t32" style="position:absolute;left:9523;top:831064;flip:x y;height:1350;width:285;" filled="f" stroked="t" coordsize="21600,21600" o:gfxdata="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SBbir4A&#10;AADbAAAADwAAAAAAAAABACAAAAAiAAAAZHJzL2Rvd25yZXYueG1sUEsBAhQAFAAAAAgAh07iQDMv&#10;BZ47AAAAOQAAABAAAAAAAAAAAQAgAAAADQEAAGRycy9zaGFwZXhtbC54bWxQSwUGAAAAAAYABgBb&#10;AQAAtwMAAAAA&#10;">
                  <v:fill on="f" focussize="0,0"/>
                  <v:stroke weight="3pt" color="#4472C4 [3204]" miterlimit="8" joinstyle="miter" endarrow="block"/>
                  <v:imagedata o:title=""/>
                  <o:lock v:ext="edit" aspectratio="f"/>
                </v:shape>
                <v:shape id="_x0000_s1026" o:spid="_x0000_s1026" o:spt="202" type="#_x0000_t202" style="position:absolute;left:9823;top:831349;height:750;width:975;" filled="f" stroked="f" coordsize="21600,21600" o:gfxdata="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Po87ugAAANsA&#10;AAAPAAAAAAAAAAEAIAAAACIAAABkcnMvZG93bnJldi54bWxQSwECFAAUAAAACACHTuJAMy8FnjsA&#10;AAA5AAAAEAAAAAAAAAABACAAAAAJAQAAZHJzL3NoYXBleG1sLnhtbFBLBQYAAAAABgAGAFsBAACz&#10;AwAAAAA=&#10;">
                  <v:fill on="f" focussize="0,0"/>
                  <v:stroke on="f" weight="0.5pt"/>
                  <v:imagedata o:title=""/>
                  <o:lock v:ext="edit" aspectratio="f"/>
                  <v:textbox>
                    <w:txbxContent>
                      <w:p w14:paraId="141321D2">
                        <w:pPr>
                          <w:ind w:left="0" w:leftChars="0" w:firstLine="0" w:firstLineChars="0"/>
                          <w:rPr>
                            <w:rFonts w:hint="eastAsia" w:eastAsia="宋体"/>
                            <w:sz w:val="32"/>
                            <w:szCs w:val="28"/>
                            <w:lang w:val="en-US" w:eastAsia="zh-CN"/>
                          </w:rPr>
                        </w:pPr>
                        <w:r>
                          <w:rPr>
                            <w:rFonts w:hint="eastAsia"/>
                            <w:sz w:val="32"/>
                            <w:szCs w:val="28"/>
                            <w:lang w:val="en-US" w:eastAsia="zh-CN"/>
                          </w:rPr>
                          <w:t>N</w:t>
                        </w:r>
                      </w:p>
                    </w:txbxContent>
                  </v:textbox>
                </v:shape>
              </v:group>
            </w:pict>
          </mc:Fallback>
        </mc:AlternateContent>
      </w:r>
      <w:r>
        <w:rPr>
          <w:rFonts w:hint="default" w:ascii="Times New Roman" w:hAnsi="Times New Roman" w:cs="Times New Roman"/>
          <w:color w:val="auto"/>
          <w:highlight w:val="none"/>
        </w:rPr>
        <w:t>附图2：平面布置图</w:t>
      </w:r>
      <w:bookmarkEnd w:id="18"/>
    </w:p>
    <w:p w14:paraId="5C48C084">
      <w:pPr>
        <w:ind w:firstLine="0" w:firstLineChars="0"/>
        <w:jc w:val="center"/>
        <w:rPr>
          <w:rFonts w:hint="default" w:ascii="Times New Roman" w:hAnsi="Times New Roman" w:cs="Times New Roman"/>
          <w:color w:val="auto"/>
          <w:highlight w:val="none"/>
        </w:rPr>
        <w:sectPr>
          <w:pgSz w:w="11906" w:h="16838"/>
          <w:pgMar w:top="720" w:right="720" w:bottom="720" w:left="720" w:header="794" w:footer="850" w:gutter="0"/>
          <w:pgBorders>
            <w:top w:val="none" w:sz="0" w:space="0"/>
            <w:left w:val="none" w:sz="0" w:space="0"/>
            <w:bottom w:val="none" w:sz="0" w:space="0"/>
            <w:right w:val="none" w:sz="0" w:space="0"/>
          </w:pgBorders>
          <w:cols w:space="425" w:num="1"/>
          <w:docGrid w:type="lines" w:linePitch="326" w:charSpace="0"/>
        </w:sectPr>
      </w:pPr>
      <w:r>
        <w:rPr>
          <w:color w:val="auto"/>
          <w:sz w:val="24"/>
        </w:rPr>
        <mc:AlternateContent>
          <mc:Choice Requires="wpg">
            <w:drawing>
              <wp:anchor distT="0" distB="0" distL="114300" distR="114300" simplePos="0" relativeHeight="251675648" behindDoc="0" locked="0" layoutInCell="1" allowOverlap="1">
                <wp:simplePos x="0" y="0"/>
                <wp:positionH relativeFrom="column">
                  <wp:posOffset>-1276985</wp:posOffset>
                </wp:positionH>
                <wp:positionV relativeFrom="paragraph">
                  <wp:posOffset>1656715</wp:posOffset>
                </wp:positionV>
                <wp:extent cx="7812405" cy="4506595"/>
                <wp:effectExtent l="4445" t="4445" r="22860" b="12700"/>
                <wp:wrapNone/>
                <wp:docPr id="49" name="组合 49"/>
                <wp:cNvGraphicFramePr/>
                <a:graphic xmlns:a="http://schemas.openxmlformats.org/drawingml/2006/main">
                  <a:graphicData uri="http://schemas.microsoft.com/office/word/2010/wordprocessingGroup">
                    <wpg:wgp>
                      <wpg:cNvGrpSpPr/>
                      <wpg:grpSpPr>
                        <a:xfrm rot="16200000">
                          <a:off x="0" y="0"/>
                          <a:ext cx="7812666" cy="4506857"/>
                          <a:chOff x="1956" y="830916"/>
                          <a:chExt cx="8715" cy="5027"/>
                        </a:xfrm>
                      </wpg:grpSpPr>
                      <wps:wsp>
                        <wps:cNvPr id="23" name="文本框 23"/>
                        <wps:cNvSpPr txBox="1"/>
                        <wps:spPr>
                          <a:xfrm>
                            <a:off x="1956" y="830916"/>
                            <a:ext cx="8715" cy="502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D30D870"/>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 name="文本框 31"/>
                        <wps:cNvSpPr txBox="1"/>
                        <wps:spPr>
                          <a:xfrm rot="5400000">
                            <a:off x="335" y="832595"/>
                            <a:ext cx="4183" cy="8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2EBAF37">
                              <w:pPr>
                                <w:numPr>
                                  <w:ilvl w:val="0"/>
                                  <w:numId w:val="0"/>
                                </w:numPr>
                                <w:ind w:leftChars="0"/>
                                <w:jc w:val="center"/>
                                <w:rPr>
                                  <w:rFonts w:hint="default" w:eastAsia="宋体"/>
                                  <w:lang w:val="en-US" w:eastAsia="zh-CN"/>
                                </w:rPr>
                              </w:pPr>
                              <w:r>
                                <w:rPr>
                                  <w:rFonts w:hint="eastAsia"/>
                                  <w:lang w:val="en-US" w:eastAsia="zh-CN"/>
                                </w:rPr>
                                <w:t>办公楼</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 name="文本框 32"/>
                        <wps:cNvSpPr txBox="1"/>
                        <wps:spPr>
                          <a:xfrm rot="5400000">
                            <a:off x="6548" y="833072"/>
                            <a:ext cx="2759" cy="93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0F33AE1">
                              <w:pPr>
                                <w:numPr>
                                  <w:ilvl w:val="0"/>
                                  <w:numId w:val="0"/>
                                </w:numPr>
                                <w:ind w:leftChars="0"/>
                                <w:jc w:val="center"/>
                                <w:rPr>
                                  <w:rFonts w:hint="eastAsia" w:eastAsia="宋体"/>
                                  <w:lang w:eastAsia="zh-CN"/>
                                </w:rPr>
                              </w:pPr>
                              <w:r>
                                <w:rPr>
                                  <w:rFonts w:hint="eastAsia"/>
                                  <w:lang w:eastAsia="zh-CN"/>
                                </w:rPr>
                                <w:t>砂石料棚</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4" name="文本框 34"/>
                        <wps:cNvSpPr txBox="1"/>
                        <wps:spPr>
                          <a:xfrm>
                            <a:off x="4130" y="830929"/>
                            <a:ext cx="3583" cy="39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8C2819F">
                              <w:pPr>
                                <w:numPr>
                                  <w:ilvl w:val="0"/>
                                  <w:numId w:val="0"/>
                                </w:numPr>
                                <w:ind w:leftChars="0"/>
                                <w:jc w:val="center"/>
                                <w:rPr>
                                  <w:rFonts w:hint="eastAsia" w:eastAsia="宋体"/>
                                  <w:sz w:val="20"/>
                                  <w:szCs w:val="18"/>
                                  <w:lang w:eastAsia="zh-CN"/>
                                </w:rPr>
                              </w:pPr>
                              <w:r>
                                <w:rPr>
                                  <w:rFonts w:hint="eastAsia"/>
                                  <w:sz w:val="20"/>
                                  <w:szCs w:val="18"/>
                                  <w:lang w:eastAsia="zh-CN"/>
                                </w:rPr>
                                <w:t>库房</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5" name="文本框 35"/>
                        <wps:cNvSpPr txBox="1"/>
                        <wps:spPr>
                          <a:xfrm>
                            <a:off x="2945" y="830929"/>
                            <a:ext cx="1093" cy="33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9F01578">
                              <w:pPr>
                                <w:keepNext w:val="0"/>
                                <w:keepLines w:val="0"/>
                                <w:pageBreakBefore w:val="0"/>
                                <w:widowControl/>
                                <w:numPr>
                                  <w:ilvl w:val="0"/>
                                  <w:numId w:val="0"/>
                                </w:numPr>
                                <w:kinsoku/>
                                <w:wordWrap/>
                                <w:overflowPunct/>
                                <w:topLinePunct w:val="0"/>
                                <w:bidi w:val="0"/>
                                <w:adjustRightInd/>
                                <w:snapToGrid/>
                                <w:spacing w:line="240" w:lineRule="auto"/>
                                <w:ind w:leftChars="0"/>
                                <w:jc w:val="center"/>
                                <w:textAlignment w:val="auto"/>
                                <w:rPr>
                                  <w:rFonts w:hint="eastAsia" w:eastAsia="宋体"/>
                                  <w:sz w:val="20"/>
                                  <w:szCs w:val="18"/>
                                  <w:lang w:eastAsia="zh-CN"/>
                                </w:rPr>
                              </w:pPr>
                              <w:r>
                                <w:rPr>
                                  <w:rFonts w:hint="eastAsia"/>
                                  <w:sz w:val="20"/>
                                  <w:szCs w:val="18"/>
                                  <w:lang w:eastAsia="zh-CN"/>
                                </w:rPr>
                                <w:t>磅房</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40" name="组合 40"/>
                        <wpg:cNvGrpSpPr/>
                        <wpg:grpSpPr>
                          <a:xfrm>
                            <a:off x="3589" y="831619"/>
                            <a:ext cx="2684" cy="2070"/>
                            <a:chOff x="3949" y="832129"/>
                            <a:chExt cx="2684" cy="2070"/>
                          </a:xfrm>
                        </wpg:grpSpPr>
                        <wps:wsp>
                          <wps:cNvPr id="36" name="文本框 36"/>
                          <wps:cNvSpPr txBox="1"/>
                          <wps:spPr>
                            <a:xfrm>
                              <a:off x="3949" y="832129"/>
                              <a:ext cx="2684" cy="2070"/>
                            </a:xfrm>
                            <a:prstGeom prst="rect">
                              <a:avLst/>
                            </a:prstGeom>
                            <a:solidFill>
                              <a:schemeClr val="lt1"/>
                            </a:solidFill>
                            <a:ln w="12700" cmpd="sng">
                              <a:solidFill>
                                <a:schemeClr val="tx1"/>
                              </a:solidFill>
                              <a:prstDash val="sysDash"/>
                            </a:ln>
                          </wps:spPr>
                          <wps:style>
                            <a:lnRef idx="0">
                              <a:schemeClr val="accent1"/>
                            </a:lnRef>
                            <a:fillRef idx="0">
                              <a:schemeClr val="accent1"/>
                            </a:fillRef>
                            <a:effectRef idx="0">
                              <a:schemeClr val="accent1"/>
                            </a:effectRef>
                            <a:fontRef idx="minor">
                              <a:schemeClr val="dk1"/>
                            </a:fontRef>
                          </wps:style>
                          <wps:txbx>
                            <w:txbxContent>
                              <w:p w14:paraId="343D42CF">
                                <w:pPr>
                                  <w:numPr>
                                    <w:ilvl w:val="0"/>
                                    <w:numId w:val="0"/>
                                  </w:numPr>
                                  <w:ind w:leftChars="0"/>
                                  <w:jc w:val="center"/>
                                  <w:rPr>
                                    <w:rFonts w:hint="eastAsia"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7" name="文本框 37"/>
                          <wps:cNvSpPr txBox="1"/>
                          <wps:spPr>
                            <a:xfrm rot="5400000">
                              <a:off x="3904" y="832669"/>
                              <a:ext cx="1095" cy="85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31EB723">
                                <w:pPr>
                                  <w:numPr>
                                    <w:ilvl w:val="0"/>
                                    <w:numId w:val="0"/>
                                  </w:numPr>
                                  <w:ind w:leftChars="0"/>
                                  <w:jc w:val="center"/>
                                  <w:rPr>
                                    <w:rFonts w:hint="eastAsia" w:eastAsia="宋体"/>
                                    <w:lang w:val="en-US" w:eastAsia="zh-CN"/>
                                  </w:rPr>
                                </w:pPr>
                                <w:r>
                                  <w:rPr>
                                    <w:rFonts w:hint="eastAsia"/>
                                    <w:lang w:eastAsia="zh-CN"/>
                                  </w:rPr>
                                  <w:t>搅拌楼区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8" name="文本框 38"/>
                          <wps:cNvSpPr txBox="1"/>
                          <wps:spPr>
                            <a:xfrm rot="5400000">
                              <a:off x="5202" y="832632"/>
                              <a:ext cx="210" cy="85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890EEDF">
                                <w:pPr>
                                  <w:numPr>
                                    <w:ilvl w:val="0"/>
                                    <w:numId w:val="0"/>
                                  </w:numPr>
                                  <w:ind w:leftChars="0"/>
                                  <w:jc w:val="center"/>
                                  <w:rPr>
                                    <w:rFonts w:hint="eastAsia"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9" name="文本框 39"/>
                          <wps:cNvSpPr txBox="1"/>
                          <wps:spPr>
                            <a:xfrm rot="5400000">
                              <a:off x="5158" y="832767"/>
                              <a:ext cx="1904" cy="72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5B216B9">
                                <w:pPr>
                                  <w:numPr>
                                    <w:ilvl w:val="0"/>
                                    <w:numId w:val="0"/>
                                  </w:numPr>
                                  <w:ind w:leftChars="0"/>
                                  <w:jc w:val="center"/>
                                  <w:rPr>
                                    <w:rFonts w:hint="eastAsia" w:eastAsia="宋体"/>
                                    <w:color w:val="auto"/>
                                    <w:lang w:eastAsia="zh-CN"/>
                                  </w:rPr>
                                </w:pPr>
                                <w:r>
                                  <w:rPr>
                                    <w:rFonts w:hint="eastAsia"/>
                                    <w:color w:val="auto"/>
                                    <w:lang w:eastAsia="zh-CN"/>
                                  </w:rPr>
                                  <w:t>粉料筒仓区</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41" name="文本框 41"/>
                        <wps:cNvSpPr txBox="1"/>
                        <wps:spPr>
                          <a:xfrm>
                            <a:off x="1970" y="835594"/>
                            <a:ext cx="1093" cy="33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6344DD5">
                              <w:pPr>
                                <w:keepNext w:val="0"/>
                                <w:keepLines w:val="0"/>
                                <w:pageBreakBefore w:val="0"/>
                                <w:widowControl/>
                                <w:numPr>
                                  <w:ilvl w:val="0"/>
                                  <w:numId w:val="0"/>
                                </w:numPr>
                                <w:kinsoku/>
                                <w:wordWrap/>
                                <w:overflowPunct/>
                                <w:topLinePunct w:val="0"/>
                                <w:bidi w:val="0"/>
                                <w:adjustRightInd/>
                                <w:snapToGrid/>
                                <w:spacing w:line="240" w:lineRule="auto"/>
                                <w:ind w:leftChars="0"/>
                                <w:jc w:val="center"/>
                                <w:textAlignment w:val="auto"/>
                                <w:rPr>
                                  <w:rFonts w:hint="eastAsia" w:eastAsia="宋体"/>
                                  <w:sz w:val="20"/>
                                  <w:szCs w:val="18"/>
                                  <w:lang w:eastAsia="zh-CN"/>
                                </w:rPr>
                              </w:pPr>
                              <w:r>
                                <w:rPr>
                                  <w:rFonts w:hint="eastAsia"/>
                                  <w:sz w:val="20"/>
                                  <w:szCs w:val="18"/>
                                  <w:lang w:eastAsia="zh-CN"/>
                                </w:rPr>
                                <w:t>发电机房</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2" name="文本框 42"/>
                        <wps:cNvSpPr txBox="1"/>
                        <wps:spPr>
                          <a:xfrm>
                            <a:off x="3815" y="835564"/>
                            <a:ext cx="2338" cy="36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98225A1">
                              <w:pPr>
                                <w:numPr>
                                  <w:ilvl w:val="0"/>
                                  <w:numId w:val="0"/>
                                </w:numPr>
                                <w:ind w:leftChars="0"/>
                                <w:jc w:val="center"/>
                                <w:rPr>
                                  <w:rFonts w:hint="eastAsia" w:eastAsia="宋体"/>
                                  <w:sz w:val="20"/>
                                  <w:szCs w:val="18"/>
                                  <w:lang w:eastAsia="zh-CN"/>
                                </w:rPr>
                              </w:pPr>
                              <w:r>
                                <w:rPr>
                                  <w:rFonts w:hint="eastAsia"/>
                                  <w:sz w:val="20"/>
                                  <w:szCs w:val="18"/>
                                  <w:lang w:eastAsia="zh-CN"/>
                                </w:rPr>
                                <w:t>泵房</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文本框 45"/>
                        <wps:cNvSpPr txBox="1"/>
                        <wps:spPr>
                          <a:xfrm>
                            <a:off x="6050" y="833860"/>
                            <a:ext cx="1053" cy="7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7525B7C">
                              <w:pPr>
                                <w:keepNext w:val="0"/>
                                <w:keepLines w:val="0"/>
                                <w:pageBreakBefore w:val="0"/>
                                <w:widowControl/>
                                <w:kinsoku/>
                                <w:wordWrap/>
                                <w:overflowPunct/>
                                <w:topLinePunct w:val="0"/>
                                <w:bidi w:val="0"/>
                                <w:adjustRightInd/>
                                <w:snapToGrid/>
                                <w:spacing w:line="240" w:lineRule="auto"/>
                                <w:ind w:firstLine="0" w:firstLineChars="0"/>
                                <w:jc w:val="center"/>
                                <w:textAlignment w:val="auto"/>
                                <w:rPr>
                                  <w:rFonts w:hint="eastAsia"/>
                                  <w:color w:val="auto"/>
                                  <w:sz w:val="20"/>
                                  <w:szCs w:val="18"/>
                                  <w:lang w:eastAsia="zh-CN"/>
                                </w:rPr>
                              </w:pPr>
                              <w:r>
                                <w:rPr>
                                  <w:rFonts w:hint="eastAsia"/>
                                  <w:color w:val="auto"/>
                                  <w:sz w:val="20"/>
                                  <w:szCs w:val="18"/>
                                  <w:lang w:eastAsia="zh-CN"/>
                                </w:rPr>
                                <w:t>洗砂机</w:t>
                              </w:r>
                            </w:p>
                            <w:p w14:paraId="521F7945">
                              <w:pPr>
                                <w:keepNext w:val="0"/>
                                <w:keepLines w:val="0"/>
                                <w:pageBreakBefore w:val="0"/>
                                <w:widowControl/>
                                <w:kinsoku/>
                                <w:wordWrap/>
                                <w:overflowPunct/>
                                <w:topLinePunct w:val="0"/>
                                <w:bidi w:val="0"/>
                                <w:adjustRightInd/>
                                <w:snapToGrid/>
                                <w:spacing w:line="240" w:lineRule="auto"/>
                                <w:ind w:firstLine="0" w:firstLineChars="0"/>
                                <w:jc w:val="center"/>
                                <w:textAlignment w:val="auto"/>
                                <w:rPr>
                                  <w:rFonts w:hint="default" w:eastAsia="宋体"/>
                                  <w:color w:val="auto"/>
                                  <w:sz w:val="20"/>
                                  <w:szCs w:val="18"/>
                                  <w:lang w:val="en-US" w:eastAsia="zh-CN"/>
                                </w:rPr>
                              </w:pPr>
                              <w:r>
                                <w:rPr>
                                  <w:rFonts w:hint="eastAsia"/>
                                  <w:color w:val="auto"/>
                                  <w:sz w:val="20"/>
                                  <w:szCs w:val="18"/>
                                  <w:lang w:val="en-US" w:eastAsia="zh-CN"/>
                                </w:rPr>
                                <w:t>沉淀池</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00.55pt;margin-top:130.45pt;height:354.85pt;width:615.15pt;rotation:-5898240f;z-index:251675648;mso-width-relative:page;mso-height-relative:page;" coordorigin="1956,830916" coordsize="8715,5027" o:gfxdata="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">
                <o:lock v:ext="edit" aspectratio="f"/>
                <v:shape id="_x0000_s1026" o:spid="_x0000_s1026" o:spt="202" type="#_x0000_t202" style="position:absolute;left:1956;top:830916;height:5027;width:8715;" fillcolor="#FFFFFF [3201]" filled="t" stroked="t" coordsize="21600,21600" o:gfxdata="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JK1uy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7D30D870"/>
                    </w:txbxContent>
                  </v:textbox>
                </v:shape>
                <v:shape id="_x0000_s1026" o:spid="_x0000_s1026" o:spt="202" type="#_x0000_t202" style="position:absolute;left:335;top:832595;height:855;width:4183;rotation:5898240f;" fillcolor="#FFFFFF [3201]" filled="t" stroked="t" coordsize="21600,21600" o:gfxdata="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AO8vO/&#10;AAAA2wAAAA8AAAAAAAAAAQAgAAAAIgAAAGRycy9kb3ducmV2LnhtbFBLAQIUABQAAAAIAIdO4kAz&#10;LwWeOwAAADkAAAAQAAAAAAAAAAEAIAAAAA4BAABkcnMvc2hhcGV4bWwueG1sUEsFBgAAAAAGAAYA&#10;WwEAALgDAAAAAA==&#10;">
                  <v:fill on="t" focussize="0,0"/>
                  <v:stroke weight="0.5pt" color="#000000 [3204]" joinstyle="round"/>
                  <v:imagedata o:title=""/>
                  <o:lock v:ext="edit" aspectratio="f"/>
                  <v:textbox>
                    <w:txbxContent>
                      <w:p w14:paraId="12EBAF37">
                        <w:pPr>
                          <w:numPr>
                            <w:ilvl w:val="0"/>
                            <w:numId w:val="0"/>
                          </w:numPr>
                          <w:ind w:leftChars="0"/>
                          <w:jc w:val="center"/>
                          <w:rPr>
                            <w:rFonts w:hint="default" w:eastAsia="宋体"/>
                            <w:lang w:val="en-US" w:eastAsia="zh-CN"/>
                          </w:rPr>
                        </w:pPr>
                        <w:r>
                          <w:rPr>
                            <w:rFonts w:hint="eastAsia"/>
                            <w:lang w:val="en-US" w:eastAsia="zh-CN"/>
                          </w:rPr>
                          <w:t>办公楼</w:t>
                        </w:r>
                      </w:p>
                    </w:txbxContent>
                  </v:textbox>
                </v:shape>
                <v:shape id="_x0000_s1026" o:spid="_x0000_s1026" o:spt="202" type="#_x0000_t202" style="position:absolute;left:6548;top:833072;height:937;width:2759;rotation:5898240f;" fillcolor="#FFFFFF [3201]" filled="t" stroked="t" coordsize="21600,21600" o:gfxdata="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DcbIS/&#10;AAAA2wAAAA8AAAAAAAAAAQAgAAAAIgAAAGRycy9kb3ducmV2LnhtbFBLAQIUABQAAAAIAIdO4kAz&#10;LwWeOwAAADkAAAAQAAAAAAAAAAEAIAAAAA4BAABkcnMvc2hhcGV4bWwueG1sUEsFBgAAAAAGAAYA&#10;WwEAALgDAAAAAA==&#10;">
                  <v:fill on="t" focussize="0,0"/>
                  <v:stroke weight="0.5pt" color="#000000 [3204]" joinstyle="round"/>
                  <v:imagedata o:title=""/>
                  <o:lock v:ext="edit" aspectratio="f"/>
                  <v:textbox>
                    <w:txbxContent>
                      <w:p w14:paraId="00F33AE1">
                        <w:pPr>
                          <w:numPr>
                            <w:ilvl w:val="0"/>
                            <w:numId w:val="0"/>
                          </w:numPr>
                          <w:ind w:leftChars="0"/>
                          <w:jc w:val="center"/>
                          <w:rPr>
                            <w:rFonts w:hint="eastAsia" w:eastAsia="宋体"/>
                            <w:lang w:eastAsia="zh-CN"/>
                          </w:rPr>
                        </w:pPr>
                        <w:r>
                          <w:rPr>
                            <w:rFonts w:hint="eastAsia"/>
                            <w:lang w:eastAsia="zh-CN"/>
                          </w:rPr>
                          <w:t>砂石料棚</w:t>
                        </w:r>
                      </w:p>
                    </w:txbxContent>
                  </v:textbox>
                </v:shape>
                <v:shape id="_x0000_s1026" o:spid="_x0000_s1026" o:spt="202" type="#_x0000_t202" style="position:absolute;left:4130;top:830929;height:392;width:3583;" fillcolor="#FFFFFF [3201]" filled="t" stroked="t" coordsize="21600,21600" o:gfxdata="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IethF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58C2819F">
                        <w:pPr>
                          <w:numPr>
                            <w:ilvl w:val="0"/>
                            <w:numId w:val="0"/>
                          </w:numPr>
                          <w:ind w:leftChars="0"/>
                          <w:jc w:val="center"/>
                          <w:rPr>
                            <w:rFonts w:hint="eastAsia" w:eastAsia="宋体"/>
                            <w:sz w:val="20"/>
                            <w:szCs w:val="18"/>
                            <w:lang w:eastAsia="zh-CN"/>
                          </w:rPr>
                        </w:pPr>
                        <w:r>
                          <w:rPr>
                            <w:rFonts w:hint="eastAsia"/>
                            <w:sz w:val="20"/>
                            <w:szCs w:val="18"/>
                            <w:lang w:eastAsia="zh-CN"/>
                          </w:rPr>
                          <w:t>库房</w:t>
                        </w:r>
                      </w:p>
                    </w:txbxContent>
                  </v:textbox>
                </v:shape>
                <v:shape id="_x0000_s1026" o:spid="_x0000_s1026" o:spt="202" type="#_x0000_t202" style="position:absolute;left:2945;top:830929;height:332;width:1093;" fillcolor="#FFFFFF [3201]" filled="t" stroked="t" coordsize="21600,21600" o:gfxdata="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nNn3e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39F01578">
                        <w:pPr>
                          <w:keepNext w:val="0"/>
                          <w:keepLines w:val="0"/>
                          <w:pageBreakBefore w:val="0"/>
                          <w:widowControl/>
                          <w:numPr>
                            <w:ilvl w:val="0"/>
                            <w:numId w:val="0"/>
                          </w:numPr>
                          <w:kinsoku/>
                          <w:wordWrap/>
                          <w:overflowPunct/>
                          <w:topLinePunct w:val="0"/>
                          <w:bidi w:val="0"/>
                          <w:adjustRightInd/>
                          <w:snapToGrid/>
                          <w:spacing w:line="240" w:lineRule="auto"/>
                          <w:ind w:leftChars="0"/>
                          <w:jc w:val="center"/>
                          <w:textAlignment w:val="auto"/>
                          <w:rPr>
                            <w:rFonts w:hint="eastAsia" w:eastAsia="宋体"/>
                            <w:sz w:val="20"/>
                            <w:szCs w:val="18"/>
                            <w:lang w:eastAsia="zh-CN"/>
                          </w:rPr>
                        </w:pPr>
                        <w:r>
                          <w:rPr>
                            <w:rFonts w:hint="eastAsia"/>
                            <w:sz w:val="20"/>
                            <w:szCs w:val="18"/>
                            <w:lang w:eastAsia="zh-CN"/>
                          </w:rPr>
                          <w:t>磅房</w:t>
                        </w:r>
                      </w:p>
                    </w:txbxContent>
                  </v:textbox>
                </v:shape>
                <v:group id="_x0000_s1026" o:spid="_x0000_s1026" o:spt="203" style="position:absolute;left:3589;top:831619;height:2070;width:2684;" coordorigin="3949,832129" coordsize="2684,2070"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shape id="_x0000_s1026" o:spid="_x0000_s1026" o:spt="202" type="#_x0000_t202" style="position:absolute;left:3949;top:832129;height:2070;width:2684;" fillcolor="#FFFFFF [3201]" filled="t" stroked="t" coordsize="21600,21600" o:gfxdata="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RdwMugAAANsA&#10;AAAPAAAAAAAAAAEAIAAAACIAAABkcnMvZG93bnJldi54bWxQSwECFAAUAAAACACHTuJAMy8FnjsA&#10;AAA5AAAAEAAAAAAAAAABACAAAAAJAQAAZHJzL3NoYXBleG1sLnhtbFBLBQYAAAAABgAGAFsBAACz&#10;AwAAAAA=&#10;">
                    <v:fill on="t" focussize="0,0"/>
                    <v:stroke weight="1pt" color="#000000 [3213]" joinstyle="round" dashstyle="3 1"/>
                    <v:imagedata o:title=""/>
                    <o:lock v:ext="edit" aspectratio="f"/>
                    <v:textbox>
                      <w:txbxContent>
                        <w:p w14:paraId="343D42CF">
                          <w:pPr>
                            <w:numPr>
                              <w:ilvl w:val="0"/>
                              <w:numId w:val="0"/>
                            </w:numPr>
                            <w:ind w:leftChars="0"/>
                            <w:jc w:val="center"/>
                            <w:rPr>
                              <w:rFonts w:hint="eastAsia" w:eastAsia="宋体"/>
                              <w:lang w:eastAsia="zh-CN"/>
                            </w:rPr>
                          </w:pPr>
                        </w:p>
                      </w:txbxContent>
                    </v:textbox>
                  </v:shape>
                  <v:shape id="_x0000_s1026" o:spid="_x0000_s1026" o:spt="202" type="#_x0000_t202" style="position:absolute;left:3904;top:832669;height:856;width:1095;rotation:5898240f;" fillcolor="#FFFFFF [3201]" filled="t" stroked="t" coordsize="21600,21600" o:gfxdata="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Crzxy/&#10;AAAA2wAAAA8AAAAAAAAAAQAgAAAAIgAAAGRycy9kb3ducmV2LnhtbFBLAQIUABQAAAAIAIdO4kAz&#10;LwWeOwAAADkAAAAQAAAAAAAAAAEAIAAAAA4BAABkcnMvc2hhcGV4bWwueG1sUEsFBgAAAAAGAAYA&#10;WwEAALgDAAAAAA==&#10;">
                    <v:fill on="t" focussize="0,0"/>
                    <v:stroke weight="0.5pt" color="#000000 [3204]" joinstyle="round"/>
                    <v:imagedata o:title=""/>
                    <o:lock v:ext="edit" aspectratio="f"/>
                    <v:textbox>
                      <w:txbxContent>
                        <w:p w14:paraId="431EB723">
                          <w:pPr>
                            <w:numPr>
                              <w:ilvl w:val="0"/>
                              <w:numId w:val="0"/>
                            </w:numPr>
                            <w:ind w:leftChars="0"/>
                            <w:jc w:val="center"/>
                            <w:rPr>
                              <w:rFonts w:hint="eastAsia" w:eastAsia="宋体"/>
                              <w:lang w:val="en-US" w:eastAsia="zh-CN"/>
                            </w:rPr>
                          </w:pPr>
                          <w:r>
                            <w:rPr>
                              <w:rFonts w:hint="eastAsia"/>
                              <w:lang w:eastAsia="zh-CN"/>
                            </w:rPr>
                            <w:t>搅拌楼区</w:t>
                          </w:r>
                        </w:p>
                      </w:txbxContent>
                    </v:textbox>
                  </v:shape>
                  <v:shape id="_x0000_s1026" o:spid="_x0000_s1026" o:spt="202" type="#_x0000_t202" style="position:absolute;left:5202;top:832632;height:856;width:210;rotation:5898240f;" fillcolor="#FFFFFF [3201]" filled="t" stroked="t" coordsize="21600,21600" o:gfxdata="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TRbbrsAAADb&#10;AAAADwAAAAAAAAABACAAAAAiAAAAZHJzL2Rvd25yZXYueG1sUEsBAhQAFAAAAAgAh07iQDMvBZ47&#10;AAAAOQAAABAAAAAAAAAAAQAgAAAACgEAAGRycy9zaGFwZXhtbC54bWxQSwUGAAAAAAYABgBbAQAA&#10;tAMAAAAA&#10;">
                    <v:fill on="t" focussize="0,0"/>
                    <v:stroke weight="0.5pt" color="#000000 [3204]" joinstyle="round"/>
                    <v:imagedata o:title=""/>
                    <o:lock v:ext="edit" aspectratio="f"/>
                    <v:textbox>
                      <w:txbxContent>
                        <w:p w14:paraId="6890EEDF">
                          <w:pPr>
                            <w:numPr>
                              <w:ilvl w:val="0"/>
                              <w:numId w:val="0"/>
                            </w:numPr>
                            <w:ind w:leftChars="0"/>
                            <w:jc w:val="center"/>
                            <w:rPr>
                              <w:rFonts w:hint="eastAsia" w:eastAsia="宋体"/>
                              <w:lang w:eastAsia="zh-CN"/>
                            </w:rPr>
                          </w:pPr>
                        </w:p>
                      </w:txbxContent>
                    </v:textbox>
                  </v:shape>
                  <v:shape id="_x0000_s1026" o:spid="_x0000_s1026" o:spt="202" type="#_x0000_t202" style="position:absolute;left:5158;top:832767;height:721;width:1904;rotation:5898240f;" fillcolor="#FFFFFF [3201]" filled="t" stroked="t" coordsize="21600,21600" o:gfxdata="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54/vW/&#10;AAAA2wAAAA8AAAAAAAAAAQAgAAAAIgAAAGRycy9kb3ducmV2LnhtbFBLAQIUABQAAAAIAIdO4kAz&#10;LwWeOwAAADkAAAAQAAAAAAAAAAEAIAAAAA4BAABkcnMvc2hhcGV4bWwueG1sUEsFBgAAAAAGAAYA&#10;WwEAALgDAAAAAA==&#10;">
                    <v:fill on="t" focussize="0,0"/>
                    <v:stroke weight="0.5pt" color="#000000 [3204]" joinstyle="round"/>
                    <v:imagedata o:title=""/>
                    <o:lock v:ext="edit" aspectratio="f"/>
                    <v:textbox>
                      <w:txbxContent>
                        <w:p w14:paraId="15B216B9">
                          <w:pPr>
                            <w:numPr>
                              <w:ilvl w:val="0"/>
                              <w:numId w:val="0"/>
                            </w:numPr>
                            <w:ind w:leftChars="0"/>
                            <w:jc w:val="center"/>
                            <w:rPr>
                              <w:rFonts w:hint="eastAsia" w:eastAsia="宋体"/>
                              <w:color w:val="auto"/>
                              <w:lang w:eastAsia="zh-CN"/>
                            </w:rPr>
                          </w:pPr>
                          <w:r>
                            <w:rPr>
                              <w:rFonts w:hint="eastAsia"/>
                              <w:color w:val="auto"/>
                              <w:lang w:eastAsia="zh-CN"/>
                            </w:rPr>
                            <w:t>粉料筒仓区</w:t>
                          </w:r>
                        </w:p>
                      </w:txbxContent>
                    </v:textbox>
                  </v:shape>
                </v:group>
                <v:shape id="_x0000_s1026" o:spid="_x0000_s1026" o:spt="202" type="#_x0000_t202" style="position:absolute;left:1970;top:835594;height:332;width:1093;" fillcolor="#FFFFFF [3201]" filled="t" stroked="t" coordsize="21600,21600" o:gfxdata="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Cwig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16344DD5">
                        <w:pPr>
                          <w:keepNext w:val="0"/>
                          <w:keepLines w:val="0"/>
                          <w:pageBreakBefore w:val="0"/>
                          <w:widowControl/>
                          <w:numPr>
                            <w:ilvl w:val="0"/>
                            <w:numId w:val="0"/>
                          </w:numPr>
                          <w:kinsoku/>
                          <w:wordWrap/>
                          <w:overflowPunct/>
                          <w:topLinePunct w:val="0"/>
                          <w:bidi w:val="0"/>
                          <w:adjustRightInd/>
                          <w:snapToGrid/>
                          <w:spacing w:line="240" w:lineRule="auto"/>
                          <w:ind w:leftChars="0"/>
                          <w:jc w:val="center"/>
                          <w:textAlignment w:val="auto"/>
                          <w:rPr>
                            <w:rFonts w:hint="eastAsia" w:eastAsia="宋体"/>
                            <w:sz w:val="20"/>
                            <w:szCs w:val="18"/>
                            <w:lang w:eastAsia="zh-CN"/>
                          </w:rPr>
                        </w:pPr>
                        <w:r>
                          <w:rPr>
                            <w:rFonts w:hint="eastAsia"/>
                            <w:sz w:val="20"/>
                            <w:szCs w:val="18"/>
                            <w:lang w:eastAsia="zh-CN"/>
                          </w:rPr>
                          <w:t>发电机房</w:t>
                        </w:r>
                      </w:p>
                    </w:txbxContent>
                  </v:textbox>
                </v:shape>
                <v:shape id="_x0000_s1026" o:spid="_x0000_s1026" o:spt="202" type="#_x0000_t202" style="position:absolute;left:3815;top:835564;height:362;width:2338;" fillcolor="#FFFFFF [3201]" filled="t" stroked="t" coordsize="21600,21600" o:gfxdata="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w2ZbX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298225A1">
                        <w:pPr>
                          <w:numPr>
                            <w:ilvl w:val="0"/>
                            <w:numId w:val="0"/>
                          </w:numPr>
                          <w:ind w:leftChars="0"/>
                          <w:jc w:val="center"/>
                          <w:rPr>
                            <w:rFonts w:hint="eastAsia" w:eastAsia="宋体"/>
                            <w:sz w:val="20"/>
                            <w:szCs w:val="18"/>
                            <w:lang w:eastAsia="zh-CN"/>
                          </w:rPr>
                        </w:pPr>
                        <w:r>
                          <w:rPr>
                            <w:rFonts w:hint="eastAsia"/>
                            <w:sz w:val="20"/>
                            <w:szCs w:val="18"/>
                            <w:lang w:eastAsia="zh-CN"/>
                          </w:rPr>
                          <w:t>泵房</w:t>
                        </w:r>
                      </w:p>
                    </w:txbxContent>
                  </v:textbox>
                </v:shape>
                <v:shape id="_x0000_s1026" o:spid="_x0000_s1026" o:spt="202" type="#_x0000_t202" style="position:absolute;left:6050;top:833860;height:780;width:1053;" fillcolor="#FFFFFF [3201]" filled="t" stroked="t" coordsize="21600,21600" o:gfxdata="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A6j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27525B7C">
                        <w:pPr>
                          <w:keepNext w:val="0"/>
                          <w:keepLines w:val="0"/>
                          <w:pageBreakBefore w:val="0"/>
                          <w:widowControl/>
                          <w:kinsoku/>
                          <w:wordWrap/>
                          <w:overflowPunct/>
                          <w:topLinePunct w:val="0"/>
                          <w:bidi w:val="0"/>
                          <w:adjustRightInd/>
                          <w:snapToGrid/>
                          <w:spacing w:line="240" w:lineRule="auto"/>
                          <w:ind w:firstLine="0" w:firstLineChars="0"/>
                          <w:jc w:val="center"/>
                          <w:textAlignment w:val="auto"/>
                          <w:rPr>
                            <w:rFonts w:hint="eastAsia"/>
                            <w:color w:val="auto"/>
                            <w:sz w:val="20"/>
                            <w:szCs w:val="18"/>
                            <w:lang w:eastAsia="zh-CN"/>
                          </w:rPr>
                        </w:pPr>
                        <w:r>
                          <w:rPr>
                            <w:rFonts w:hint="eastAsia"/>
                            <w:color w:val="auto"/>
                            <w:sz w:val="20"/>
                            <w:szCs w:val="18"/>
                            <w:lang w:eastAsia="zh-CN"/>
                          </w:rPr>
                          <w:t>洗砂机</w:t>
                        </w:r>
                      </w:p>
                      <w:p w14:paraId="521F7945">
                        <w:pPr>
                          <w:keepNext w:val="0"/>
                          <w:keepLines w:val="0"/>
                          <w:pageBreakBefore w:val="0"/>
                          <w:widowControl/>
                          <w:kinsoku/>
                          <w:wordWrap/>
                          <w:overflowPunct/>
                          <w:topLinePunct w:val="0"/>
                          <w:bidi w:val="0"/>
                          <w:adjustRightInd/>
                          <w:snapToGrid/>
                          <w:spacing w:line="240" w:lineRule="auto"/>
                          <w:ind w:firstLine="0" w:firstLineChars="0"/>
                          <w:jc w:val="center"/>
                          <w:textAlignment w:val="auto"/>
                          <w:rPr>
                            <w:rFonts w:hint="default" w:eastAsia="宋体"/>
                            <w:color w:val="auto"/>
                            <w:sz w:val="20"/>
                            <w:szCs w:val="18"/>
                            <w:lang w:val="en-US" w:eastAsia="zh-CN"/>
                          </w:rPr>
                        </w:pPr>
                        <w:r>
                          <w:rPr>
                            <w:rFonts w:hint="eastAsia"/>
                            <w:color w:val="auto"/>
                            <w:sz w:val="20"/>
                            <w:szCs w:val="18"/>
                            <w:lang w:val="en-US" w:eastAsia="zh-CN"/>
                          </w:rPr>
                          <w:t>沉淀池</w:t>
                        </w:r>
                      </w:p>
                    </w:txbxContent>
                  </v:textbox>
                </v:shape>
              </v:group>
            </w:pict>
          </mc:Fallback>
        </mc:AlternateContent>
      </w:r>
      <w:r>
        <w:rPr>
          <w:color w:val="auto"/>
          <w:sz w:val="24"/>
        </w:rPr>
        <mc:AlternateContent>
          <mc:Choice Requires="wpg">
            <w:drawing>
              <wp:anchor distT="0" distB="0" distL="114300" distR="114300" simplePos="0" relativeHeight="251673600" behindDoc="0" locked="0" layoutInCell="1" allowOverlap="1">
                <wp:simplePos x="0" y="0"/>
                <wp:positionH relativeFrom="column">
                  <wp:posOffset>4742180</wp:posOffset>
                </wp:positionH>
                <wp:positionV relativeFrom="paragraph">
                  <wp:posOffset>7930515</wp:posOffset>
                </wp:positionV>
                <wp:extent cx="1380490" cy="895350"/>
                <wp:effectExtent l="0" t="0" r="0" b="0"/>
                <wp:wrapNone/>
                <wp:docPr id="30" name="组合 30"/>
                <wp:cNvGraphicFramePr/>
                <a:graphic xmlns:a="http://schemas.openxmlformats.org/drawingml/2006/main">
                  <a:graphicData uri="http://schemas.microsoft.com/office/word/2010/wordprocessingGroup">
                    <wpg:wgp>
                      <wpg:cNvGrpSpPr/>
                      <wpg:grpSpPr>
                        <a:xfrm>
                          <a:off x="0" y="0"/>
                          <a:ext cx="1380490" cy="895350"/>
                          <a:chOff x="12118" y="843104"/>
                          <a:chExt cx="1919" cy="1245"/>
                        </a:xfrm>
                      </wpg:grpSpPr>
                      <wpg:grpSp>
                        <wpg:cNvPr id="64" name="组合 64"/>
                        <wpg:cNvGrpSpPr/>
                        <wpg:grpSpPr>
                          <a:xfrm rot="0">
                            <a:off x="12517" y="843667"/>
                            <a:ext cx="1020" cy="682"/>
                            <a:chOff x="5914" y="841109"/>
                            <a:chExt cx="1020" cy="682"/>
                          </a:xfrm>
                        </wpg:grpSpPr>
                        <wpg:grpSp>
                          <wpg:cNvPr id="62" name="组合 62"/>
                          <wpg:cNvGrpSpPr/>
                          <wpg:grpSpPr>
                            <a:xfrm>
                              <a:off x="6090" y="841109"/>
                              <a:ext cx="586" cy="165"/>
                              <a:chOff x="6090" y="841109"/>
                              <a:chExt cx="586" cy="165"/>
                            </a:xfrm>
                          </wpg:grpSpPr>
                          <wps:wsp>
                            <wps:cNvPr id="50" name="直接连接符 50"/>
                            <wps:cNvCnPr/>
                            <wps:spPr>
                              <a:xfrm>
                                <a:off x="6090" y="841109"/>
                                <a:ext cx="0" cy="165"/>
                              </a:xfrm>
                              <a:prstGeom prst="line">
                                <a:avLst/>
                              </a:prstGeom>
                            </wps:spPr>
                            <wps:style>
                              <a:lnRef idx="2">
                                <a:schemeClr val="accent1"/>
                              </a:lnRef>
                              <a:fillRef idx="0">
                                <a:srgbClr val="FFFFFF"/>
                              </a:fillRef>
                              <a:effectRef idx="0">
                                <a:srgbClr val="FFFFFF"/>
                              </a:effectRef>
                              <a:fontRef idx="minor">
                                <a:schemeClr val="tx1"/>
                              </a:fontRef>
                            </wps:style>
                            <wps:bodyPr/>
                          </wps:wsp>
                          <wps:wsp>
                            <wps:cNvPr id="60" name="直接连接符 60"/>
                            <wps:cNvCnPr/>
                            <wps:spPr>
                              <a:xfrm>
                                <a:off x="6105" y="841271"/>
                                <a:ext cx="567" cy="0"/>
                              </a:xfrm>
                              <a:prstGeom prst="line">
                                <a:avLst/>
                              </a:prstGeom>
                            </wps:spPr>
                            <wps:style>
                              <a:lnRef idx="2">
                                <a:schemeClr val="accent1"/>
                              </a:lnRef>
                              <a:fillRef idx="0">
                                <a:srgbClr val="FFFFFF"/>
                              </a:fillRef>
                              <a:effectRef idx="0">
                                <a:srgbClr val="FFFFFF"/>
                              </a:effectRef>
                              <a:fontRef idx="minor">
                                <a:schemeClr val="tx1"/>
                              </a:fontRef>
                            </wps:style>
                            <wps:bodyPr/>
                          </wps:wsp>
                          <wps:wsp>
                            <wps:cNvPr id="61" name="直接连接符 61"/>
                            <wps:cNvCnPr/>
                            <wps:spPr>
                              <a:xfrm>
                                <a:off x="6676" y="841110"/>
                                <a:ext cx="0" cy="165"/>
                              </a:xfrm>
                              <a:prstGeom prst="line">
                                <a:avLst/>
                              </a:prstGeom>
                            </wps:spPr>
                            <wps:style>
                              <a:lnRef idx="2">
                                <a:schemeClr val="accent1"/>
                              </a:lnRef>
                              <a:fillRef idx="0">
                                <a:srgbClr val="FFFFFF"/>
                              </a:fillRef>
                              <a:effectRef idx="0">
                                <a:srgbClr val="FFFFFF"/>
                              </a:effectRef>
                              <a:fontRef idx="minor">
                                <a:schemeClr val="tx1"/>
                              </a:fontRef>
                            </wps:style>
                            <wps:bodyPr/>
                          </wps:wsp>
                        </wpg:grpSp>
                        <wps:wsp>
                          <wps:cNvPr id="63" name="文本框 63"/>
                          <wps:cNvSpPr txBox="1"/>
                          <wps:spPr>
                            <a:xfrm>
                              <a:off x="5914" y="841286"/>
                              <a:ext cx="1020" cy="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FA7390">
                                <w:pPr>
                                  <w:keepNext w:val="0"/>
                                  <w:keepLines w:val="0"/>
                                  <w:pageBreakBefore w:val="0"/>
                                  <w:widowControl/>
                                  <w:kinsoku/>
                                  <w:wordWrap/>
                                  <w:overflowPunct/>
                                  <w:topLinePunct w:val="0"/>
                                  <w:bidi w:val="0"/>
                                  <w:adjustRightInd/>
                                  <w:snapToGrid/>
                                  <w:spacing w:line="240" w:lineRule="auto"/>
                                  <w:ind w:left="0" w:leftChars="0" w:firstLine="0" w:firstLineChars="0"/>
                                  <w:textAlignment w:val="auto"/>
                                  <w:rPr>
                                    <w:rFonts w:hint="default" w:eastAsia="宋体"/>
                                    <w:color w:val="auto"/>
                                    <w:sz w:val="20"/>
                                    <w:szCs w:val="18"/>
                                    <w:lang w:val="en-US" w:eastAsia="zh-CN"/>
                                  </w:rPr>
                                </w:pPr>
                                <w:r>
                                  <w:rPr>
                                    <w:rFonts w:hint="eastAsia"/>
                                    <w:color w:val="auto"/>
                                    <w:sz w:val="20"/>
                                    <w:szCs w:val="18"/>
                                    <w:lang w:val="en-US" w:eastAsia="zh-CN"/>
                                  </w:rPr>
                                  <w:t>1:1000</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65" name="文本框 65"/>
                        <wps:cNvSpPr txBox="1"/>
                        <wps:spPr>
                          <a:xfrm>
                            <a:off x="12118" y="843104"/>
                            <a:ext cx="1919" cy="5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7CE09C">
                              <w:pPr>
                                <w:rPr>
                                  <w:rFonts w:hint="eastAsia" w:eastAsia="宋体"/>
                                  <w:b/>
                                  <w:bCs/>
                                  <w:color w:val="auto"/>
                                  <w:sz w:val="20"/>
                                  <w:szCs w:val="18"/>
                                  <w:lang w:eastAsia="zh-CN"/>
                                </w:rPr>
                              </w:pPr>
                              <w:r>
                                <w:rPr>
                                  <w:rFonts w:hint="eastAsia"/>
                                  <w:b/>
                                  <w:bCs/>
                                  <w:color w:val="auto"/>
                                  <w:sz w:val="20"/>
                                  <w:szCs w:val="18"/>
                                  <w:lang w:eastAsia="zh-CN"/>
                                </w:rPr>
                                <w:t>比例尺（</w:t>
                              </w:r>
                              <w:r>
                                <w:rPr>
                                  <w:rFonts w:hint="eastAsia"/>
                                  <w:b/>
                                  <w:bCs/>
                                  <w:color w:val="auto"/>
                                  <w:sz w:val="20"/>
                                  <w:szCs w:val="18"/>
                                  <w:lang w:val="en-US" w:eastAsia="zh-CN"/>
                                </w:rPr>
                                <w:t>cm</w:t>
                              </w:r>
                              <w:r>
                                <w:rPr>
                                  <w:rFonts w:hint="eastAsia"/>
                                  <w:b/>
                                  <w:bCs/>
                                  <w:color w:val="auto"/>
                                  <w:sz w:val="20"/>
                                  <w:szCs w:val="18"/>
                                  <w:lang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73.4pt;margin-top:624.45pt;height:70.5pt;width:108.7pt;z-index:251673600;mso-width-relative:page;mso-height-relative:page;" coordorigin="12118,843104" coordsize="1919,1245" o:gfxdata="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DKXusc3AAAAA0BAAAPAAAAAAAAAAEAIAAAACIAAABkcnMvZG93bnJldi54&#10;bWxQSwECFAAUAAAACACHTuJA0gLDkzAEAAAzEAAADgAAAAAAAAABACAAAAArAQAAZHJzL2Uyb0Rv&#10;Yy54bWxQSwUGAAAAAAYABgBZAQAAzQcAAAAA&#10;">
                <o:lock v:ext="edit" aspectratio="f"/>
                <v:group id="_x0000_s1026" o:spid="_x0000_s1026" o:spt="203" style="position:absolute;left:12517;top:843667;height:682;width:1020;" coordorigin="5914,841109" coordsize="1020,682" o:gfxdata="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1TPka7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6090;top:841109;height:165;width:586;" coordorigin="6090,841109" coordsize="586,165" o:gfxdata="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WW2YS+AAAA2wAAAA8AAAAAAAAAAQAgAAAAIgAAAGRycy9kb3ducmV2Lnht&#10;bFBLAQIUABQAAAAIAIdO4kAzLwWeOwAAADkAAAAVAAAAAAAAAAEAIAAAAA0BAABkcnMvZ3JvdXBz&#10;aGFwZXhtbC54bWxQSwUGAAAAAAYABgBgAQAAygMAAAAA&#10;">
                    <o:lock v:ext="edit" aspectratio="f"/>
                    <v:line id="_x0000_s1026" o:spid="_x0000_s1026" o:spt="20" style="position:absolute;left:6090;top:841109;height:165;width:0;" filled="f" stroked="t" coordsize="21600,21600" o:gfxdata="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vA8x1ugAAANsA&#10;AAAPAAAAAAAAAAEAIAAAACIAAABkcnMvZG93bnJldi54bWxQSwECFAAUAAAACACHTuJAMy8FnjsA&#10;AAA5AAAAEAAAAAAAAAABACAAAAAJAQAAZHJzL3NoYXBleG1sLnhtbFBLBQYAAAAABgAGAFsBAACz&#10;AwAAAAA=&#10;">
                      <v:fill on="f" focussize="0,0"/>
                      <v:stroke weight="1pt" color="#4472C4 [3204]" miterlimit="8" joinstyle="miter"/>
                      <v:imagedata o:title=""/>
                      <o:lock v:ext="edit" aspectratio="f"/>
                    </v:line>
                    <v:line id="_x0000_s1026" o:spid="_x0000_s1026" o:spt="20" style="position:absolute;left:6105;top:841271;height:0;width:567;" filled="f" stroked="t" coordsize="21600,21600" o:gfxdata="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hbwbItwAAANsAAAAP&#10;AAAAAAAAAAEAIAAAACIAAABkcnMvZG93bnJldi54bWxQSwECFAAUAAAACACHTuJAMy8FnjsAAAA5&#10;AAAAEAAAAAAAAAABACAAAAAGAQAAZHJzL3NoYXBleG1sLnhtbFBLBQYAAAAABgAGAFsBAACwAwAA&#10;AAA=&#10;">
                      <v:fill on="f" focussize="0,0"/>
                      <v:stroke weight="1pt" color="#4472C4 [3204]" miterlimit="8" joinstyle="miter"/>
                      <v:imagedata o:title=""/>
                      <o:lock v:ext="edit" aspectratio="f"/>
                    </v:line>
                    <v:line id="_x0000_s1026" o:spid="_x0000_s1026" o:spt="20" style="position:absolute;left:6676;top:841110;height:165;width:0;" filled="f" stroked="t" coordsize="21600,21600" o:gfxdata="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iOjU7sAAADb&#10;AAAADwAAAAAAAAABACAAAAAiAAAAZHJzL2Rvd25yZXYueG1sUEsBAhQAFAAAAAgAh07iQDMvBZ47&#10;AAAAOQAAABAAAAAAAAAAAQAgAAAACgEAAGRycy9zaGFwZXhtbC54bWxQSwUGAAAAAAYABgBbAQAA&#10;tAMAAAAA&#10;">
                      <v:fill on="f" focussize="0,0"/>
                      <v:stroke weight="1pt" color="#4472C4 [3204]" miterlimit="8" joinstyle="miter"/>
                      <v:imagedata o:title=""/>
                      <o:lock v:ext="edit" aspectratio="f"/>
                    </v:line>
                  </v:group>
                  <v:shape id="_x0000_s1026" o:spid="_x0000_s1026" o:spt="202" type="#_x0000_t202" style="position:absolute;left:5914;top:841286;height:505;width:1020;" filled="f" stroked="f" coordsize="21600,21600" o:gfxdata="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PwpIq/&#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9FA7390">
                          <w:pPr>
                            <w:keepNext w:val="0"/>
                            <w:keepLines w:val="0"/>
                            <w:pageBreakBefore w:val="0"/>
                            <w:widowControl/>
                            <w:kinsoku/>
                            <w:wordWrap/>
                            <w:overflowPunct/>
                            <w:topLinePunct w:val="0"/>
                            <w:bidi w:val="0"/>
                            <w:adjustRightInd/>
                            <w:snapToGrid/>
                            <w:spacing w:line="240" w:lineRule="auto"/>
                            <w:ind w:left="0" w:leftChars="0" w:firstLine="0" w:firstLineChars="0"/>
                            <w:textAlignment w:val="auto"/>
                            <w:rPr>
                              <w:rFonts w:hint="default" w:eastAsia="宋体"/>
                              <w:color w:val="auto"/>
                              <w:sz w:val="20"/>
                              <w:szCs w:val="18"/>
                              <w:lang w:val="en-US" w:eastAsia="zh-CN"/>
                            </w:rPr>
                          </w:pPr>
                          <w:r>
                            <w:rPr>
                              <w:rFonts w:hint="eastAsia"/>
                              <w:color w:val="auto"/>
                              <w:sz w:val="20"/>
                              <w:szCs w:val="18"/>
                              <w:lang w:val="en-US" w:eastAsia="zh-CN"/>
                            </w:rPr>
                            <w:t>1:1000</w:t>
                          </w:r>
                        </w:p>
                      </w:txbxContent>
                    </v:textbox>
                  </v:shape>
                </v:group>
                <v:shape id="_x0000_s1026" o:spid="_x0000_s1026" o:spt="202" type="#_x0000_t202" style="position:absolute;left:12118;top:843104;height:524;width:1919;" filled="f" stroked="f" coordsize="21600,21600" o:gfxdata="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1WZZ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667CE09C">
                        <w:pPr>
                          <w:rPr>
                            <w:rFonts w:hint="eastAsia" w:eastAsia="宋体"/>
                            <w:b/>
                            <w:bCs/>
                            <w:color w:val="auto"/>
                            <w:sz w:val="20"/>
                            <w:szCs w:val="18"/>
                            <w:lang w:eastAsia="zh-CN"/>
                          </w:rPr>
                        </w:pPr>
                        <w:r>
                          <w:rPr>
                            <w:rFonts w:hint="eastAsia"/>
                            <w:b/>
                            <w:bCs/>
                            <w:color w:val="auto"/>
                            <w:sz w:val="20"/>
                            <w:szCs w:val="18"/>
                            <w:lang w:eastAsia="zh-CN"/>
                          </w:rPr>
                          <w:t>比例尺（</w:t>
                        </w:r>
                        <w:r>
                          <w:rPr>
                            <w:rFonts w:hint="eastAsia"/>
                            <w:b/>
                            <w:bCs/>
                            <w:color w:val="auto"/>
                            <w:sz w:val="20"/>
                            <w:szCs w:val="18"/>
                            <w:lang w:val="en-US" w:eastAsia="zh-CN"/>
                          </w:rPr>
                          <w:t>cm</w:t>
                        </w:r>
                        <w:r>
                          <w:rPr>
                            <w:rFonts w:hint="eastAsia"/>
                            <w:b/>
                            <w:bCs/>
                            <w:color w:val="auto"/>
                            <w:sz w:val="20"/>
                            <w:szCs w:val="18"/>
                            <w:lang w:eastAsia="zh-CN"/>
                          </w:rPr>
                          <w:t>）</w:t>
                        </w:r>
                      </w:p>
                    </w:txbxContent>
                  </v:textbox>
                </v:shape>
              </v:group>
            </w:pict>
          </mc:Fallback>
        </mc:AlternateContent>
      </w:r>
    </w:p>
    <w:p w14:paraId="3942FF33">
      <w:pPr>
        <w:pStyle w:val="2"/>
        <w:ind w:left="0" w:leftChars="0" w:firstLine="0" w:firstLineChars="0"/>
        <w:rPr>
          <w:rFonts w:hint="default" w:ascii="Times New Roman" w:hAnsi="Times New Roman" w:eastAsia="宋体" w:cs="Times New Roman"/>
          <w:b/>
          <w:color w:val="auto"/>
          <w:sz w:val="24"/>
          <w:szCs w:val="28"/>
          <w:highlight w:val="none"/>
          <w:lang w:val="en-US" w:eastAsia="zh-CN" w:bidi="ar-SA"/>
        </w:rPr>
        <w:sectPr>
          <w:pgSz w:w="16838" w:h="11906" w:orient="landscape"/>
          <w:pgMar w:top="720" w:right="720" w:bottom="720" w:left="720" w:header="794" w:footer="850" w:gutter="0"/>
          <w:pgBorders>
            <w:top w:val="none" w:sz="0" w:space="0"/>
            <w:left w:val="none" w:sz="0" w:space="0"/>
            <w:bottom w:val="none" w:sz="0" w:space="0"/>
            <w:right w:val="none" w:sz="0" w:space="0"/>
          </w:pgBorders>
          <w:cols w:space="425" w:num="1"/>
          <w:docGrid w:type="lines" w:linePitch="326" w:charSpace="0"/>
        </w:sectPr>
      </w:pPr>
      <w:r>
        <w:rPr>
          <w:color w:val="auto"/>
        </w:rPr>
        <w:drawing>
          <wp:anchor distT="0" distB="0" distL="114300" distR="114300" simplePos="0" relativeHeight="251664384" behindDoc="0" locked="0" layoutInCell="1" allowOverlap="1">
            <wp:simplePos x="0" y="0"/>
            <wp:positionH relativeFrom="column">
              <wp:posOffset>66675</wp:posOffset>
            </wp:positionH>
            <wp:positionV relativeFrom="paragraph">
              <wp:posOffset>369570</wp:posOffset>
            </wp:positionV>
            <wp:extent cx="9771380" cy="4864735"/>
            <wp:effectExtent l="0" t="0" r="1270" b="12065"/>
            <wp:wrapNone/>
            <wp:docPr id="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0"/>
                    <pic:cNvPicPr>
                      <a:picLocks noChangeAspect="1"/>
                    </pic:cNvPicPr>
                  </pic:nvPicPr>
                  <pic:blipFill>
                    <a:blip r:embed="rId81"/>
                    <a:stretch>
                      <a:fillRect/>
                    </a:stretch>
                  </pic:blipFill>
                  <pic:spPr>
                    <a:xfrm>
                      <a:off x="0" y="0"/>
                      <a:ext cx="9771380" cy="4864735"/>
                    </a:xfrm>
                    <a:prstGeom prst="rect">
                      <a:avLst/>
                    </a:prstGeom>
                    <a:noFill/>
                    <a:ln>
                      <a:noFill/>
                    </a:ln>
                  </pic:spPr>
                </pic:pic>
              </a:graphicData>
            </a:graphic>
          </wp:anchor>
        </w:drawing>
      </w:r>
      <w:r>
        <w:rPr>
          <w:rFonts w:hint="default" w:ascii="Times New Roman" w:hAnsi="Times New Roman" w:eastAsia="宋体" w:cs="Times New Roman"/>
          <w:b/>
          <w:color w:val="auto"/>
          <w:sz w:val="24"/>
          <w:szCs w:val="28"/>
          <w:highlight w:val="none"/>
          <w:lang w:val="en-US" w:eastAsia="zh-CN" w:bidi="ar-SA"/>
        </w:rPr>
        <w:t>附图</w:t>
      </w:r>
      <w:r>
        <w:rPr>
          <w:rFonts w:hint="eastAsia" w:cs="Times New Roman"/>
          <w:b/>
          <w:color w:val="auto"/>
          <w:sz w:val="24"/>
          <w:szCs w:val="28"/>
          <w:highlight w:val="none"/>
          <w:lang w:val="en-US" w:eastAsia="zh-CN" w:bidi="ar-SA"/>
        </w:rPr>
        <w:t>3</w:t>
      </w:r>
      <w:r>
        <w:rPr>
          <w:rFonts w:hint="default" w:ascii="Times New Roman" w:hAnsi="Times New Roman" w:eastAsia="宋体" w:cs="Times New Roman"/>
          <w:b/>
          <w:color w:val="auto"/>
          <w:sz w:val="24"/>
          <w:szCs w:val="28"/>
          <w:highlight w:val="none"/>
          <w:lang w:val="en-US" w:eastAsia="zh-CN" w:bidi="ar-SA"/>
        </w:rPr>
        <w:t>：</w:t>
      </w:r>
      <w:r>
        <w:rPr>
          <w:rFonts w:hint="eastAsia" w:cs="Times New Roman"/>
          <w:b/>
          <w:color w:val="auto"/>
          <w:sz w:val="24"/>
          <w:szCs w:val="28"/>
          <w:highlight w:val="none"/>
          <w:lang w:val="en-US" w:eastAsia="zh-CN" w:bidi="ar-SA"/>
        </w:rPr>
        <w:t>项目与鄂尔多斯市环境管控单元位置关系</w:t>
      </w:r>
      <w:r>
        <w:rPr>
          <w:rFonts w:hint="default" w:ascii="Times New Roman" w:hAnsi="Times New Roman" w:eastAsia="宋体" w:cs="Times New Roman"/>
          <w:b/>
          <w:color w:val="auto"/>
          <w:sz w:val="24"/>
          <w:szCs w:val="28"/>
          <w:highlight w:val="none"/>
          <w:lang w:val="en-US" w:eastAsia="zh-CN" w:bidi="ar-SA"/>
        </w:rPr>
        <w:t>图</w:t>
      </w:r>
    </w:p>
    <w:p w14:paraId="278FE1DD">
      <w:pPr>
        <w:pStyle w:val="4"/>
        <w:rPr>
          <w:rFonts w:hint="default" w:ascii="Times New Roman" w:hAnsi="Times New Roman" w:cs="Times New Roman"/>
          <w:snapToGrid w:val="0"/>
          <w:color w:val="auto"/>
          <w:highlight w:val="none"/>
        </w:rPr>
      </w:pPr>
      <w:bookmarkStart w:id="19" w:name="_Toc144507138"/>
      <w:r>
        <w:rPr>
          <w:rFonts w:hint="eastAsia" w:ascii="Times New Roman" w:hAnsi="Times New Roman" w:eastAsia="宋体" w:cs="Times New Roman"/>
          <w:snapToGrid w:val="0"/>
          <w:color w:val="auto"/>
          <w:highlight w:val="none"/>
          <w:lang w:eastAsia="zh-CN"/>
        </w:rPr>
        <w:drawing>
          <wp:anchor distT="0" distB="0" distL="114300" distR="114300" simplePos="0" relativeHeight="251677696" behindDoc="0" locked="0" layoutInCell="1" allowOverlap="1">
            <wp:simplePos x="0" y="0"/>
            <wp:positionH relativeFrom="column">
              <wp:posOffset>-502285</wp:posOffset>
            </wp:positionH>
            <wp:positionV relativeFrom="paragraph">
              <wp:posOffset>-308610</wp:posOffset>
            </wp:positionV>
            <wp:extent cx="6143625" cy="7611110"/>
            <wp:effectExtent l="0" t="0" r="9525" b="8890"/>
            <wp:wrapNone/>
            <wp:docPr id="74" name="图片 74" descr="7896515347f02044dd8a098c14b1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7896515347f02044dd8a098c14b1a60"/>
                    <pic:cNvPicPr>
                      <a:picLocks noChangeAspect="1"/>
                    </pic:cNvPicPr>
                  </pic:nvPicPr>
                  <pic:blipFill>
                    <a:blip r:embed="rId82"/>
                    <a:stretch>
                      <a:fillRect/>
                    </a:stretch>
                  </pic:blipFill>
                  <pic:spPr>
                    <a:xfrm>
                      <a:off x="0" y="0"/>
                      <a:ext cx="6143625" cy="7611110"/>
                    </a:xfrm>
                    <a:prstGeom prst="rect">
                      <a:avLst/>
                    </a:prstGeom>
                  </pic:spPr>
                </pic:pic>
              </a:graphicData>
            </a:graphic>
          </wp:anchor>
        </w:drawing>
      </w:r>
      <w:r>
        <w:rPr>
          <w:rFonts w:hint="default" w:ascii="Times New Roman" w:hAnsi="Times New Roman" w:cs="Times New Roman"/>
          <w:snapToGrid w:val="0"/>
          <w:color w:val="auto"/>
          <w:highlight w:val="none"/>
        </w:rPr>
        <w:t>附件1：委托书</w:t>
      </w:r>
      <w:bookmarkEnd w:id="19"/>
    </w:p>
    <w:p w14:paraId="579B4841">
      <w:pPr>
        <w:pStyle w:val="4"/>
        <w:rPr>
          <w:rFonts w:hint="default" w:ascii="Times New Roman" w:hAnsi="Times New Roman" w:cs="Times New Roman"/>
          <w:snapToGrid w:val="0"/>
          <w:color w:val="auto"/>
          <w:highlight w:val="none"/>
        </w:rPr>
      </w:pPr>
    </w:p>
    <w:p w14:paraId="37DB1AF0">
      <w:pPr>
        <w:pStyle w:val="4"/>
        <w:rPr>
          <w:rFonts w:hint="default" w:ascii="Times New Roman" w:hAnsi="Times New Roman" w:cs="Times New Roman"/>
          <w:snapToGrid w:val="0"/>
          <w:color w:val="auto"/>
          <w:highlight w:val="none"/>
        </w:rPr>
      </w:pPr>
    </w:p>
    <w:p w14:paraId="494F5585">
      <w:pPr>
        <w:pStyle w:val="4"/>
        <w:rPr>
          <w:rFonts w:hint="default" w:ascii="Times New Roman" w:hAnsi="Times New Roman" w:cs="Times New Roman"/>
          <w:snapToGrid w:val="0"/>
          <w:color w:val="auto"/>
          <w:highlight w:val="none"/>
        </w:rPr>
      </w:pPr>
    </w:p>
    <w:p w14:paraId="26988760">
      <w:pPr>
        <w:pStyle w:val="4"/>
        <w:rPr>
          <w:rFonts w:hint="default" w:ascii="Times New Roman" w:hAnsi="Times New Roman" w:cs="Times New Roman"/>
          <w:snapToGrid w:val="0"/>
          <w:color w:val="auto"/>
          <w:highlight w:val="none"/>
        </w:rPr>
      </w:pPr>
    </w:p>
    <w:p w14:paraId="2EB14D23">
      <w:pPr>
        <w:pStyle w:val="4"/>
        <w:rPr>
          <w:rFonts w:hint="default" w:ascii="Times New Roman" w:hAnsi="Times New Roman" w:cs="Times New Roman"/>
          <w:snapToGrid w:val="0"/>
          <w:color w:val="auto"/>
          <w:highlight w:val="none"/>
        </w:rPr>
      </w:pPr>
    </w:p>
    <w:p w14:paraId="6AAD98EA">
      <w:pPr>
        <w:pStyle w:val="4"/>
        <w:rPr>
          <w:rFonts w:hint="default" w:ascii="Times New Roman" w:hAnsi="Times New Roman" w:cs="Times New Roman"/>
          <w:snapToGrid w:val="0"/>
          <w:color w:val="auto"/>
          <w:highlight w:val="none"/>
        </w:rPr>
      </w:pPr>
    </w:p>
    <w:p w14:paraId="3E4B29DD">
      <w:pPr>
        <w:pStyle w:val="4"/>
        <w:rPr>
          <w:rFonts w:hint="default" w:ascii="Times New Roman" w:hAnsi="Times New Roman" w:cs="Times New Roman"/>
          <w:snapToGrid w:val="0"/>
          <w:color w:val="auto"/>
          <w:highlight w:val="none"/>
        </w:rPr>
      </w:pPr>
    </w:p>
    <w:p w14:paraId="5C0A13B9">
      <w:pPr>
        <w:pStyle w:val="4"/>
        <w:rPr>
          <w:rFonts w:hint="default" w:ascii="Times New Roman" w:hAnsi="Times New Roman" w:cs="Times New Roman"/>
          <w:snapToGrid w:val="0"/>
          <w:color w:val="auto"/>
          <w:highlight w:val="none"/>
        </w:rPr>
      </w:pPr>
    </w:p>
    <w:p w14:paraId="0EF259C0">
      <w:pPr>
        <w:pStyle w:val="4"/>
        <w:rPr>
          <w:rFonts w:hint="default" w:ascii="Times New Roman" w:hAnsi="Times New Roman" w:cs="Times New Roman"/>
          <w:snapToGrid w:val="0"/>
          <w:color w:val="auto"/>
          <w:highlight w:val="none"/>
        </w:rPr>
      </w:pPr>
    </w:p>
    <w:p w14:paraId="21166022">
      <w:pPr>
        <w:pStyle w:val="4"/>
        <w:rPr>
          <w:rFonts w:hint="default" w:ascii="Times New Roman" w:hAnsi="Times New Roman" w:cs="Times New Roman"/>
          <w:snapToGrid w:val="0"/>
          <w:color w:val="auto"/>
          <w:highlight w:val="none"/>
        </w:rPr>
      </w:pPr>
    </w:p>
    <w:p w14:paraId="4FF7A963">
      <w:pPr>
        <w:pStyle w:val="4"/>
        <w:rPr>
          <w:rFonts w:hint="default" w:ascii="Times New Roman" w:hAnsi="Times New Roman" w:cs="Times New Roman"/>
          <w:snapToGrid w:val="0"/>
          <w:color w:val="auto"/>
          <w:highlight w:val="none"/>
        </w:rPr>
      </w:pPr>
    </w:p>
    <w:p w14:paraId="0A206E54">
      <w:pPr>
        <w:pStyle w:val="4"/>
        <w:rPr>
          <w:rFonts w:hint="default" w:ascii="Times New Roman" w:hAnsi="Times New Roman" w:cs="Times New Roman"/>
          <w:snapToGrid w:val="0"/>
          <w:color w:val="auto"/>
          <w:highlight w:val="none"/>
        </w:rPr>
      </w:pPr>
    </w:p>
    <w:p w14:paraId="2B0C2EC4">
      <w:pPr>
        <w:pStyle w:val="4"/>
        <w:rPr>
          <w:rFonts w:hint="default" w:ascii="Times New Roman" w:hAnsi="Times New Roman" w:cs="Times New Roman"/>
          <w:snapToGrid w:val="0"/>
          <w:color w:val="auto"/>
          <w:highlight w:val="none"/>
        </w:rPr>
      </w:pPr>
    </w:p>
    <w:p w14:paraId="788C6A4D">
      <w:pPr>
        <w:pStyle w:val="4"/>
        <w:rPr>
          <w:rFonts w:hint="default" w:ascii="Times New Roman" w:hAnsi="Times New Roman" w:cs="Times New Roman"/>
          <w:snapToGrid w:val="0"/>
          <w:color w:val="auto"/>
          <w:highlight w:val="none"/>
        </w:rPr>
      </w:pPr>
    </w:p>
    <w:p w14:paraId="42DEFA08">
      <w:pPr>
        <w:pStyle w:val="4"/>
        <w:rPr>
          <w:rFonts w:hint="default" w:ascii="Times New Roman" w:hAnsi="Times New Roman" w:cs="Times New Roman"/>
          <w:snapToGrid w:val="0"/>
          <w:color w:val="auto"/>
          <w:highlight w:val="none"/>
        </w:rPr>
      </w:pPr>
    </w:p>
    <w:p w14:paraId="7E2A955B">
      <w:pPr>
        <w:pStyle w:val="4"/>
        <w:rPr>
          <w:rFonts w:hint="default" w:ascii="Times New Roman" w:hAnsi="Times New Roman" w:cs="Times New Roman"/>
          <w:snapToGrid w:val="0"/>
          <w:color w:val="auto"/>
          <w:highlight w:val="none"/>
        </w:rPr>
      </w:pPr>
    </w:p>
    <w:p w14:paraId="022C1ABB">
      <w:pPr>
        <w:pStyle w:val="4"/>
        <w:rPr>
          <w:rFonts w:hint="default" w:ascii="Times New Roman" w:hAnsi="Times New Roman" w:cs="Times New Roman"/>
          <w:snapToGrid w:val="0"/>
          <w:color w:val="auto"/>
          <w:highlight w:val="none"/>
        </w:rPr>
      </w:pPr>
    </w:p>
    <w:p w14:paraId="634E0C87">
      <w:pPr>
        <w:pStyle w:val="4"/>
        <w:rPr>
          <w:rFonts w:hint="default" w:ascii="Times New Roman" w:hAnsi="Times New Roman" w:cs="Times New Roman"/>
          <w:snapToGrid w:val="0"/>
          <w:color w:val="auto"/>
          <w:highlight w:val="none"/>
        </w:rPr>
      </w:pPr>
    </w:p>
    <w:p w14:paraId="666CB489">
      <w:pPr>
        <w:pStyle w:val="4"/>
        <w:rPr>
          <w:rFonts w:hint="default" w:ascii="Times New Roman" w:hAnsi="Times New Roman" w:cs="Times New Roman"/>
          <w:snapToGrid w:val="0"/>
          <w:color w:val="auto"/>
          <w:highlight w:val="none"/>
        </w:rPr>
      </w:pPr>
    </w:p>
    <w:p w14:paraId="3AF9293C">
      <w:pPr>
        <w:pStyle w:val="4"/>
        <w:rPr>
          <w:rFonts w:hint="default" w:ascii="Times New Roman" w:hAnsi="Times New Roman" w:cs="Times New Roman"/>
          <w:snapToGrid w:val="0"/>
          <w:color w:val="auto"/>
          <w:highlight w:val="none"/>
        </w:rPr>
      </w:pPr>
    </w:p>
    <w:p w14:paraId="454A717B">
      <w:pPr>
        <w:pStyle w:val="4"/>
        <w:rPr>
          <w:rFonts w:hint="default" w:ascii="Times New Roman" w:hAnsi="Times New Roman" w:cs="Times New Roman"/>
          <w:snapToGrid w:val="0"/>
          <w:color w:val="auto"/>
          <w:highlight w:val="none"/>
        </w:rPr>
      </w:pPr>
    </w:p>
    <w:p w14:paraId="10F14CD8">
      <w:pPr>
        <w:pStyle w:val="4"/>
        <w:rPr>
          <w:rFonts w:hint="default" w:ascii="Times New Roman" w:hAnsi="Times New Roman" w:cs="Times New Roman"/>
          <w:snapToGrid w:val="0"/>
          <w:color w:val="auto"/>
          <w:highlight w:val="none"/>
        </w:rPr>
      </w:pPr>
    </w:p>
    <w:p w14:paraId="3E440E5E">
      <w:pPr>
        <w:pStyle w:val="4"/>
        <w:rPr>
          <w:rFonts w:hint="default" w:ascii="Times New Roman" w:hAnsi="Times New Roman" w:cs="Times New Roman"/>
          <w:snapToGrid w:val="0"/>
          <w:color w:val="auto"/>
          <w:highlight w:val="none"/>
        </w:rPr>
      </w:pPr>
    </w:p>
    <w:p w14:paraId="1A2EDECC">
      <w:pPr>
        <w:pStyle w:val="4"/>
        <w:rPr>
          <w:rFonts w:hint="default" w:ascii="Times New Roman" w:hAnsi="Times New Roman" w:cs="Times New Roman"/>
          <w:snapToGrid w:val="0"/>
          <w:color w:val="auto"/>
          <w:highlight w:val="none"/>
        </w:rPr>
      </w:pPr>
    </w:p>
    <w:p w14:paraId="2A87A25A">
      <w:pPr>
        <w:pStyle w:val="4"/>
        <w:rPr>
          <w:rFonts w:hint="default" w:ascii="Times New Roman" w:hAnsi="Times New Roman" w:cs="Times New Roman"/>
          <w:snapToGrid w:val="0"/>
          <w:color w:val="auto"/>
          <w:highlight w:val="none"/>
        </w:rPr>
      </w:pPr>
    </w:p>
    <w:p w14:paraId="551FE677">
      <w:pPr>
        <w:pStyle w:val="4"/>
        <w:rPr>
          <w:rFonts w:hint="default" w:ascii="Times New Roman" w:hAnsi="Times New Roman" w:cs="Times New Roman"/>
          <w:snapToGrid w:val="0"/>
          <w:color w:val="auto"/>
          <w:highlight w:val="none"/>
        </w:rPr>
      </w:pPr>
    </w:p>
    <w:p w14:paraId="1A55BEE4">
      <w:pPr>
        <w:pStyle w:val="4"/>
        <w:rPr>
          <w:rFonts w:hint="default" w:ascii="Times New Roman" w:hAnsi="Times New Roman" w:cs="Times New Roman"/>
          <w:snapToGrid w:val="0"/>
          <w:color w:val="auto"/>
          <w:highlight w:val="none"/>
        </w:rPr>
      </w:pPr>
    </w:p>
    <w:p w14:paraId="7430D9A6">
      <w:pPr>
        <w:pStyle w:val="4"/>
        <w:rPr>
          <w:rFonts w:hint="default" w:ascii="Times New Roman" w:hAnsi="Times New Roman" w:cs="Times New Roman"/>
          <w:snapToGrid w:val="0"/>
          <w:color w:val="auto"/>
          <w:highlight w:val="none"/>
        </w:rPr>
      </w:pPr>
    </w:p>
    <w:p w14:paraId="1EF27260">
      <w:pPr>
        <w:pStyle w:val="4"/>
        <w:rPr>
          <w:rFonts w:hint="default" w:ascii="Times New Roman" w:hAnsi="Times New Roman" w:cs="Times New Roman"/>
          <w:snapToGrid w:val="0"/>
          <w:color w:val="auto"/>
          <w:highlight w:val="none"/>
        </w:rPr>
      </w:pPr>
    </w:p>
    <w:p w14:paraId="0EDF403A">
      <w:pPr>
        <w:pStyle w:val="4"/>
        <w:rPr>
          <w:rFonts w:hint="default" w:ascii="Times New Roman" w:hAnsi="Times New Roman" w:cs="Times New Roman"/>
          <w:snapToGrid w:val="0"/>
          <w:color w:val="auto"/>
          <w:highlight w:val="none"/>
        </w:rPr>
      </w:pPr>
    </w:p>
    <w:p w14:paraId="2AC4EDB5">
      <w:pPr>
        <w:pStyle w:val="4"/>
        <w:rPr>
          <w:rFonts w:hint="eastAsia" w:ascii="Times New Roman" w:hAnsi="Times New Roman" w:eastAsia="宋体" w:cs="Times New Roman"/>
          <w:snapToGrid w:val="0"/>
          <w:color w:val="auto"/>
          <w:highlight w:val="none"/>
          <w:lang w:eastAsia="zh-CN"/>
        </w:rPr>
      </w:pPr>
    </w:p>
    <w:p w14:paraId="5E0F606E">
      <w:pPr>
        <w:pStyle w:val="4"/>
        <w:rPr>
          <w:rFonts w:hint="default" w:ascii="Times New Roman" w:hAnsi="Times New Roman" w:cs="Times New Roman"/>
          <w:snapToGrid w:val="0"/>
          <w:color w:val="auto"/>
          <w:highlight w:val="none"/>
        </w:rPr>
      </w:pPr>
    </w:p>
    <w:p w14:paraId="2820868D">
      <w:pPr>
        <w:pStyle w:val="4"/>
        <w:rPr>
          <w:rFonts w:hint="default" w:ascii="Times New Roman" w:hAnsi="Times New Roman" w:cs="Times New Roman"/>
          <w:snapToGrid w:val="0"/>
          <w:color w:val="auto"/>
          <w:highlight w:val="none"/>
        </w:rPr>
      </w:pPr>
    </w:p>
    <w:p w14:paraId="2FBB17DE">
      <w:pPr>
        <w:pStyle w:val="4"/>
        <w:rPr>
          <w:rFonts w:hint="default" w:ascii="Times New Roman" w:hAnsi="Times New Roman" w:cs="Times New Roman"/>
          <w:snapToGrid w:val="0"/>
          <w:color w:val="auto"/>
          <w:highlight w:val="none"/>
        </w:rPr>
      </w:pPr>
    </w:p>
    <w:p w14:paraId="433693D1">
      <w:pPr>
        <w:pStyle w:val="4"/>
        <w:rPr>
          <w:rFonts w:hint="default" w:ascii="Times New Roman" w:hAnsi="Times New Roman" w:cs="Times New Roman"/>
          <w:snapToGrid w:val="0"/>
          <w:color w:val="auto"/>
          <w:highlight w:val="none"/>
        </w:rPr>
      </w:pPr>
    </w:p>
    <w:p w14:paraId="4DA4D7B1">
      <w:pPr>
        <w:pStyle w:val="4"/>
        <w:rPr>
          <w:rFonts w:hint="default" w:ascii="Times New Roman" w:hAnsi="Times New Roman" w:cs="Times New Roman"/>
          <w:snapToGrid w:val="0"/>
          <w:color w:val="auto"/>
          <w:highlight w:val="none"/>
        </w:rPr>
      </w:pPr>
    </w:p>
    <w:p w14:paraId="33E642EE">
      <w:pPr>
        <w:pStyle w:val="4"/>
        <w:rPr>
          <w:rFonts w:hint="default" w:ascii="Times New Roman" w:hAnsi="Times New Roman" w:cs="Times New Roman"/>
          <w:snapToGrid w:val="0"/>
          <w:color w:val="auto"/>
          <w:highlight w:val="none"/>
        </w:rPr>
      </w:pPr>
    </w:p>
    <w:p w14:paraId="7AA22A6D">
      <w:pPr>
        <w:pStyle w:val="4"/>
        <w:rPr>
          <w:rFonts w:hint="default" w:ascii="Times New Roman" w:hAnsi="Times New Roman" w:cs="Times New Roman"/>
          <w:snapToGrid w:val="0"/>
          <w:color w:val="auto"/>
          <w:highlight w:val="none"/>
        </w:rPr>
      </w:pPr>
    </w:p>
    <w:p w14:paraId="3C1A1BE5">
      <w:pPr>
        <w:pStyle w:val="4"/>
        <w:rPr>
          <w:rFonts w:hint="default" w:ascii="Times New Roman" w:hAnsi="Times New Roman" w:cs="Times New Roman"/>
          <w:snapToGrid w:val="0"/>
          <w:color w:val="auto"/>
          <w:highlight w:val="none"/>
        </w:rPr>
      </w:pPr>
    </w:p>
    <w:p w14:paraId="0D6CB661">
      <w:pPr>
        <w:pStyle w:val="4"/>
        <w:rPr>
          <w:rFonts w:hint="default" w:ascii="Times New Roman" w:hAnsi="Times New Roman" w:cs="Times New Roman"/>
          <w:snapToGrid w:val="0"/>
          <w:color w:val="auto"/>
          <w:highlight w:val="none"/>
        </w:rPr>
      </w:pPr>
    </w:p>
    <w:p w14:paraId="0E3B4A93">
      <w:pPr>
        <w:pStyle w:val="4"/>
        <w:rPr>
          <w:rFonts w:hint="default" w:ascii="Times New Roman" w:hAnsi="Times New Roman" w:cs="Times New Roman"/>
          <w:snapToGrid w:val="0"/>
          <w:color w:val="auto"/>
          <w:highlight w:val="none"/>
        </w:rPr>
      </w:pPr>
    </w:p>
    <w:p w14:paraId="6BF9C9D7">
      <w:pPr>
        <w:pStyle w:val="4"/>
        <w:rPr>
          <w:rFonts w:hint="default" w:ascii="Times New Roman" w:hAnsi="Times New Roman" w:cs="Times New Roman"/>
          <w:snapToGrid w:val="0"/>
          <w:color w:val="auto"/>
          <w:highlight w:val="none"/>
          <w:lang w:val="en-US" w:eastAsia="zh-CN"/>
        </w:rPr>
      </w:pPr>
      <w:r>
        <w:rPr>
          <w:rFonts w:hint="default" w:ascii="Times New Roman" w:hAnsi="Times New Roman" w:cs="Times New Roman"/>
          <w:snapToGrid w:val="0"/>
          <w:color w:val="auto"/>
          <w:highlight w:val="none"/>
        </w:rPr>
        <w:t>附件2：</w:t>
      </w:r>
      <w:r>
        <w:rPr>
          <w:rFonts w:hint="default" w:ascii="Times New Roman" w:hAnsi="Times New Roman" w:cs="Times New Roman"/>
          <w:snapToGrid w:val="0"/>
          <w:color w:val="auto"/>
          <w:highlight w:val="none"/>
          <w:lang w:val="en-US" w:eastAsia="zh-CN"/>
        </w:rPr>
        <w:t>建设用地规划条件意见书</w:t>
      </w:r>
    </w:p>
    <w:p w14:paraId="79560104">
      <w:pPr>
        <w:spacing w:line="480" w:lineRule="auto"/>
        <w:ind w:left="0" w:leftChars="0" w:firstLine="0" w:firstLineChars="0"/>
        <w:jc w:val="center"/>
        <w:rPr>
          <w:rFonts w:hint="default" w:ascii="Times New Roman" w:hAnsi="Times New Roman" w:cs="Times New Roman"/>
          <w:snapToGrid w:val="0"/>
          <w:color w:val="auto"/>
          <w:highlight w:val="none"/>
          <w:lang w:val="en-US" w:eastAsia="zh-CN"/>
        </w:rPr>
      </w:pPr>
      <w:r>
        <w:rPr>
          <w:rFonts w:hint="default" w:ascii="Times New Roman" w:hAnsi="Times New Roman" w:cs="Times New Roman"/>
          <w:color w:val="auto"/>
          <w:highlight w:val="none"/>
        </w:rPr>
        <w:drawing>
          <wp:inline distT="0" distB="0" distL="114300" distR="114300">
            <wp:extent cx="4846320" cy="6065520"/>
            <wp:effectExtent l="0" t="0" r="0" b="0"/>
            <wp:docPr id="1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8"/>
                    <pic:cNvPicPr>
                      <a:picLocks noChangeAspect="1"/>
                    </pic:cNvPicPr>
                  </pic:nvPicPr>
                  <pic:blipFill>
                    <a:blip r:embed="rId83"/>
                    <a:stretch>
                      <a:fillRect/>
                    </a:stretch>
                  </pic:blipFill>
                  <pic:spPr>
                    <a:xfrm>
                      <a:off x="0" y="0"/>
                      <a:ext cx="4846320" cy="6065520"/>
                    </a:xfrm>
                    <a:prstGeom prst="rect">
                      <a:avLst/>
                    </a:prstGeom>
                    <a:noFill/>
                    <a:ln>
                      <a:noFill/>
                    </a:ln>
                  </pic:spPr>
                </pic:pic>
              </a:graphicData>
            </a:graphic>
          </wp:inline>
        </w:drawing>
      </w:r>
    </w:p>
    <w:p w14:paraId="70220B77">
      <w:pPr>
        <w:spacing w:line="480" w:lineRule="auto"/>
        <w:ind w:left="0" w:leftChars="0" w:firstLine="0" w:firstLineChars="0"/>
        <w:jc w:val="both"/>
        <w:rPr>
          <w:rFonts w:hint="default" w:ascii="Times New Roman" w:hAnsi="Times New Roman" w:cs="Times New Roman"/>
          <w:snapToGrid w:val="0"/>
          <w:color w:val="auto"/>
          <w:highlight w:val="none"/>
          <w:lang w:val="en-US" w:eastAsia="zh-CN"/>
        </w:rPr>
      </w:pPr>
    </w:p>
    <w:p w14:paraId="73698E07">
      <w:pPr>
        <w:spacing w:line="480" w:lineRule="auto"/>
        <w:ind w:left="0" w:leftChars="0" w:firstLine="0" w:firstLineChars="0"/>
        <w:jc w:val="both"/>
        <w:rPr>
          <w:rFonts w:hint="default" w:ascii="Times New Roman" w:hAnsi="Times New Roman" w:cs="Times New Roman"/>
          <w:snapToGrid w:val="0"/>
          <w:color w:val="auto"/>
          <w:highlight w:val="none"/>
          <w:lang w:val="en-US" w:eastAsia="zh-CN"/>
        </w:rPr>
      </w:pPr>
    </w:p>
    <w:p w14:paraId="2EC96B24">
      <w:pPr>
        <w:spacing w:line="480" w:lineRule="auto"/>
        <w:ind w:left="0" w:leftChars="0" w:firstLine="0" w:firstLineChars="0"/>
        <w:jc w:val="both"/>
        <w:rPr>
          <w:rFonts w:hint="default" w:ascii="Times New Roman" w:hAnsi="Times New Roman" w:cs="Times New Roman"/>
          <w:snapToGrid w:val="0"/>
          <w:color w:val="auto"/>
          <w:highlight w:val="none"/>
          <w:lang w:val="en-US" w:eastAsia="zh-CN"/>
        </w:rPr>
      </w:pPr>
    </w:p>
    <w:p w14:paraId="2F95FFA0">
      <w:pPr>
        <w:pStyle w:val="27"/>
        <w:rPr>
          <w:rFonts w:hint="default" w:ascii="Times New Roman" w:hAnsi="Times New Roman" w:cs="Times New Roman"/>
          <w:snapToGrid w:val="0"/>
          <w:color w:val="auto"/>
          <w:highlight w:val="none"/>
        </w:rPr>
      </w:pPr>
    </w:p>
    <w:p w14:paraId="6906D69A">
      <w:pPr>
        <w:pStyle w:val="27"/>
        <w:rPr>
          <w:rFonts w:hint="default" w:ascii="Times New Roman" w:hAnsi="Times New Roman" w:cs="Times New Roman"/>
          <w:snapToGrid w:val="0"/>
          <w:color w:val="auto"/>
          <w:highlight w:val="none"/>
        </w:rPr>
      </w:pPr>
    </w:p>
    <w:p w14:paraId="6073CD9B">
      <w:pPr>
        <w:pStyle w:val="27"/>
        <w:rPr>
          <w:rFonts w:hint="default" w:ascii="Times New Roman" w:hAnsi="Times New Roman" w:cs="Times New Roman"/>
          <w:snapToGrid w:val="0"/>
          <w:color w:val="auto"/>
          <w:highlight w:val="none"/>
        </w:rPr>
      </w:pPr>
    </w:p>
    <w:p w14:paraId="40944146">
      <w:pPr>
        <w:pStyle w:val="27"/>
        <w:rPr>
          <w:rFonts w:hint="default" w:ascii="Times New Roman" w:hAnsi="Times New Roman" w:cs="Times New Roman"/>
          <w:snapToGrid w:val="0"/>
          <w:color w:val="auto"/>
          <w:highlight w:val="none"/>
        </w:rPr>
      </w:pPr>
    </w:p>
    <w:p w14:paraId="542EE341">
      <w:pPr>
        <w:pStyle w:val="27"/>
        <w:jc w:val="both"/>
        <w:rPr>
          <w:rFonts w:hint="default" w:ascii="Times New Roman" w:hAnsi="Times New Roman" w:cs="Times New Roman"/>
          <w:snapToGrid w:val="0"/>
          <w:color w:val="auto"/>
          <w:highlight w:val="none"/>
        </w:rPr>
      </w:pPr>
    </w:p>
    <w:p w14:paraId="0C1CBC68">
      <w:pPr>
        <w:pStyle w:val="27"/>
        <w:rPr>
          <w:rFonts w:hint="default" w:ascii="Times New Roman" w:hAnsi="Times New Roman" w:cs="Times New Roman"/>
          <w:snapToGrid w:val="0"/>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pPr>
    </w:p>
    <w:p w14:paraId="26672E40">
      <w:pPr>
        <w:bidi w:val="0"/>
        <w:rPr>
          <w:rFonts w:hint="default" w:ascii="Times New Roman" w:hAnsi="Times New Roman" w:cs="Times New Roman"/>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cs="Times New Roman"/>
          <w:color w:val="auto"/>
          <w:highlight w:val="none"/>
        </w:rPr>
        <w:drawing>
          <wp:inline distT="0" distB="0" distL="114300" distR="114300">
            <wp:extent cx="4754880" cy="5996940"/>
            <wp:effectExtent l="0" t="0" r="0" b="7620"/>
            <wp:docPr id="1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9"/>
                    <pic:cNvPicPr>
                      <a:picLocks noChangeAspect="1"/>
                    </pic:cNvPicPr>
                  </pic:nvPicPr>
                  <pic:blipFill>
                    <a:blip r:embed="rId84"/>
                    <a:stretch>
                      <a:fillRect/>
                    </a:stretch>
                  </pic:blipFill>
                  <pic:spPr>
                    <a:xfrm>
                      <a:off x="0" y="0"/>
                      <a:ext cx="4754880" cy="599694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5269230" cy="3938270"/>
            <wp:effectExtent l="0" t="0" r="3810" b="8890"/>
            <wp:docPr id="1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0"/>
                    <pic:cNvPicPr>
                      <a:picLocks noChangeAspect="1"/>
                    </pic:cNvPicPr>
                  </pic:nvPicPr>
                  <pic:blipFill>
                    <a:blip r:embed="rId85"/>
                    <a:stretch>
                      <a:fillRect/>
                    </a:stretch>
                  </pic:blipFill>
                  <pic:spPr>
                    <a:xfrm>
                      <a:off x="0" y="0"/>
                      <a:ext cx="5269230" cy="3938270"/>
                    </a:xfrm>
                    <a:prstGeom prst="rect">
                      <a:avLst/>
                    </a:prstGeom>
                    <a:noFill/>
                    <a:ln>
                      <a:noFill/>
                    </a:ln>
                  </pic:spPr>
                </pic:pic>
              </a:graphicData>
            </a:graphic>
          </wp:inline>
        </w:drawing>
      </w:r>
    </w:p>
    <w:p w14:paraId="2EC3F8B3">
      <w:pPr>
        <w:pStyle w:val="4"/>
        <w:jc w:val="left"/>
        <w:rPr>
          <w:rFonts w:hint="default" w:ascii="Times New Roman" w:hAnsi="Times New Roman" w:cs="Times New Roman"/>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cs="Times New Roman"/>
          <w:snapToGrid w:val="0"/>
          <w:color w:val="auto"/>
          <w:highlight w:val="none"/>
          <w:lang w:val="en-US" w:eastAsia="zh-CN"/>
        </w:rPr>
        <w:t>附件3：备案文件</w:t>
      </w:r>
      <w:r>
        <w:rPr>
          <w:rFonts w:hint="default" w:ascii="Times New Roman" w:hAnsi="Times New Roman" w:cs="Times New Roman"/>
          <w:color w:val="auto"/>
        </w:rPr>
        <w:drawing>
          <wp:inline distT="0" distB="0" distL="114300" distR="114300">
            <wp:extent cx="5270500" cy="7419340"/>
            <wp:effectExtent l="0" t="0" r="6350" b="10160"/>
            <wp:docPr id="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0"/>
                    <pic:cNvPicPr>
                      <a:picLocks noChangeAspect="1"/>
                    </pic:cNvPicPr>
                  </pic:nvPicPr>
                  <pic:blipFill>
                    <a:blip r:embed="rId86"/>
                    <a:stretch>
                      <a:fillRect/>
                    </a:stretch>
                  </pic:blipFill>
                  <pic:spPr>
                    <a:xfrm>
                      <a:off x="0" y="0"/>
                      <a:ext cx="5270500" cy="7419340"/>
                    </a:xfrm>
                    <a:prstGeom prst="rect">
                      <a:avLst/>
                    </a:prstGeom>
                    <a:noFill/>
                    <a:ln>
                      <a:noFill/>
                    </a:ln>
                  </pic:spPr>
                </pic:pic>
              </a:graphicData>
            </a:graphic>
          </wp:inline>
        </w:drawing>
      </w:r>
      <w:r>
        <w:rPr>
          <w:rFonts w:hint="default" w:ascii="Times New Roman" w:hAnsi="Times New Roman" w:cs="Times New Roman"/>
          <w:color w:val="auto"/>
        </w:rPr>
        <w:drawing>
          <wp:inline distT="0" distB="0" distL="114300" distR="114300">
            <wp:extent cx="5271135" cy="7130415"/>
            <wp:effectExtent l="0" t="0" r="5715" b="13335"/>
            <wp:docPr id="1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1"/>
                    <pic:cNvPicPr>
                      <a:picLocks noChangeAspect="1"/>
                    </pic:cNvPicPr>
                  </pic:nvPicPr>
                  <pic:blipFill>
                    <a:blip r:embed="rId87"/>
                    <a:stretch>
                      <a:fillRect/>
                    </a:stretch>
                  </pic:blipFill>
                  <pic:spPr>
                    <a:xfrm>
                      <a:off x="0" y="0"/>
                      <a:ext cx="5271135" cy="7130415"/>
                    </a:xfrm>
                    <a:prstGeom prst="rect">
                      <a:avLst/>
                    </a:prstGeom>
                    <a:noFill/>
                    <a:ln>
                      <a:noFill/>
                    </a:ln>
                  </pic:spPr>
                </pic:pic>
              </a:graphicData>
            </a:graphic>
          </wp:inline>
        </w:drawing>
      </w:r>
    </w:p>
    <w:p w14:paraId="3F08E229">
      <w:pPr>
        <w:pStyle w:val="4"/>
        <w:jc w:val="left"/>
        <w:rPr>
          <w:rFonts w:hint="default" w:ascii="Times New Roman" w:hAnsi="Times New Roman" w:cs="Times New Roman"/>
          <w:snapToGrid w:val="0"/>
          <w:color w:val="auto"/>
          <w:highlight w:val="none"/>
          <w:lang w:val="en-US" w:eastAsia="zh-CN"/>
        </w:rPr>
      </w:pPr>
      <w:r>
        <w:rPr>
          <w:rFonts w:hint="default" w:ascii="Times New Roman" w:hAnsi="Times New Roman" w:cs="Times New Roman"/>
          <w:snapToGrid w:val="0"/>
          <w:color w:val="auto"/>
          <w:highlight w:val="none"/>
          <w:lang w:val="en-US" w:eastAsia="zh-CN"/>
        </w:rPr>
        <w:t>附件</w:t>
      </w:r>
      <w:r>
        <w:rPr>
          <w:rFonts w:hint="eastAsia" w:cs="Times New Roman"/>
          <w:snapToGrid w:val="0"/>
          <w:color w:val="auto"/>
          <w:highlight w:val="none"/>
          <w:lang w:val="en-US" w:eastAsia="zh-CN"/>
        </w:rPr>
        <w:t>4</w:t>
      </w:r>
      <w:r>
        <w:rPr>
          <w:rFonts w:hint="default" w:ascii="Times New Roman" w:hAnsi="Times New Roman" w:cs="Times New Roman"/>
          <w:snapToGrid w:val="0"/>
          <w:color w:val="auto"/>
          <w:highlight w:val="none"/>
          <w:lang w:val="en-US" w:eastAsia="zh-CN"/>
        </w:rPr>
        <w:t>：经营情况说明</w:t>
      </w:r>
    </w:p>
    <w:p w14:paraId="016438D2">
      <w:pPr>
        <w:bidi w:val="0"/>
        <w:ind w:left="0" w:leftChars="0" w:firstLine="0" w:firstLineChars="0"/>
        <w:jc w:val="both"/>
        <w:rPr>
          <w:rFonts w:hint="default" w:ascii="Times New Roman" w:hAnsi="Times New Roman" w:eastAsia="宋体" w:cs="Times New Roman"/>
          <w:color w:val="auto"/>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eastAsia="宋体" w:cs="Times New Roman"/>
          <w:color w:val="auto"/>
          <w:lang w:eastAsia="zh-CN"/>
        </w:rPr>
        <w:drawing>
          <wp:inline distT="0" distB="0" distL="114300" distR="114300">
            <wp:extent cx="5267960" cy="7453630"/>
            <wp:effectExtent l="0" t="0" r="8890" b="13970"/>
            <wp:docPr id="48" name="图片 48" descr="君龙罕台乡镇府批文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君龙罕台乡镇府批文_01"/>
                    <pic:cNvPicPr>
                      <a:picLocks noChangeAspect="1"/>
                    </pic:cNvPicPr>
                  </pic:nvPicPr>
                  <pic:blipFill>
                    <a:blip r:embed="rId88"/>
                    <a:stretch>
                      <a:fillRect/>
                    </a:stretch>
                  </pic:blipFill>
                  <pic:spPr>
                    <a:xfrm>
                      <a:off x="0" y="0"/>
                      <a:ext cx="5267960" cy="7453630"/>
                    </a:xfrm>
                    <a:prstGeom prst="rect">
                      <a:avLst/>
                    </a:prstGeom>
                  </pic:spPr>
                </pic:pic>
              </a:graphicData>
            </a:graphic>
          </wp:inline>
        </w:drawing>
      </w:r>
    </w:p>
    <w:p w14:paraId="6197BC4E">
      <w:pPr>
        <w:bidi w:val="0"/>
        <w:ind w:left="0" w:leftChars="0" w:firstLine="0" w:firstLineChars="0"/>
        <w:jc w:val="left"/>
        <w:rPr>
          <w:rFonts w:hint="default" w:ascii="Times New Roman" w:hAnsi="Times New Roman" w:cs="Times New Roman"/>
          <w:color w:va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eastAsia="宋体" w:cs="Times New Roman"/>
          <w:b/>
          <w:snapToGrid w:val="0"/>
          <w:color w:val="auto"/>
          <w:sz w:val="24"/>
          <w:szCs w:val="28"/>
          <w:highlight w:val="none"/>
          <w:lang w:val="en-US" w:eastAsia="zh-CN" w:bidi="ar-SA"/>
        </w:rPr>
        <w:t>附件</w:t>
      </w:r>
      <w:r>
        <w:rPr>
          <w:rFonts w:hint="eastAsia" w:ascii="Times New Roman" w:hAnsi="Times New Roman" w:eastAsia="宋体" w:cs="Times New Roman"/>
          <w:b/>
          <w:snapToGrid w:val="0"/>
          <w:color w:val="auto"/>
          <w:sz w:val="24"/>
          <w:szCs w:val="28"/>
          <w:highlight w:val="none"/>
          <w:lang w:val="en-US" w:eastAsia="zh-CN" w:bidi="ar-SA"/>
        </w:rPr>
        <w:t>5</w:t>
      </w:r>
      <w:r>
        <w:rPr>
          <w:rFonts w:hint="default" w:ascii="Times New Roman" w:hAnsi="Times New Roman" w:eastAsia="宋体" w:cs="Times New Roman"/>
          <w:b/>
          <w:snapToGrid w:val="0"/>
          <w:color w:val="auto"/>
          <w:sz w:val="24"/>
          <w:szCs w:val="28"/>
          <w:highlight w:val="none"/>
          <w:lang w:val="en-US" w:eastAsia="zh-CN" w:bidi="ar-SA"/>
        </w:rPr>
        <w:t>：罚款缴纳证明</w:t>
      </w:r>
      <w:r>
        <w:rPr>
          <w:rFonts w:hint="default" w:ascii="Times New Roman" w:hAnsi="Times New Roman" w:cs="Times New Roman"/>
          <w:color w:val="auto"/>
          <w:lang w:val="en-US" w:eastAsia="zh-CN"/>
        </w:rPr>
        <w:drawing>
          <wp:inline distT="0" distB="0" distL="114300" distR="114300">
            <wp:extent cx="4669790" cy="8296910"/>
            <wp:effectExtent l="0" t="0" r="16510" b="8890"/>
            <wp:docPr id="47" name="图片 47" descr="ea7f992c315bcde818ad075270f7a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ea7f992c315bcde818ad075270f7a49"/>
                    <pic:cNvPicPr>
                      <a:picLocks noChangeAspect="1"/>
                    </pic:cNvPicPr>
                  </pic:nvPicPr>
                  <pic:blipFill>
                    <a:blip r:embed="rId89"/>
                    <a:stretch>
                      <a:fillRect/>
                    </a:stretch>
                  </pic:blipFill>
                  <pic:spPr>
                    <a:xfrm>
                      <a:off x="0" y="0"/>
                      <a:ext cx="4669790" cy="8296910"/>
                    </a:xfrm>
                    <a:prstGeom prst="rect">
                      <a:avLst/>
                    </a:prstGeom>
                  </pic:spPr>
                </pic:pic>
              </a:graphicData>
            </a:graphic>
          </wp:inline>
        </w:drawing>
      </w:r>
    </w:p>
    <w:p w14:paraId="18DE0512">
      <w:pPr>
        <w:pStyle w:val="2"/>
        <w:ind w:left="482" w:leftChars="0" w:hanging="482" w:hangingChars="200"/>
        <w:rPr>
          <w:rFonts w:hint="eastAsia" w:cs="Times New Roman"/>
          <w:color w:val="auto"/>
          <w:lang w:val="en-US" w:eastAsia="zh-CN"/>
        </w:rPr>
      </w:pPr>
      <w:r>
        <w:rPr>
          <w:rFonts w:hint="eastAsia" w:ascii="Times New Roman" w:hAnsi="Times New Roman" w:eastAsia="宋体" w:cs="Times New Roman"/>
          <w:b/>
          <w:snapToGrid w:val="0"/>
          <w:color w:val="auto"/>
          <w:sz w:val="24"/>
          <w:szCs w:val="28"/>
          <w:highlight w:val="none"/>
          <w:lang w:val="en-US" w:eastAsia="zh-CN" w:bidi="ar-SA"/>
        </w:rPr>
        <w:drawing>
          <wp:anchor distT="0" distB="0" distL="114300" distR="114300" simplePos="0" relativeHeight="251668480" behindDoc="0" locked="0" layoutInCell="1" allowOverlap="1">
            <wp:simplePos x="0" y="0"/>
            <wp:positionH relativeFrom="column">
              <wp:posOffset>-141605</wp:posOffset>
            </wp:positionH>
            <wp:positionV relativeFrom="paragraph">
              <wp:posOffset>285115</wp:posOffset>
            </wp:positionV>
            <wp:extent cx="5558155" cy="7972425"/>
            <wp:effectExtent l="0" t="0" r="4445" b="9525"/>
            <wp:wrapNone/>
            <wp:docPr id="16" name="图片 16" descr="5aa800c534126a16a004f3c8aadab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5aa800c534126a16a004f3c8aadabcd"/>
                    <pic:cNvPicPr>
                      <a:picLocks noChangeAspect="1"/>
                    </pic:cNvPicPr>
                  </pic:nvPicPr>
                  <pic:blipFill>
                    <a:blip r:embed="rId90"/>
                    <a:srcRect l="4287" t="11418" r="-168" b="11178"/>
                    <a:stretch>
                      <a:fillRect/>
                    </a:stretch>
                  </pic:blipFill>
                  <pic:spPr>
                    <a:xfrm>
                      <a:off x="0" y="0"/>
                      <a:ext cx="5558155" cy="7972425"/>
                    </a:xfrm>
                    <a:prstGeom prst="rect">
                      <a:avLst/>
                    </a:prstGeom>
                  </pic:spPr>
                </pic:pic>
              </a:graphicData>
            </a:graphic>
          </wp:anchor>
        </w:drawing>
      </w:r>
      <w:r>
        <w:rPr>
          <w:rFonts w:hint="default" w:ascii="Times New Roman" w:hAnsi="Times New Roman" w:eastAsia="宋体" w:cs="Times New Roman"/>
          <w:b/>
          <w:snapToGrid w:val="0"/>
          <w:color w:val="auto"/>
          <w:sz w:val="24"/>
          <w:szCs w:val="28"/>
          <w:highlight w:val="none"/>
          <w:lang w:val="en-US" w:eastAsia="zh-CN" w:bidi="ar-SA"/>
        </w:rPr>
        <w:t>附件</w:t>
      </w:r>
      <w:r>
        <w:rPr>
          <w:rFonts w:hint="eastAsia" w:ascii="Times New Roman" w:hAnsi="Times New Roman" w:eastAsia="宋体" w:cs="Times New Roman"/>
          <w:b/>
          <w:snapToGrid w:val="0"/>
          <w:color w:val="auto"/>
          <w:sz w:val="24"/>
          <w:szCs w:val="28"/>
          <w:highlight w:val="none"/>
          <w:lang w:val="en-US" w:eastAsia="zh-CN" w:bidi="ar-SA"/>
        </w:rPr>
        <w:t>6</w:t>
      </w:r>
      <w:r>
        <w:rPr>
          <w:rFonts w:hint="default" w:ascii="Times New Roman" w:hAnsi="Times New Roman" w:eastAsia="宋体" w:cs="Times New Roman"/>
          <w:b/>
          <w:snapToGrid w:val="0"/>
          <w:color w:val="auto"/>
          <w:sz w:val="24"/>
          <w:szCs w:val="28"/>
          <w:highlight w:val="none"/>
          <w:lang w:val="en-US" w:eastAsia="zh-CN" w:bidi="ar-SA"/>
        </w:rPr>
        <w:t>：</w:t>
      </w:r>
      <w:r>
        <w:rPr>
          <w:rFonts w:hint="eastAsia" w:ascii="Times New Roman" w:hAnsi="Times New Roman" w:eastAsia="宋体" w:cs="Times New Roman"/>
          <w:b/>
          <w:snapToGrid w:val="0"/>
          <w:color w:val="auto"/>
          <w:sz w:val="24"/>
          <w:szCs w:val="28"/>
          <w:highlight w:val="none"/>
          <w:lang w:val="en-US" w:eastAsia="zh-CN" w:bidi="ar-SA"/>
        </w:rPr>
        <w:t>取水许可</w:t>
      </w:r>
    </w:p>
    <w:p w14:paraId="574D0BD3">
      <w:pPr>
        <w:pStyle w:val="2"/>
        <w:ind w:left="480" w:leftChars="0" w:hanging="480" w:hangingChars="200"/>
        <w:rPr>
          <w:rFonts w:hint="eastAsia" w:cs="Times New Roman"/>
          <w:color w:va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D464D07">
      <w:pPr>
        <w:rPr>
          <w:rFonts w:hint="default"/>
          <w:color w:val="auto"/>
          <w:lang w:val="en-US" w:eastAsia="zh-CN"/>
        </w:rPr>
      </w:pPr>
      <w:r>
        <w:rPr>
          <w:rFonts w:hint="default"/>
          <w:color w:val="auto"/>
          <w:lang w:val="en-US" w:eastAsia="zh-CN"/>
        </w:rPr>
        <w:drawing>
          <wp:anchor distT="0" distB="0" distL="114300" distR="114300" simplePos="0" relativeHeight="251669504" behindDoc="0" locked="0" layoutInCell="1" allowOverlap="1">
            <wp:simplePos x="0" y="0"/>
            <wp:positionH relativeFrom="column">
              <wp:posOffset>-219075</wp:posOffset>
            </wp:positionH>
            <wp:positionV relativeFrom="paragraph">
              <wp:posOffset>-635</wp:posOffset>
            </wp:positionV>
            <wp:extent cx="5617210" cy="8124825"/>
            <wp:effectExtent l="0" t="0" r="2540" b="9525"/>
            <wp:wrapNone/>
            <wp:docPr id="17" name="图片 17" descr="b571a205f7ea0f401a612a8c89625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b571a205f7ea0f401a612a8c896255a"/>
                    <pic:cNvPicPr>
                      <a:picLocks noChangeAspect="1"/>
                    </pic:cNvPicPr>
                  </pic:nvPicPr>
                  <pic:blipFill>
                    <a:blip r:embed="rId91"/>
                    <a:srcRect t="11549" r="1963" b="8649"/>
                    <a:stretch>
                      <a:fillRect/>
                    </a:stretch>
                  </pic:blipFill>
                  <pic:spPr>
                    <a:xfrm>
                      <a:off x="0" y="0"/>
                      <a:ext cx="5617210" cy="8124825"/>
                    </a:xfrm>
                    <a:prstGeom prst="rect">
                      <a:avLst/>
                    </a:prstGeom>
                  </pic:spPr>
                </pic:pic>
              </a:graphicData>
            </a:graphic>
          </wp:anchor>
        </w:drawing>
      </w:r>
    </w:p>
    <w:p w14:paraId="07DCEC30">
      <w:pPr>
        <w:rPr>
          <w:rFonts w:hint="default"/>
          <w:color w:va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4771C42">
      <w:pPr>
        <w:rPr>
          <w:rFonts w:hint="default"/>
          <w:color w:val="auto"/>
          <w:lang w:val="en-US" w:eastAsia="zh-CN"/>
        </w:rPr>
      </w:pPr>
      <w:r>
        <w:rPr>
          <w:rFonts w:hint="eastAsia" w:cs="Times New Roman"/>
          <w:color w:val="auto"/>
          <w:lang w:val="en-US" w:eastAsia="zh-CN"/>
        </w:rPr>
        <w:drawing>
          <wp:anchor distT="0" distB="0" distL="114300" distR="114300" simplePos="0" relativeHeight="251667456" behindDoc="0" locked="0" layoutInCell="1" allowOverlap="1">
            <wp:simplePos x="0" y="0"/>
            <wp:positionH relativeFrom="column">
              <wp:posOffset>-161925</wp:posOffset>
            </wp:positionH>
            <wp:positionV relativeFrom="paragraph">
              <wp:posOffset>3810</wp:posOffset>
            </wp:positionV>
            <wp:extent cx="5396230" cy="8201025"/>
            <wp:effectExtent l="0" t="0" r="0" b="9525"/>
            <wp:wrapNone/>
            <wp:docPr id="10" name="图片 10" descr="2ae51d22b7c6667fca59be6603e2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ae51d22b7c6667fca59be6603e2877"/>
                    <pic:cNvPicPr>
                      <a:picLocks noChangeAspect="1"/>
                    </pic:cNvPicPr>
                  </pic:nvPicPr>
                  <pic:blipFill>
                    <a:blip r:embed="rId92"/>
                    <a:srcRect t="7675" r="-1330" b="5654"/>
                    <a:stretch>
                      <a:fillRect/>
                    </a:stretch>
                  </pic:blipFill>
                  <pic:spPr>
                    <a:xfrm>
                      <a:off x="0" y="0"/>
                      <a:ext cx="5396230" cy="8201025"/>
                    </a:xfrm>
                    <a:prstGeom prst="rect">
                      <a:avLst/>
                    </a:prstGeom>
                  </pic:spPr>
                </pic:pic>
              </a:graphicData>
            </a:graphic>
          </wp:anchor>
        </w:drawing>
      </w:r>
    </w:p>
    <w:p w14:paraId="0C849E44">
      <w:pPr>
        <w:rPr>
          <w:rFonts w:hint="default"/>
          <w:color w:va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37F2609">
      <w:pPr>
        <w:pStyle w:val="2"/>
        <w:ind w:left="0" w:leftChars="0" w:firstLine="0" w:firstLineChars="0"/>
        <w:rPr>
          <w:rFonts w:hint="eastAsia" w:cs="Times New Roman"/>
          <w:b/>
          <w:snapToGrid w:val="0"/>
          <w:color w:val="auto"/>
          <w:sz w:val="24"/>
          <w:szCs w:val="28"/>
          <w:highlight w:val="none"/>
          <w:lang w:val="en-US" w:eastAsia="zh-CN" w:bidi="ar-SA"/>
        </w:rPr>
      </w:pPr>
      <w:r>
        <w:rPr>
          <w:rFonts w:hint="default" w:ascii="Times New Roman" w:hAnsi="Times New Roman" w:eastAsia="宋体" w:cs="Times New Roman"/>
          <w:b/>
          <w:snapToGrid w:val="0"/>
          <w:color w:val="auto"/>
          <w:sz w:val="24"/>
          <w:szCs w:val="28"/>
          <w:highlight w:val="none"/>
          <w:lang w:val="en-US" w:eastAsia="zh-CN" w:bidi="ar-SA"/>
        </w:rPr>
        <w:t>附件</w:t>
      </w:r>
      <w:r>
        <w:rPr>
          <w:rFonts w:hint="eastAsia" w:cs="Times New Roman"/>
          <w:b/>
          <w:snapToGrid w:val="0"/>
          <w:color w:val="auto"/>
          <w:sz w:val="24"/>
          <w:szCs w:val="28"/>
          <w:highlight w:val="none"/>
          <w:lang w:val="en-US" w:eastAsia="zh-CN" w:bidi="ar-SA"/>
        </w:rPr>
        <w:t>7</w:t>
      </w:r>
      <w:r>
        <w:rPr>
          <w:rFonts w:hint="default" w:ascii="Times New Roman" w:hAnsi="Times New Roman" w:eastAsia="宋体" w:cs="Times New Roman"/>
          <w:b/>
          <w:snapToGrid w:val="0"/>
          <w:color w:val="auto"/>
          <w:sz w:val="24"/>
          <w:szCs w:val="28"/>
          <w:highlight w:val="none"/>
          <w:lang w:val="en-US" w:eastAsia="zh-CN" w:bidi="ar-SA"/>
        </w:rPr>
        <w:t>：</w:t>
      </w:r>
      <w:r>
        <w:rPr>
          <w:rFonts w:hint="eastAsia" w:cs="Times New Roman"/>
          <w:b/>
          <w:snapToGrid w:val="0"/>
          <w:color w:val="auto"/>
          <w:sz w:val="24"/>
          <w:szCs w:val="28"/>
          <w:highlight w:val="none"/>
          <w:lang w:val="en-US" w:eastAsia="zh-CN" w:bidi="ar-SA"/>
        </w:rPr>
        <w:t>“三线一单”查询报告</w:t>
      </w:r>
    </w:p>
    <w:p w14:paraId="637D7666">
      <w:pPr>
        <w:pStyle w:val="2"/>
        <w:ind w:left="0" w:leftChars="0" w:firstLine="0" w:firstLineChars="0"/>
        <w:rPr>
          <w:rFonts w:hint="eastAsia" w:cs="Times New Roman"/>
          <w:b/>
          <w:snapToGrid w:val="0"/>
          <w:color w:val="auto"/>
          <w:sz w:val="24"/>
          <w:szCs w:val="28"/>
          <w:highlight w:val="none"/>
          <w:lang w:val="en-US" w:eastAsia="zh-CN" w:bidi="ar-SA"/>
        </w:rPr>
      </w:pPr>
      <w:r>
        <w:rPr>
          <w:color w:val="auto"/>
        </w:rPr>
        <w:drawing>
          <wp:inline distT="0" distB="0" distL="114300" distR="114300">
            <wp:extent cx="5469890" cy="5535295"/>
            <wp:effectExtent l="0" t="0" r="16510" b="8255"/>
            <wp:docPr id="6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0"/>
                    <pic:cNvPicPr>
                      <a:picLocks noChangeAspect="1"/>
                    </pic:cNvPicPr>
                  </pic:nvPicPr>
                  <pic:blipFill>
                    <a:blip r:embed="rId93"/>
                    <a:stretch>
                      <a:fillRect/>
                    </a:stretch>
                  </pic:blipFill>
                  <pic:spPr>
                    <a:xfrm>
                      <a:off x="0" y="0"/>
                      <a:ext cx="5469890" cy="5535295"/>
                    </a:xfrm>
                    <a:prstGeom prst="rect">
                      <a:avLst/>
                    </a:prstGeom>
                    <a:noFill/>
                    <a:ln>
                      <a:noFill/>
                    </a:ln>
                  </pic:spPr>
                </pic:pic>
              </a:graphicData>
            </a:graphic>
          </wp:inline>
        </w:drawing>
      </w:r>
    </w:p>
    <w:p w14:paraId="7A41AAF7">
      <w:pPr>
        <w:pStyle w:val="2"/>
        <w:keepNext w:val="0"/>
        <w:keepLines w:val="0"/>
        <w:pageBreakBefore/>
        <w:widowControl/>
        <w:kinsoku/>
        <w:wordWrap/>
        <w:overflowPunct/>
        <w:topLinePunct w:val="0"/>
        <w:autoSpaceDE/>
        <w:autoSpaceDN/>
        <w:bidi w:val="0"/>
        <w:adjustRightInd/>
        <w:snapToGrid/>
        <w:ind w:left="0" w:leftChars="0" w:firstLine="0" w:firstLineChars="0"/>
        <w:textAlignment w:val="auto"/>
        <w:rPr>
          <w:rFonts w:hint="eastAsia" w:cs="Times New Roman"/>
          <w:b/>
          <w:snapToGrid w:val="0"/>
          <w:color w:val="auto"/>
          <w:sz w:val="24"/>
          <w:szCs w:val="28"/>
          <w:highlight w:val="none"/>
          <w:lang w:val="en-US" w:eastAsia="zh-CN" w:bidi="ar-SA"/>
        </w:rPr>
      </w:pPr>
      <w:r>
        <w:rPr>
          <w:rFonts w:hint="default" w:ascii="Times New Roman" w:hAnsi="Times New Roman" w:eastAsia="宋体" w:cs="Times New Roman"/>
          <w:b/>
          <w:snapToGrid w:val="0"/>
          <w:color w:val="auto"/>
          <w:sz w:val="24"/>
          <w:szCs w:val="28"/>
          <w:highlight w:val="none"/>
          <w:lang w:val="en-US" w:eastAsia="zh-CN" w:bidi="ar-SA"/>
        </w:rPr>
        <w:t>附件</w:t>
      </w:r>
      <w:r>
        <w:rPr>
          <w:rFonts w:hint="eastAsia" w:cs="Times New Roman"/>
          <w:b/>
          <w:snapToGrid w:val="0"/>
          <w:color w:val="auto"/>
          <w:sz w:val="24"/>
          <w:szCs w:val="28"/>
          <w:highlight w:val="none"/>
          <w:lang w:val="en-US" w:eastAsia="zh-CN" w:bidi="ar-SA"/>
        </w:rPr>
        <w:t>8</w:t>
      </w:r>
      <w:r>
        <w:rPr>
          <w:rFonts w:hint="default" w:ascii="Times New Roman" w:hAnsi="Times New Roman" w:eastAsia="宋体" w:cs="Times New Roman"/>
          <w:b/>
          <w:snapToGrid w:val="0"/>
          <w:color w:val="auto"/>
          <w:sz w:val="24"/>
          <w:szCs w:val="28"/>
          <w:highlight w:val="none"/>
          <w:lang w:val="en-US" w:eastAsia="zh-CN" w:bidi="ar-SA"/>
        </w:rPr>
        <w:t>：</w:t>
      </w:r>
      <w:r>
        <w:rPr>
          <w:rFonts w:hint="eastAsia" w:cs="Times New Roman"/>
          <w:b/>
          <w:snapToGrid w:val="0"/>
          <w:color w:val="auto"/>
          <w:sz w:val="24"/>
          <w:szCs w:val="28"/>
          <w:highlight w:val="none"/>
          <w:lang w:val="en-US" w:eastAsia="zh-CN" w:bidi="ar-SA"/>
        </w:rPr>
        <w:t>自然资源局文件</w:t>
      </w:r>
    </w:p>
    <w:p w14:paraId="0FAF56B4">
      <w:pPr>
        <w:pStyle w:val="2"/>
        <w:keepNext w:val="0"/>
        <w:keepLines w:val="0"/>
        <w:pageBreakBefore w:val="0"/>
        <w:widowControl/>
        <w:kinsoku/>
        <w:wordWrap/>
        <w:overflowPunct/>
        <w:topLinePunct w:val="0"/>
        <w:autoSpaceDE/>
        <w:autoSpaceDN/>
        <w:bidi w:val="0"/>
        <w:adjustRightInd/>
        <w:snapToGrid/>
        <w:ind w:left="0" w:leftChars="0" w:firstLine="0" w:firstLineChars="0"/>
        <w:textAlignment w:val="auto"/>
        <w:rPr>
          <w:rFonts w:hint="eastAsia" w:cs="Times New Roman"/>
          <w:b/>
          <w:snapToGrid w:val="0"/>
          <w:color w:val="auto"/>
          <w:sz w:val="24"/>
          <w:szCs w:val="28"/>
          <w:highlight w:val="none"/>
          <w:lang w:val="en-US" w:eastAsia="zh-CN" w:bidi="ar-SA"/>
        </w:rPr>
      </w:pPr>
      <w:r>
        <w:rPr>
          <w:color w:val="auto"/>
        </w:rPr>
        <w:drawing>
          <wp:inline distT="0" distB="0" distL="114300" distR="114300">
            <wp:extent cx="5177155" cy="7255510"/>
            <wp:effectExtent l="0" t="0" r="4445" b="2540"/>
            <wp:docPr id="7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1"/>
                    <pic:cNvPicPr>
                      <a:picLocks noChangeAspect="1"/>
                    </pic:cNvPicPr>
                  </pic:nvPicPr>
                  <pic:blipFill>
                    <a:blip r:embed="rId94"/>
                    <a:stretch>
                      <a:fillRect/>
                    </a:stretch>
                  </pic:blipFill>
                  <pic:spPr>
                    <a:xfrm>
                      <a:off x="0" y="0"/>
                      <a:ext cx="5177155" cy="7255510"/>
                    </a:xfrm>
                    <a:prstGeom prst="rect">
                      <a:avLst/>
                    </a:prstGeom>
                    <a:noFill/>
                    <a:ln>
                      <a:noFill/>
                    </a:ln>
                  </pic:spPr>
                </pic:pic>
              </a:graphicData>
            </a:graphic>
          </wp:inline>
        </w:drawing>
      </w:r>
    </w:p>
    <w:p w14:paraId="3B627B83">
      <w:pPr>
        <w:pStyle w:val="2"/>
        <w:keepNext w:val="0"/>
        <w:keepLines w:val="0"/>
        <w:pageBreakBefore/>
        <w:widowControl/>
        <w:kinsoku/>
        <w:wordWrap/>
        <w:overflowPunct/>
        <w:topLinePunct w:val="0"/>
        <w:autoSpaceDE/>
        <w:autoSpaceDN/>
        <w:bidi w:val="0"/>
        <w:adjustRightInd/>
        <w:snapToGrid/>
        <w:spacing w:line="240" w:lineRule="auto"/>
        <w:ind w:left="0" w:leftChars="0" w:firstLine="0" w:firstLineChars="0"/>
        <w:jc w:val="left"/>
        <w:textAlignment w:val="auto"/>
        <w:rPr>
          <w:rFonts w:hint="default"/>
          <w:color w:val="auto"/>
          <w:lang w:val="en-US" w:eastAsia="zh-CN"/>
        </w:rPr>
      </w:pPr>
      <w:r>
        <w:rPr>
          <w:rFonts w:hint="default" w:ascii="Times New Roman" w:hAnsi="Times New Roman" w:eastAsia="宋体" w:cs="Times New Roman"/>
          <w:b/>
          <w:snapToGrid w:val="0"/>
          <w:color w:val="auto"/>
          <w:sz w:val="24"/>
          <w:szCs w:val="28"/>
          <w:highlight w:val="none"/>
          <w:lang w:val="en-US" w:eastAsia="zh-CN" w:bidi="ar-SA"/>
        </w:rPr>
        <w:t>附件</w:t>
      </w:r>
      <w:r>
        <w:rPr>
          <w:rFonts w:hint="eastAsia" w:cs="Times New Roman"/>
          <w:b/>
          <w:snapToGrid w:val="0"/>
          <w:color w:val="auto"/>
          <w:sz w:val="24"/>
          <w:szCs w:val="28"/>
          <w:highlight w:val="none"/>
          <w:lang w:val="en-US" w:eastAsia="zh-CN" w:bidi="ar-SA"/>
        </w:rPr>
        <w:t>9</w:t>
      </w:r>
      <w:r>
        <w:rPr>
          <w:rFonts w:hint="default" w:ascii="Times New Roman" w:hAnsi="Times New Roman" w:eastAsia="宋体" w:cs="Times New Roman"/>
          <w:b/>
          <w:snapToGrid w:val="0"/>
          <w:color w:val="auto"/>
          <w:sz w:val="24"/>
          <w:szCs w:val="28"/>
          <w:highlight w:val="none"/>
          <w:lang w:val="en-US" w:eastAsia="zh-CN" w:bidi="ar-SA"/>
        </w:rPr>
        <w:t>：</w:t>
      </w:r>
      <w:r>
        <w:rPr>
          <w:rFonts w:hint="eastAsia" w:cs="Times New Roman"/>
          <w:b/>
          <w:snapToGrid w:val="0"/>
          <w:color w:val="auto"/>
          <w:sz w:val="24"/>
          <w:szCs w:val="28"/>
          <w:highlight w:val="none"/>
          <w:lang w:val="en-US" w:eastAsia="zh-CN" w:bidi="ar-SA"/>
        </w:rPr>
        <w:t>文物局文件</w:t>
      </w:r>
      <w:r>
        <w:rPr>
          <w:rFonts w:hint="default"/>
          <w:color w:val="auto"/>
          <w:lang w:val="en-US" w:eastAsia="zh-CN"/>
        </w:rPr>
        <w:drawing>
          <wp:inline distT="0" distB="0" distL="114300" distR="114300">
            <wp:extent cx="4737735" cy="7308850"/>
            <wp:effectExtent l="0" t="0" r="5715" b="6350"/>
            <wp:docPr id="72" name="图片 72" descr="微信图片_2025092417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微信图片_20250924170747"/>
                    <pic:cNvPicPr>
                      <a:picLocks noChangeAspect="1"/>
                    </pic:cNvPicPr>
                  </pic:nvPicPr>
                  <pic:blipFill>
                    <a:blip r:embed="rId95"/>
                    <a:srcRect t="8810" b="11303"/>
                    <a:stretch>
                      <a:fillRect/>
                    </a:stretch>
                  </pic:blipFill>
                  <pic:spPr>
                    <a:xfrm>
                      <a:off x="0" y="0"/>
                      <a:ext cx="4737735" cy="7308850"/>
                    </a:xfrm>
                    <a:prstGeom prst="rect">
                      <a:avLst/>
                    </a:prstGeom>
                  </pic:spPr>
                </pic:pic>
              </a:graphicData>
            </a:graphic>
          </wp:inline>
        </w:drawing>
      </w:r>
      <w:r>
        <w:rPr>
          <w:rFonts w:hint="default"/>
          <w:color w:val="auto"/>
          <w:lang w:val="en-US" w:eastAsia="zh-CN"/>
        </w:rPr>
        <w:drawing>
          <wp:inline distT="0" distB="0" distL="114300" distR="114300">
            <wp:extent cx="5262880" cy="8425180"/>
            <wp:effectExtent l="0" t="0" r="13970" b="13970"/>
            <wp:docPr id="73" name="图片 73" descr="微信图片_20250924170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微信图片_20250924170749"/>
                    <pic:cNvPicPr>
                      <a:picLocks noChangeAspect="1"/>
                    </pic:cNvPicPr>
                  </pic:nvPicPr>
                  <pic:blipFill>
                    <a:blip r:embed="rId96"/>
                    <a:stretch>
                      <a:fillRect/>
                    </a:stretch>
                  </pic:blipFill>
                  <pic:spPr>
                    <a:xfrm>
                      <a:off x="0" y="0"/>
                      <a:ext cx="5262880" cy="8425180"/>
                    </a:xfrm>
                    <a:prstGeom prst="rect">
                      <a:avLst/>
                    </a:prstGeom>
                  </pic:spPr>
                </pic:pic>
              </a:graphicData>
            </a:graphic>
          </wp:inline>
        </w:drawing>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0829519"/>
    </w:sdtPr>
    <w:sdtContent>
      <w:p w14:paraId="798BEEC2">
        <w:pPr>
          <w:pStyle w:val="17"/>
          <w:ind w:firstLine="360"/>
          <w:jc w:val="center"/>
        </w:pPr>
        <w:r>
          <w:fldChar w:fldCharType="begin"/>
        </w:r>
        <w:r>
          <w:instrText xml:space="preserve">PAGE   \* MERGEFORMAT</w:instrText>
        </w:r>
        <w:r>
          <w:fldChar w:fldCharType="separate"/>
        </w:r>
        <w:r>
          <w:rPr>
            <w:lang w:val="zh-CN"/>
          </w:rPr>
          <w:t>58</w:t>
        </w:r>
        <w:r>
          <w:rPr>
            <w:lang w:val="zh-CN"/>
          </w:rPr>
          <w:fldChar w:fldCharType="end"/>
        </w:r>
      </w:p>
    </w:sdtContent>
  </w:sdt>
  <w:p w14:paraId="08E3CB73">
    <w:pPr>
      <w:pStyle w:val="1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8641253"/>
    </w:sdtPr>
    <w:sdtContent>
      <w:p w14:paraId="4AF3ACEB">
        <w:pPr>
          <w:pStyle w:val="17"/>
          <w:ind w:firstLine="360"/>
          <w:jc w:val="center"/>
        </w:pPr>
        <w:r>
          <w:fldChar w:fldCharType="begin"/>
        </w:r>
        <w:r>
          <w:instrText xml:space="preserve">PAGE   \* MERGEFORMAT</w:instrText>
        </w:r>
        <w:r>
          <w:fldChar w:fldCharType="separate"/>
        </w:r>
        <w:r>
          <w:rPr>
            <w:lang w:val="zh-CN"/>
          </w:rPr>
          <w:t>2</w:t>
        </w:r>
        <w:r>
          <w:rPr>
            <w:lang w:val="zh-CN"/>
          </w:rPr>
          <w:fldChar w:fldCharType="end"/>
        </w:r>
      </w:p>
    </w:sdtContent>
  </w:sdt>
  <w:p w14:paraId="1BA6E21B">
    <w:pPr>
      <w:pStyle w:val="1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5E46E">
    <w:pPr>
      <w:pStyle w:val="1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8FADA">
    <w:pPr>
      <w:pStyle w:val="18"/>
      <w:pBdr>
        <w:bottom w:val="none" w:color="auto" w:sz="0" w:space="0"/>
      </w:pBdr>
      <w:spacing w:line="240" w:lineRule="auto"/>
      <w:ind w:firstLine="0" w:firstLineChars="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6E815">
    <w:pPr>
      <w:pStyle w:val="1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024F1">
    <w:pPr>
      <w:pStyle w:val="18"/>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368944"/>
    <w:multiLevelType w:val="singleLevel"/>
    <w:tmpl w:val="DC36894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hideGrammatical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B419A4"/>
    <w:rsid w:val="05CD222A"/>
    <w:rsid w:val="09BB6C68"/>
    <w:rsid w:val="0B884C29"/>
    <w:rsid w:val="15AD606D"/>
    <w:rsid w:val="16C358AF"/>
    <w:rsid w:val="17383A54"/>
    <w:rsid w:val="1ECB5F6A"/>
    <w:rsid w:val="1F422183"/>
    <w:rsid w:val="22AF297E"/>
    <w:rsid w:val="26325A66"/>
    <w:rsid w:val="26D86659"/>
    <w:rsid w:val="280478D6"/>
    <w:rsid w:val="285846C4"/>
    <w:rsid w:val="2AC97344"/>
    <w:rsid w:val="2B125E66"/>
    <w:rsid w:val="2B5E554F"/>
    <w:rsid w:val="3007473F"/>
    <w:rsid w:val="3425147A"/>
    <w:rsid w:val="36CB67D6"/>
    <w:rsid w:val="37333795"/>
    <w:rsid w:val="4A8018EC"/>
    <w:rsid w:val="4BBF7A81"/>
    <w:rsid w:val="4C371778"/>
    <w:rsid w:val="4D014060"/>
    <w:rsid w:val="51916EE4"/>
    <w:rsid w:val="51AA70F6"/>
    <w:rsid w:val="543E1662"/>
    <w:rsid w:val="57246525"/>
    <w:rsid w:val="583A62CF"/>
    <w:rsid w:val="5BCB77E7"/>
    <w:rsid w:val="5F463D55"/>
    <w:rsid w:val="5F5024DD"/>
    <w:rsid w:val="61291C58"/>
    <w:rsid w:val="61AD00BB"/>
    <w:rsid w:val="69D56401"/>
    <w:rsid w:val="6C5A0E3F"/>
    <w:rsid w:val="6C622096"/>
    <w:rsid w:val="6CCA1F28"/>
    <w:rsid w:val="738031B6"/>
    <w:rsid w:val="756A54C3"/>
    <w:rsid w:val="77D91CDA"/>
    <w:rsid w:val="78D02537"/>
    <w:rsid w:val="79BC3297"/>
    <w:rsid w:val="7A594721"/>
    <w:rsid w:val="7F645E0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200" w:firstLineChars="200"/>
      <w:jc w:val="both"/>
    </w:pPr>
    <w:rPr>
      <w:rFonts w:ascii="Times New Roman" w:hAnsi="Times New Roman" w:eastAsia="宋体" w:cstheme="minorBidi"/>
      <w:sz w:val="24"/>
      <w:szCs w:val="22"/>
      <w:lang w:val="en-US" w:eastAsia="zh-CN" w:bidi="ar-SA"/>
    </w:rPr>
  </w:style>
  <w:style w:type="paragraph" w:styleId="3">
    <w:name w:val="heading 1"/>
    <w:basedOn w:val="1"/>
    <w:next w:val="1"/>
    <w:link w:val="32"/>
    <w:qFormat/>
    <w:uiPriority w:val="9"/>
    <w:pPr>
      <w:keepNext/>
      <w:keepLines/>
      <w:ind w:firstLine="0" w:firstLineChars="0"/>
      <w:outlineLvl w:val="0"/>
    </w:pPr>
    <w:rPr>
      <w:rFonts w:cstheme="majorBidi"/>
      <w:b/>
      <w:sz w:val="32"/>
      <w:szCs w:val="32"/>
    </w:rPr>
  </w:style>
  <w:style w:type="paragraph" w:styleId="4">
    <w:name w:val="heading 2"/>
    <w:basedOn w:val="1"/>
    <w:next w:val="1"/>
    <w:link w:val="33"/>
    <w:unhideWhenUsed/>
    <w:qFormat/>
    <w:uiPriority w:val="9"/>
    <w:pPr>
      <w:keepNext/>
      <w:keepLines/>
      <w:spacing w:line="240" w:lineRule="auto"/>
      <w:ind w:firstLine="0" w:firstLineChars="0"/>
      <w:outlineLvl w:val="1"/>
    </w:pPr>
    <w:rPr>
      <w:rFonts w:cstheme="majorBidi"/>
      <w:b/>
      <w:szCs w:val="28"/>
    </w:rPr>
  </w:style>
  <w:style w:type="paragraph" w:styleId="5">
    <w:name w:val="heading 3"/>
    <w:basedOn w:val="1"/>
    <w:next w:val="1"/>
    <w:link w:val="34"/>
    <w:unhideWhenUsed/>
    <w:qFormat/>
    <w:uiPriority w:val="9"/>
    <w:pPr>
      <w:keepNext/>
      <w:keepLines/>
      <w:spacing w:line="240" w:lineRule="auto"/>
      <w:ind w:firstLine="0" w:firstLineChars="0"/>
      <w:jc w:val="center"/>
      <w:outlineLvl w:val="2"/>
    </w:pPr>
    <w:rPr>
      <w:rFonts w:cstheme="majorBidi"/>
      <w:color w:val="203864" w:themeColor="accent1" w:themeShade="80"/>
      <w:sz w:val="21"/>
      <w:szCs w:val="24"/>
    </w:rPr>
  </w:style>
  <w:style w:type="paragraph" w:styleId="6">
    <w:name w:val="heading 4"/>
    <w:basedOn w:val="1"/>
    <w:next w:val="1"/>
    <w:link w:val="35"/>
    <w:unhideWhenUsed/>
    <w:qFormat/>
    <w:uiPriority w:val="9"/>
    <w:pPr>
      <w:keepNext/>
      <w:keepLines/>
      <w:spacing w:before="40"/>
      <w:outlineLvl w:val="3"/>
    </w:pPr>
    <w:rPr>
      <w:i/>
      <w:iCs/>
    </w:rPr>
  </w:style>
  <w:style w:type="paragraph" w:styleId="7">
    <w:name w:val="heading 5"/>
    <w:basedOn w:val="1"/>
    <w:next w:val="1"/>
    <w:link w:val="29"/>
    <w:unhideWhenUsed/>
    <w:qFormat/>
    <w:uiPriority w:val="9"/>
    <w:pPr>
      <w:keepNext/>
      <w:keepLines/>
      <w:spacing w:before="40"/>
      <w:outlineLvl w:val="4"/>
    </w:pPr>
    <w:rPr>
      <w:color w:val="2F5597" w:themeColor="accent1" w:themeShade="BF"/>
    </w:rPr>
  </w:style>
  <w:style w:type="paragraph" w:styleId="8">
    <w:name w:val="heading 6"/>
    <w:basedOn w:val="1"/>
    <w:next w:val="1"/>
    <w:link w:val="36"/>
    <w:unhideWhenUsed/>
    <w:qFormat/>
    <w:uiPriority w:val="9"/>
    <w:pPr>
      <w:keepNext/>
      <w:keepLines/>
      <w:spacing w:before="40"/>
      <w:outlineLvl w:val="5"/>
    </w:pPr>
    <w:rPr>
      <w:color w:val="203864" w:themeColor="accent1" w:themeShade="80"/>
    </w:rPr>
  </w:style>
  <w:style w:type="paragraph" w:styleId="9">
    <w:name w:val="heading 7"/>
    <w:basedOn w:val="1"/>
    <w:next w:val="1"/>
    <w:link w:val="37"/>
    <w:unhideWhenUsed/>
    <w:qFormat/>
    <w:uiPriority w:val="9"/>
    <w:pPr>
      <w:keepNext/>
      <w:keepLines/>
      <w:spacing w:before="40"/>
      <w:outlineLvl w:val="6"/>
    </w:pPr>
    <w:rPr>
      <w:rFonts w:asciiTheme="majorHAnsi" w:hAnsiTheme="majorHAnsi" w:eastAsiaTheme="majorEastAsia" w:cstheme="majorBidi"/>
      <w:i/>
      <w:iCs/>
      <w:color w:val="203864" w:themeColor="accent1" w:themeShade="80"/>
    </w:rPr>
  </w:style>
  <w:style w:type="paragraph" w:styleId="10">
    <w:name w:val="heading 8"/>
    <w:basedOn w:val="1"/>
    <w:next w:val="1"/>
    <w:link w:val="38"/>
    <w:unhideWhenUsed/>
    <w:qFormat/>
    <w:uiPriority w:val="9"/>
    <w:pPr>
      <w:keepNext/>
      <w:keepLines/>
      <w:spacing w:before="40"/>
      <w:outlineLvl w:val="7"/>
    </w:pPr>
    <w:rPr>
      <w:color w:val="262626" w:themeColor="text1" w:themeTint="D9"/>
      <w:sz w:val="21"/>
      <w:szCs w:val="21"/>
      <w14:textFill>
        <w14:solidFill>
          <w14:schemeClr w14:val="tx1">
            <w14:lumMod w14:val="85000"/>
            <w14:lumOff w14:val="15000"/>
          </w14:schemeClr>
        </w14:solidFill>
      </w14:textFill>
    </w:rPr>
  </w:style>
  <w:style w:type="paragraph" w:styleId="11">
    <w:name w:val="heading 9"/>
    <w:basedOn w:val="1"/>
    <w:next w:val="1"/>
    <w:link w:val="39"/>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2">
    <w:name w:val="Body Text First Indent 2"/>
    <w:basedOn w:val="1"/>
    <w:next w:val="1"/>
    <w:qFormat/>
    <w:uiPriority w:val="0"/>
    <w:pPr>
      <w:ind w:firstLine="420" w:firstLineChars="200"/>
    </w:pPr>
  </w:style>
  <w:style w:type="paragraph" w:styleId="12">
    <w:name w:val="Normal Indent"/>
    <w:basedOn w:val="1"/>
    <w:unhideWhenUsed/>
    <w:qFormat/>
    <w:uiPriority w:val="0"/>
    <w:pPr>
      <w:ind w:firstLine="420" w:firstLineChars="200"/>
    </w:pPr>
  </w:style>
  <w:style w:type="paragraph" w:styleId="13">
    <w:name w:val="annotation text"/>
    <w:basedOn w:val="1"/>
    <w:link w:val="50"/>
    <w:semiHidden/>
    <w:qFormat/>
    <w:uiPriority w:val="0"/>
    <w:pPr>
      <w:jc w:val="left"/>
    </w:pPr>
    <w:rPr>
      <w:szCs w:val="20"/>
    </w:rPr>
  </w:style>
  <w:style w:type="paragraph" w:styleId="14">
    <w:name w:val="Body Text"/>
    <w:basedOn w:val="1"/>
    <w:qFormat/>
    <w:uiPriority w:val="0"/>
    <w:pPr>
      <w:spacing w:after="120"/>
    </w:pPr>
    <w:rPr>
      <w:sz w:val="21"/>
      <w:szCs w:val="20"/>
    </w:rPr>
  </w:style>
  <w:style w:type="paragraph" w:styleId="15">
    <w:name w:val="Body Text Indent"/>
    <w:basedOn w:val="1"/>
    <w:next w:val="1"/>
    <w:qFormat/>
    <w:uiPriority w:val="0"/>
    <w:pPr>
      <w:ind w:left="420" w:leftChars="200"/>
    </w:pPr>
  </w:style>
  <w:style w:type="paragraph" w:styleId="16">
    <w:name w:val="Plain Text"/>
    <w:basedOn w:val="1"/>
    <w:qFormat/>
    <w:uiPriority w:val="0"/>
    <w:pPr>
      <w:widowControl/>
      <w:spacing w:before="100" w:beforeAutospacing="1" w:after="100" w:afterAutospacing="1"/>
      <w:jc w:val="left"/>
    </w:pPr>
    <w:rPr>
      <w:rFonts w:ascii="ˎ̥" w:hAnsi="ˎ̥"/>
      <w:sz w:val="18"/>
      <w:szCs w:val="18"/>
    </w:rPr>
  </w:style>
  <w:style w:type="paragraph" w:styleId="17">
    <w:name w:val="footer"/>
    <w:basedOn w:val="1"/>
    <w:link w:val="31"/>
    <w:unhideWhenUsed/>
    <w:qFormat/>
    <w:uiPriority w:val="99"/>
    <w:pPr>
      <w:tabs>
        <w:tab w:val="center" w:pos="4153"/>
        <w:tab w:val="right" w:pos="8306"/>
      </w:tabs>
    </w:pPr>
    <w:rPr>
      <w:sz w:val="18"/>
      <w:szCs w:val="18"/>
    </w:rPr>
  </w:style>
  <w:style w:type="paragraph" w:styleId="18">
    <w:name w:val="header"/>
    <w:basedOn w:val="1"/>
    <w:link w:val="30"/>
    <w:unhideWhenUsed/>
    <w:qFormat/>
    <w:uiPriority w:val="99"/>
    <w:pPr>
      <w:pBdr>
        <w:bottom w:val="single" w:color="auto" w:sz="6" w:space="1"/>
      </w:pBdr>
      <w:tabs>
        <w:tab w:val="center" w:pos="4153"/>
        <w:tab w:val="right" w:pos="8306"/>
      </w:tabs>
      <w:jc w:val="center"/>
    </w:pPr>
    <w:rPr>
      <w:sz w:val="18"/>
      <w:szCs w:val="18"/>
    </w:rPr>
  </w:style>
  <w:style w:type="paragraph" w:styleId="19">
    <w:name w:val="Subtitle"/>
    <w:basedOn w:val="1"/>
    <w:next w:val="1"/>
    <w:link w:val="41"/>
    <w:qFormat/>
    <w:uiPriority w:val="11"/>
    <w:rPr>
      <w:color w:val="595959" w:themeColor="text1" w:themeTint="A6"/>
      <w:spacing w:val="15"/>
      <w14:textFill>
        <w14:solidFill>
          <w14:schemeClr w14:val="tx1">
            <w14:lumMod w14:val="65000"/>
            <w14:lumOff w14:val="35000"/>
          </w14:schemeClr>
        </w14:solidFill>
      </w14:textFill>
    </w:rPr>
  </w:style>
  <w:style w:type="paragraph" w:styleId="20">
    <w:name w:val="Title"/>
    <w:basedOn w:val="1"/>
    <w:next w:val="1"/>
    <w:link w:val="40"/>
    <w:qFormat/>
    <w:uiPriority w:val="10"/>
    <w:pPr>
      <w:spacing w:line="240" w:lineRule="auto"/>
      <w:contextualSpacing/>
    </w:pPr>
    <w:rPr>
      <w:rFonts w:asciiTheme="majorHAnsi" w:hAnsiTheme="majorHAnsi" w:eastAsiaTheme="majorEastAsia" w:cstheme="majorBidi"/>
      <w:spacing w:val="-10"/>
      <w:sz w:val="56"/>
      <w:szCs w:val="56"/>
    </w:rPr>
  </w:style>
  <w:style w:type="paragraph" w:styleId="21">
    <w:name w:val="annotation subject"/>
    <w:basedOn w:val="13"/>
    <w:next w:val="13"/>
    <w:link w:val="51"/>
    <w:qFormat/>
    <w:uiPriority w:val="0"/>
    <w:rPr>
      <w:b/>
      <w:bCs/>
      <w:szCs w:val="22"/>
    </w:rPr>
  </w:style>
  <w:style w:type="paragraph" w:styleId="22">
    <w:name w:val="Body Text First Indent"/>
    <w:basedOn w:val="14"/>
    <w:next w:val="1"/>
    <w:qFormat/>
    <w:uiPriority w:val="0"/>
    <w:pPr>
      <w:overflowPunct w:val="0"/>
      <w:autoSpaceDE w:val="0"/>
      <w:autoSpaceDN w:val="0"/>
      <w:adjustRightInd w:val="0"/>
      <w:spacing w:line="360" w:lineRule="auto"/>
      <w:ind w:firstLine="539"/>
      <w:textAlignment w:val="baseline"/>
    </w:pPr>
  </w:style>
  <w:style w:type="table" w:styleId="24">
    <w:name w:val="Table Grid"/>
    <w:basedOn w:val="2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annotation reference"/>
    <w:qFormat/>
    <w:uiPriority w:val="0"/>
    <w:rPr>
      <w:rFonts w:ascii="Times New Roman" w:hAnsi="Times New Roman" w:eastAsia="宋体"/>
      <w:sz w:val="21"/>
      <w:szCs w:val="21"/>
    </w:rPr>
  </w:style>
  <w:style w:type="paragraph" w:customStyle="1" w:styleId="27">
    <w:name w:val="表头"/>
    <w:basedOn w:val="1"/>
    <w:link w:val="48"/>
    <w:qFormat/>
    <w:uiPriority w:val="0"/>
    <w:pPr>
      <w:spacing w:line="240" w:lineRule="auto"/>
      <w:ind w:firstLine="0" w:firstLineChars="0"/>
      <w:jc w:val="center"/>
    </w:pPr>
    <w:rPr>
      <w:b/>
      <w:sz w:val="21"/>
    </w:rPr>
  </w:style>
  <w:style w:type="paragraph" w:customStyle="1" w:styleId="28">
    <w:name w:val="[1]正文"/>
    <w:basedOn w:val="1"/>
    <w:qFormat/>
    <w:uiPriority w:val="0"/>
    <w:pPr>
      <w:autoSpaceDE w:val="0"/>
      <w:autoSpaceDN w:val="0"/>
      <w:ind w:firstLine="200" w:firstLineChars="200"/>
    </w:pPr>
    <w:rPr>
      <w:color w:val="000000"/>
      <w:kern w:val="0"/>
      <w:lang w:val="zh-CN"/>
    </w:rPr>
  </w:style>
  <w:style w:type="character" w:customStyle="1" w:styleId="29">
    <w:name w:val="标题 5 字符"/>
    <w:basedOn w:val="25"/>
    <w:link w:val="7"/>
    <w:semiHidden/>
    <w:qFormat/>
    <w:uiPriority w:val="9"/>
    <w:rPr>
      <w:color w:val="2F5597" w:themeColor="accent1" w:themeShade="BF"/>
    </w:rPr>
  </w:style>
  <w:style w:type="character" w:customStyle="1" w:styleId="30">
    <w:name w:val="页眉 字符"/>
    <w:basedOn w:val="25"/>
    <w:link w:val="18"/>
    <w:qFormat/>
    <w:uiPriority w:val="99"/>
    <w:rPr>
      <w:sz w:val="18"/>
      <w:szCs w:val="18"/>
    </w:rPr>
  </w:style>
  <w:style w:type="character" w:customStyle="1" w:styleId="31">
    <w:name w:val="页脚 字符"/>
    <w:basedOn w:val="25"/>
    <w:link w:val="17"/>
    <w:qFormat/>
    <w:uiPriority w:val="99"/>
    <w:rPr>
      <w:sz w:val="18"/>
      <w:szCs w:val="18"/>
    </w:rPr>
  </w:style>
  <w:style w:type="character" w:customStyle="1" w:styleId="32">
    <w:name w:val="标题 1 字符"/>
    <w:basedOn w:val="25"/>
    <w:link w:val="3"/>
    <w:qFormat/>
    <w:uiPriority w:val="9"/>
    <w:rPr>
      <w:rFonts w:ascii="Times New Roman" w:hAnsi="Times New Roman" w:eastAsia="宋体" w:cstheme="majorBidi"/>
      <w:b/>
      <w:sz w:val="32"/>
      <w:szCs w:val="32"/>
    </w:rPr>
  </w:style>
  <w:style w:type="character" w:customStyle="1" w:styleId="33">
    <w:name w:val="标题 2 字符"/>
    <w:basedOn w:val="25"/>
    <w:link w:val="4"/>
    <w:qFormat/>
    <w:uiPriority w:val="9"/>
    <w:rPr>
      <w:rFonts w:cstheme="majorBidi"/>
      <w:b/>
      <w:sz w:val="24"/>
      <w:szCs w:val="28"/>
    </w:rPr>
  </w:style>
  <w:style w:type="character" w:customStyle="1" w:styleId="34">
    <w:name w:val="标题 3 字符"/>
    <w:basedOn w:val="25"/>
    <w:link w:val="5"/>
    <w:qFormat/>
    <w:uiPriority w:val="9"/>
    <w:rPr>
      <w:rFonts w:ascii="Times New Roman" w:hAnsi="Times New Roman" w:eastAsia="宋体" w:cstheme="majorBidi"/>
      <w:color w:val="203864" w:themeColor="accent1" w:themeShade="80"/>
      <w:sz w:val="21"/>
      <w:szCs w:val="24"/>
    </w:rPr>
  </w:style>
  <w:style w:type="character" w:customStyle="1" w:styleId="35">
    <w:name w:val="标题 4 字符"/>
    <w:basedOn w:val="25"/>
    <w:link w:val="6"/>
    <w:semiHidden/>
    <w:qFormat/>
    <w:uiPriority w:val="9"/>
    <w:rPr>
      <w:i/>
      <w:iCs/>
    </w:rPr>
  </w:style>
  <w:style w:type="character" w:customStyle="1" w:styleId="36">
    <w:name w:val="标题 6 字符"/>
    <w:basedOn w:val="25"/>
    <w:link w:val="8"/>
    <w:semiHidden/>
    <w:qFormat/>
    <w:uiPriority w:val="9"/>
    <w:rPr>
      <w:color w:val="203864" w:themeColor="accent1" w:themeShade="80"/>
    </w:rPr>
  </w:style>
  <w:style w:type="character" w:customStyle="1" w:styleId="37">
    <w:name w:val="标题 7 字符"/>
    <w:basedOn w:val="25"/>
    <w:link w:val="9"/>
    <w:semiHidden/>
    <w:qFormat/>
    <w:uiPriority w:val="9"/>
    <w:rPr>
      <w:rFonts w:asciiTheme="majorHAnsi" w:hAnsiTheme="majorHAnsi" w:eastAsiaTheme="majorEastAsia" w:cstheme="majorBidi"/>
      <w:i/>
      <w:iCs/>
      <w:color w:val="203864" w:themeColor="accent1" w:themeShade="80"/>
    </w:rPr>
  </w:style>
  <w:style w:type="character" w:customStyle="1" w:styleId="38">
    <w:name w:val="标题 8 字符"/>
    <w:basedOn w:val="25"/>
    <w:link w:val="10"/>
    <w:semiHidden/>
    <w:qFormat/>
    <w:uiPriority w:val="9"/>
    <w:rPr>
      <w:color w:val="262626" w:themeColor="text1" w:themeTint="D9"/>
      <w:sz w:val="21"/>
      <w:szCs w:val="21"/>
      <w14:textFill>
        <w14:solidFill>
          <w14:schemeClr w14:val="tx1">
            <w14:lumMod w14:val="85000"/>
            <w14:lumOff w14:val="15000"/>
          </w14:schemeClr>
        </w14:solidFill>
      </w14:textFill>
    </w:rPr>
  </w:style>
  <w:style w:type="character" w:customStyle="1" w:styleId="39">
    <w:name w:val="标题 9 字符"/>
    <w:basedOn w:val="25"/>
    <w:link w:val="11"/>
    <w:semiHidden/>
    <w:qFormat/>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40">
    <w:name w:val="标题 字符"/>
    <w:basedOn w:val="25"/>
    <w:link w:val="20"/>
    <w:qFormat/>
    <w:uiPriority w:val="10"/>
    <w:rPr>
      <w:rFonts w:asciiTheme="majorHAnsi" w:hAnsiTheme="majorHAnsi" w:eastAsiaTheme="majorEastAsia" w:cstheme="majorBidi"/>
      <w:spacing w:val="-10"/>
      <w:sz w:val="56"/>
      <w:szCs w:val="56"/>
    </w:rPr>
  </w:style>
  <w:style w:type="character" w:customStyle="1" w:styleId="41">
    <w:name w:val="副标题 字符"/>
    <w:basedOn w:val="25"/>
    <w:link w:val="19"/>
    <w:qFormat/>
    <w:uiPriority w:val="11"/>
    <w:rPr>
      <w:color w:val="595959" w:themeColor="text1" w:themeTint="A6"/>
      <w:spacing w:val="15"/>
      <w14:textFill>
        <w14:solidFill>
          <w14:schemeClr w14:val="tx1">
            <w14:lumMod w14:val="65000"/>
            <w14:lumOff w14:val="35000"/>
          </w14:schemeClr>
        </w14:solidFill>
      </w14:textFill>
    </w:rPr>
  </w:style>
  <w:style w:type="table" w:customStyle="1" w:styleId="42">
    <w:name w:val="Table Normal"/>
    <w:unhideWhenUsed/>
    <w:qFormat/>
    <w:uiPriority w:val="2"/>
    <w:pPr>
      <w:widowControl w:val="0"/>
    </w:pPr>
    <w:rPr>
      <w:lang w:eastAsia="en-US"/>
    </w:rPr>
    <w:tblPr>
      <w:tblCellMar>
        <w:top w:w="0" w:type="dxa"/>
        <w:left w:w="0" w:type="dxa"/>
        <w:bottom w:w="0" w:type="dxa"/>
        <w:right w:w="0" w:type="dxa"/>
      </w:tblCellMar>
    </w:tblPr>
  </w:style>
  <w:style w:type="paragraph" w:customStyle="1" w:styleId="43">
    <w:name w:val="修订1"/>
    <w:hidden/>
    <w:semiHidden/>
    <w:qFormat/>
    <w:uiPriority w:val="99"/>
    <w:rPr>
      <w:rFonts w:ascii="Times New Roman" w:hAnsi="Times New Roman" w:eastAsia="宋体" w:cstheme="minorBidi"/>
      <w:sz w:val="24"/>
      <w:szCs w:val="22"/>
      <w:lang w:val="en-US" w:eastAsia="zh-CN" w:bidi="ar-SA"/>
    </w:rPr>
  </w:style>
  <w:style w:type="table" w:customStyle="1" w:styleId="44">
    <w:name w:val="网格型1"/>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5">
    <w:name w:val="修订2"/>
    <w:hidden/>
    <w:semiHidden/>
    <w:qFormat/>
    <w:uiPriority w:val="99"/>
    <w:rPr>
      <w:rFonts w:ascii="Times New Roman" w:hAnsi="Times New Roman" w:eastAsia="宋体" w:cstheme="minorBidi"/>
      <w:sz w:val="24"/>
      <w:szCs w:val="22"/>
      <w:lang w:val="en-US" w:eastAsia="zh-CN" w:bidi="ar-SA"/>
    </w:rPr>
  </w:style>
  <w:style w:type="paragraph" w:customStyle="1" w:styleId="46">
    <w:name w:val="表内"/>
    <w:basedOn w:val="1"/>
    <w:link w:val="47"/>
    <w:qFormat/>
    <w:uiPriority w:val="0"/>
    <w:pPr>
      <w:widowControl w:val="0"/>
      <w:adjustRightInd w:val="0"/>
      <w:snapToGrid w:val="0"/>
      <w:spacing w:line="240" w:lineRule="auto"/>
      <w:ind w:firstLine="0" w:firstLineChars="0"/>
    </w:pPr>
    <w:rPr>
      <w:rFonts w:cs="Times New Roman"/>
      <w:kern w:val="2"/>
      <w:sz w:val="21"/>
      <w:szCs w:val="24"/>
    </w:rPr>
  </w:style>
  <w:style w:type="character" w:customStyle="1" w:styleId="47">
    <w:name w:val="表内 Char"/>
    <w:link w:val="46"/>
    <w:qFormat/>
    <w:uiPriority w:val="0"/>
    <w:rPr>
      <w:rFonts w:ascii="Times New Roman" w:hAnsi="Times New Roman" w:eastAsia="宋体" w:cs="Times New Roman"/>
      <w:kern w:val="2"/>
      <w:sz w:val="21"/>
      <w:szCs w:val="24"/>
    </w:rPr>
  </w:style>
  <w:style w:type="character" w:customStyle="1" w:styleId="48">
    <w:name w:val="表头 Char"/>
    <w:link w:val="27"/>
    <w:qFormat/>
    <w:uiPriority w:val="0"/>
    <w:rPr>
      <w:rFonts w:ascii="Times New Roman" w:hAnsi="Times New Roman" w:eastAsia="宋体"/>
      <w:b/>
      <w:sz w:val="21"/>
      <w:szCs w:val="22"/>
    </w:rPr>
  </w:style>
  <w:style w:type="paragraph" w:customStyle="1" w:styleId="49">
    <w:name w:val="表格内容"/>
    <w:basedOn w:val="1"/>
    <w:qFormat/>
    <w:uiPriority w:val="0"/>
    <w:pPr>
      <w:spacing w:line="240" w:lineRule="auto"/>
      <w:ind w:firstLine="0" w:firstLineChars="0"/>
      <w:jc w:val="center"/>
    </w:pPr>
    <w:rPr>
      <w:sz w:val="21"/>
    </w:rPr>
  </w:style>
  <w:style w:type="character" w:customStyle="1" w:styleId="50">
    <w:name w:val="批注文字 字符"/>
    <w:basedOn w:val="25"/>
    <w:link w:val="13"/>
    <w:semiHidden/>
    <w:qFormat/>
    <w:uiPriority w:val="0"/>
    <w:rPr>
      <w:rFonts w:cstheme="minorBidi"/>
      <w:sz w:val="24"/>
    </w:rPr>
  </w:style>
  <w:style w:type="character" w:customStyle="1" w:styleId="51">
    <w:name w:val="批注主题 字符"/>
    <w:basedOn w:val="50"/>
    <w:link w:val="21"/>
    <w:qFormat/>
    <w:uiPriority w:val="0"/>
    <w:rPr>
      <w:rFonts w:cstheme="minorBidi"/>
      <w:b/>
      <w:bCs/>
      <w:sz w:val="24"/>
      <w:szCs w:val="22"/>
    </w:rPr>
  </w:style>
  <w:style w:type="paragraph" w:customStyle="1" w:styleId="52">
    <w:name w:val="Table Text"/>
    <w:basedOn w:val="1"/>
    <w:semiHidden/>
    <w:qFormat/>
    <w:uiPriority w:val="0"/>
    <w:rPr>
      <w:rFonts w:ascii="宋体" w:hAnsi="宋体" w:eastAsia="宋体" w:cs="宋体"/>
      <w:sz w:val="20"/>
      <w:szCs w:val="20"/>
      <w:lang w:val="en-US" w:eastAsia="en-US" w:bidi="ar-SA"/>
    </w:rPr>
  </w:style>
  <w:style w:type="paragraph" w:customStyle="1" w:styleId="53">
    <w:name w:val="TX-表头"/>
    <w:qFormat/>
    <w:uiPriority w:val="0"/>
    <w:pPr>
      <w:jc w:val="center"/>
    </w:pPr>
    <w:rPr>
      <w:rFonts w:ascii="Times New Roman" w:hAnsi="Times New Roman" w:eastAsia="仿宋" w:cstheme="minorBidi"/>
      <w:b/>
      <w:kern w:val="2"/>
      <w:sz w:val="24"/>
      <w:szCs w:val="22"/>
      <w:lang w:val="en-US" w:eastAsia="zh-CN" w:bidi="ar-SA"/>
    </w:rPr>
  </w:style>
  <w:style w:type="character" w:customStyle="1" w:styleId="54">
    <w:name w:val="font51"/>
    <w:basedOn w:val="25"/>
    <w:qFormat/>
    <w:uiPriority w:val="0"/>
    <w:rPr>
      <w:rFonts w:hint="default" w:ascii="Times New Roman" w:hAnsi="Times New Roman" w:cs="Times New Roman"/>
      <w:b/>
      <w:bCs/>
      <w:color w:val="000000"/>
      <w:sz w:val="21"/>
      <w:szCs w:val="21"/>
      <w:u w:val="none"/>
      <w:vertAlign w:val="superscript"/>
    </w:rPr>
  </w:style>
  <w:style w:type="character" w:customStyle="1" w:styleId="55">
    <w:name w:val="font21"/>
    <w:basedOn w:val="25"/>
    <w:qFormat/>
    <w:uiPriority w:val="0"/>
    <w:rPr>
      <w:rFonts w:hint="eastAsia" w:ascii="宋体" w:hAnsi="宋体" w:eastAsia="宋体" w:cs="宋体"/>
      <w:color w:val="000000"/>
      <w:sz w:val="21"/>
      <w:szCs w:val="21"/>
      <w:u w:val="none"/>
    </w:rPr>
  </w:style>
  <w:style w:type="character" w:customStyle="1" w:styleId="56">
    <w:name w:val="font31"/>
    <w:basedOn w:val="25"/>
    <w:qFormat/>
    <w:uiPriority w:val="0"/>
    <w:rPr>
      <w:rFonts w:hint="default" w:ascii="Times New Roman" w:hAnsi="Times New Roman" w:cs="Times New Roman"/>
      <w:color w:val="000000"/>
      <w:sz w:val="21"/>
      <w:szCs w:val="21"/>
      <w:u w:val="none"/>
    </w:rPr>
  </w:style>
  <w:style w:type="paragraph" w:customStyle="1" w:styleId="57">
    <w:name w:val="表格文字"/>
    <w:basedOn w:val="14"/>
    <w:next w:val="1"/>
    <w:qFormat/>
    <w:uiPriority w:val="0"/>
    <w:pPr>
      <w:kinsoku w:val="0"/>
      <w:wordWrap w:val="0"/>
      <w:autoSpaceDE w:val="0"/>
      <w:autoSpaceDN w:val="0"/>
      <w:snapToGrid w:val="0"/>
      <w:spacing w:after="0" w:line="360" w:lineRule="exact"/>
      <w:ind w:firstLine="0" w:firstLineChars="0"/>
      <w:jc w:val="center"/>
    </w:pPr>
    <w:rPr>
      <w:rFonts w:cs="宋体"/>
      <w:snapToGrid w:val="0"/>
      <w:kern w:val="0"/>
      <w:sz w:val="21"/>
      <w:lang w:val="zh-CN" w:bidi="zh-CN"/>
      <w14:ligatures w14:val="none"/>
    </w:rPr>
  </w:style>
  <w:style w:type="paragraph" w:customStyle="1" w:styleId="58">
    <w:name w:val="图表名"/>
    <w:basedOn w:val="8"/>
    <w:next w:val="1"/>
    <w:qFormat/>
    <w:uiPriority w:val="0"/>
    <w:pPr>
      <w:keepNext w:val="0"/>
      <w:keepLines w:val="0"/>
      <w:pageBreakBefore/>
      <w:adjustRightInd w:val="0"/>
      <w:snapToGrid w:val="0"/>
      <w:spacing w:before="0"/>
      <w:ind w:firstLine="0" w:firstLineChars="0"/>
      <w:jc w:val="center"/>
    </w:pPr>
    <w:rPr>
      <w:color w:val="auto"/>
    </w:r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numbering" Target="numbering.xml"/><Relationship Id="rId97" Type="http://schemas.openxmlformats.org/officeDocument/2006/relationships/customXml" Target="../customXml/item1.xml"/><Relationship Id="rId96" Type="http://schemas.openxmlformats.org/officeDocument/2006/relationships/image" Target="media/image55.jpeg"/><Relationship Id="rId95" Type="http://schemas.openxmlformats.org/officeDocument/2006/relationships/image" Target="media/image54.jpeg"/><Relationship Id="rId94" Type="http://schemas.openxmlformats.org/officeDocument/2006/relationships/image" Target="media/image53.png"/><Relationship Id="rId93" Type="http://schemas.openxmlformats.org/officeDocument/2006/relationships/image" Target="media/image52.png"/><Relationship Id="rId92" Type="http://schemas.openxmlformats.org/officeDocument/2006/relationships/image" Target="media/image51.jpeg"/><Relationship Id="rId91" Type="http://schemas.openxmlformats.org/officeDocument/2006/relationships/image" Target="media/image50.jpeg"/><Relationship Id="rId90" Type="http://schemas.openxmlformats.org/officeDocument/2006/relationships/image" Target="media/image49.jpeg"/><Relationship Id="rId9" Type="http://schemas.openxmlformats.org/officeDocument/2006/relationships/footer" Target="footer2.xml"/><Relationship Id="rId89" Type="http://schemas.openxmlformats.org/officeDocument/2006/relationships/image" Target="media/image48.jpeg"/><Relationship Id="rId88" Type="http://schemas.openxmlformats.org/officeDocument/2006/relationships/image" Target="media/image47.png"/><Relationship Id="rId87" Type="http://schemas.openxmlformats.org/officeDocument/2006/relationships/image" Target="media/image46.png"/><Relationship Id="rId86" Type="http://schemas.openxmlformats.org/officeDocument/2006/relationships/image" Target="media/image45.png"/><Relationship Id="rId85" Type="http://schemas.openxmlformats.org/officeDocument/2006/relationships/image" Target="media/image44.png"/><Relationship Id="rId84" Type="http://schemas.openxmlformats.org/officeDocument/2006/relationships/image" Target="media/image43.png"/><Relationship Id="rId83" Type="http://schemas.openxmlformats.org/officeDocument/2006/relationships/image" Target="media/image42.png"/><Relationship Id="rId82" Type="http://schemas.openxmlformats.org/officeDocument/2006/relationships/image" Target="media/image41.png"/><Relationship Id="rId81" Type="http://schemas.openxmlformats.org/officeDocument/2006/relationships/image" Target="media/image40.png"/><Relationship Id="rId80" Type="http://schemas.openxmlformats.org/officeDocument/2006/relationships/image" Target="media/image39.jpeg"/><Relationship Id="rId8" Type="http://schemas.openxmlformats.org/officeDocument/2006/relationships/footer" Target="footer1.xml"/><Relationship Id="rId79" Type="http://schemas.openxmlformats.org/officeDocument/2006/relationships/image" Target="media/image38.png"/><Relationship Id="rId78" Type="http://schemas.openxmlformats.org/officeDocument/2006/relationships/image" Target="media/image37.png"/><Relationship Id="rId77" Type="http://schemas.openxmlformats.org/officeDocument/2006/relationships/image" Target="media/image36.wmf"/><Relationship Id="rId76" Type="http://schemas.openxmlformats.org/officeDocument/2006/relationships/oleObject" Target="embeddings/oleObject30.bin"/><Relationship Id="rId75" Type="http://schemas.openxmlformats.org/officeDocument/2006/relationships/image" Target="media/image35.wmf"/><Relationship Id="rId74" Type="http://schemas.openxmlformats.org/officeDocument/2006/relationships/oleObject" Target="embeddings/oleObject29.bin"/><Relationship Id="rId73" Type="http://schemas.openxmlformats.org/officeDocument/2006/relationships/image" Target="media/image34.wmf"/><Relationship Id="rId72" Type="http://schemas.openxmlformats.org/officeDocument/2006/relationships/oleObject" Target="embeddings/oleObject28.bin"/><Relationship Id="rId71" Type="http://schemas.openxmlformats.org/officeDocument/2006/relationships/image" Target="media/image33.wmf"/><Relationship Id="rId70" Type="http://schemas.openxmlformats.org/officeDocument/2006/relationships/oleObject" Target="embeddings/oleObject27.bin"/><Relationship Id="rId7" Type="http://schemas.openxmlformats.org/officeDocument/2006/relationships/header" Target="header3.xml"/><Relationship Id="rId69" Type="http://schemas.openxmlformats.org/officeDocument/2006/relationships/image" Target="media/image32.wmf"/><Relationship Id="rId68" Type="http://schemas.openxmlformats.org/officeDocument/2006/relationships/oleObject" Target="embeddings/oleObject26.bin"/><Relationship Id="rId67" Type="http://schemas.openxmlformats.org/officeDocument/2006/relationships/image" Target="media/image31.wmf"/><Relationship Id="rId66" Type="http://schemas.openxmlformats.org/officeDocument/2006/relationships/oleObject" Target="embeddings/oleObject25.bin"/><Relationship Id="rId65" Type="http://schemas.openxmlformats.org/officeDocument/2006/relationships/image" Target="media/image30.wmf"/><Relationship Id="rId64" Type="http://schemas.openxmlformats.org/officeDocument/2006/relationships/oleObject" Target="embeddings/oleObject24.bin"/><Relationship Id="rId63" Type="http://schemas.openxmlformats.org/officeDocument/2006/relationships/image" Target="media/image29.wmf"/><Relationship Id="rId62" Type="http://schemas.openxmlformats.org/officeDocument/2006/relationships/oleObject" Target="embeddings/oleObject23.bin"/><Relationship Id="rId61" Type="http://schemas.openxmlformats.org/officeDocument/2006/relationships/image" Target="media/image28.wmf"/><Relationship Id="rId60" Type="http://schemas.openxmlformats.org/officeDocument/2006/relationships/oleObject" Target="embeddings/oleObject22.bin"/><Relationship Id="rId6" Type="http://schemas.openxmlformats.org/officeDocument/2006/relationships/header" Target="header2.xml"/><Relationship Id="rId59" Type="http://schemas.openxmlformats.org/officeDocument/2006/relationships/image" Target="media/image27.wmf"/><Relationship Id="rId58" Type="http://schemas.openxmlformats.org/officeDocument/2006/relationships/oleObject" Target="embeddings/oleObject21.bin"/><Relationship Id="rId57" Type="http://schemas.openxmlformats.org/officeDocument/2006/relationships/image" Target="media/image26.wmf"/><Relationship Id="rId56" Type="http://schemas.openxmlformats.org/officeDocument/2006/relationships/oleObject" Target="embeddings/oleObject20.bin"/><Relationship Id="rId55" Type="http://schemas.openxmlformats.org/officeDocument/2006/relationships/image" Target="media/image25.wmf"/><Relationship Id="rId54" Type="http://schemas.openxmlformats.org/officeDocument/2006/relationships/oleObject" Target="embeddings/oleObject19.bin"/><Relationship Id="rId53" Type="http://schemas.openxmlformats.org/officeDocument/2006/relationships/image" Target="media/image24.wmf"/><Relationship Id="rId52" Type="http://schemas.openxmlformats.org/officeDocument/2006/relationships/oleObject" Target="embeddings/oleObject18.bin"/><Relationship Id="rId51" Type="http://schemas.openxmlformats.org/officeDocument/2006/relationships/image" Target="media/image23.wmf"/><Relationship Id="rId50" Type="http://schemas.openxmlformats.org/officeDocument/2006/relationships/oleObject" Target="embeddings/oleObject17.bin"/><Relationship Id="rId5" Type="http://schemas.openxmlformats.org/officeDocument/2006/relationships/header" Target="header1.xml"/><Relationship Id="rId49" Type="http://schemas.openxmlformats.org/officeDocument/2006/relationships/image" Target="media/image22.wmf"/><Relationship Id="rId48" Type="http://schemas.openxmlformats.org/officeDocument/2006/relationships/oleObject" Target="embeddings/oleObject16.bin"/><Relationship Id="rId47" Type="http://schemas.openxmlformats.org/officeDocument/2006/relationships/image" Target="media/image21.wmf"/><Relationship Id="rId46" Type="http://schemas.openxmlformats.org/officeDocument/2006/relationships/oleObject" Target="embeddings/oleObject15.bin"/><Relationship Id="rId45" Type="http://schemas.openxmlformats.org/officeDocument/2006/relationships/image" Target="media/image20.wmf"/><Relationship Id="rId44" Type="http://schemas.openxmlformats.org/officeDocument/2006/relationships/oleObject" Target="embeddings/oleObject14.bin"/><Relationship Id="rId43" Type="http://schemas.openxmlformats.org/officeDocument/2006/relationships/image" Target="media/image19.wmf"/><Relationship Id="rId42" Type="http://schemas.openxmlformats.org/officeDocument/2006/relationships/oleObject" Target="embeddings/oleObject13.bin"/><Relationship Id="rId41" Type="http://schemas.openxmlformats.org/officeDocument/2006/relationships/image" Target="media/image18.wmf"/><Relationship Id="rId40" Type="http://schemas.openxmlformats.org/officeDocument/2006/relationships/oleObject" Target="embeddings/oleObject12.bin"/><Relationship Id="rId4" Type="http://schemas.openxmlformats.org/officeDocument/2006/relationships/endnotes" Target="endnotes.xml"/><Relationship Id="rId39" Type="http://schemas.openxmlformats.org/officeDocument/2006/relationships/image" Target="media/image17.wmf"/><Relationship Id="rId38" Type="http://schemas.openxmlformats.org/officeDocument/2006/relationships/oleObject" Target="embeddings/oleObject11.bin"/><Relationship Id="rId37" Type="http://schemas.openxmlformats.org/officeDocument/2006/relationships/image" Target="media/image16.wmf"/><Relationship Id="rId36" Type="http://schemas.openxmlformats.org/officeDocument/2006/relationships/oleObject" Target="embeddings/oleObject10.bin"/><Relationship Id="rId35" Type="http://schemas.openxmlformats.org/officeDocument/2006/relationships/image" Target="media/image15.wmf"/><Relationship Id="rId34" Type="http://schemas.openxmlformats.org/officeDocument/2006/relationships/oleObject" Target="embeddings/oleObject9.bin"/><Relationship Id="rId33" Type="http://schemas.openxmlformats.org/officeDocument/2006/relationships/image" Target="media/image14.wmf"/><Relationship Id="rId32" Type="http://schemas.openxmlformats.org/officeDocument/2006/relationships/oleObject" Target="embeddings/oleObject8.bin"/><Relationship Id="rId31" Type="http://schemas.openxmlformats.org/officeDocument/2006/relationships/image" Target="media/image13.wmf"/><Relationship Id="rId30" Type="http://schemas.openxmlformats.org/officeDocument/2006/relationships/oleObject" Target="embeddings/oleObject7.bin"/><Relationship Id="rId3" Type="http://schemas.openxmlformats.org/officeDocument/2006/relationships/footnotes" Target="footnotes.xml"/><Relationship Id="rId29" Type="http://schemas.openxmlformats.org/officeDocument/2006/relationships/image" Target="media/image12.wmf"/><Relationship Id="rId28" Type="http://schemas.openxmlformats.org/officeDocument/2006/relationships/oleObject" Target="embeddings/oleObject6.bin"/><Relationship Id="rId27" Type="http://schemas.openxmlformats.org/officeDocument/2006/relationships/image" Target="media/image11.wmf"/><Relationship Id="rId26" Type="http://schemas.openxmlformats.org/officeDocument/2006/relationships/oleObject" Target="embeddings/oleObject5.bin"/><Relationship Id="rId25" Type="http://schemas.openxmlformats.org/officeDocument/2006/relationships/image" Target="media/image10.wmf"/><Relationship Id="rId24" Type="http://schemas.openxmlformats.org/officeDocument/2006/relationships/oleObject" Target="embeddings/oleObject4.bin"/><Relationship Id="rId23" Type="http://schemas.openxmlformats.org/officeDocument/2006/relationships/image" Target="media/image9.wmf"/><Relationship Id="rId22" Type="http://schemas.openxmlformats.org/officeDocument/2006/relationships/oleObject" Target="embeddings/oleObject3.bin"/><Relationship Id="rId21" Type="http://schemas.openxmlformats.org/officeDocument/2006/relationships/image" Target="media/image8.pn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emf"/><Relationship Id="rId16" Type="http://schemas.openxmlformats.org/officeDocument/2006/relationships/oleObject" Target="embeddings/oleObject2.bin"/><Relationship Id="rId15" Type="http://schemas.openxmlformats.org/officeDocument/2006/relationships/image" Target="media/image3.png"/><Relationship Id="rId14" Type="http://schemas.openxmlformats.org/officeDocument/2006/relationships/image" Target="media/image2.emf"/><Relationship Id="rId13" Type="http://schemas.openxmlformats.org/officeDocument/2006/relationships/oleObject" Target="embeddings/oleObject1.bin"/><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66</Pages>
  <Words>396</Words>
  <Characters>458</Characters>
  <Lines>207</Lines>
  <Paragraphs>58</Paragraphs>
  <TotalTime>0</TotalTime>
  <ScaleCrop>false</ScaleCrop>
  <LinksUpToDate>false</LinksUpToDate>
  <CharactersWithSpaces>492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2023-03-16T17:04:00Z</dcterms:created>
  <dc:creator>Micorosoft</dc:creator>
  <cp:lastModifiedBy>Etoiles</cp:lastModifiedBy>
  <cp:lastPrinted>2024-05-09T15:34:00Z</cp:lastPrinted>
  <dcterms:modified xsi:type="dcterms:W3CDTF">2025-10-14T08:06:34Z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095B621703DC45EAA13126E3CCBFCA00_13</vt:lpwstr>
  </property>
  <property fmtid="{D5CDD505-2E9C-101B-9397-08002B2CF9AE}" pid="4" name="KSOTemplateDocerSaveRecord">
    <vt:lpwstr>eyJoZGlkIjoiMGY0NmU4NDMzNmRkYzg0MThlYmQ2ZDI5MTBiNjc2MTIiLCJ1c2VySWQiOiIyMDg4MDQ1OTQifQ==</vt:lpwstr>
  </property>
</Properties>
</file>