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16</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杭锦旗聚能能源有限公司油房壕煤矿</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rPr>
        <w:t>燃煤锅炉</w:t>
      </w:r>
      <w:r>
        <w:rPr>
          <w:rStyle w:val="16"/>
          <w:rFonts w:hint="eastAsia" w:ascii="宋体" w:hAnsi="宋体"/>
          <w:b/>
          <w:bCs w:val="0"/>
          <w:color w:val="auto"/>
          <w:sz w:val="44"/>
          <w:szCs w:val="44"/>
          <w:lang w:eastAsia="zh-CN"/>
        </w:rPr>
        <w:t>建设</w:t>
      </w:r>
      <w:r>
        <w:rPr>
          <w:rStyle w:val="16"/>
          <w:rFonts w:hint="eastAsia" w:ascii="宋体" w:hAnsi="宋体"/>
          <w:b/>
          <w:bCs w:val="0"/>
          <w:color w:val="auto"/>
          <w:sz w:val="44"/>
          <w:szCs w:val="44"/>
        </w:rPr>
        <w:t>项目</w:t>
      </w:r>
      <w:r>
        <w:rPr>
          <w:rStyle w:val="16"/>
          <w:rFonts w:hint="eastAsia" w:ascii="宋体" w:hAnsi="宋体" w:eastAsia="宋体" w:cs="宋体"/>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both"/>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杭锦旗聚能能源有限公司</w:t>
      </w:r>
      <w:r>
        <w:rPr>
          <w:rStyle w:val="16"/>
          <w:rFonts w:hint="eastAsia" w:ascii="仿宋" w:hAnsi="仿宋" w:eastAsia="仿宋"/>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w:t>
      </w:r>
      <w:r>
        <w:rPr>
          <w:rStyle w:val="16"/>
          <w:rFonts w:hint="eastAsia" w:ascii="仿宋" w:hAnsi="仿宋" w:eastAsia="仿宋"/>
          <w:sz w:val="32"/>
          <w:szCs w:val="32"/>
        </w:rPr>
        <w:t>内蒙古碳资产节能环保科技有限公司</w:t>
      </w:r>
      <w:r>
        <w:rPr>
          <w:rStyle w:val="16"/>
          <w:rFonts w:hint="eastAsia" w:ascii="仿宋" w:hAnsi="仿宋" w:eastAsia="仿宋"/>
          <w:sz w:val="32"/>
          <w:szCs w:val="32"/>
          <w:lang w:val="en-US" w:eastAsia="zh-CN"/>
        </w:rPr>
        <w:t>编</w:t>
      </w:r>
      <w:r>
        <w:rPr>
          <w:rStyle w:val="16"/>
          <w:rFonts w:hint="eastAsia" w:ascii="仿宋" w:hAnsi="仿宋" w:eastAsia="仿宋"/>
          <w:sz w:val="32"/>
          <w:szCs w:val="32"/>
        </w:rPr>
        <w:t>制的《杭锦旗聚能能源有限公司油房壕煤矿燃煤锅炉</w:t>
      </w:r>
      <w:r>
        <w:rPr>
          <w:rStyle w:val="16"/>
          <w:rFonts w:hint="eastAsia" w:ascii="仿宋" w:hAnsi="仿宋" w:eastAsia="仿宋"/>
          <w:sz w:val="32"/>
          <w:szCs w:val="32"/>
          <w:lang w:eastAsia="zh-CN"/>
        </w:rPr>
        <w:t>建设</w:t>
      </w:r>
      <w:r>
        <w:rPr>
          <w:rStyle w:val="16"/>
          <w:rFonts w:hint="default" w:ascii="仿宋" w:hAnsi="仿宋" w:eastAsia="仿宋"/>
          <w:sz w:val="32"/>
          <w:szCs w:val="32"/>
          <w:lang w:eastAsia="zh-CN"/>
        </w:rPr>
        <w:t>项目</w:t>
      </w:r>
      <w:r>
        <w:rPr>
          <w:rStyle w:val="16"/>
          <w:rFonts w:hint="eastAsia" w:ascii="仿宋" w:hAnsi="仿宋" w:eastAsia="仿宋"/>
          <w:sz w:val="32"/>
          <w:szCs w:val="32"/>
        </w:rPr>
        <w:t>环境影响报告表》（以下简称《报告表》）已收悉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rPr>
          <w:rStyle w:val="16"/>
          <w:rFonts w:hint="eastAsia" w:ascii="仿宋" w:hAnsi="仿宋" w:eastAsia="仿宋"/>
          <w:sz w:val="32"/>
          <w:szCs w:val="32"/>
          <w:highlight w:val="none"/>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改扩建</w:t>
      </w:r>
      <w:r>
        <w:rPr>
          <w:rStyle w:val="16"/>
          <w:rFonts w:hint="eastAsia" w:ascii="仿宋" w:hAnsi="仿宋" w:eastAsia="仿宋"/>
          <w:sz w:val="32"/>
          <w:szCs w:val="32"/>
        </w:rPr>
        <w:t>项目</w:t>
      </w:r>
      <w:r>
        <w:rPr>
          <w:rStyle w:val="16"/>
          <w:rFonts w:hint="eastAsia" w:ascii="仿宋" w:hAnsi="仿宋" w:eastAsia="仿宋" w:cs="Times New Roman"/>
          <w:sz w:val="32"/>
          <w:szCs w:val="32"/>
        </w:rPr>
        <w:t>，位</w:t>
      </w:r>
      <w:r>
        <w:rPr>
          <w:rStyle w:val="16"/>
          <w:rFonts w:hint="eastAsia" w:ascii="仿宋" w:hAnsi="仿宋" w:eastAsia="仿宋"/>
          <w:sz w:val="32"/>
          <w:szCs w:val="32"/>
        </w:rPr>
        <w:t>于东胜区泊尔江海子镇杭锦旗聚能能源有限公司油房壕煤矿工业场地范围内</w:t>
      </w:r>
      <w:r>
        <w:rPr>
          <w:rStyle w:val="16"/>
          <w:rFonts w:hint="eastAsia" w:ascii="仿宋" w:hAnsi="仿宋" w:eastAsia="仿宋"/>
          <w:sz w:val="32"/>
          <w:szCs w:val="32"/>
          <w:lang w:val="en-US" w:eastAsia="zh-CN"/>
        </w:rPr>
        <w:t>。项</w:t>
      </w:r>
      <w:r>
        <w:rPr>
          <w:rStyle w:val="16"/>
          <w:rFonts w:hint="eastAsia" w:ascii="仿宋" w:hAnsi="仿宋" w:eastAsia="仿宋" w:cs="Times New Roman"/>
          <w:sz w:val="32"/>
          <w:szCs w:val="32"/>
          <w:lang w:val="en-US" w:eastAsia="zh-CN"/>
        </w:rPr>
        <w:t>目总</w:t>
      </w:r>
      <w:r>
        <w:rPr>
          <w:rStyle w:val="16"/>
          <w:rFonts w:hint="eastAsia" w:ascii="仿宋" w:hAnsi="仿宋" w:eastAsia="仿宋" w:cs="Times New Roman"/>
          <w:sz w:val="32"/>
          <w:szCs w:val="32"/>
          <w:lang w:eastAsia="zh-CN"/>
        </w:rPr>
        <w:t>占地面</w:t>
      </w:r>
      <w:r>
        <w:rPr>
          <w:rStyle w:val="16"/>
          <w:rFonts w:hint="eastAsia" w:ascii="仿宋" w:hAnsi="仿宋" w:eastAsia="仿宋" w:cs="Times New Roman"/>
          <w:color w:val="auto"/>
          <w:sz w:val="32"/>
          <w:szCs w:val="32"/>
          <w:lang w:eastAsia="zh-CN"/>
        </w:rPr>
        <w:t>积</w:t>
      </w:r>
      <w:r>
        <w:rPr>
          <w:rStyle w:val="16"/>
          <w:rFonts w:hint="eastAsia" w:ascii="仿宋" w:hAnsi="仿宋" w:eastAsia="仿宋" w:cs="Times New Roman"/>
          <w:color w:val="auto"/>
          <w:sz w:val="32"/>
          <w:szCs w:val="32"/>
          <w:lang w:val="en-US" w:eastAsia="zh-CN"/>
        </w:rPr>
        <w:t>4170</w:t>
      </w:r>
      <w:r>
        <w:rPr>
          <w:rStyle w:val="16"/>
          <w:rFonts w:hint="eastAsia" w:ascii="仿宋" w:hAnsi="仿宋" w:eastAsia="仿宋" w:cs="Times New Roman"/>
          <w:color w:val="auto"/>
          <w:sz w:val="32"/>
          <w:szCs w:val="32"/>
          <w:highlight w:val="none"/>
          <w:lang w:eastAsia="zh-CN"/>
        </w:rPr>
        <w:t>平方</w:t>
      </w:r>
      <w:r>
        <w:rPr>
          <w:rStyle w:val="16"/>
          <w:rFonts w:hint="eastAsia" w:ascii="仿宋" w:hAnsi="仿宋" w:eastAsia="仿宋" w:cs="Times New Roman"/>
          <w:sz w:val="32"/>
          <w:szCs w:val="32"/>
          <w:highlight w:val="none"/>
          <w:lang w:eastAsia="zh-CN"/>
        </w:rPr>
        <w:t>米，</w:t>
      </w:r>
      <w:r>
        <w:rPr>
          <w:rStyle w:val="16"/>
          <w:rFonts w:hint="default" w:ascii="仿宋" w:hAnsi="仿宋" w:eastAsia="仿宋" w:cs="Times New Roman"/>
          <w:sz w:val="32"/>
          <w:szCs w:val="32"/>
          <w:highlight w:val="none"/>
        </w:rPr>
        <w:t>总投资</w:t>
      </w:r>
      <w:r>
        <w:rPr>
          <w:rStyle w:val="16"/>
          <w:rFonts w:hint="eastAsia" w:ascii="仿宋" w:hAnsi="仿宋" w:eastAsia="仿宋" w:cs="Times New Roman"/>
          <w:sz w:val="32"/>
          <w:szCs w:val="32"/>
          <w:highlight w:val="none"/>
          <w:lang w:val="en-US" w:eastAsia="zh-CN"/>
        </w:rPr>
        <w:t>4000</w:t>
      </w:r>
      <w:r>
        <w:rPr>
          <w:rStyle w:val="16"/>
          <w:rFonts w:hint="eastAsia" w:ascii="仿宋" w:hAnsi="仿宋" w:eastAsia="仿宋"/>
          <w:sz w:val="32"/>
          <w:szCs w:val="32"/>
          <w:highlight w:val="none"/>
          <w:lang w:val="en-US" w:eastAsia="zh-CN"/>
        </w:rPr>
        <w:t>万</w:t>
      </w:r>
      <w:r>
        <w:rPr>
          <w:rStyle w:val="16"/>
          <w:rFonts w:hint="default" w:ascii="仿宋" w:hAnsi="仿宋" w:eastAsia="仿宋"/>
          <w:sz w:val="32"/>
          <w:szCs w:val="32"/>
          <w:highlight w:val="none"/>
        </w:rPr>
        <w:t>元，</w:t>
      </w:r>
      <w:r>
        <w:rPr>
          <w:rStyle w:val="16"/>
          <w:rFonts w:hint="eastAsia" w:ascii="仿宋" w:hAnsi="仿宋" w:eastAsia="仿宋"/>
          <w:sz w:val="32"/>
          <w:szCs w:val="32"/>
          <w:highlight w:val="none"/>
          <w:lang w:eastAsia="zh-CN"/>
        </w:rPr>
        <w:t>其中</w:t>
      </w:r>
      <w:r>
        <w:rPr>
          <w:rStyle w:val="16"/>
          <w:rFonts w:hint="default" w:ascii="仿宋" w:hAnsi="仿宋" w:eastAsia="仿宋"/>
          <w:sz w:val="32"/>
          <w:szCs w:val="32"/>
          <w:highlight w:val="none"/>
        </w:rPr>
        <w:t>环保投资</w:t>
      </w:r>
      <w:r>
        <w:rPr>
          <w:rStyle w:val="16"/>
          <w:rFonts w:hint="eastAsia" w:ascii="仿宋" w:hAnsi="仿宋" w:eastAsia="仿宋"/>
          <w:sz w:val="32"/>
          <w:szCs w:val="32"/>
          <w:highlight w:val="none"/>
          <w:lang w:val="en-US" w:eastAsia="zh-CN"/>
        </w:rPr>
        <w:t>455万元</w:t>
      </w:r>
      <w:r>
        <w:rPr>
          <w:rStyle w:val="16"/>
          <w:rFonts w:hint="eastAsia" w:ascii="仿宋" w:hAnsi="仿宋" w:eastAsia="仿宋"/>
          <w:sz w:val="32"/>
          <w:szCs w:val="32"/>
          <w:highlight w:val="none"/>
        </w:rPr>
        <w:t>。</w:t>
      </w:r>
      <w:r>
        <w:rPr>
          <w:rStyle w:val="16"/>
          <w:rFonts w:hint="eastAsia" w:ascii="仿宋" w:hAnsi="仿宋" w:eastAsia="仿宋"/>
          <w:sz w:val="32"/>
          <w:szCs w:val="32"/>
          <w:highlight w:val="none"/>
          <w:lang w:eastAsia="zh-CN"/>
        </w:rPr>
        <w:t>主要建设内容及规模：</w:t>
      </w:r>
      <w:bookmarkStart w:id="0" w:name="_Hlk200720235"/>
      <w:r>
        <w:rPr>
          <w:rStyle w:val="16"/>
          <w:rFonts w:hint="eastAsia" w:ascii="仿宋" w:hAnsi="仿宋" w:eastAsia="仿宋"/>
          <w:sz w:val="32"/>
          <w:szCs w:val="32"/>
          <w:highlight w:val="none"/>
          <w:lang w:eastAsia="zh-CN"/>
        </w:rPr>
        <w:t>原环评及批复（内环审</w:t>
      </w:r>
      <w:r>
        <w:rPr>
          <w:rStyle w:val="16"/>
          <w:rFonts w:hint="eastAsia" w:ascii="仿宋" w:hAnsi="仿宋" w:eastAsia="仿宋" w:cs="仿宋"/>
          <w:sz w:val="32"/>
          <w:szCs w:val="32"/>
          <w:highlight w:val="none"/>
          <w:lang w:eastAsia="zh-CN"/>
        </w:rPr>
        <w:t>〔</w:t>
      </w:r>
      <w:r>
        <w:rPr>
          <w:rStyle w:val="16"/>
          <w:rFonts w:hint="eastAsia" w:ascii="仿宋" w:hAnsi="仿宋" w:eastAsia="仿宋" w:cs="仿宋"/>
          <w:sz w:val="32"/>
          <w:szCs w:val="32"/>
          <w:highlight w:val="none"/>
          <w:lang w:val="en-US" w:eastAsia="zh-CN"/>
        </w:rPr>
        <w:t>2014</w:t>
      </w:r>
      <w:r>
        <w:rPr>
          <w:rStyle w:val="16"/>
          <w:rFonts w:hint="eastAsia" w:ascii="仿宋" w:hAnsi="仿宋" w:eastAsia="仿宋" w:cs="仿宋"/>
          <w:sz w:val="32"/>
          <w:szCs w:val="32"/>
          <w:highlight w:val="none"/>
          <w:lang w:eastAsia="zh-CN"/>
        </w:rPr>
        <w:t>〕</w:t>
      </w:r>
      <w:r>
        <w:rPr>
          <w:rStyle w:val="16"/>
          <w:rFonts w:hint="eastAsia" w:ascii="仿宋" w:hAnsi="仿宋" w:eastAsia="仿宋" w:cs="仿宋"/>
          <w:sz w:val="32"/>
          <w:szCs w:val="32"/>
          <w:highlight w:val="none"/>
          <w:lang w:val="en-US" w:eastAsia="zh-CN"/>
        </w:rPr>
        <w:t>190号</w:t>
      </w:r>
      <w:r>
        <w:rPr>
          <w:rStyle w:val="16"/>
          <w:rFonts w:hint="eastAsia" w:ascii="仿宋" w:hAnsi="仿宋" w:eastAsia="仿宋"/>
          <w:sz w:val="32"/>
          <w:szCs w:val="32"/>
          <w:highlight w:val="none"/>
          <w:lang w:eastAsia="zh-CN"/>
        </w:rPr>
        <w:t>）中2台20t/h（SZL20-1.25-AⅢ型）、1台</w:t>
      </w:r>
      <w:r>
        <w:rPr>
          <w:rStyle w:val="16"/>
          <w:rFonts w:hint="eastAsia" w:ascii="仿宋" w:hAnsi="仿宋" w:eastAsia="仿宋"/>
          <w:sz w:val="32"/>
          <w:szCs w:val="32"/>
          <w:highlight w:val="none"/>
          <w:lang w:val="en-US" w:eastAsia="zh-CN"/>
        </w:rPr>
        <w:t>1</w:t>
      </w:r>
      <w:r>
        <w:rPr>
          <w:rStyle w:val="16"/>
          <w:rFonts w:hint="eastAsia" w:ascii="仿宋" w:hAnsi="仿宋" w:eastAsia="仿宋"/>
          <w:sz w:val="32"/>
          <w:szCs w:val="32"/>
          <w:highlight w:val="none"/>
          <w:lang w:eastAsia="zh-CN"/>
        </w:rPr>
        <w:t>0t/h（SZL</w:t>
      </w:r>
      <w:r>
        <w:rPr>
          <w:rStyle w:val="16"/>
          <w:rFonts w:hint="eastAsia" w:ascii="仿宋" w:hAnsi="仿宋" w:eastAsia="仿宋"/>
          <w:sz w:val="32"/>
          <w:szCs w:val="32"/>
          <w:highlight w:val="none"/>
          <w:lang w:val="en-US" w:eastAsia="zh-CN"/>
        </w:rPr>
        <w:t>1</w:t>
      </w:r>
      <w:r>
        <w:rPr>
          <w:rStyle w:val="16"/>
          <w:rFonts w:hint="eastAsia" w:ascii="仿宋" w:hAnsi="仿宋" w:eastAsia="仿宋"/>
          <w:sz w:val="32"/>
          <w:szCs w:val="32"/>
          <w:highlight w:val="none"/>
          <w:lang w:eastAsia="zh-CN"/>
        </w:rPr>
        <w:t>0-1.25-AⅢ型）燃煤</w:t>
      </w:r>
      <w:r>
        <w:rPr>
          <w:rStyle w:val="16"/>
          <w:rFonts w:hint="eastAsia" w:ascii="仿宋" w:hAnsi="仿宋" w:eastAsia="仿宋"/>
          <w:sz w:val="32"/>
          <w:szCs w:val="32"/>
          <w:highlight w:val="none"/>
          <w:lang w:val="en-US" w:eastAsia="zh-CN"/>
        </w:rPr>
        <w:t>蒸汽</w:t>
      </w:r>
      <w:r>
        <w:rPr>
          <w:rStyle w:val="16"/>
          <w:rFonts w:hint="eastAsia" w:ascii="仿宋" w:hAnsi="仿宋" w:eastAsia="仿宋"/>
          <w:sz w:val="32"/>
          <w:szCs w:val="32"/>
          <w:highlight w:val="none"/>
          <w:lang w:eastAsia="zh-CN"/>
        </w:rPr>
        <w:t>锅炉未建设，本次</w:t>
      </w:r>
      <w:r>
        <w:rPr>
          <w:rStyle w:val="16"/>
          <w:rFonts w:hint="eastAsia" w:ascii="仿宋" w:hAnsi="仿宋" w:eastAsia="仿宋"/>
          <w:sz w:val="32"/>
          <w:szCs w:val="32"/>
          <w:highlight w:val="none"/>
          <w:lang w:val="en-US" w:eastAsia="zh-CN"/>
        </w:rPr>
        <w:t>改</w:t>
      </w:r>
      <w:r>
        <w:rPr>
          <w:rStyle w:val="16"/>
          <w:rFonts w:hint="eastAsia" w:ascii="仿宋" w:hAnsi="仿宋" w:eastAsia="仿宋"/>
          <w:sz w:val="32"/>
          <w:szCs w:val="32"/>
          <w:highlight w:val="none"/>
          <w:lang w:eastAsia="zh-CN"/>
        </w:rPr>
        <w:t>扩建为3台20t/h（SZL20-1.25-AⅡ型）燃煤</w:t>
      </w:r>
      <w:r>
        <w:rPr>
          <w:rStyle w:val="16"/>
          <w:rFonts w:hint="eastAsia" w:ascii="仿宋" w:hAnsi="仿宋" w:eastAsia="仿宋"/>
          <w:sz w:val="32"/>
          <w:szCs w:val="32"/>
          <w:highlight w:val="none"/>
        </w:rPr>
        <w:t>蒸汽锅炉（采暖期均运行，非采暖期</w:t>
      </w:r>
      <w:r>
        <w:rPr>
          <w:rStyle w:val="16"/>
          <w:rFonts w:hint="eastAsia" w:ascii="仿宋" w:hAnsi="仿宋" w:eastAsia="仿宋"/>
          <w:sz w:val="32"/>
          <w:szCs w:val="32"/>
          <w:highlight w:val="none"/>
          <w:lang w:val="en-US" w:eastAsia="zh-CN"/>
        </w:rPr>
        <w:t>只</w:t>
      </w:r>
      <w:r>
        <w:rPr>
          <w:rStyle w:val="16"/>
          <w:rFonts w:hint="eastAsia" w:ascii="仿宋" w:hAnsi="仿宋" w:eastAsia="仿宋"/>
          <w:sz w:val="32"/>
          <w:szCs w:val="32"/>
          <w:highlight w:val="none"/>
        </w:rPr>
        <w:t>运行1台）</w:t>
      </w:r>
      <w:r>
        <w:rPr>
          <w:rStyle w:val="16"/>
          <w:rFonts w:hint="eastAsia" w:ascii="仿宋" w:hAnsi="仿宋" w:eastAsia="仿宋"/>
          <w:sz w:val="32"/>
          <w:szCs w:val="32"/>
          <w:highlight w:val="none"/>
          <w:lang w:val="en-US" w:eastAsia="zh-CN"/>
        </w:rPr>
        <w:t>,</w:t>
      </w:r>
      <w:r>
        <w:rPr>
          <w:rStyle w:val="16"/>
          <w:rFonts w:hint="eastAsia" w:ascii="Times New Roman" w:hAnsi="Times New Roman" w:eastAsia="仿宋" w:cs="Times New Roman"/>
          <w:color w:val="000000" w:themeColor="text1"/>
          <w:sz w:val="32"/>
          <w:szCs w:val="32"/>
          <w:highlight w:val="none"/>
          <w:lang w:val="en-US" w:eastAsia="zh-CN"/>
          <w14:textFill>
            <w14:solidFill>
              <w14:schemeClr w14:val="tx1"/>
            </w14:solidFill>
          </w14:textFill>
        </w:rPr>
        <w:t>新建1座</w:t>
      </w:r>
      <w:r>
        <w:rPr>
          <w:rStyle w:val="16"/>
          <w:rFonts w:hint="eastAsia" w:eastAsia="仿宋" w:cs="Times New Roman"/>
          <w:color w:val="000000" w:themeColor="text1"/>
          <w:sz w:val="32"/>
          <w:szCs w:val="32"/>
          <w:highlight w:val="none"/>
          <w:lang w:val="en-US" w:eastAsia="zh-CN"/>
          <w14:textFill>
            <w14:solidFill>
              <w14:schemeClr w14:val="tx1"/>
            </w14:solidFill>
          </w14:textFill>
        </w:rPr>
        <w:t>30平方米危废贮存库</w:t>
      </w:r>
      <w:r>
        <w:rPr>
          <w:rStyle w:val="16"/>
          <w:rFonts w:hint="eastAsia" w:ascii="Times New Roman" w:hAnsi="Times New Roman" w:eastAsia="仿宋" w:cs="Times New Roman"/>
          <w:color w:val="000000" w:themeColor="text1"/>
          <w:sz w:val="32"/>
          <w:szCs w:val="32"/>
          <w:highlight w:val="none"/>
          <w:lang w:val="en-US" w:eastAsia="zh-CN"/>
          <w14:textFill>
            <w14:solidFill>
              <w14:schemeClr w14:val="tx1"/>
            </w14:solidFill>
          </w14:textFill>
        </w:rPr>
        <w:t>，</w:t>
      </w:r>
      <w:r>
        <w:rPr>
          <w:rStyle w:val="16"/>
          <w:rFonts w:hint="eastAsia" w:eastAsia="仿宋" w:cs="Times New Roman"/>
          <w:color w:val="000000" w:themeColor="text1"/>
          <w:sz w:val="32"/>
          <w:szCs w:val="32"/>
          <w:highlight w:val="none"/>
          <w:lang w:val="en-US" w:eastAsia="zh-CN"/>
          <w14:textFill>
            <w14:solidFill>
              <w14:schemeClr w14:val="tx1"/>
            </w14:solidFill>
          </w14:textFill>
        </w:rPr>
        <w:t>仅用于暂存脱硝</w:t>
      </w:r>
      <w:bookmarkStart w:id="1" w:name="_GoBack"/>
      <w:bookmarkEnd w:id="1"/>
      <w:r>
        <w:rPr>
          <w:rStyle w:val="16"/>
          <w:rFonts w:hint="eastAsia" w:eastAsia="仿宋" w:cs="Times New Roman"/>
          <w:color w:val="000000" w:themeColor="text1"/>
          <w:sz w:val="32"/>
          <w:szCs w:val="32"/>
          <w:highlight w:val="none"/>
          <w:lang w:val="en-US" w:eastAsia="zh-CN"/>
          <w14:textFill>
            <w14:solidFill>
              <w14:schemeClr w14:val="tx1"/>
            </w14:solidFill>
          </w14:textFill>
        </w:rPr>
        <w:t>工艺产生的废催化剂，</w:t>
      </w:r>
      <w:r>
        <w:rPr>
          <w:rStyle w:val="16"/>
          <w:rFonts w:hint="eastAsia" w:ascii="Times New Roman" w:hAnsi="Times New Roman" w:eastAsia="仿宋" w:cs="Times New Roman"/>
          <w:color w:val="000000" w:themeColor="text1"/>
          <w:sz w:val="32"/>
          <w:szCs w:val="32"/>
          <w:highlight w:val="none"/>
          <w:lang w:val="en-US" w:eastAsia="zh-CN"/>
          <w14:textFill>
            <w14:solidFill>
              <w14:schemeClr w14:val="tx1"/>
            </w14:solidFill>
          </w14:textFill>
        </w:rPr>
        <w:t>并</w:t>
      </w:r>
      <w:r>
        <w:rPr>
          <w:rStyle w:val="16"/>
          <w:rFonts w:hint="eastAsia" w:ascii="仿宋" w:hAnsi="仿宋" w:eastAsia="仿宋"/>
          <w:sz w:val="32"/>
          <w:szCs w:val="32"/>
          <w:highlight w:val="none"/>
        </w:rPr>
        <w:t>配套建设</w:t>
      </w:r>
      <w:r>
        <w:rPr>
          <w:rStyle w:val="16"/>
          <w:rFonts w:hint="eastAsia" w:ascii="仿宋" w:hAnsi="仿宋" w:eastAsia="仿宋"/>
          <w:sz w:val="32"/>
          <w:szCs w:val="32"/>
          <w:highlight w:val="none"/>
          <w:lang w:val="en-US" w:eastAsia="zh-CN"/>
        </w:rPr>
        <w:t>相关公辅工程、储运工程和环保</w:t>
      </w:r>
      <w:r>
        <w:rPr>
          <w:rStyle w:val="16"/>
          <w:rFonts w:hint="eastAsia" w:ascii="仿宋" w:hAnsi="仿宋" w:eastAsia="仿宋"/>
          <w:sz w:val="32"/>
          <w:szCs w:val="32"/>
          <w:highlight w:val="none"/>
        </w:rPr>
        <w:t>工程</w:t>
      </w:r>
      <w:bookmarkEnd w:id="0"/>
      <w:r>
        <w:rPr>
          <w:rStyle w:val="16"/>
          <w:rFonts w:hint="eastAsia" w:ascii="仿宋" w:hAnsi="仿宋" w:eastAsia="仿宋"/>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水经</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收集后</w:t>
      </w:r>
      <w:r>
        <w:rPr>
          <w:rFonts w:hint="eastAsia" w:ascii="仿宋" w:hAnsi="仿宋" w:eastAsia="仿宋" w:cs="仿宋"/>
          <w:color w:val="auto"/>
          <w:sz w:val="32"/>
          <w:szCs w:val="32"/>
        </w:rPr>
        <w:t>排</w:t>
      </w:r>
      <w:r>
        <w:rPr>
          <w:rFonts w:hint="eastAsia" w:ascii="仿宋" w:hAnsi="仿宋" w:eastAsia="仿宋" w:cs="仿宋"/>
          <w:color w:val="auto"/>
          <w:sz w:val="32"/>
          <w:szCs w:val="32"/>
          <w:lang w:eastAsia="zh-CN"/>
        </w:rPr>
        <w:t>至</w:t>
      </w:r>
      <w:r>
        <w:rPr>
          <w:rFonts w:hint="eastAsia" w:ascii="仿宋" w:hAnsi="仿宋" w:eastAsia="仿宋" w:cs="仿宋"/>
          <w:color w:val="auto"/>
          <w:sz w:val="32"/>
          <w:szCs w:val="32"/>
        </w:rPr>
        <w:t>工业场地生活污水处理站处理。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Style w:val="16"/>
          <w:rFonts w:hint="eastAsia" w:ascii="仿宋" w:hAnsi="仿宋" w:eastAsia="仿宋" w:cs="Times New Roman"/>
          <w:color w:val="000000"/>
          <w:sz w:val="32"/>
          <w:szCs w:val="32"/>
          <w:lang w:val="en-US" w:eastAsia="zh-CN" w:bidi="ar-SA"/>
        </w:rPr>
        <w:t>固体废物集中堆放及时清运，交有关部门进行处理</w:t>
      </w:r>
      <w:r>
        <w:rPr>
          <w:rStyle w:val="16"/>
          <w:rFonts w:hint="eastAsia" w:ascii="仿宋" w:hAnsi="仿宋" w:eastAsia="仿宋"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kinsoku/>
        <w:wordWrap/>
        <w:overflowPunct/>
        <w:topLinePunct w:val="0"/>
        <w:autoSpaceDE/>
        <w:autoSpaceDN/>
        <w:bidi w:val="0"/>
        <w:spacing w:line="560" w:lineRule="exact"/>
        <w:ind w:firstLine="640" w:firstLineChars="200"/>
        <w:jc w:val="both"/>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eastAsia" w:ascii="仿宋" w:hAnsi="仿宋" w:eastAsia="仿宋" w:cs="仿宋"/>
          <w:color w:val="auto"/>
          <w:sz w:val="32"/>
          <w:szCs w:val="32"/>
          <w:lang w:val="en-US" w:eastAsia="zh-CN"/>
        </w:rPr>
        <w:t>大气污染防治措施。</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sz w:val="32"/>
          <w:szCs w:val="32"/>
        </w:rPr>
        <w:t>锅炉废</w:t>
      </w:r>
      <w:r>
        <w:rPr>
          <w:rFonts w:hint="eastAsia" w:ascii="仿宋" w:hAnsi="仿宋" w:eastAsia="仿宋" w:cs="仿宋"/>
          <w:color w:val="auto"/>
          <w:sz w:val="32"/>
          <w:szCs w:val="32"/>
          <w:highlight w:val="none"/>
        </w:rPr>
        <w:t>气经</w:t>
      </w:r>
      <w:r>
        <w:rPr>
          <w:rFonts w:hint="eastAsia" w:ascii="仿宋" w:hAnsi="仿宋" w:eastAsia="仿宋" w:cs="仿宋"/>
          <w:color w:val="auto"/>
          <w:sz w:val="32"/>
          <w:szCs w:val="32"/>
          <w:highlight w:val="none"/>
          <w:lang w:eastAsia="zh-CN"/>
        </w:rPr>
        <w:t>SNCR+SCR+旋风除尘+袋式除尘+氧化镁湿法脱硫</w:t>
      </w:r>
      <w:r>
        <w:rPr>
          <w:rFonts w:hint="eastAsia" w:ascii="仿宋" w:hAnsi="仿宋" w:eastAsia="仿宋" w:cs="仿宋"/>
          <w:color w:val="auto"/>
          <w:sz w:val="32"/>
          <w:szCs w:val="32"/>
          <w:highlight w:val="none"/>
          <w:lang w:val="en-US" w:eastAsia="zh-CN"/>
        </w:rPr>
        <w:t>技术</w:t>
      </w:r>
      <w:r>
        <w:rPr>
          <w:rFonts w:hint="eastAsia" w:ascii="仿宋" w:hAnsi="仿宋" w:eastAsia="仿宋" w:cs="仿宋"/>
          <w:color w:val="auto"/>
          <w:sz w:val="32"/>
          <w:szCs w:val="32"/>
          <w:highlight w:val="none"/>
          <w:lang w:eastAsia="zh-CN"/>
        </w:rPr>
        <w:t>处理后</w:t>
      </w:r>
      <w:r>
        <w:rPr>
          <w:rFonts w:hint="eastAsia" w:ascii="仿宋" w:hAnsi="仿宋" w:eastAsia="仿宋" w:cs="仿宋"/>
          <w:color w:val="auto"/>
          <w:sz w:val="32"/>
          <w:szCs w:val="32"/>
          <w:highlight w:val="none"/>
          <w:lang w:val="en-US" w:eastAsia="zh-CN"/>
        </w:rPr>
        <w:t>由</w:t>
      </w: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rPr>
        <w:t>根</w:t>
      </w:r>
      <w:r>
        <w:rPr>
          <w:rFonts w:hint="eastAsia" w:ascii="仿宋" w:hAnsi="仿宋" w:eastAsia="仿宋" w:cs="仿宋"/>
          <w:color w:val="auto"/>
          <w:sz w:val="32"/>
          <w:szCs w:val="32"/>
          <w:lang w:val="en-US" w:eastAsia="zh-CN"/>
        </w:rPr>
        <w:t>45</w:t>
      </w:r>
      <w:r>
        <w:rPr>
          <w:rFonts w:hint="eastAsia" w:ascii="仿宋" w:hAnsi="仿宋" w:eastAsia="仿宋" w:cs="仿宋"/>
          <w:color w:val="auto"/>
          <w:sz w:val="32"/>
          <w:szCs w:val="32"/>
        </w:rPr>
        <w:t>米高排气筒排放，执行《锅炉大气污染排放标准》（GB13271-2014）表2中燃</w:t>
      </w:r>
      <w:r>
        <w:rPr>
          <w:rFonts w:hint="eastAsia" w:ascii="仿宋" w:hAnsi="仿宋" w:eastAsia="仿宋" w:cs="仿宋"/>
          <w:color w:val="auto"/>
          <w:sz w:val="32"/>
          <w:szCs w:val="32"/>
          <w:lang w:eastAsia="zh-CN"/>
        </w:rPr>
        <w:t>煤</w:t>
      </w:r>
      <w:r>
        <w:rPr>
          <w:rFonts w:hint="eastAsia" w:ascii="仿宋" w:hAnsi="仿宋" w:eastAsia="仿宋" w:cs="仿宋"/>
          <w:color w:val="auto"/>
          <w:sz w:val="32"/>
          <w:szCs w:val="32"/>
        </w:rPr>
        <w:t>锅炉污染物排放限值。</w:t>
      </w:r>
      <w:r>
        <w:rPr>
          <w:rFonts w:hint="eastAsia" w:ascii="仿宋" w:hAnsi="仿宋" w:eastAsia="仿宋" w:cs="仿宋"/>
          <w:color w:val="auto"/>
          <w:kern w:val="0"/>
          <w:sz w:val="32"/>
          <w:szCs w:val="32"/>
          <w:lang w:val="en-US" w:eastAsia="zh-CN" w:bidi="ar-SA"/>
        </w:rPr>
        <w:t>脱硝工段中SCR氨逃逸参照执行《火电厂烟气脱硝工程技术规范 选择性催化还原法》（HJ563-2010）标准限值</w:t>
      </w:r>
      <w:r>
        <w:rPr>
          <w:rFonts w:hint="default" w:ascii="仿宋" w:hAnsi="仿宋" w:eastAsia="仿宋" w:cs="仿宋"/>
          <w:color w:val="auto"/>
          <w:kern w:val="0"/>
          <w:sz w:val="32"/>
          <w:szCs w:val="32"/>
          <w:lang w:val="en-US" w:eastAsia="zh-CN" w:bidi="ar-SA"/>
        </w:rPr>
        <w:t>。</w:t>
      </w:r>
      <w:r>
        <w:rPr>
          <w:rFonts w:hint="eastAsia" w:ascii="仿宋" w:hAnsi="仿宋" w:eastAsia="仿宋" w:cs="仿宋"/>
          <w:color w:val="auto"/>
          <w:sz w:val="32"/>
          <w:szCs w:val="32"/>
          <w:lang w:eastAsia="zh-CN"/>
        </w:rPr>
        <w:t>煤仓、渣仓、</w:t>
      </w:r>
      <w:r>
        <w:rPr>
          <w:rFonts w:hint="eastAsia" w:ascii="仿宋" w:hAnsi="仿宋" w:eastAsia="仿宋" w:cs="仿宋"/>
          <w:color w:val="auto"/>
          <w:sz w:val="32"/>
          <w:szCs w:val="32"/>
        </w:rPr>
        <w:t>输煤栈桥</w:t>
      </w:r>
      <w:r>
        <w:rPr>
          <w:rFonts w:hint="eastAsia" w:ascii="仿宋" w:hAnsi="仿宋" w:eastAsia="仿宋" w:cs="仿宋"/>
          <w:color w:val="auto"/>
          <w:sz w:val="32"/>
          <w:szCs w:val="32"/>
          <w:lang w:eastAsia="zh-CN"/>
        </w:rPr>
        <w:t>全封闭，</w:t>
      </w:r>
      <w:r>
        <w:rPr>
          <w:rFonts w:hint="eastAsia" w:ascii="仿宋" w:hAnsi="仿宋" w:eastAsia="仿宋" w:cs="仿宋"/>
          <w:color w:val="auto"/>
          <w:sz w:val="32"/>
          <w:szCs w:val="32"/>
          <w:lang w:val="en-US" w:eastAsia="zh-CN"/>
        </w:rPr>
        <w:t>废气无组织排放执行《煤炭工业污染物排放标准》（GB204</w:t>
      </w:r>
      <w:r>
        <w:rPr>
          <w:rFonts w:hint="eastAsia" w:ascii="仿宋" w:hAnsi="仿宋" w:eastAsia="仿宋" w:cs="仿宋"/>
          <w:color w:val="auto"/>
          <w:kern w:val="0"/>
          <w:sz w:val="32"/>
          <w:szCs w:val="32"/>
          <w:lang w:val="en-US" w:eastAsia="zh-CN" w:bidi="ar-SA"/>
        </w:rPr>
        <w:t>26-2006）表5煤炭工业无组织排放限值。</w:t>
      </w:r>
    </w:p>
    <w:p>
      <w:pPr>
        <w:keepNext w:val="0"/>
        <w:keepLines w:val="0"/>
        <w:pageBreakBefore w:val="0"/>
        <w:kinsoku/>
        <w:wordWrap/>
        <w:overflowPunct/>
        <w:topLinePunct w:val="0"/>
        <w:autoSpaceDE/>
        <w:autoSpaceDN/>
        <w:bidi w:val="0"/>
        <w:adjustRightInd w:val="0"/>
        <w:snapToGrid w:val="0"/>
        <w:spacing w:before="120" w:beforeLines="50" w:line="560" w:lineRule="exact"/>
        <w:ind w:firstLine="640" w:firstLineChars="200"/>
        <w:jc w:val="both"/>
        <w:rPr>
          <w:rFonts w:hint="eastAsia" w:ascii="仿宋" w:hAnsi="仿宋" w:eastAsia="仿宋" w:cs="仿宋"/>
          <w:color w:val="auto"/>
          <w:sz w:val="32"/>
          <w:szCs w:val="32"/>
          <w:lang w:eastAsia="zh-CN"/>
        </w:rPr>
      </w:pPr>
      <w:r>
        <w:rPr>
          <w:rStyle w:val="16"/>
          <w:rFonts w:hint="eastAsia" w:ascii="仿宋" w:hAnsi="仿宋" w:eastAsia="仿宋" w:cs="Times New Roman"/>
          <w:color w:val="auto"/>
          <w:sz w:val="32"/>
          <w:szCs w:val="32"/>
          <w:lang w:val="en-US" w:eastAsia="zh-CN"/>
        </w:rPr>
        <w:t>2、</w:t>
      </w:r>
      <w:r>
        <w:rPr>
          <w:rStyle w:val="16"/>
          <w:rFonts w:hint="eastAsia" w:ascii="仿宋" w:hAnsi="仿宋" w:eastAsia="仿宋" w:cs="Times New Roman"/>
          <w:color w:val="auto"/>
          <w:kern w:val="0"/>
          <w:sz w:val="32"/>
          <w:szCs w:val="32"/>
          <w:highlight w:val="none"/>
          <w:lang w:val="en-US" w:eastAsia="zh-CN" w:bidi="ar-SA"/>
        </w:rPr>
        <w:t>水污染防治措施。</w:t>
      </w:r>
      <w:r>
        <w:rPr>
          <w:rFonts w:hint="default" w:ascii="仿宋" w:hAnsi="仿宋" w:eastAsia="仿宋" w:cs="仿宋"/>
          <w:color w:val="auto"/>
          <w:sz w:val="32"/>
          <w:szCs w:val="32"/>
          <w:lang w:val="en-US" w:eastAsia="zh-CN"/>
        </w:rPr>
        <w:t>运</w:t>
      </w:r>
      <w:r>
        <w:rPr>
          <w:rFonts w:hint="eastAsia" w:ascii="仿宋" w:hAnsi="仿宋" w:eastAsia="仿宋" w:cs="仿宋"/>
          <w:color w:val="auto"/>
          <w:sz w:val="32"/>
          <w:szCs w:val="32"/>
          <w:lang w:val="en-US" w:eastAsia="zh-CN"/>
        </w:rPr>
        <w:t>营</w:t>
      </w:r>
      <w:r>
        <w:rPr>
          <w:rFonts w:hint="default" w:ascii="仿宋" w:hAnsi="仿宋" w:eastAsia="仿宋" w:cs="仿宋"/>
          <w:color w:val="auto"/>
          <w:sz w:val="32"/>
          <w:szCs w:val="32"/>
          <w:lang w:val="en-US" w:eastAsia="zh-CN"/>
        </w:rPr>
        <w:t>期</w:t>
      </w:r>
      <w:r>
        <w:rPr>
          <w:rFonts w:hint="eastAsia" w:ascii="仿宋" w:hAnsi="仿宋" w:eastAsia="仿宋" w:cs="仿宋"/>
          <w:color w:val="auto"/>
          <w:sz w:val="32"/>
          <w:szCs w:val="32"/>
          <w:lang w:val="en-US" w:eastAsia="zh-CN"/>
        </w:rPr>
        <w:t>不新增生活污水。</w:t>
      </w:r>
      <w:r>
        <w:rPr>
          <w:rFonts w:hint="eastAsia" w:ascii="仿宋" w:hAnsi="仿宋" w:eastAsia="仿宋" w:cs="仿宋"/>
          <w:color w:val="auto"/>
          <w:kern w:val="0"/>
          <w:sz w:val="32"/>
          <w:szCs w:val="32"/>
          <w:lang w:val="en-US" w:eastAsia="zh-CN" w:bidi="ar-SA"/>
        </w:rPr>
        <w:t>软水制备排污水和锅炉排污水用于脱硫系统补充水，</w:t>
      </w:r>
      <w:r>
        <w:rPr>
          <w:rFonts w:hint="eastAsia" w:ascii="仿宋" w:hAnsi="仿宋" w:eastAsia="仿宋" w:cs="仿宋"/>
          <w:color w:val="auto"/>
          <w:sz w:val="32"/>
          <w:szCs w:val="32"/>
          <w:highlight w:val="none"/>
          <w:lang w:eastAsia="zh-CN"/>
        </w:rPr>
        <w:t>脱硫废水</w:t>
      </w:r>
      <w:r>
        <w:rPr>
          <w:rFonts w:hint="eastAsia" w:ascii="仿宋" w:hAnsi="仿宋" w:eastAsia="仿宋" w:cs="仿宋"/>
          <w:color w:val="auto"/>
          <w:sz w:val="32"/>
          <w:szCs w:val="32"/>
          <w:highlight w:val="none"/>
          <w:lang w:val="en-US" w:eastAsia="zh-CN"/>
        </w:rPr>
        <w:t>经沉淀池</w:t>
      </w:r>
      <w:r>
        <w:rPr>
          <w:rFonts w:hint="eastAsia" w:ascii="仿宋" w:hAnsi="仿宋" w:eastAsia="仿宋" w:cs="仿宋"/>
          <w:color w:val="auto"/>
          <w:sz w:val="32"/>
          <w:szCs w:val="32"/>
          <w:lang w:eastAsia="zh-CN"/>
        </w:rPr>
        <w:t>沉淀后回用，不外排。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Style w:val="16"/>
          <w:rFonts w:hint="eastAsia" w:ascii="仿宋" w:hAnsi="仿宋" w:eastAsia="仿宋" w:cs="Times New Roman"/>
          <w:color w:val="auto"/>
          <w:sz w:val="32"/>
          <w:szCs w:val="32"/>
          <w:lang w:val="en-US" w:eastAsia="zh-CN"/>
        </w:rPr>
        <w:t>噪声污染防治措施。通过采取选用低噪声设备，厂房隔声，基础减振等</w:t>
      </w:r>
      <w:r>
        <w:rPr>
          <w:rStyle w:val="16"/>
          <w:rFonts w:hint="eastAsia" w:ascii="仿宋" w:hAnsi="仿宋" w:eastAsia="仿宋"/>
          <w:color w:val="auto"/>
          <w:sz w:val="32"/>
          <w:szCs w:val="32"/>
          <w:highlight w:val="none"/>
          <w:lang w:val="en-US" w:eastAsia="zh-CN"/>
        </w:rPr>
        <w:t>措施，确保</w:t>
      </w:r>
      <w:r>
        <w:rPr>
          <w:rStyle w:val="16"/>
          <w:rFonts w:hint="eastAsia" w:ascii="仿宋" w:hAnsi="仿宋" w:eastAsia="仿宋"/>
          <w:color w:val="auto"/>
          <w:sz w:val="32"/>
          <w:szCs w:val="32"/>
          <w:highlight w:val="none"/>
        </w:rPr>
        <w:t>运营期厂界噪声</w:t>
      </w:r>
      <w:r>
        <w:rPr>
          <w:rStyle w:val="16"/>
          <w:rFonts w:hint="eastAsia" w:ascii="仿宋" w:hAnsi="仿宋" w:eastAsia="仿宋"/>
          <w:color w:val="auto"/>
          <w:sz w:val="32"/>
          <w:szCs w:val="32"/>
          <w:highlight w:val="none"/>
          <w:lang w:val="en-US" w:eastAsia="zh-CN"/>
        </w:rPr>
        <w:t>满足</w:t>
      </w:r>
      <w:r>
        <w:rPr>
          <w:rFonts w:hint="eastAsia" w:ascii="仿宋" w:hAnsi="仿宋" w:eastAsia="仿宋" w:cs="仿宋"/>
          <w:color w:val="auto"/>
          <w:sz w:val="32"/>
          <w:szCs w:val="32"/>
        </w:rPr>
        <w:t>《工业企业厂界环境噪声排放</w:t>
      </w:r>
      <w:r>
        <w:rPr>
          <w:rFonts w:hint="eastAsia" w:ascii="仿宋" w:hAnsi="仿宋" w:eastAsia="仿宋" w:cs="仿宋"/>
          <w:color w:val="auto"/>
          <w:sz w:val="32"/>
          <w:szCs w:val="32"/>
          <w:lang w:val="en-US" w:eastAsia="zh-CN"/>
        </w:rPr>
        <w:t>标</w:t>
      </w:r>
      <w:r>
        <w:rPr>
          <w:rFonts w:hint="eastAsia" w:ascii="仿宋" w:hAnsi="仿宋" w:eastAsia="仿宋" w:cs="仿宋"/>
          <w:color w:val="auto"/>
          <w:sz w:val="32"/>
          <w:szCs w:val="32"/>
        </w:rPr>
        <w:t>准》（GB12348-2008）中</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rPr>
        <w:t>类标准。</w:t>
      </w:r>
    </w:p>
    <w:p>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jc w:val="both"/>
        <w:textAlignment w:val="auto"/>
      </w:pPr>
      <w:r>
        <w:rPr>
          <w:rFonts w:hint="eastAsia" w:ascii="仿宋" w:hAnsi="仿宋" w:eastAsia="仿宋" w:cs="仿宋"/>
          <w:strike w:val="0"/>
          <w:dstrike w:val="0"/>
          <w:color w:val="auto"/>
          <w:kern w:val="0"/>
          <w:sz w:val="32"/>
          <w:szCs w:val="32"/>
          <w:lang w:val="en-US" w:eastAsia="zh-CN" w:bidi="ar-SA"/>
        </w:rPr>
        <w:t>4、</w:t>
      </w:r>
      <w:r>
        <w:rPr>
          <w:rStyle w:val="16"/>
          <w:rFonts w:hint="eastAsia" w:ascii="仿宋" w:hAnsi="仿宋" w:eastAsia="仿宋" w:cs="Times New Roman"/>
          <w:color w:val="auto"/>
          <w:sz w:val="32"/>
          <w:szCs w:val="32"/>
          <w:lang w:val="en-US" w:eastAsia="zh-CN" w:bidi="ar-SA"/>
        </w:rPr>
        <w:t>固废污染防治措施。</w:t>
      </w: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w:t>
      </w:r>
      <w:r>
        <w:rPr>
          <w:rFonts w:hint="eastAsia" w:ascii="仿宋" w:hAnsi="仿宋" w:eastAsia="仿宋" w:cs="仿宋"/>
          <w:color w:val="auto"/>
          <w:kern w:val="2"/>
          <w:sz w:val="32"/>
          <w:szCs w:val="32"/>
          <w:highlight w:val="none"/>
        </w:rPr>
        <w:t>固废，不得乱弃。</w:t>
      </w:r>
      <w:r>
        <w:rPr>
          <w:rStyle w:val="16"/>
          <w:rFonts w:hint="eastAsia" w:eastAsia="仿宋" w:cs="Times New Roman"/>
          <w:color w:val="000000" w:themeColor="text1"/>
          <w:sz w:val="32"/>
          <w:szCs w:val="32"/>
          <w:highlight w:val="none"/>
          <w:lang w:val="en-US" w:eastAsia="zh-CN"/>
          <w14:textFill>
            <w14:solidFill>
              <w14:schemeClr w14:val="tx1"/>
            </w14:solidFill>
          </w14:textFill>
        </w:rPr>
        <w:t>危废贮存库</w:t>
      </w:r>
      <w:r>
        <w:rPr>
          <w:rFonts w:ascii="仿宋" w:hAnsi="仿宋" w:eastAsia="仿宋" w:cs="仿宋"/>
          <w:color w:val="auto"/>
          <w:sz w:val="32"/>
          <w:szCs w:val="32"/>
          <w:highlight w:val="none"/>
        </w:rPr>
        <w:t>须严格按照《危险废物贮存污染控制标准》（GB18597-20</w:t>
      </w:r>
      <w:r>
        <w:rPr>
          <w:rFonts w:hint="eastAsia" w:ascii="仿宋" w:hAnsi="仿宋" w:eastAsia="仿宋" w:cs="仿宋"/>
          <w:color w:val="auto"/>
          <w:sz w:val="32"/>
          <w:szCs w:val="32"/>
          <w:highlight w:val="none"/>
        </w:rPr>
        <w:t>23</w:t>
      </w:r>
      <w:r>
        <w:rPr>
          <w:rFonts w:ascii="仿宋" w:hAnsi="仿宋" w:eastAsia="仿宋" w:cs="仿宋"/>
          <w:color w:val="auto"/>
          <w:sz w:val="32"/>
          <w:szCs w:val="32"/>
          <w:highlight w:val="none"/>
        </w:rPr>
        <w:t>）进行设计、建设和管理。</w:t>
      </w:r>
      <w:r>
        <w:rPr>
          <w:rFonts w:hint="eastAsia" w:ascii="仿宋" w:hAnsi="仿宋" w:eastAsia="仿宋" w:cs="仿宋"/>
          <w:color w:val="auto"/>
          <w:sz w:val="32"/>
          <w:szCs w:val="32"/>
          <w:highlight w:val="none"/>
        </w:rPr>
        <w:t>危险废物收集和</w:t>
      </w:r>
      <w:r>
        <w:rPr>
          <w:rFonts w:hint="eastAsia" w:ascii="仿宋" w:hAnsi="仿宋" w:eastAsia="仿宋" w:cs="仿宋"/>
          <w:color w:val="auto"/>
          <w:sz w:val="32"/>
          <w:szCs w:val="32"/>
        </w:rPr>
        <w:t>运输等均按照《危险废物收集 贮存 运输技术规范》(HJ2025-2012)要求执行。危废必须由有资质单位处置。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本项目申请氮氧化物总量为8.76吨/年（鄂环气字〔2025〕48号）。</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hint="default" w:ascii="Times New Roman" w:hAnsi="Times New Roman" w:eastAsia="仿宋" w:cs="Times New Roman"/>
          <w:color w:val="auto"/>
          <w:sz w:val="32"/>
          <w:szCs w:val="32"/>
        </w:rPr>
      </w:pPr>
      <w:r>
        <w:rPr>
          <w:rStyle w:val="16"/>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lang w:val="en-US" w:eastAsia="zh-CN"/>
        </w:rPr>
        <w:t>六、</w:t>
      </w:r>
      <w:r>
        <w:rPr>
          <w:rStyle w:val="16"/>
          <w:rFonts w:hint="eastAsia" w:ascii="仿宋" w:hAnsi="仿宋" w:eastAsia="仿宋" w:cs="Times New Roman"/>
          <w:color w:val="auto"/>
          <w:sz w:val="32"/>
          <w:szCs w:val="32"/>
        </w:rPr>
        <w:t>该项目事中事后监管由鄂尔多斯市生态环境综合行政执法支队东胜区大队负责</w:t>
      </w:r>
      <w:r>
        <w:rPr>
          <w:rStyle w:val="16"/>
          <w:rFonts w:hint="eastAsia" w:ascii="仿宋" w:hAnsi="仿宋" w:eastAsia="仿宋" w:cs="Times New Roman"/>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Style w:val="16"/>
          <w:rFonts w:hint="eastAsia" w:ascii="仿宋" w:hAnsi="仿宋" w:eastAsia="仿宋"/>
          <w:color w:val="auto"/>
          <w:sz w:val="32"/>
          <w:szCs w:val="32"/>
          <w:lang w:val="en-US" w:eastAsia="zh-CN"/>
        </w:rPr>
        <w:t>七、</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hint="default" w:ascii="Times New Roman" w:hAnsi="Times New Roman" w:eastAsia="仿宋" w:cs="Times New Roman"/>
          <w:color w:val="auto"/>
          <w:sz w:val="32"/>
          <w:szCs w:val="32"/>
        </w:rPr>
        <w:t xml:space="preserve"> </w:t>
      </w:r>
      <w:r>
        <w:rPr>
          <w:rStyle w:val="16"/>
          <w:rFonts w:ascii="仿宋" w:hAnsi="仿宋" w:eastAsia="仿宋"/>
          <w:color w:val="auto"/>
          <w:sz w:val="32"/>
          <w:szCs w:val="32"/>
        </w:rPr>
        <w:t xml:space="preserve">                                      </w:t>
      </w: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9</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3"/>
        <w:rPr>
          <w:rStyle w:val="16"/>
          <w:rFonts w:ascii="仿宋" w:hAnsi="仿宋" w:eastAsia="仿宋"/>
          <w:color w:val="auto"/>
          <w:sz w:val="32"/>
          <w:szCs w:val="32"/>
        </w:rPr>
      </w:pPr>
    </w:p>
    <w:p>
      <w:pPr>
        <w:rPr>
          <w:rStyle w:val="16"/>
          <w:rFonts w:ascii="仿宋" w:hAnsi="仿宋" w:eastAsia="仿宋"/>
          <w:color w:val="auto"/>
          <w:sz w:val="32"/>
          <w:szCs w:val="32"/>
        </w:rPr>
      </w:pPr>
    </w:p>
    <w:p>
      <w:pPr>
        <w:rPr>
          <w:rStyle w:val="16"/>
          <w:rFonts w:ascii="仿宋" w:hAnsi="仿宋" w:eastAsia="仿宋"/>
          <w:color w:val="auto"/>
          <w:sz w:val="32"/>
          <w:szCs w:val="32"/>
        </w:rPr>
      </w:pPr>
    </w:p>
    <w:p>
      <w:pPr>
        <w:rPr>
          <w:rStyle w:val="16"/>
          <w:rFonts w:ascii="仿宋" w:hAnsi="仿宋" w:eastAsia="仿宋"/>
          <w:color w:val="auto"/>
          <w:sz w:val="32"/>
          <w:szCs w:val="32"/>
        </w:rPr>
      </w:pPr>
    </w:p>
    <w:p>
      <w:pPr>
        <w:rPr>
          <w:rStyle w:val="16"/>
          <w:rFonts w:ascii="仿宋" w:hAnsi="仿宋" w:eastAsia="仿宋"/>
          <w:color w:val="auto"/>
          <w:sz w:val="32"/>
          <w:szCs w:val="32"/>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9</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3" w:type="default"/>
      <w:footerReference r:id="rId4" w:type="default"/>
      <w:footerReference r:id="rId5" w:type="even"/>
      <w:pgSz w:w="11905" w:h="16837"/>
      <w:pgMar w:top="1531" w:right="1530" w:bottom="1134" w:left="1531"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336DD"/>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6E506C"/>
    <w:rsid w:val="02DD4C33"/>
    <w:rsid w:val="02DD5B4F"/>
    <w:rsid w:val="02F3233D"/>
    <w:rsid w:val="0358144A"/>
    <w:rsid w:val="038C4374"/>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730AA5"/>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C1DCD"/>
    <w:rsid w:val="171F5F2F"/>
    <w:rsid w:val="1747459A"/>
    <w:rsid w:val="178F5508"/>
    <w:rsid w:val="17D90483"/>
    <w:rsid w:val="17E15C23"/>
    <w:rsid w:val="181C5F12"/>
    <w:rsid w:val="18207E93"/>
    <w:rsid w:val="188171D7"/>
    <w:rsid w:val="188A5136"/>
    <w:rsid w:val="18A37FC9"/>
    <w:rsid w:val="18AE27A5"/>
    <w:rsid w:val="18CC5434"/>
    <w:rsid w:val="18E54146"/>
    <w:rsid w:val="19473B43"/>
    <w:rsid w:val="19AC1F9C"/>
    <w:rsid w:val="19EA6791"/>
    <w:rsid w:val="19F825D9"/>
    <w:rsid w:val="1A437161"/>
    <w:rsid w:val="1A6C6995"/>
    <w:rsid w:val="1A805ECF"/>
    <w:rsid w:val="1AF35528"/>
    <w:rsid w:val="1AFA27E4"/>
    <w:rsid w:val="1B5A77B3"/>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C874AB"/>
    <w:rsid w:val="25D60BC4"/>
    <w:rsid w:val="25D873ED"/>
    <w:rsid w:val="25F75335"/>
    <w:rsid w:val="260007C3"/>
    <w:rsid w:val="261325BB"/>
    <w:rsid w:val="267000E4"/>
    <w:rsid w:val="269E1BDF"/>
    <w:rsid w:val="26C86AE1"/>
    <w:rsid w:val="27063174"/>
    <w:rsid w:val="2745621A"/>
    <w:rsid w:val="274B306C"/>
    <w:rsid w:val="28150F91"/>
    <w:rsid w:val="28753D57"/>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6D500F"/>
    <w:rsid w:val="2DD61302"/>
    <w:rsid w:val="2DE4256B"/>
    <w:rsid w:val="2E1A5EC1"/>
    <w:rsid w:val="2E653EAF"/>
    <w:rsid w:val="2E6B1F05"/>
    <w:rsid w:val="2EA85B70"/>
    <w:rsid w:val="2EB60EB6"/>
    <w:rsid w:val="2EF21325"/>
    <w:rsid w:val="2F1876BA"/>
    <w:rsid w:val="2F30526F"/>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743B8A"/>
    <w:rsid w:val="3E8C50F6"/>
    <w:rsid w:val="3E9E6EFC"/>
    <w:rsid w:val="3EA147B7"/>
    <w:rsid w:val="3EAA1A98"/>
    <w:rsid w:val="3ED64314"/>
    <w:rsid w:val="3EDA3818"/>
    <w:rsid w:val="3EE12A57"/>
    <w:rsid w:val="3EE73D8E"/>
    <w:rsid w:val="3EEF2E69"/>
    <w:rsid w:val="3F267EF6"/>
    <w:rsid w:val="3F544D41"/>
    <w:rsid w:val="3F6B5690"/>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063CEB"/>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54C"/>
    <w:rsid w:val="54F16F78"/>
    <w:rsid w:val="54FD0E02"/>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D74E59"/>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4D915B4"/>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2372BE"/>
    <w:rsid w:val="755B54D7"/>
    <w:rsid w:val="75765328"/>
    <w:rsid w:val="75A177EE"/>
    <w:rsid w:val="75C71031"/>
    <w:rsid w:val="75D86CD4"/>
    <w:rsid w:val="760E7139"/>
    <w:rsid w:val="76496AA8"/>
    <w:rsid w:val="764C4F9C"/>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B32997"/>
    <w:rsid w:val="7CE039CF"/>
    <w:rsid w:val="7D54267F"/>
    <w:rsid w:val="7D7C739E"/>
    <w:rsid w:val="7DBD5F66"/>
    <w:rsid w:val="7DC17EA6"/>
    <w:rsid w:val="7E0D5B2C"/>
    <w:rsid w:val="7E2115B9"/>
    <w:rsid w:val="7E7F66A4"/>
    <w:rsid w:val="7EA72D17"/>
    <w:rsid w:val="7EE04C7B"/>
    <w:rsid w:val="7F277A16"/>
    <w:rsid w:val="7F2F2002"/>
    <w:rsid w:val="7FB532BD"/>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 w:type="paragraph" w:customStyle="1" w:styleId="50">
    <w:name w:val="ky正文一"/>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1701</Words>
  <Characters>1894</Characters>
  <Lines>10</Lines>
  <Paragraphs>3</Paragraphs>
  <TotalTime>12</TotalTime>
  <ScaleCrop>false</ScaleCrop>
  <LinksUpToDate>false</LinksUpToDate>
  <CharactersWithSpaces>1977</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2024-01-25T09:18:00Z</cp:lastPrinted>
  <dcterms:modified xsi:type="dcterms:W3CDTF">2025-09-02T08:24:31Z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5729D16AFA69431F913B622EA13BBBB3_13</vt:lpwstr>
  </property>
  <property fmtid="{D5CDD505-2E9C-101B-9397-08002B2CF9AE}" pid="4" name="KSOTemplateDocerSaveRecord">
    <vt:lpwstr>eyJoZGlkIjoiZGMyN2E2MTRmYjM2NzM2N2YwMzQyOWU3MDQxMjhiZDciLCJ1c2VySWQiOiIzMzQyNjE5NjcifQ==</vt:lpwstr>
  </property>
</Properties>
</file>